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AF06" w14:textId="2D2A8B07" w:rsidR="00194AF9" w:rsidRPr="00302969" w:rsidRDefault="00953759" w:rsidP="00A3404B">
      <w:pPr>
        <w:pStyle w:val="Heading1"/>
        <w:ind w:left="0" w:right="283"/>
        <w:rPr>
          <w:color w:val="005A6F"/>
          <w:sz w:val="36"/>
          <w:szCs w:val="36"/>
        </w:rPr>
      </w:pPr>
      <w:r w:rsidRPr="00CD5247">
        <w:rPr>
          <w:rFonts w:ascii="Times New Roman"/>
          <w:noProof/>
          <w:sz w:val="20"/>
          <w:szCs w:val="72"/>
        </w:rPr>
        <w:drawing>
          <wp:anchor distT="0" distB="0" distL="114300" distR="114300" simplePos="0" relativeHeight="251660288" behindDoc="0" locked="0" layoutInCell="1" allowOverlap="1" wp14:anchorId="68EF6962" wp14:editId="26C6363F">
            <wp:simplePos x="0" y="0"/>
            <wp:positionH relativeFrom="page">
              <wp:posOffset>358140</wp:posOffset>
            </wp:positionH>
            <wp:positionV relativeFrom="paragraph">
              <wp:posOffset>0</wp:posOffset>
            </wp:positionV>
            <wp:extent cx="6732905" cy="1170305"/>
            <wp:effectExtent l="0" t="0" r="0" b="0"/>
            <wp:wrapSquare wrapText="bothSides"/>
            <wp:docPr id="1652047445" name="Image 1" descr="Australian Government Department of Social Servi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2047445" name="Image 1" descr="Australian Government Department of Social Services"/>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32905" cy="1170305"/>
                    </a:xfrm>
                    <a:prstGeom prst="rect">
                      <a:avLst/>
                    </a:prstGeom>
                  </pic:spPr>
                </pic:pic>
              </a:graphicData>
            </a:graphic>
            <wp14:sizeRelH relativeFrom="page">
              <wp14:pctWidth>0</wp14:pctWidth>
            </wp14:sizeRelH>
            <wp14:sizeRelV relativeFrom="page">
              <wp14:pctHeight>0</wp14:pctHeight>
            </wp14:sizeRelV>
          </wp:anchor>
        </w:drawing>
      </w:r>
    </w:p>
    <w:p w14:paraId="3612FF69" w14:textId="0EEC14FA" w:rsidR="00953759" w:rsidRPr="00302969" w:rsidRDefault="00BF2F29" w:rsidP="00A3404B">
      <w:pPr>
        <w:pStyle w:val="Title"/>
        <w:spacing w:before="0" w:after="240" w:line="240" w:lineRule="atLeast"/>
        <w:ind w:left="0" w:right="283"/>
        <w:rPr>
          <w:color w:val="005A6F"/>
          <w:sz w:val="56"/>
          <w:szCs w:val="56"/>
        </w:rPr>
      </w:pPr>
      <w:r>
        <w:rPr>
          <w:color w:val="005A6F"/>
          <w:sz w:val="56"/>
          <w:szCs w:val="56"/>
        </w:rPr>
        <w:t>Changing Places (Fixed)</w:t>
      </w:r>
    </w:p>
    <w:p w14:paraId="6CA7222A" w14:textId="73173914" w:rsidR="00194AF9" w:rsidRPr="00302969" w:rsidRDefault="00194AF9" w:rsidP="00A3404B">
      <w:pPr>
        <w:pStyle w:val="Title"/>
        <w:spacing w:before="360" w:afterLines="60" w:after="144"/>
        <w:ind w:left="0" w:right="283"/>
        <w:rPr>
          <w:color w:val="005A6F"/>
          <w:sz w:val="36"/>
          <w:szCs w:val="36"/>
        </w:rPr>
      </w:pPr>
      <w:r w:rsidRPr="00302969">
        <w:rPr>
          <w:color w:val="005A6F"/>
          <w:sz w:val="36"/>
          <w:szCs w:val="36"/>
        </w:rPr>
        <w:t xml:space="preserve">The Commonwealth Accessible Australia Initiative: </w:t>
      </w:r>
    </w:p>
    <w:p w14:paraId="41A8A347" w14:textId="4D678C48" w:rsidR="00E529E4" w:rsidRPr="00302969" w:rsidRDefault="00766727" w:rsidP="00A3404B">
      <w:pPr>
        <w:spacing w:afterLines="60" w:after="144"/>
        <w:ind w:right="283"/>
        <w:rPr>
          <w:rFonts w:ascii="Georgia"/>
          <w:sz w:val="32"/>
          <w:szCs w:val="20"/>
        </w:rPr>
      </w:pPr>
      <w:r w:rsidRPr="00302969">
        <w:rPr>
          <w:rFonts w:ascii="Georgia"/>
          <w:sz w:val="32"/>
          <w:szCs w:val="20"/>
        </w:rPr>
        <w:t xml:space="preserve">Increasing </w:t>
      </w:r>
      <w:r w:rsidR="00D42196">
        <w:rPr>
          <w:rFonts w:ascii="Georgia"/>
          <w:sz w:val="32"/>
          <w:szCs w:val="20"/>
        </w:rPr>
        <w:t>i</w:t>
      </w:r>
      <w:r w:rsidR="00D42196" w:rsidRPr="00302969">
        <w:rPr>
          <w:rFonts w:ascii="Georgia"/>
          <w:sz w:val="32"/>
          <w:szCs w:val="20"/>
        </w:rPr>
        <w:t xml:space="preserve">nclusion </w:t>
      </w:r>
      <w:r w:rsidRPr="00302969">
        <w:rPr>
          <w:rFonts w:ascii="Georgia"/>
          <w:sz w:val="32"/>
          <w:szCs w:val="20"/>
        </w:rPr>
        <w:t xml:space="preserve">in Australian </w:t>
      </w:r>
      <w:r w:rsidR="00D42196">
        <w:rPr>
          <w:rFonts w:ascii="Georgia"/>
          <w:sz w:val="32"/>
          <w:szCs w:val="20"/>
        </w:rPr>
        <w:t>c</w:t>
      </w:r>
      <w:r w:rsidR="00D42196" w:rsidRPr="00302969">
        <w:rPr>
          <w:rFonts w:ascii="Georgia"/>
          <w:sz w:val="32"/>
          <w:szCs w:val="20"/>
        </w:rPr>
        <w:t>ommunities</w:t>
      </w:r>
    </w:p>
    <w:p w14:paraId="5556F57E" w14:textId="6BE3A39F" w:rsidR="00194AF9" w:rsidRPr="00302969" w:rsidRDefault="00194AF9" w:rsidP="00A3404B">
      <w:pPr>
        <w:ind w:right="283"/>
        <w:rPr>
          <w:szCs w:val="24"/>
        </w:rPr>
      </w:pPr>
      <w:bookmarkStart w:id="0" w:name="_Hlk187829623"/>
    </w:p>
    <w:bookmarkEnd w:id="0"/>
    <w:p w14:paraId="6B63E5BF" w14:textId="704A1CE9" w:rsidR="00194AF9" w:rsidRPr="00302969" w:rsidRDefault="00194AF9" w:rsidP="00A3404B">
      <w:pPr>
        <w:spacing w:after="120"/>
        <w:ind w:right="283"/>
        <w:rPr>
          <w:rFonts w:eastAsia="Times New Roman" w:cs="Times New Roman"/>
          <w:spacing w:val="4"/>
          <w:szCs w:val="24"/>
          <w:lang w:eastAsia="en-AU"/>
        </w:rPr>
      </w:pPr>
      <w:r w:rsidRPr="00302969">
        <w:rPr>
          <w:rFonts w:eastAsia="Times New Roman" w:cs="Times New Roman"/>
          <w:spacing w:val="4"/>
          <w:szCs w:val="24"/>
          <w:lang w:eastAsia="en-AU"/>
        </w:rPr>
        <w:t xml:space="preserve">The Australian Government is investing $17.1 million from 2024-25 to 2027-28 to increase inclusion in community spaces </w:t>
      </w:r>
      <w:r w:rsidR="00F81651">
        <w:rPr>
          <w:rFonts w:eastAsia="Times New Roman" w:cs="Times New Roman"/>
          <w:spacing w:val="4"/>
          <w:szCs w:val="24"/>
          <w:lang w:eastAsia="en-AU"/>
        </w:rPr>
        <w:t xml:space="preserve">for people with disability </w:t>
      </w:r>
      <w:r w:rsidRPr="00302969">
        <w:rPr>
          <w:rFonts w:eastAsia="Times New Roman" w:cs="Times New Roman"/>
          <w:spacing w:val="4"/>
          <w:szCs w:val="24"/>
          <w:lang w:eastAsia="en-AU"/>
        </w:rPr>
        <w:t>across Australia through the Commonwealth Accessible Australia initiative (</w:t>
      </w:r>
      <w:r w:rsidR="00292035">
        <w:rPr>
          <w:rFonts w:eastAsia="Times New Roman" w:cs="Times New Roman"/>
          <w:spacing w:val="4"/>
          <w:szCs w:val="24"/>
          <w:lang w:eastAsia="en-AU"/>
        </w:rPr>
        <w:t>Accessible Australia</w:t>
      </w:r>
      <w:r w:rsidRPr="00302969">
        <w:rPr>
          <w:rFonts w:eastAsia="Times New Roman" w:cs="Times New Roman"/>
          <w:spacing w:val="4"/>
          <w:szCs w:val="24"/>
          <w:lang w:eastAsia="en-AU"/>
        </w:rPr>
        <w:t xml:space="preserve">). </w:t>
      </w:r>
    </w:p>
    <w:p w14:paraId="08A4F5F6" w14:textId="049A2E1D" w:rsidR="003F3E2C" w:rsidRDefault="00D42196" w:rsidP="00CD5247">
      <w:pPr>
        <w:pStyle w:val="6ptNormal"/>
        <w:ind w:right="283"/>
      </w:pPr>
      <w:r>
        <w:t>The</w:t>
      </w:r>
      <w:r w:rsidR="003F3E2C" w:rsidRPr="00091BB3">
        <w:t xml:space="preserve"> Australian Government will </w:t>
      </w:r>
      <w:r>
        <w:t>provide</w:t>
      </w:r>
      <w:r w:rsidR="003F3E2C" w:rsidRPr="00091BB3">
        <w:t xml:space="preserve"> </w:t>
      </w:r>
      <w:r w:rsidR="003F3E2C" w:rsidRPr="00C045EF">
        <w:t xml:space="preserve">funding for up to </w:t>
      </w:r>
      <w:r w:rsidR="003F3E2C">
        <w:rPr>
          <w:b/>
          <w:bCs/>
          <w:color w:val="005A6F"/>
        </w:rPr>
        <w:t>50</w:t>
      </w:r>
      <w:r w:rsidR="003F3E2C" w:rsidRPr="00C045EF">
        <w:rPr>
          <w:b/>
          <w:bCs/>
          <w:color w:val="005A6F"/>
        </w:rPr>
        <w:t xml:space="preserve"> per cent</w:t>
      </w:r>
      <w:r w:rsidR="003F3E2C" w:rsidRPr="00C045EF">
        <w:rPr>
          <w:color w:val="005A6F"/>
        </w:rPr>
        <w:t xml:space="preserve"> </w:t>
      </w:r>
      <w:r w:rsidR="003F3E2C" w:rsidRPr="00C045EF">
        <w:t xml:space="preserve">of the total build cost for </w:t>
      </w:r>
      <w:r w:rsidR="003F3E2C">
        <w:rPr>
          <w:b/>
          <w:bCs/>
          <w:color w:val="005A6F"/>
        </w:rPr>
        <w:t>fixed</w:t>
      </w:r>
      <w:r w:rsidR="003F3E2C" w:rsidRPr="00C045EF">
        <w:rPr>
          <w:b/>
          <w:bCs/>
          <w:color w:val="005A6F"/>
        </w:rPr>
        <w:t xml:space="preserve"> Changing Places</w:t>
      </w:r>
      <w:r w:rsidR="003F3E2C" w:rsidRPr="00C045EF">
        <w:rPr>
          <w:color w:val="005A6F"/>
        </w:rPr>
        <w:t xml:space="preserve"> </w:t>
      </w:r>
      <w:r w:rsidR="003F3E2C" w:rsidRPr="00C045EF">
        <w:t>to state and territory governments via Federation Funding Agreements (FFAs). For information regarding</w:t>
      </w:r>
      <w:r w:rsidR="003F3E2C" w:rsidRPr="00091BB3">
        <w:t xml:space="preserve"> funding, please refer to the </w:t>
      </w:r>
      <w:hyperlink r:id="rId8" w:history="1">
        <w:r w:rsidR="003F3E2C" w:rsidRPr="00836C33">
          <w:rPr>
            <w:rStyle w:val="Hyperlink"/>
            <w:i/>
            <w:iCs/>
          </w:rPr>
          <w:t xml:space="preserve">Funding and Federation Funding Agreements </w:t>
        </w:r>
        <w:r w:rsidR="003F3E2C" w:rsidRPr="00836C33">
          <w:rPr>
            <w:rStyle w:val="Hyperlink"/>
          </w:rPr>
          <w:t>fact sheet</w:t>
        </w:r>
      </w:hyperlink>
      <w:r w:rsidR="003F3E2C" w:rsidRPr="00091BB3">
        <w:t>.</w:t>
      </w:r>
      <w:r w:rsidR="003F3E2C" w:rsidRPr="00034015">
        <w:rPr>
          <w:noProof/>
        </w:rPr>
        <w:t xml:space="preserve"> </w:t>
      </w:r>
    </w:p>
    <w:p w14:paraId="4A9F3665" w14:textId="3C08BFB4" w:rsidR="002F7B81" w:rsidRPr="00302969" w:rsidRDefault="002F7B81" w:rsidP="00A3404B">
      <w:pPr>
        <w:spacing w:after="120"/>
        <w:ind w:right="283"/>
        <w:rPr>
          <w:rFonts w:eastAsia="Times New Roman" w:cs="Times New Roman"/>
          <w:spacing w:val="4"/>
          <w:szCs w:val="24"/>
          <w:lang w:eastAsia="en-AU"/>
        </w:rPr>
      </w:pPr>
    </w:p>
    <w:p w14:paraId="00CF3309" w14:textId="3EAB7520" w:rsidR="00B276AD" w:rsidRPr="00705A1E" w:rsidRDefault="00B276AD" w:rsidP="00CD5247">
      <w:pPr>
        <w:pStyle w:val="FSHeading2"/>
        <w:ind w:right="283"/>
      </w:pPr>
      <w:r w:rsidRPr="00705A1E">
        <w:t>What are Changing Places?</w:t>
      </w:r>
    </w:p>
    <w:p w14:paraId="04F9426B" w14:textId="77777777" w:rsidR="008F1752" w:rsidRDefault="008F1752" w:rsidP="00CD5247">
      <w:pPr>
        <w:pStyle w:val="6ptNormal"/>
        <w:ind w:right="283"/>
      </w:pPr>
      <w:r w:rsidRPr="006A7B37">
        <w:t xml:space="preserve">Changing Places are facilities for people with high support needs who are not adequately supported by standard accessible toilets. Changing Places are larger than standard accessible toilets and have extra features to meet the needs of people with disability and their </w:t>
      </w:r>
      <w:proofErr w:type="spellStart"/>
      <w:r w:rsidRPr="006A7B37">
        <w:t>carers</w:t>
      </w:r>
      <w:proofErr w:type="spellEnd"/>
      <w:r w:rsidRPr="006A7B37">
        <w:t>.</w:t>
      </w:r>
    </w:p>
    <w:p w14:paraId="75D3871D" w14:textId="3C3EF147" w:rsidR="00004E59" w:rsidRDefault="00004E59" w:rsidP="00CD5247">
      <w:pPr>
        <w:ind w:right="283"/>
      </w:pPr>
      <w:r>
        <w:t>Changing Place</w:t>
      </w:r>
      <w:r w:rsidR="00D42196">
        <w:t>s are</w:t>
      </w:r>
      <w:r>
        <w:t xml:space="preserve"> permanent </w:t>
      </w:r>
      <w:r w:rsidR="009407AE">
        <w:t>structure</w:t>
      </w:r>
      <w:r w:rsidR="00D42196">
        <w:t>s</w:t>
      </w:r>
      <w:r w:rsidR="009407AE">
        <w:t xml:space="preserve"> that may be standalone or part of a larger structure.</w:t>
      </w:r>
    </w:p>
    <w:p w14:paraId="72D48C08" w14:textId="77777777" w:rsidR="00F259A7" w:rsidRPr="00302969" w:rsidRDefault="00F259A7" w:rsidP="00CD5247">
      <w:pPr>
        <w:ind w:right="283"/>
        <w:rPr>
          <w:lang w:eastAsia="en-AU"/>
        </w:rPr>
      </w:pPr>
    </w:p>
    <w:p w14:paraId="65D86731" w14:textId="6D40C952" w:rsidR="00B723A4" w:rsidRPr="008F1752" w:rsidRDefault="00B723A4" w:rsidP="00CD5247">
      <w:pPr>
        <w:pStyle w:val="FSHeading2"/>
        <w:ind w:right="283"/>
      </w:pPr>
      <w:r w:rsidRPr="008F1752">
        <w:t xml:space="preserve">What </w:t>
      </w:r>
      <w:r w:rsidR="008F1752" w:rsidRPr="008F1752">
        <w:t>funding is available for fixed Changing Places?</w:t>
      </w:r>
    </w:p>
    <w:p w14:paraId="4A7E9D2B" w14:textId="15952C86" w:rsidR="00004E59" w:rsidRDefault="00D42196" w:rsidP="00CD5247">
      <w:pPr>
        <w:ind w:right="283"/>
      </w:pPr>
      <w:r>
        <w:t xml:space="preserve">The Australian Government will provide </w:t>
      </w:r>
      <w:r w:rsidR="00004E59" w:rsidRPr="00150D8E">
        <w:t xml:space="preserve">up to </w:t>
      </w:r>
      <w:r w:rsidR="00004E59">
        <w:t>50 per cent</w:t>
      </w:r>
      <w:r w:rsidR="00C75517">
        <w:t xml:space="preserve"> of funding</w:t>
      </w:r>
      <w:r w:rsidR="00004E59" w:rsidRPr="00150D8E">
        <w:t xml:space="preserve"> towards the build cos</w:t>
      </w:r>
      <w:r w:rsidR="00004E59">
        <w:t>t</w:t>
      </w:r>
      <w:r w:rsidR="00004E59" w:rsidRPr="00150D8E">
        <w:t xml:space="preserve"> of the facility.</w:t>
      </w:r>
      <w:r w:rsidR="00004E59">
        <w:t xml:space="preserve"> Applications for funding must be supported by an itemised quote.</w:t>
      </w:r>
    </w:p>
    <w:p w14:paraId="15AB1EC9" w14:textId="77777777" w:rsidR="00B723A4" w:rsidRPr="009E2827" w:rsidRDefault="00B723A4" w:rsidP="00CD5247">
      <w:pPr>
        <w:ind w:right="283"/>
      </w:pPr>
    </w:p>
    <w:p w14:paraId="61CDF977" w14:textId="2523947B" w:rsidR="00213D3D" w:rsidRDefault="00213D3D" w:rsidP="00CD5247">
      <w:pPr>
        <w:pStyle w:val="FSHeading2"/>
        <w:ind w:right="283"/>
      </w:pPr>
      <w:r w:rsidRPr="00150D8E">
        <w:t>Are there any costs associated with Changing Places that are not eligible for Commonwealth funding?</w:t>
      </w:r>
    </w:p>
    <w:p w14:paraId="50935097" w14:textId="77777777" w:rsidR="003A6B02" w:rsidRPr="003A6B02" w:rsidRDefault="003A6B02" w:rsidP="003A6B02">
      <w:pPr>
        <w:pStyle w:val="6ptNormal"/>
      </w:pPr>
      <w:r w:rsidRPr="003A6B02">
        <w:t>Not all costs* are eligible for Commonwealth funding, for example:</w:t>
      </w:r>
    </w:p>
    <w:p w14:paraId="6FA210CA" w14:textId="1E9D6547" w:rsidR="003A6B02" w:rsidRDefault="003A6B02" w:rsidP="003A6B02">
      <w:pPr>
        <w:pStyle w:val="6ptNormal"/>
        <w:numPr>
          <w:ilvl w:val="0"/>
          <w:numId w:val="14"/>
        </w:numPr>
      </w:pPr>
      <w:r>
        <w:t xml:space="preserve">Changing Places assessor and accreditation costs </w:t>
      </w:r>
    </w:p>
    <w:p w14:paraId="3E877F02" w14:textId="57443B41" w:rsidR="003A6B02" w:rsidRPr="003A6B02" w:rsidRDefault="003A6B02" w:rsidP="003A6B02">
      <w:pPr>
        <w:pStyle w:val="6ptNormal"/>
        <w:numPr>
          <w:ilvl w:val="0"/>
          <w:numId w:val="14"/>
        </w:numPr>
      </w:pPr>
      <w:r w:rsidRPr="003A6B02">
        <w:t>Demolition costs</w:t>
      </w:r>
    </w:p>
    <w:p w14:paraId="6F203482" w14:textId="12268215" w:rsidR="003A6B02" w:rsidRPr="003A6B02" w:rsidRDefault="003A6B02" w:rsidP="003A6B02">
      <w:pPr>
        <w:pStyle w:val="6ptNormal"/>
        <w:numPr>
          <w:ilvl w:val="0"/>
          <w:numId w:val="14"/>
        </w:numPr>
      </w:pPr>
      <w:r w:rsidRPr="003A6B02">
        <w:t xml:space="preserve">Costs not directly related to the construction of the </w:t>
      </w:r>
      <w:r w:rsidR="007C4EE8">
        <w:t>Changing Places facility</w:t>
      </w:r>
      <w:r w:rsidRPr="003A6B02">
        <w:t xml:space="preserve"> (e.g. </w:t>
      </w:r>
      <w:r w:rsidR="007C4EE8">
        <w:t xml:space="preserve">fencing, </w:t>
      </w:r>
      <w:r w:rsidRPr="003A6B02">
        <w:t xml:space="preserve">decorative elements, costs associated with a larger construction project) </w:t>
      </w:r>
    </w:p>
    <w:p w14:paraId="418B55B0" w14:textId="77777777" w:rsidR="003A6B02" w:rsidRPr="003A6B02" w:rsidRDefault="003A6B02" w:rsidP="003A6B02">
      <w:pPr>
        <w:pStyle w:val="6ptNormal"/>
        <w:numPr>
          <w:ilvl w:val="0"/>
          <w:numId w:val="14"/>
        </w:numPr>
      </w:pPr>
      <w:r w:rsidRPr="003A6B02">
        <w:t>Ongoing maintenance costs.</w:t>
      </w:r>
    </w:p>
    <w:p w14:paraId="19632186" w14:textId="21C992DB" w:rsidR="003A6B02" w:rsidRPr="003A6B02" w:rsidRDefault="007C4EE8" w:rsidP="001859A6">
      <w:pPr>
        <w:ind w:right="283"/>
      </w:pPr>
      <w:r w:rsidRPr="00150D8E">
        <w:t xml:space="preserve">The Commonwealth funding is a contribution towards the costs of </w:t>
      </w:r>
      <w:r>
        <w:t xml:space="preserve">the Changing Places facility only. </w:t>
      </w:r>
      <w:r w:rsidR="003A6B02" w:rsidRPr="003A6B02">
        <w:t>All ongoing operational or maintenance costs are the responsibility of the funding recipient.</w:t>
      </w:r>
    </w:p>
    <w:p w14:paraId="0B09CA54" w14:textId="77777777" w:rsidR="003A6B02" w:rsidRPr="001859A6" w:rsidRDefault="003A6B02" w:rsidP="003A6B02">
      <w:pPr>
        <w:pStyle w:val="6ptNormal"/>
        <w:ind w:right="283"/>
        <w:rPr>
          <w:sz w:val="16"/>
          <w:szCs w:val="14"/>
        </w:rPr>
      </w:pPr>
      <w:r w:rsidRPr="001859A6">
        <w:rPr>
          <w:sz w:val="16"/>
          <w:szCs w:val="14"/>
        </w:rPr>
        <w:t xml:space="preserve">*The above list is not exhaustive. The Commonwealth reserves the right not to fund items it deems ineligible. </w:t>
      </w:r>
    </w:p>
    <w:p w14:paraId="68DB78A6" w14:textId="77777777" w:rsidR="001859A6" w:rsidRDefault="001859A6">
      <w:pPr>
        <w:spacing w:line="240" w:lineRule="auto"/>
        <w:rPr>
          <w:rFonts w:ascii="Georgia" w:eastAsia="Georgia" w:hAnsi="Georgia" w:cs="Georgia"/>
          <w:color w:val="005A6F"/>
          <w:spacing w:val="4"/>
          <w:sz w:val="32"/>
          <w:szCs w:val="32"/>
          <w:lang w:eastAsia="en-AU"/>
        </w:rPr>
      </w:pPr>
      <w:r>
        <w:br w:type="page"/>
      </w:r>
    </w:p>
    <w:p w14:paraId="360C4148" w14:textId="4E2E7F6E" w:rsidR="00B723A4" w:rsidRPr="00B74F85" w:rsidRDefault="00B723A4" w:rsidP="00CD5247">
      <w:pPr>
        <w:pStyle w:val="FSHeading2"/>
        <w:ind w:right="283"/>
      </w:pPr>
      <w:r w:rsidRPr="00B74F85">
        <w:lastRenderedPageBreak/>
        <w:t>How</w:t>
      </w:r>
      <w:r w:rsidRPr="00B74F85">
        <w:rPr>
          <w:spacing w:val="15"/>
        </w:rPr>
        <w:t xml:space="preserve"> </w:t>
      </w:r>
      <w:r w:rsidRPr="00B74F85">
        <w:t>long</w:t>
      </w:r>
      <w:r w:rsidRPr="00B74F85">
        <w:rPr>
          <w:spacing w:val="16"/>
        </w:rPr>
        <w:t xml:space="preserve"> </w:t>
      </w:r>
      <w:r w:rsidRPr="00B74F85">
        <w:t>after</w:t>
      </w:r>
      <w:r w:rsidRPr="00B74F85">
        <w:rPr>
          <w:spacing w:val="14"/>
        </w:rPr>
        <w:t xml:space="preserve"> </w:t>
      </w:r>
      <w:r w:rsidRPr="00B74F85">
        <w:t>receiving</w:t>
      </w:r>
      <w:r w:rsidRPr="00B74F85">
        <w:rPr>
          <w:spacing w:val="17"/>
        </w:rPr>
        <w:t xml:space="preserve"> </w:t>
      </w:r>
      <w:r w:rsidRPr="00B74F85">
        <w:t>funding</w:t>
      </w:r>
      <w:r w:rsidRPr="00B74F85">
        <w:rPr>
          <w:spacing w:val="14"/>
        </w:rPr>
        <w:t xml:space="preserve"> </w:t>
      </w:r>
      <w:r w:rsidRPr="00B74F85">
        <w:t>is</w:t>
      </w:r>
      <w:r w:rsidRPr="00B74F85">
        <w:rPr>
          <w:spacing w:val="14"/>
        </w:rPr>
        <w:t xml:space="preserve"> </w:t>
      </w:r>
      <w:r w:rsidRPr="00B74F85">
        <w:t>building</w:t>
      </w:r>
      <w:r w:rsidRPr="00B74F85">
        <w:rPr>
          <w:spacing w:val="16"/>
        </w:rPr>
        <w:t xml:space="preserve"> </w:t>
      </w:r>
      <w:r w:rsidRPr="00B74F85">
        <w:t>expected</w:t>
      </w:r>
      <w:r w:rsidRPr="00B74F85">
        <w:rPr>
          <w:spacing w:val="14"/>
        </w:rPr>
        <w:t xml:space="preserve"> </w:t>
      </w:r>
      <w:r w:rsidRPr="00B74F85">
        <w:t>to</w:t>
      </w:r>
      <w:r w:rsidRPr="00B74F85">
        <w:rPr>
          <w:spacing w:val="17"/>
        </w:rPr>
        <w:t xml:space="preserve"> </w:t>
      </w:r>
      <w:r w:rsidRPr="00B74F85">
        <w:rPr>
          <w:spacing w:val="-2"/>
        </w:rPr>
        <w:t>commence?</w:t>
      </w:r>
    </w:p>
    <w:p w14:paraId="4396BE5D" w14:textId="29C61773" w:rsidR="008C6714" w:rsidRDefault="008C6714" w:rsidP="00CD5247">
      <w:pPr>
        <w:pStyle w:val="6ptNormal"/>
        <w:ind w:right="283"/>
      </w:pPr>
      <w:r>
        <w:t>Construction must have commenced</w:t>
      </w:r>
      <w:r w:rsidRPr="00A61C84">
        <w:t xml:space="preserve"> </w:t>
      </w:r>
      <w:r>
        <w:t>within 12 months of receiving funding. Proof of commencement must be provided to the Commonwealth.</w:t>
      </w:r>
    </w:p>
    <w:p w14:paraId="0911BCF9" w14:textId="0297FB7E" w:rsidR="008C6714" w:rsidRDefault="00D42196" w:rsidP="00CD5247">
      <w:pPr>
        <w:ind w:right="283"/>
      </w:pPr>
      <w:r>
        <w:t>Construction must be complete</w:t>
      </w:r>
      <w:r w:rsidR="008C6714">
        <w:t xml:space="preserve"> within 18 months of </w:t>
      </w:r>
      <w:r>
        <w:t>commencing</w:t>
      </w:r>
      <w:r w:rsidR="008C6714">
        <w:t xml:space="preserve">. Changing Places will be considered complete once they </w:t>
      </w:r>
      <w:r>
        <w:t xml:space="preserve">are accredited and </w:t>
      </w:r>
      <w:r w:rsidR="008C6714">
        <w:t>open for public use.</w:t>
      </w:r>
    </w:p>
    <w:p w14:paraId="3A1219EF" w14:textId="77777777" w:rsidR="008C3012" w:rsidRDefault="008C3012" w:rsidP="00CD5247">
      <w:pPr>
        <w:ind w:right="283"/>
      </w:pPr>
    </w:p>
    <w:p w14:paraId="3954441E" w14:textId="55128DE1" w:rsidR="00B723A4" w:rsidRDefault="00B723A4" w:rsidP="00CD5247">
      <w:pPr>
        <w:pStyle w:val="Heading2"/>
        <w:ind w:right="283"/>
      </w:pPr>
      <w:r>
        <w:t xml:space="preserve">Do </w:t>
      </w:r>
      <w:r w:rsidRPr="006B148F">
        <w:t>Changing Places</w:t>
      </w:r>
      <w:r>
        <w:t xml:space="preserve"> need to be accredited</w:t>
      </w:r>
      <w:r w:rsidR="006B5423">
        <w:t>?</w:t>
      </w:r>
    </w:p>
    <w:p w14:paraId="7D12F240" w14:textId="04C6BF64" w:rsidR="00505612" w:rsidRDefault="00505612" w:rsidP="00CD5247">
      <w:pPr>
        <w:ind w:right="283"/>
      </w:pPr>
      <w:r>
        <w:t>All Changing Places must be accredited by a</w:t>
      </w:r>
      <w:r>
        <w:rPr>
          <w:spacing w:val="40"/>
        </w:rPr>
        <w:t xml:space="preserve"> </w:t>
      </w:r>
      <w:hyperlink r:id="rId9">
        <w:r>
          <w:rPr>
            <w:color w:val="0000FF"/>
            <w:u w:val="single" w:color="0000FF"/>
          </w:rPr>
          <w:t>Changing Places</w:t>
        </w:r>
        <w:r>
          <w:rPr>
            <w:color w:val="0000FF"/>
            <w:spacing w:val="40"/>
            <w:u w:val="single" w:color="0000FF"/>
          </w:rPr>
          <w:t xml:space="preserve"> </w:t>
        </w:r>
        <w:r>
          <w:rPr>
            <w:color w:val="0000FF"/>
            <w:u w:val="single" w:color="0000FF"/>
          </w:rPr>
          <w:t>assessor</w:t>
        </w:r>
      </w:hyperlink>
      <w:r>
        <w:t>. Accreditation ensures that</w:t>
      </w:r>
      <w:r>
        <w:rPr>
          <w:spacing w:val="28"/>
        </w:rPr>
        <w:t xml:space="preserve"> </w:t>
      </w:r>
      <w:r>
        <w:t>Changing Places</w:t>
      </w:r>
      <w:r>
        <w:rPr>
          <w:spacing w:val="26"/>
        </w:rPr>
        <w:t xml:space="preserve"> </w:t>
      </w:r>
      <w:r>
        <w:t xml:space="preserve">are built to standard, ensuring users can be confident </w:t>
      </w:r>
      <w:r w:rsidR="003C07B0">
        <w:t>the</w:t>
      </w:r>
      <w:r>
        <w:rPr>
          <w:spacing w:val="40"/>
        </w:rPr>
        <w:t xml:space="preserve"> </w:t>
      </w:r>
      <w:r w:rsidR="004B37EC">
        <w:t xml:space="preserve">facility </w:t>
      </w:r>
      <w:r>
        <w:t>is fit for purpose.</w:t>
      </w:r>
    </w:p>
    <w:p w14:paraId="7DAEA47B" w14:textId="77777777" w:rsidR="00505612" w:rsidRDefault="00505612" w:rsidP="00CD5247">
      <w:pPr>
        <w:ind w:right="283"/>
      </w:pPr>
    </w:p>
    <w:p w14:paraId="26ACF70E" w14:textId="69197C3D" w:rsidR="0012620F" w:rsidRDefault="00973706" w:rsidP="00CD5247">
      <w:pPr>
        <w:pStyle w:val="FSHeading2"/>
        <w:ind w:right="283"/>
      </w:pPr>
      <w:r>
        <w:t>Are there restrictions on where Changing Places can be built?</w:t>
      </w:r>
    </w:p>
    <w:p w14:paraId="6E5D13A4" w14:textId="39440C4F" w:rsidR="0012620F" w:rsidRDefault="0012620F" w:rsidP="00CD5247">
      <w:pPr>
        <w:ind w:right="283"/>
      </w:pPr>
      <w:r>
        <w:t>The</w:t>
      </w:r>
      <w:r w:rsidRPr="008453E6">
        <w:t xml:space="preserve"> location of </w:t>
      </w:r>
      <w:r w:rsidR="00973706">
        <w:t>Changing Places</w:t>
      </w:r>
      <w:r>
        <w:t xml:space="preserve"> </w:t>
      </w:r>
      <w:r w:rsidRPr="008453E6">
        <w:t>can be determined by each state</w:t>
      </w:r>
      <w:r w:rsidR="00D42196">
        <w:t xml:space="preserve"> or </w:t>
      </w:r>
      <w:r w:rsidRPr="008453E6">
        <w:t>territory</w:t>
      </w:r>
      <w:r w:rsidR="00D42196">
        <w:t xml:space="preserve"> government</w:t>
      </w:r>
      <w:r w:rsidRPr="008453E6">
        <w:t xml:space="preserve"> in consultation with </w:t>
      </w:r>
      <w:r>
        <w:t>relevant stakeholders (</w:t>
      </w:r>
      <w:r w:rsidR="00D42196">
        <w:t>e.g.</w:t>
      </w:r>
      <w:r>
        <w:t xml:space="preserve"> local councils, co-</w:t>
      </w:r>
      <w:proofErr w:type="spellStart"/>
      <w:r>
        <w:t>funders</w:t>
      </w:r>
      <w:proofErr w:type="spellEnd"/>
      <w:r>
        <w:t>, community organisations)</w:t>
      </w:r>
      <w:r w:rsidRPr="008453E6">
        <w:t>. Factors to consider include community need, level of visitor patronage and proximity to other accessible amenities.</w:t>
      </w:r>
      <w:r>
        <w:t xml:space="preserve"> Final locations are subject to Commonwealth approval.</w:t>
      </w:r>
    </w:p>
    <w:p w14:paraId="71406E5E" w14:textId="77777777" w:rsidR="005D3557" w:rsidRDefault="005D3557" w:rsidP="00A3404B">
      <w:pPr>
        <w:ind w:right="283"/>
      </w:pPr>
    </w:p>
    <w:p w14:paraId="0F8575B5" w14:textId="400267D9" w:rsidR="005D3557" w:rsidRDefault="005D3557" w:rsidP="00CD5247">
      <w:pPr>
        <w:pStyle w:val="FSHeading2"/>
        <w:ind w:right="283"/>
      </w:pPr>
      <w:r>
        <w:t xml:space="preserve">What needs to be included in a project plan for a </w:t>
      </w:r>
      <w:r w:rsidR="00AB6291">
        <w:t>fixed</w:t>
      </w:r>
      <w:r>
        <w:t xml:space="preserve"> Changing Places facility?</w:t>
      </w:r>
    </w:p>
    <w:p w14:paraId="61E7A015" w14:textId="0CF38946" w:rsidR="00B723A4" w:rsidRDefault="005D3557" w:rsidP="00CD5247">
      <w:pPr>
        <w:ind w:right="283"/>
      </w:pPr>
      <w:r>
        <w:t xml:space="preserve">Information regarding project plan requirements can be found in the </w:t>
      </w:r>
      <w:hyperlink r:id="rId10" w:history="1">
        <w:r w:rsidRPr="00836C33">
          <w:rPr>
            <w:rStyle w:val="Hyperlink"/>
            <w:i/>
            <w:iCs/>
          </w:rPr>
          <w:t>Applications, Project Plans and Progress</w:t>
        </w:r>
        <w:r w:rsidRPr="00836C33">
          <w:rPr>
            <w:rStyle w:val="Hyperlink"/>
          </w:rPr>
          <w:t xml:space="preserve"> </w:t>
        </w:r>
        <w:r w:rsidRPr="00836C33">
          <w:rPr>
            <w:rStyle w:val="Hyperlink"/>
            <w:i/>
            <w:iCs/>
          </w:rPr>
          <w:t>Reporting</w:t>
        </w:r>
        <w:r w:rsidRPr="00836C33">
          <w:rPr>
            <w:rStyle w:val="Hyperlink"/>
          </w:rPr>
          <w:t xml:space="preserve"> fact sheet</w:t>
        </w:r>
      </w:hyperlink>
      <w:r>
        <w:t xml:space="preserve">. </w:t>
      </w:r>
      <w:r w:rsidRPr="00C9147F">
        <w:t xml:space="preserve"> </w:t>
      </w:r>
      <w:r w:rsidR="00B723A4">
        <w:br/>
      </w:r>
    </w:p>
    <w:p w14:paraId="5A5BF2FA" w14:textId="638FDCAA" w:rsidR="00917C0B" w:rsidRDefault="00917C0B" w:rsidP="00CD5247">
      <w:pPr>
        <w:pStyle w:val="FSHeading2"/>
        <w:ind w:right="283"/>
        <w:rPr>
          <w:spacing w:val="-2"/>
        </w:rPr>
      </w:pPr>
      <w:r>
        <w:t>Do Changing Places facilities need to be listed on the National Public Toilet Map</w:t>
      </w:r>
      <w:r>
        <w:rPr>
          <w:spacing w:val="-2"/>
        </w:rPr>
        <w:t>?</w:t>
      </w:r>
    </w:p>
    <w:p w14:paraId="14854215" w14:textId="3C37899F" w:rsidR="00917C0B" w:rsidRDefault="005943FA" w:rsidP="00CD5247">
      <w:pPr>
        <w:ind w:right="283"/>
        <w:rPr>
          <w:lang w:val="en-US"/>
        </w:rPr>
      </w:pPr>
      <w:r>
        <w:rPr>
          <w:lang w:val="en-US"/>
        </w:rPr>
        <w:t>Upon completion, a</w:t>
      </w:r>
      <w:r w:rsidR="00E2673E">
        <w:rPr>
          <w:lang w:val="en-US"/>
        </w:rPr>
        <w:t xml:space="preserve">ll fixed Changing Places funded by the </w:t>
      </w:r>
      <w:r w:rsidR="00253B23">
        <w:rPr>
          <w:lang w:val="en-US"/>
        </w:rPr>
        <w:t xml:space="preserve">Australian Government </w:t>
      </w:r>
      <w:r w:rsidR="00E2673E">
        <w:rPr>
          <w:lang w:val="en-US"/>
        </w:rPr>
        <w:t xml:space="preserve">must </w:t>
      </w:r>
      <w:r w:rsidR="00917C0B" w:rsidRPr="00C9322A">
        <w:rPr>
          <w:lang w:val="en-US"/>
        </w:rPr>
        <w:t xml:space="preserve">be listed on the </w:t>
      </w:r>
      <w:hyperlink r:id="rId11" w:history="1">
        <w:r w:rsidR="00917C0B" w:rsidRPr="00C9322A">
          <w:rPr>
            <w:rStyle w:val="Hyperlink"/>
            <w:lang w:val="en-US"/>
          </w:rPr>
          <w:t>National Public Toilet Map</w:t>
        </w:r>
      </w:hyperlink>
      <w:r w:rsidR="00E2673E">
        <w:t xml:space="preserve">, run by the Commonwealth Department </w:t>
      </w:r>
      <w:r w:rsidR="00C16C56">
        <w:t xml:space="preserve">of </w:t>
      </w:r>
      <w:r w:rsidR="00E2673E">
        <w:t xml:space="preserve">Health and </w:t>
      </w:r>
      <w:r w:rsidR="00C16C56">
        <w:t xml:space="preserve">Aged </w:t>
      </w:r>
      <w:r w:rsidR="00E2673E">
        <w:t>Care</w:t>
      </w:r>
      <w:r w:rsidR="00917C0B" w:rsidRPr="00C9322A">
        <w:rPr>
          <w:lang w:val="en-US"/>
        </w:rPr>
        <w:t>.</w:t>
      </w:r>
    </w:p>
    <w:p w14:paraId="02E4B69F" w14:textId="77777777" w:rsidR="005943FA" w:rsidRDefault="005943FA" w:rsidP="00CD5247">
      <w:pPr>
        <w:ind w:right="283"/>
      </w:pPr>
    </w:p>
    <w:p w14:paraId="150DD399" w14:textId="77777777" w:rsidR="00B723A4" w:rsidRDefault="00B723A4" w:rsidP="00CD5247">
      <w:pPr>
        <w:pStyle w:val="FSHeading2"/>
        <w:ind w:right="283"/>
      </w:pPr>
      <w:r>
        <w:t xml:space="preserve">Who can I contact for more information? </w:t>
      </w:r>
    </w:p>
    <w:p w14:paraId="23B01838" w14:textId="77777777" w:rsidR="0023090E" w:rsidRDefault="00CD6202" w:rsidP="00E462DE">
      <w:pPr>
        <w:pStyle w:val="6ptNormal"/>
      </w:pPr>
      <w:r>
        <w:t xml:space="preserve">Further information and Frequently Asked Questions on Accessible Australia can be found on the </w:t>
      </w:r>
      <w:hyperlink r:id="rId12" w:history="1">
        <w:r w:rsidRPr="00473CA5">
          <w:rPr>
            <w:rStyle w:val="Hyperlink"/>
          </w:rPr>
          <w:t>Department of Social Services website.</w:t>
        </w:r>
      </w:hyperlink>
      <w:r>
        <w:t xml:space="preserve"> </w:t>
      </w:r>
    </w:p>
    <w:p w14:paraId="36C97F63" w14:textId="404E2F90" w:rsidR="005974A1" w:rsidRPr="00302969" w:rsidRDefault="00CD6202" w:rsidP="00CD5247">
      <w:pPr>
        <w:pStyle w:val="6ptNormal"/>
      </w:pPr>
      <w:r>
        <w:t xml:space="preserve">The department </w:t>
      </w:r>
      <w:r w:rsidR="00A3404B">
        <w:t xml:space="preserve">can be contacted </w:t>
      </w:r>
      <w:r>
        <w:t xml:space="preserve">directly via email at </w:t>
      </w:r>
      <w:hyperlink r:id="rId13" w:history="1">
        <w:r w:rsidRPr="0047557E">
          <w:rPr>
            <w:rStyle w:val="Hyperlink"/>
          </w:rPr>
          <w:t>AccessibleAustralia@dss.gov.au</w:t>
        </w:r>
      </w:hyperlink>
      <w:r>
        <w:rPr>
          <w:rStyle w:val="Hyperlink"/>
        </w:rPr>
        <w:t>.</w:t>
      </w:r>
      <w:r>
        <w:t xml:space="preserve"> </w:t>
      </w:r>
    </w:p>
    <w:sectPr w:rsidR="005974A1" w:rsidRPr="00302969" w:rsidSect="00507E66">
      <w:footerReference w:type="default" r:id="rId14"/>
      <w:pgSz w:w="11910" w:h="16840"/>
      <w:pgMar w:top="737" w:right="425" w:bottom="425" w:left="851"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978EB" w14:textId="77777777" w:rsidR="009D29D1" w:rsidRDefault="009D29D1"/>
  </w:endnote>
  <w:endnote w:type="continuationSeparator" w:id="0">
    <w:p w14:paraId="6EBD7CD8" w14:textId="77777777" w:rsidR="009D29D1" w:rsidRDefault="009D2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3E849" w14:textId="77777777" w:rsidR="005316C3" w:rsidRDefault="004C74B8" w:rsidP="005316C3">
    <w:pPr>
      <w:pStyle w:val="Heading2"/>
      <w:spacing w:after="0" w:line="240" w:lineRule="atLeast"/>
      <w:jc w:val="right"/>
      <w:rPr>
        <w:rFonts w:ascii="Arial" w:hAnsi="Arial" w:cs="Arial"/>
        <w:color w:val="BFBFBF" w:themeColor="background1" w:themeShade="BF"/>
        <w:sz w:val="16"/>
        <w:szCs w:val="16"/>
      </w:rPr>
    </w:pPr>
    <w:r w:rsidRPr="004C74B8">
      <w:rPr>
        <w:rFonts w:ascii="Arial" w:eastAsia="Arial" w:hAnsi="Arial" w:cs="Arial"/>
        <w:noProof/>
        <w:color w:val="auto"/>
        <w:sz w:val="24"/>
        <w:szCs w:val="22"/>
      </w:rPr>
      <w:fldChar w:fldCharType="begin"/>
    </w:r>
    <w:r w:rsidRPr="004C74B8">
      <w:rPr>
        <w:rFonts w:ascii="Arial" w:eastAsia="Arial" w:hAnsi="Arial" w:cs="Arial"/>
        <w:noProof/>
        <w:color w:val="auto"/>
        <w:sz w:val="24"/>
        <w:szCs w:val="22"/>
      </w:rPr>
      <w:instrText xml:space="preserve"> PAGE   \* MERGEFORMAT </w:instrText>
    </w:r>
    <w:r w:rsidRPr="004C74B8">
      <w:rPr>
        <w:rFonts w:ascii="Arial" w:eastAsia="Arial" w:hAnsi="Arial" w:cs="Arial"/>
        <w:noProof/>
        <w:color w:val="auto"/>
        <w:sz w:val="24"/>
        <w:szCs w:val="22"/>
      </w:rPr>
      <w:fldChar w:fldCharType="separate"/>
    </w:r>
    <w:r w:rsidRPr="004C74B8">
      <w:rPr>
        <w:rFonts w:ascii="Arial" w:eastAsia="Arial" w:hAnsi="Arial" w:cs="Arial"/>
        <w:noProof/>
        <w:color w:val="auto"/>
        <w:sz w:val="24"/>
        <w:szCs w:val="22"/>
      </w:rPr>
      <w:t>1</w:t>
    </w:r>
    <w:r w:rsidRPr="004C74B8">
      <w:rPr>
        <w:rFonts w:ascii="Arial" w:eastAsia="Arial" w:hAnsi="Arial" w:cs="Arial"/>
        <w:noProof/>
        <w:color w:val="auto"/>
        <w:sz w:val="24"/>
        <w:szCs w:val="22"/>
      </w:rPr>
      <w:fldChar w:fldCharType="end"/>
    </w:r>
    <w:r w:rsidRPr="004C74B8">
      <w:rPr>
        <w:rFonts w:ascii="Arial" w:eastAsia="Arial" w:hAnsi="Arial" w:cs="Arial"/>
        <w:noProof/>
        <w:color w:val="auto"/>
        <w:sz w:val="24"/>
        <w:szCs w:val="22"/>
      </w:rPr>
      <w:ptab w:relativeTo="margin" w:alignment="center" w:leader="none"/>
    </w:r>
    <w:r w:rsidRPr="004C74B8">
      <w:rPr>
        <w:rFonts w:ascii="Arial" w:eastAsia="Arial" w:hAnsi="Arial" w:cs="Arial"/>
        <w:noProof/>
        <w:color w:val="auto"/>
        <w:sz w:val="24"/>
        <w:szCs w:val="22"/>
      </w:rPr>
      <w:ptab w:relativeTo="margin" w:alignment="right" w:leader="none"/>
    </w:r>
    <w:r w:rsidRPr="00F9008A">
      <w:rPr>
        <w:rFonts w:ascii="Arial" w:hAnsi="Arial" w:cs="Arial"/>
        <w:color w:val="BFBFBF" w:themeColor="background1" w:themeShade="BF"/>
        <w:sz w:val="16"/>
        <w:szCs w:val="16"/>
      </w:rPr>
      <w:t>The</w:t>
    </w:r>
    <w:r>
      <w:rPr>
        <w:color w:val="BFBFBF" w:themeColor="background1" w:themeShade="BF"/>
        <w:sz w:val="16"/>
        <w:szCs w:val="16"/>
      </w:rPr>
      <w:t xml:space="preserve"> </w:t>
    </w:r>
    <w:r w:rsidRPr="00F9008A">
      <w:rPr>
        <w:rFonts w:ascii="Arial" w:hAnsi="Arial" w:cs="Arial"/>
        <w:color w:val="BFBFBF" w:themeColor="background1" w:themeShade="BF"/>
        <w:sz w:val="16"/>
        <w:szCs w:val="16"/>
      </w:rPr>
      <w:t xml:space="preserve">Commonwealth Accessible Australia Initiative: </w:t>
    </w:r>
    <w:r>
      <w:rPr>
        <w:rFonts w:ascii="Arial" w:hAnsi="Arial" w:cs="Arial"/>
        <w:color w:val="BFBFBF" w:themeColor="background1" w:themeShade="BF"/>
        <w:sz w:val="16"/>
        <w:szCs w:val="16"/>
      </w:rPr>
      <w:t xml:space="preserve"> </w:t>
    </w:r>
  </w:p>
  <w:p w14:paraId="0D5D163F" w14:textId="12837CA9" w:rsidR="00FF26CF" w:rsidRPr="00CD5247" w:rsidRDefault="007A52A3" w:rsidP="005316C3">
    <w:pPr>
      <w:pStyle w:val="Heading2"/>
      <w:spacing w:after="0" w:line="240" w:lineRule="atLeast"/>
      <w:jc w:val="right"/>
      <w:rPr>
        <w:rFonts w:ascii="Arial" w:hAnsi="Arial" w:cs="Arial"/>
        <w:color w:val="BFBFBF" w:themeColor="background1" w:themeShade="BF"/>
        <w:sz w:val="16"/>
        <w:szCs w:val="16"/>
      </w:rPr>
    </w:pPr>
    <w:r>
      <w:rPr>
        <w:rFonts w:ascii="Arial" w:hAnsi="Arial" w:cs="Arial"/>
        <w:color w:val="BFBFBF" w:themeColor="background1" w:themeShade="BF"/>
        <w:sz w:val="16"/>
        <w:szCs w:val="16"/>
      </w:rPr>
      <w:t>Changing Places (Fixed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82A77" w14:textId="77777777" w:rsidR="009D29D1" w:rsidRDefault="009D29D1"/>
  </w:footnote>
  <w:footnote w:type="continuationSeparator" w:id="0">
    <w:p w14:paraId="23B36D85" w14:textId="77777777" w:rsidR="009D29D1" w:rsidRDefault="009D29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306F"/>
    <w:multiLevelType w:val="hybridMultilevel"/>
    <w:tmpl w:val="97CE4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B7130"/>
    <w:multiLevelType w:val="hybridMultilevel"/>
    <w:tmpl w:val="434AF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BA7D21"/>
    <w:multiLevelType w:val="hybridMultilevel"/>
    <w:tmpl w:val="6CD21BE4"/>
    <w:lvl w:ilvl="0" w:tplc="78A84D40">
      <w:numFmt w:val="bullet"/>
      <w:lvlText w:val=""/>
      <w:lvlJc w:val="left"/>
      <w:pPr>
        <w:ind w:left="685" w:hanging="361"/>
      </w:pPr>
      <w:rPr>
        <w:rFonts w:ascii="Symbol" w:eastAsia="Symbol" w:hAnsi="Symbol" w:cs="Symbol" w:hint="default"/>
        <w:b w:val="0"/>
        <w:bCs w:val="0"/>
        <w:i w:val="0"/>
        <w:iCs w:val="0"/>
        <w:spacing w:val="0"/>
        <w:w w:val="100"/>
        <w:sz w:val="24"/>
        <w:szCs w:val="24"/>
        <w:lang w:val="en-US" w:eastAsia="en-US" w:bidi="ar-SA"/>
      </w:rPr>
    </w:lvl>
    <w:lvl w:ilvl="1" w:tplc="1AC09650">
      <w:numFmt w:val="bullet"/>
      <w:lvlText w:val="•"/>
      <w:lvlJc w:val="left"/>
      <w:pPr>
        <w:ind w:left="1690" w:hanging="361"/>
      </w:pPr>
      <w:rPr>
        <w:rFonts w:hint="default"/>
        <w:lang w:val="en-US" w:eastAsia="en-US" w:bidi="ar-SA"/>
      </w:rPr>
    </w:lvl>
    <w:lvl w:ilvl="2" w:tplc="09682014">
      <w:numFmt w:val="bullet"/>
      <w:lvlText w:val="•"/>
      <w:lvlJc w:val="left"/>
      <w:pPr>
        <w:ind w:left="2701" w:hanging="361"/>
      </w:pPr>
      <w:rPr>
        <w:rFonts w:hint="default"/>
        <w:lang w:val="en-US" w:eastAsia="en-US" w:bidi="ar-SA"/>
      </w:rPr>
    </w:lvl>
    <w:lvl w:ilvl="3" w:tplc="EAC2AFE4">
      <w:numFmt w:val="bullet"/>
      <w:lvlText w:val="•"/>
      <w:lvlJc w:val="left"/>
      <w:pPr>
        <w:ind w:left="3711" w:hanging="361"/>
      </w:pPr>
      <w:rPr>
        <w:rFonts w:hint="default"/>
        <w:lang w:val="en-US" w:eastAsia="en-US" w:bidi="ar-SA"/>
      </w:rPr>
    </w:lvl>
    <w:lvl w:ilvl="4" w:tplc="61E85884">
      <w:numFmt w:val="bullet"/>
      <w:lvlText w:val="•"/>
      <w:lvlJc w:val="left"/>
      <w:pPr>
        <w:ind w:left="4722" w:hanging="361"/>
      </w:pPr>
      <w:rPr>
        <w:rFonts w:hint="default"/>
        <w:lang w:val="en-US" w:eastAsia="en-US" w:bidi="ar-SA"/>
      </w:rPr>
    </w:lvl>
    <w:lvl w:ilvl="5" w:tplc="1ED2D77C">
      <w:numFmt w:val="bullet"/>
      <w:lvlText w:val="•"/>
      <w:lvlJc w:val="left"/>
      <w:pPr>
        <w:ind w:left="5733" w:hanging="361"/>
      </w:pPr>
      <w:rPr>
        <w:rFonts w:hint="default"/>
        <w:lang w:val="en-US" w:eastAsia="en-US" w:bidi="ar-SA"/>
      </w:rPr>
    </w:lvl>
    <w:lvl w:ilvl="6" w:tplc="3B4C404C">
      <w:numFmt w:val="bullet"/>
      <w:lvlText w:val="•"/>
      <w:lvlJc w:val="left"/>
      <w:pPr>
        <w:ind w:left="6743" w:hanging="361"/>
      </w:pPr>
      <w:rPr>
        <w:rFonts w:hint="default"/>
        <w:lang w:val="en-US" w:eastAsia="en-US" w:bidi="ar-SA"/>
      </w:rPr>
    </w:lvl>
    <w:lvl w:ilvl="7" w:tplc="12768C14">
      <w:numFmt w:val="bullet"/>
      <w:lvlText w:val="•"/>
      <w:lvlJc w:val="left"/>
      <w:pPr>
        <w:ind w:left="7754" w:hanging="361"/>
      </w:pPr>
      <w:rPr>
        <w:rFonts w:hint="default"/>
        <w:lang w:val="en-US" w:eastAsia="en-US" w:bidi="ar-SA"/>
      </w:rPr>
    </w:lvl>
    <w:lvl w:ilvl="8" w:tplc="80D4DE9A">
      <w:numFmt w:val="bullet"/>
      <w:lvlText w:val="•"/>
      <w:lvlJc w:val="left"/>
      <w:pPr>
        <w:ind w:left="8765" w:hanging="361"/>
      </w:pPr>
      <w:rPr>
        <w:rFonts w:hint="default"/>
        <w:lang w:val="en-US" w:eastAsia="en-US" w:bidi="ar-SA"/>
      </w:rPr>
    </w:lvl>
  </w:abstractNum>
  <w:abstractNum w:abstractNumId="4" w15:restartNumberingAfterBreak="0">
    <w:nsid w:val="23A24219"/>
    <w:multiLevelType w:val="hybridMultilevel"/>
    <w:tmpl w:val="098808D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A011D96"/>
    <w:multiLevelType w:val="hybridMultilevel"/>
    <w:tmpl w:val="5F5CA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939749A"/>
    <w:multiLevelType w:val="hybridMultilevel"/>
    <w:tmpl w:val="1F684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AB60CC4"/>
    <w:multiLevelType w:val="hybridMultilevel"/>
    <w:tmpl w:val="ED6A7AE6"/>
    <w:lvl w:ilvl="0" w:tplc="0C090001">
      <w:start w:val="1"/>
      <w:numFmt w:val="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3AEB78D3"/>
    <w:multiLevelType w:val="hybridMultilevel"/>
    <w:tmpl w:val="369C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963314"/>
    <w:multiLevelType w:val="hybridMultilevel"/>
    <w:tmpl w:val="72780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05261C"/>
    <w:multiLevelType w:val="hybridMultilevel"/>
    <w:tmpl w:val="5EB25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056F77"/>
    <w:multiLevelType w:val="hybridMultilevel"/>
    <w:tmpl w:val="F19ED690"/>
    <w:lvl w:ilvl="0" w:tplc="CBC4D658">
      <w:numFmt w:val="bullet"/>
      <w:lvlText w:val=""/>
      <w:lvlJc w:val="left"/>
      <w:pPr>
        <w:ind w:left="872" w:hanging="361"/>
      </w:pPr>
      <w:rPr>
        <w:rFonts w:ascii="Symbol" w:eastAsia="Symbol" w:hAnsi="Symbol" w:cs="Symbol" w:hint="default"/>
        <w:b w:val="0"/>
        <w:bCs w:val="0"/>
        <w:i w:val="0"/>
        <w:iCs w:val="0"/>
        <w:spacing w:val="0"/>
        <w:w w:val="100"/>
        <w:sz w:val="24"/>
        <w:szCs w:val="24"/>
        <w:lang w:val="en-US" w:eastAsia="en-US" w:bidi="ar-SA"/>
      </w:rPr>
    </w:lvl>
    <w:lvl w:ilvl="1" w:tplc="8E1A00FE">
      <w:numFmt w:val="bullet"/>
      <w:lvlText w:val="•"/>
      <w:lvlJc w:val="left"/>
      <w:pPr>
        <w:ind w:left="1870" w:hanging="361"/>
      </w:pPr>
      <w:rPr>
        <w:rFonts w:hint="default"/>
        <w:lang w:val="en-US" w:eastAsia="en-US" w:bidi="ar-SA"/>
      </w:rPr>
    </w:lvl>
    <w:lvl w:ilvl="2" w:tplc="5900DB74">
      <w:numFmt w:val="bullet"/>
      <w:lvlText w:val="•"/>
      <w:lvlJc w:val="left"/>
      <w:pPr>
        <w:ind w:left="2861" w:hanging="361"/>
      </w:pPr>
      <w:rPr>
        <w:rFonts w:hint="default"/>
        <w:lang w:val="en-US" w:eastAsia="en-US" w:bidi="ar-SA"/>
      </w:rPr>
    </w:lvl>
    <w:lvl w:ilvl="3" w:tplc="80083972">
      <w:numFmt w:val="bullet"/>
      <w:lvlText w:val="•"/>
      <w:lvlJc w:val="left"/>
      <w:pPr>
        <w:ind w:left="3851" w:hanging="361"/>
      </w:pPr>
      <w:rPr>
        <w:rFonts w:hint="default"/>
        <w:lang w:val="en-US" w:eastAsia="en-US" w:bidi="ar-SA"/>
      </w:rPr>
    </w:lvl>
    <w:lvl w:ilvl="4" w:tplc="5164C19E">
      <w:numFmt w:val="bullet"/>
      <w:lvlText w:val="•"/>
      <w:lvlJc w:val="left"/>
      <w:pPr>
        <w:ind w:left="4842" w:hanging="361"/>
      </w:pPr>
      <w:rPr>
        <w:rFonts w:hint="default"/>
        <w:lang w:val="en-US" w:eastAsia="en-US" w:bidi="ar-SA"/>
      </w:rPr>
    </w:lvl>
    <w:lvl w:ilvl="5" w:tplc="70E6C76E">
      <w:numFmt w:val="bullet"/>
      <w:lvlText w:val="•"/>
      <w:lvlJc w:val="left"/>
      <w:pPr>
        <w:ind w:left="5833" w:hanging="361"/>
      </w:pPr>
      <w:rPr>
        <w:rFonts w:hint="default"/>
        <w:lang w:val="en-US" w:eastAsia="en-US" w:bidi="ar-SA"/>
      </w:rPr>
    </w:lvl>
    <w:lvl w:ilvl="6" w:tplc="5A2CE154">
      <w:numFmt w:val="bullet"/>
      <w:lvlText w:val="•"/>
      <w:lvlJc w:val="left"/>
      <w:pPr>
        <w:ind w:left="6823" w:hanging="361"/>
      </w:pPr>
      <w:rPr>
        <w:rFonts w:hint="default"/>
        <w:lang w:val="en-US" w:eastAsia="en-US" w:bidi="ar-SA"/>
      </w:rPr>
    </w:lvl>
    <w:lvl w:ilvl="7" w:tplc="074ADD82">
      <w:numFmt w:val="bullet"/>
      <w:lvlText w:val="•"/>
      <w:lvlJc w:val="left"/>
      <w:pPr>
        <w:ind w:left="7814" w:hanging="361"/>
      </w:pPr>
      <w:rPr>
        <w:rFonts w:hint="default"/>
        <w:lang w:val="en-US" w:eastAsia="en-US" w:bidi="ar-SA"/>
      </w:rPr>
    </w:lvl>
    <w:lvl w:ilvl="8" w:tplc="6D9EDBAC">
      <w:numFmt w:val="bullet"/>
      <w:lvlText w:val="•"/>
      <w:lvlJc w:val="left"/>
      <w:pPr>
        <w:ind w:left="8805" w:hanging="361"/>
      </w:pPr>
      <w:rPr>
        <w:rFonts w:hint="default"/>
        <w:lang w:val="en-US" w:eastAsia="en-US" w:bidi="ar-SA"/>
      </w:rPr>
    </w:lvl>
  </w:abstractNum>
  <w:abstractNum w:abstractNumId="12" w15:restartNumberingAfterBreak="0">
    <w:nsid w:val="74815875"/>
    <w:multiLevelType w:val="hybridMultilevel"/>
    <w:tmpl w:val="94F6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324433">
    <w:abstractNumId w:val="3"/>
  </w:num>
  <w:num w:numId="2" w16cid:durableId="1853372978">
    <w:abstractNumId w:val="11"/>
  </w:num>
  <w:num w:numId="3" w16cid:durableId="1526207733">
    <w:abstractNumId w:val="7"/>
  </w:num>
  <w:num w:numId="4" w16cid:durableId="656811861">
    <w:abstractNumId w:val="4"/>
  </w:num>
  <w:num w:numId="5" w16cid:durableId="1313876952">
    <w:abstractNumId w:val="5"/>
  </w:num>
  <w:num w:numId="6" w16cid:durableId="110131298">
    <w:abstractNumId w:val="6"/>
  </w:num>
  <w:num w:numId="7" w16cid:durableId="1121924311">
    <w:abstractNumId w:val="1"/>
  </w:num>
  <w:num w:numId="8" w16cid:durableId="535580854">
    <w:abstractNumId w:val="2"/>
  </w:num>
  <w:num w:numId="9" w16cid:durableId="124811644">
    <w:abstractNumId w:val="10"/>
  </w:num>
  <w:num w:numId="10" w16cid:durableId="642007734">
    <w:abstractNumId w:val="12"/>
  </w:num>
  <w:num w:numId="11" w16cid:durableId="171453649">
    <w:abstractNumId w:val="0"/>
  </w:num>
  <w:num w:numId="12" w16cid:durableId="1612976853">
    <w:abstractNumId w:val="8"/>
  </w:num>
  <w:num w:numId="13" w16cid:durableId="1920481615">
    <w:abstractNumId w:val="9"/>
  </w:num>
  <w:num w:numId="14" w16cid:durableId="111246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6F"/>
    <w:rsid w:val="00004E59"/>
    <w:rsid w:val="000318B8"/>
    <w:rsid w:val="000348D6"/>
    <w:rsid w:val="00044BA2"/>
    <w:rsid w:val="0005305D"/>
    <w:rsid w:val="000534BE"/>
    <w:rsid w:val="00062005"/>
    <w:rsid w:val="00066E60"/>
    <w:rsid w:val="00073337"/>
    <w:rsid w:val="00074A46"/>
    <w:rsid w:val="00082543"/>
    <w:rsid w:val="0008646E"/>
    <w:rsid w:val="000941DE"/>
    <w:rsid w:val="00095F03"/>
    <w:rsid w:val="00096470"/>
    <w:rsid w:val="000A1DF7"/>
    <w:rsid w:val="000A582C"/>
    <w:rsid w:val="000C4920"/>
    <w:rsid w:val="000D0887"/>
    <w:rsid w:val="000D3CFF"/>
    <w:rsid w:val="000E507A"/>
    <w:rsid w:val="000F6267"/>
    <w:rsid w:val="00105C23"/>
    <w:rsid w:val="001159BD"/>
    <w:rsid w:val="0012620F"/>
    <w:rsid w:val="00130CC7"/>
    <w:rsid w:val="00132650"/>
    <w:rsid w:val="001431E9"/>
    <w:rsid w:val="001472A2"/>
    <w:rsid w:val="00150D8E"/>
    <w:rsid w:val="00156892"/>
    <w:rsid w:val="00163F3C"/>
    <w:rsid w:val="0017516D"/>
    <w:rsid w:val="00176FA8"/>
    <w:rsid w:val="00181BCE"/>
    <w:rsid w:val="00184FFC"/>
    <w:rsid w:val="001859A6"/>
    <w:rsid w:val="00190300"/>
    <w:rsid w:val="00194AF9"/>
    <w:rsid w:val="00197FA5"/>
    <w:rsid w:val="001A0E0E"/>
    <w:rsid w:val="001A4B88"/>
    <w:rsid w:val="001B0794"/>
    <w:rsid w:val="001B43E1"/>
    <w:rsid w:val="001C766F"/>
    <w:rsid w:val="001D55E3"/>
    <w:rsid w:val="001E4D31"/>
    <w:rsid w:val="001E4FE0"/>
    <w:rsid w:val="00203A22"/>
    <w:rsid w:val="002067AE"/>
    <w:rsid w:val="00213D3D"/>
    <w:rsid w:val="00215F8A"/>
    <w:rsid w:val="0023090E"/>
    <w:rsid w:val="00236503"/>
    <w:rsid w:val="00252D68"/>
    <w:rsid w:val="00253B23"/>
    <w:rsid w:val="00263A02"/>
    <w:rsid w:val="00264C50"/>
    <w:rsid w:val="002658FA"/>
    <w:rsid w:val="002724D9"/>
    <w:rsid w:val="0027582F"/>
    <w:rsid w:val="00285B54"/>
    <w:rsid w:val="00292035"/>
    <w:rsid w:val="0029652D"/>
    <w:rsid w:val="002A4BB8"/>
    <w:rsid w:val="002B52F2"/>
    <w:rsid w:val="002B5D4A"/>
    <w:rsid w:val="002C0AFA"/>
    <w:rsid w:val="002D6178"/>
    <w:rsid w:val="002E3B83"/>
    <w:rsid w:val="002F7B81"/>
    <w:rsid w:val="00302969"/>
    <w:rsid w:val="003236EF"/>
    <w:rsid w:val="00332012"/>
    <w:rsid w:val="00334201"/>
    <w:rsid w:val="00342E74"/>
    <w:rsid w:val="003444E4"/>
    <w:rsid w:val="00351170"/>
    <w:rsid w:val="003630F0"/>
    <w:rsid w:val="0036464B"/>
    <w:rsid w:val="00371E0A"/>
    <w:rsid w:val="0037746C"/>
    <w:rsid w:val="003832EC"/>
    <w:rsid w:val="003840F1"/>
    <w:rsid w:val="003851C8"/>
    <w:rsid w:val="00392594"/>
    <w:rsid w:val="003A216E"/>
    <w:rsid w:val="003A6B02"/>
    <w:rsid w:val="003C07B0"/>
    <w:rsid w:val="003C25E8"/>
    <w:rsid w:val="003C3B44"/>
    <w:rsid w:val="003D63DF"/>
    <w:rsid w:val="003D6672"/>
    <w:rsid w:val="003F2CC5"/>
    <w:rsid w:val="003F3E2C"/>
    <w:rsid w:val="00405B4E"/>
    <w:rsid w:val="004063C4"/>
    <w:rsid w:val="004133E3"/>
    <w:rsid w:val="00417486"/>
    <w:rsid w:val="00423D20"/>
    <w:rsid w:val="00424074"/>
    <w:rsid w:val="0042599C"/>
    <w:rsid w:val="004355B6"/>
    <w:rsid w:val="004365B2"/>
    <w:rsid w:val="00436914"/>
    <w:rsid w:val="0044160F"/>
    <w:rsid w:val="00460D44"/>
    <w:rsid w:val="004639AB"/>
    <w:rsid w:val="00473099"/>
    <w:rsid w:val="004775EC"/>
    <w:rsid w:val="0048587F"/>
    <w:rsid w:val="00490EE5"/>
    <w:rsid w:val="0049406D"/>
    <w:rsid w:val="00497636"/>
    <w:rsid w:val="004A1E08"/>
    <w:rsid w:val="004A3B75"/>
    <w:rsid w:val="004B37EC"/>
    <w:rsid w:val="004B39F4"/>
    <w:rsid w:val="004B5092"/>
    <w:rsid w:val="004B5B3C"/>
    <w:rsid w:val="004C74B8"/>
    <w:rsid w:val="004D1569"/>
    <w:rsid w:val="004D1E66"/>
    <w:rsid w:val="004D44AD"/>
    <w:rsid w:val="004D5ACC"/>
    <w:rsid w:val="004E161C"/>
    <w:rsid w:val="004E6360"/>
    <w:rsid w:val="004F2085"/>
    <w:rsid w:val="004F3EB7"/>
    <w:rsid w:val="005013DE"/>
    <w:rsid w:val="00503C41"/>
    <w:rsid w:val="00505612"/>
    <w:rsid w:val="00507E66"/>
    <w:rsid w:val="00512CB8"/>
    <w:rsid w:val="00513062"/>
    <w:rsid w:val="00514BCE"/>
    <w:rsid w:val="00520641"/>
    <w:rsid w:val="00520C0D"/>
    <w:rsid w:val="005316C3"/>
    <w:rsid w:val="005327F7"/>
    <w:rsid w:val="00535CED"/>
    <w:rsid w:val="00542700"/>
    <w:rsid w:val="005455D8"/>
    <w:rsid w:val="00546B57"/>
    <w:rsid w:val="00557455"/>
    <w:rsid w:val="0056019F"/>
    <w:rsid w:val="00561EC2"/>
    <w:rsid w:val="0056691F"/>
    <w:rsid w:val="00574147"/>
    <w:rsid w:val="0058027C"/>
    <w:rsid w:val="00592AEE"/>
    <w:rsid w:val="005943FA"/>
    <w:rsid w:val="00595066"/>
    <w:rsid w:val="005974A1"/>
    <w:rsid w:val="005A3364"/>
    <w:rsid w:val="005B129E"/>
    <w:rsid w:val="005C3738"/>
    <w:rsid w:val="005C3B40"/>
    <w:rsid w:val="005C53B6"/>
    <w:rsid w:val="005C7114"/>
    <w:rsid w:val="005D1A2A"/>
    <w:rsid w:val="005D3557"/>
    <w:rsid w:val="005D78A7"/>
    <w:rsid w:val="005E4F42"/>
    <w:rsid w:val="005F1E46"/>
    <w:rsid w:val="005F4E76"/>
    <w:rsid w:val="006016BB"/>
    <w:rsid w:val="00605DE7"/>
    <w:rsid w:val="006065E1"/>
    <w:rsid w:val="00621FF4"/>
    <w:rsid w:val="006237F7"/>
    <w:rsid w:val="00625CEF"/>
    <w:rsid w:val="0063407C"/>
    <w:rsid w:val="006402AA"/>
    <w:rsid w:val="00656B1E"/>
    <w:rsid w:val="00660D3D"/>
    <w:rsid w:val="0066726C"/>
    <w:rsid w:val="00672AC1"/>
    <w:rsid w:val="0067563F"/>
    <w:rsid w:val="006947D0"/>
    <w:rsid w:val="006B06F0"/>
    <w:rsid w:val="006B252E"/>
    <w:rsid w:val="006B39B6"/>
    <w:rsid w:val="006B4635"/>
    <w:rsid w:val="006B5423"/>
    <w:rsid w:val="006B7F7E"/>
    <w:rsid w:val="006C4477"/>
    <w:rsid w:val="006C6A92"/>
    <w:rsid w:val="006D7AF8"/>
    <w:rsid w:val="006E068D"/>
    <w:rsid w:val="006E4D50"/>
    <w:rsid w:val="0070409A"/>
    <w:rsid w:val="00704EE8"/>
    <w:rsid w:val="00715AD2"/>
    <w:rsid w:val="007255FB"/>
    <w:rsid w:val="0073041D"/>
    <w:rsid w:val="00732B67"/>
    <w:rsid w:val="00744A5A"/>
    <w:rsid w:val="007469D4"/>
    <w:rsid w:val="00752951"/>
    <w:rsid w:val="007646DB"/>
    <w:rsid w:val="007654A7"/>
    <w:rsid w:val="0076629C"/>
    <w:rsid w:val="00766727"/>
    <w:rsid w:val="0076790B"/>
    <w:rsid w:val="007710F4"/>
    <w:rsid w:val="00772205"/>
    <w:rsid w:val="00790F32"/>
    <w:rsid w:val="0079545A"/>
    <w:rsid w:val="007A52A3"/>
    <w:rsid w:val="007A5E0B"/>
    <w:rsid w:val="007A6F92"/>
    <w:rsid w:val="007B3BBD"/>
    <w:rsid w:val="007B3C43"/>
    <w:rsid w:val="007C4BAA"/>
    <w:rsid w:val="007C4EE8"/>
    <w:rsid w:val="007D759A"/>
    <w:rsid w:val="007E1FBD"/>
    <w:rsid w:val="007E624A"/>
    <w:rsid w:val="007F1CD0"/>
    <w:rsid w:val="0081323B"/>
    <w:rsid w:val="00815D31"/>
    <w:rsid w:val="0082147B"/>
    <w:rsid w:val="00827A34"/>
    <w:rsid w:val="00836C33"/>
    <w:rsid w:val="008453E6"/>
    <w:rsid w:val="00846EC8"/>
    <w:rsid w:val="00853A3D"/>
    <w:rsid w:val="00865034"/>
    <w:rsid w:val="0087638F"/>
    <w:rsid w:val="0088035B"/>
    <w:rsid w:val="008815F5"/>
    <w:rsid w:val="00893343"/>
    <w:rsid w:val="008935F5"/>
    <w:rsid w:val="00897E82"/>
    <w:rsid w:val="008A1BE6"/>
    <w:rsid w:val="008A7021"/>
    <w:rsid w:val="008B5FB8"/>
    <w:rsid w:val="008B7072"/>
    <w:rsid w:val="008C3012"/>
    <w:rsid w:val="008C3D8D"/>
    <w:rsid w:val="008C60B9"/>
    <w:rsid w:val="008C6714"/>
    <w:rsid w:val="008C7A9F"/>
    <w:rsid w:val="008D39AA"/>
    <w:rsid w:val="008D5B6F"/>
    <w:rsid w:val="008F1752"/>
    <w:rsid w:val="008F1842"/>
    <w:rsid w:val="008F2A60"/>
    <w:rsid w:val="008F6DCC"/>
    <w:rsid w:val="00902172"/>
    <w:rsid w:val="009069EF"/>
    <w:rsid w:val="00914D13"/>
    <w:rsid w:val="00917C0B"/>
    <w:rsid w:val="00923750"/>
    <w:rsid w:val="00932510"/>
    <w:rsid w:val="00934CBB"/>
    <w:rsid w:val="009407AE"/>
    <w:rsid w:val="00953759"/>
    <w:rsid w:val="00957D7F"/>
    <w:rsid w:val="00960553"/>
    <w:rsid w:val="009624FC"/>
    <w:rsid w:val="00967F89"/>
    <w:rsid w:val="00973706"/>
    <w:rsid w:val="00990E03"/>
    <w:rsid w:val="00992F60"/>
    <w:rsid w:val="009A0FCC"/>
    <w:rsid w:val="009C4506"/>
    <w:rsid w:val="009D0A78"/>
    <w:rsid w:val="009D29D1"/>
    <w:rsid w:val="009D5127"/>
    <w:rsid w:val="009E05A1"/>
    <w:rsid w:val="009E3559"/>
    <w:rsid w:val="009E54CC"/>
    <w:rsid w:val="009E79A8"/>
    <w:rsid w:val="00A01F18"/>
    <w:rsid w:val="00A1727C"/>
    <w:rsid w:val="00A177AE"/>
    <w:rsid w:val="00A2060F"/>
    <w:rsid w:val="00A30117"/>
    <w:rsid w:val="00A31387"/>
    <w:rsid w:val="00A33718"/>
    <w:rsid w:val="00A3404B"/>
    <w:rsid w:val="00A36F97"/>
    <w:rsid w:val="00A45768"/>
    <w:rsid w:val="00A45CD9"/>
    <w:rsid w:val="00A511E6"/>
    <w:rsid w:val="00A53F09"/>
    <w:rsid w:val="00A60C60"/>
    <w:rsid w:val="00A61C21"/>
    <w:rsid w:val="00A61C84"/>
    <w:rsid w:val="00A8068C"/>
    <w:rsid w:val="00A874A0"/>
    <w:rsid w:val="00A92F2B"/>
    <w:rsid w:val="00AA42B1"/>
    <w:rsid w:val="00AB19D5"/>
    <w:rsid w:val="00AB1B6F"/>
    <w:rsid w:val="00AB4C00"/>
    <w:rsid w:val="00AB6291"/>
    <w:rsid w:val="00AC14C8"/>
    <w:rsid w:val="00AD58EB"/>
    <w:rsid w:val="00AE62EA"/>
    <w:rsid w:val="00B016A4"/>
    <w:rsid w:val="00B113F6"/>
    <w:rsid w:val="00B1385E"/>
    <w:rsid w:val="00B276AD"/>
    <w:rsid w:val="00B3090F"/>
    <w:rsid w:val="00B36853"/>
    <w:rsid w:val="00B37047"/>
    <w:rsid w:val="00B46A50"/>
    <w:rsid w:val="00B47A7A"/>
    <w:rsid w:val="00B47BA7"/>
    <w:rsid w:val="00B55ECA"/>
    <w:rsid w:val="00B6676D"/>
    <w:rsid w:val="00B723A4"/>
    <w:rsid w:val="00B8700F"/>
    <w:rsid w:val="00B91952"/>
    <w:rsid w:val="00B91C31"/>
    <w:rsid w:val="00B92A5E"/>
    <w:rsid w:val="00B95A08"/>
    <w:rsid w:val="00B96A63"/>
    <w:rsid w:val="00B97791"/>
    <w:rsid w:val="00BA773E"/>
    <w:rsid w:val="00BB7624"/>
    <w:rsid w:val="00BC6C7F"/>
    <w:rsid w:val="00BD11C2"/>
    <w:rsid w:val="00BE4C4A"/>
    <w:rsid w:val="00BF086D"/>
    <w:rsid w:val="00BF0C46"/>
    <w:rsid w:val="00BF2F29"/>
    <w:rsid w:val="00BF4E5E"/>
    <w:rsid w:val="00C002F5"/>
    <w:rsid w:val="00C12A69"/>
    <w:rsid w:val="00C16C56"/>
    <w:rsid w:val="00C17AED"/>
    <w:rsid w:val="00C265C5"/>
    <w:rsid w:val="00C328B4"/>
    <w:rsid w:val="00C36421"/>
    <w:rsid w:val="00C378BA"/>
    <w:rsid w:val="00C413DA"/>
    <w:rsid w:val="00C41D98"/>
    <w:rsid w:val="00C51AD5"/>
    <w:rsid w:val="00C54BF3"/>
    <w:rsid w:val="00C63B4F"/>
    <w:rsid w:val="00C65EE1"/>
    <w:rsid w:val="00C66386"/>
    <w:rsid w:val="00C731B2"/>
    <w:rsid w:val="00C75517"/>
    <w:rsid w:val="00C75A3B"/>
    <w:rsid w:val="00C8447F"/>
    <w:rsid w:val="00C9147F"/>
    <w:rsid w:val="00C94FD2"/>
    <w:rsid w:val="00CA1963"/>
    <w:rsid w:val="00CA56B3"/>
    <w:rsid w:val="00CB0FAB"/>
    <w:rsid w:val="00CC62DE"/>
    <w:rsid w:val="00CD050D"/>
    <w:rsid w:val="00CD5247"/>
    <w:rsid w:val="00CD6202"/>
    <w:rsid w:val="00CD6F5D"/>
    <w:rsid w:val="00CE4BFA"/>
    <w:rsid w:val="00CE6E42"/>
    <w:rsid w:val="00CF0945"/>
    <w:rsid w:val="00D00C0D"/>
    <w:rsid w:val="00D0695C"/>
    <w:rsid w:val="00D2429E"/>
    <w:rsid w:val="00D33629"/>
    <w:rsid w:val="00D3460F"/>
    <w:rsid w:val="00D35E31"/>
    <w:rsid w:val="00D40B16"/>
    <w:rsid w:val="00D4147B"/>
    <w:rsid w:val="00D42196"/>
    <w:rsid w:val="00D50135"/>
    <w:rsid w:val="00D64B17"/>
    <w:rsid w:val="00D64D4C"/>
    <w:rsid w:val="00D64FE6"/>
    <w:rsid w:val="00D73350"/>
    <w:rsid w:val="00D84339"/>
    <w:rsid w:val="00D90F3E"/>
    <w:rsid w:val="00D913AF"/>
    <w:rsid w:val="00D936EF"/>
    <w:rsid w:val="00D94B7C"/>
    <w:rsid w:val="00DA0712"/>
    <w:rsid w:val="00DB4864"/>
    <w:rsid w:val="00DC6773"/>
    <w:rsid w:val="00DE77A1"/>
    <w:rsid w:val="00DF40A0"/>
    <w:rsid w:val="00E018E3"/>
    <w:rsid w:val="00E04DA7"/>
    <w:rsid w:val="00E16789"/>
    <w:rsid w:val="00E2673E"/>
    <w:rsid w:val="00E31A0C"/>
    <w:rsid w:val="00E3211A"/>
    <w:rsid w:val="00E35CE1"/>
    <w:rsid w:val="00E462DE"/>
    <w:rsid w:val="00E46600"/>
    <w:rsid w:val="00E51EB6"/>
    <w:rsid w:val="00E52466"/>
    <w:rsid w:val="00E529E4"/>
    <w:rsid w:val="00E552B9"/>
    <w:rsid w:val="00E6331D"/>
    <w:rsid w:val="00E643A3"/>
    <w:rsid w:val="00E65257"/>
    <w:rsid w:val="00E669FD"/>
    <w:rsid w:val="00E74734"/>
    <w:rsid w:val="00E74B9E"/>
    <w:rsid w:val="00E7609A"/>
    <w:rsid w:val="00E7683F"/>
    <w:rsid w:val="00E8043B"/>
    <w:rsid w:val="00E808E3"/>
    <w:rsid w:val="00E842D9"/>
    <w:rsid w:val="00E90157"/>
    <w:rsid w:val="00E904BC"/>
    <w:rsid w:val="00EA3471"/>
    <w:rsid w:val="00EA4B96"/>
    <w:rsid w:val="00EB0935"/>
    <w:rsid w:val="00EC4156"/>
    <w:rsid w:val="00EC6A3E"/>
    <w:rsid w:val="00EC6AA3"/>
    <w:rsid w:val="00ED6283"/>
    <w:rsid w:val="00EE1C6F"/>
    <w:rsid w:val="00EE586B"/>
    <w:rsid w:val="00EE6153"/>
    <w:rsid w:val="00EE7EB0"/>
    <w:rsid w:val="00EF74C6"/>
    <w:rsid w:val="00F02D23"/>
    <w:rsid w:val="00F0416D"/>
    <w:rsid w:val="00F101F9"/>
    <w:rsid w:val="00F259A7"/>
    <w:rsid w:val="00F31E83"/>
    <w:rsid w:val="00F362EE"/>
    <w:rsid w:val="00F37FD3"/>
    <w:rsid w:val="00F509D3"/>
    <w:rsid w:val="00F50FAF"/>
    <w:rsid w:val="00F520BA"/>
    <w:rsid w:val="00F6352F"/>
    <w:rsid w:val="00F709A0"/>
    <w:rsid w:val="00F70F7F"/>
    <w:rsid w:val="00F76773"/>
    <w:rsid w:val="00F81651"/>
    <w:rsid w:val="00F8745D"/>
    <w:rsid w:val="00FA22D2"/>
    <w:rsid w:val="00FA4878"/>
    <w:rsid w:val="00FB6A1B"/>
    <w:rsid w:val="00FC255C"/>
    <w:rsid w:val="00FC4385"/>
    <w:rsid w:val="00FC6567"/>
    <w:rsid w:val="00FD1758"/>
    <w:rsid w:val="00FD2009"/>
    <w:rsid w:val="00FD276A"/>
    <w:rsid w:val="00FD288C"/>
    <w:rsid w:val="00FD3148"/>
    <w:rsid w:val="00FD4992"/>
    <w:rsid w:val="00FD5B02"/>
    <w:rsid w:val="00FE060A"/>
    <w:rsid w:val="00FE6E74"/>
    <w:rsid w:val="00FF26CF"/>
    <w:rsid w:val="00FF2B27"/>
    <w:rsid w:val="00FF6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6E779"/>
  <w15:docId w15:val="{F9B7C5AF-E4F0-4B23-8E8A-3285ED5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59"/>
    <w:pPr>
      <w:spacing w:line="280" w:lineRule="exact"/>
    </w:pPr>
    <w:rPr>
      <w:rFonts w:ascii="Arial" w:eastAsia="Arial" w:hAnsi="Arial" w:cs="Arial"/>
      <w:sz w:val="24"/>
      <w:lang w:val="en-AU"/>
    </w:rPr>
  </w:style>
  <w:style w:type="paragraph" w:styleId="Heading1">
    <w:name w:val="heading 1"/>
    <w:basedOn w:val="Normal"/>
    <w:uiPriority w:val="9"/>
    <w:qFormat/>
    <w:pPr>
      <w:spacing w:before="72"/>
      <w:ind w:left="152"/>
      <w:outlineLvl w:val="0"/>
    </w:pPr>
    <w:rPr>
      <w:rFonts w:ascii="Georgia" w:eastAsia="Georgia" w:hAnsi="Georgia" w:cs="Georgia"/>
      <w:sz w:val="32"/>
      <w:szCs w:val="32"/>
    </w:rPr>
  </w:style>
  <w:style w:type="paragraph" w:styleId="Heading2">
    <w:name w:val="heading 2"/>
    <w:basedOn w:val="Heading1"/>
    <w:next w:val="Normal"/>
    <w:link w:val="Heading2Char"/>
    <w:uiPriority w:val="9"/>
    <w:unhideWhenUsed/>
    <w:qFormat/>
    <w:rsid w:val="00953759"/>
    <w:pPr>
      <w:spacing w:before="0" w:after="120" w:line="280" w:lineRule="atLeast"/>
      <w:ind w:left="0"/>
      <w:outlineLvl w:val="1"/>
    </w:pPr>
    <w:rPr>
      <w:color w:val="005A6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pPr>
    <w:rPr>
      <w:szCs w:val="24"/>
    </w:rPr>
  </w:style>
  <w:style w:type="paragraph" w:styleId="Title">
    <w:name w:val="Title"/>
    <w:basedOn w:val="Normal"/>
    <w:link w:val="TitleChar"/>
    <w:uiPriority w:val="99"/>
    <w:qFormat/>
    <w:pPr>
      <w:spacing w:before="429"/>
      <w:ind w:left="152"/>
    </w:pPr>
    <w:rPr>
      <w:rFonts w:ascii="Georgia" w:eastAsia="Georgia" w:hAnsi="Georgia" w:cs="Georgia"/>
      <w:sz w:val="72"/>
      <w:szCs w:val="72"/>
    </w:rPr>
  </w:style>
  <w:style w:type="paragraph" w:styleId="ListParagraph">
    <w:name w:val="List Paragraph"/>
    <w:basedOn w:val="Normal"/>
    <w:uiPriority w:val="1"/>
    <w:qFormat/>
    <w:pPr>
      <w:ind w:left="685" w:hanging="361"/>
    </w:pPr>
  </w:style>
  <w:style w:type="paragraph" w:customStyle="1" w:styleId="TableParagraph">
    <w:name w:val="Table Paragraph"/>
    <w:basedOn w:val="Normal"/>
    <w:uiPriority w:val="1"/>
    <w:qFormat/>
  </w:style>
  <w:style w:type="paragraph" w:styleId="Revision">
    <w:name w:val="Revision"/>
    <w:hidden/>
    <w:uiPriority w:val="99"/>
    <w:semiHidden/>
    <w:rsid w:val="00A2060F"/>
    <w:pPr>
      <w:widowControl/>
      <w:autoSpaceDE/>
      <w:autoSpaceDN/>
    </w:pPr>
    <w:rPr>
      <w:rFonts w:ascii="Arial" w:eastAsia="Arial" w:hAnsi="Arial" w:cs="Arial"/>
    </w:rPr>
  </w:style>
  <w:style w:type="character" w:styleId="CommentReference">
    <w:name w:val="annotation reference"/>
    <w:basedOn w:val="DefaultParagraphFont"/>
    <w:semiHidden/>
    <w:unhideWhenUsed/>
    <w:rsid w:val="00F50FAF"/>
    <w:rPr>
      <w:sz w:val="16"/>
      <w:szCs w:val="16"/>
    </w:rPr>
  </w:style>
  <w:style w:type="paragraph" w:styleId="CommentText">
    <w:name w:val="annotation text"/>
    <w:basedOn w:val="Normal"/>
    <w:link w:val="CommentTextChar"/>
    <w:unhideWhenUsed/>
    <w:rsid w:val="00F50FAF"/>
    <w:rPr>
      <w:sz w:val="20"/>
      <w:szCs w:val="20"/>
    </w:rPr>
  </w:style>
  <w:style w:type="character" w:customStyle="1" w:styleId="CommentTextChar">
    <w:name w:val="Comment Text Char"/>
    <w:basedOn w:val="DefaultParagraphFont"/>
    <w:link w:val="CommentText"/>
    <w:rsid w:val="00F50F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50FAF"/>
    <w:rPr>
      <w:b/>
      <w:bCs/>
    </w:rPr>
  </w:style>
  <w:style w:type="character" w:customStyle="1" w:styleId="CommentSubjectChar">
    <w:name w:val="Comment Subject Char"/>
    <w:basedOn w:val="CommentTextChar"/>
    <w:link w:val="CommentSubject"/>
    <w:uiPriority w:val="99"/>
    <w:semiHidden/>
    <w:rsid w:val="00F50FAF"/>
    <w:rPr>
      <w:rFonts w:ascii="Arial" w:eastAsia="Arial" w:hAnsi="Arial" w:cs="Arial"/>
      <w:b/>
      <w:bCs/>
      <w:sz w:val="20"/>
      <w:szCs w:val="20"/>
    </w:rPr>
  </w:style>
  <w:style w:type="character" w:styleId="Hyperlink">
    <w:name w:val="Hyperlink"/>
    <w:basedOn w:val="DefaultParagraphFont"/>
    <w:uiPriority w:val="99"/>
    <w:unhideWhenUsed/>
    <w:rsid w:val="00F509D3"/>
    <w:rPr>
      <w:color w:val="0000FF" w:themeColor="hyperlink"/>
      <w:u w:val="single"/>
    </w:rPr>
  </w:style>
  <w:style w:type="character" w:styleId="UnresolvedMention">
    <w:name w:val="Unresolved Mention"/>
    <w:basedOn w:val="DefaultParagraphFont"/>
    <w:uiPriority w:val="99"/>
    <w:semiHidden/>
    <w:unhideWhenUsed/>
    <w:rsid w:val="00F509D3"/>
    <w:rPr>
      <w:color w:val="605E5C"/>
      <w:shd w:val="clear" w:color="auto" w:fill="E1DFDD"/>
    </w:rPr>
  </w:style>
  <w:style w:type="character" w:customStyle="1" w:styleId="Heading2Char">
    <w:name w:val="Heading 2 Char"/>
    <w:basedOn w:val="DefaultParagraphFont"/>
    <w:link w:val="Heading2"/>
    <w:uiPriority w:val="9"/>
    <w:rsid w:val="00953759"/>
    <w:rPr>
      <w:rFonts w:ascii="Georgia" w:eastAsia="Georgia" w:hAnsi="Georgia" w:cs="Georgia"/>
      <w:color w:val="005A6F"/>
      <w:sz w:val="32"/>
      <w:szCs w:val="32"/>
    </w:rPr>
  </w:style>
  <w:style w:type="character" w:customStyle="1" w:styleId="TitleChar">
    <w:name w:val="Title Char"/>
    <w:basedOn w:val="DefaultParagraphFont"/>
    <w:link w:val="Title"/>
    <w:uiPriority w:val="99"/>
    <w:rsid w:val="00194AF9"/>
    <w:rPr>
      <w:rFonts w:ascii="Georgia" w:eastAsia="Georgia" w:hAnsi="Georgia" w:cs="Georgia"/>
      <w:sz w:val="72"/>
      <w:szCs w:val="72"/>
    </w:rPr>
  </w:style>
  <w:style w:type="paragraph" w:customStyle="1" w:styleId="6ptNormal">
    <w:name w:val="6pt Normal"/>
    <w:basedOn w:val="Normal"/>
    <w:link w:val="6ptNormalChar"/>
    <w:qFormat/>
    <w:rsid w:val="00392594"/>
    <w:pPr>
      <w:spacing w:after="120" w:line="240" w:lineRule="atLeast"/>
    </w:pPr>
  </w:style>
  <w:style w:type="character" w:customStyle="1" w:styleId="6ptNormalChar">
    <w:name w:val="6pt Normal Char"/>
    <w:basedOn w:val="DefaultParagraphFont"/>
    <w:link w:val="6ptNormal"/>
    <w:rsid w:val="00392594"/>
    <w:rPr>
      <w:rFonts w:ascii="Arial" w:eastAsia="Arial" w:hAnsi="Arial" w:cs="Arial"/>
      <w:sz w:val="24"/>
    </w:rPr>
  </w:style>
  <w:style w:type="paragraph" w:styleId="Header">
    <w:name w:val="header"/>
    <w:basedOn w:val="Normal"/>
    <w:link w:val="HeaderChar"/>
    <w:uiPriority w:val="99"/>
    <w:unhideWhenUsed/>
    <w:rsid w:val="00392594"/>
    <w:pPr>
      <w:tabs>
        <w:tab w:val="center" w:pos="4513"/>
        <w:tab w:val="right" w:pos="9026"/>
      </w:tabs>
      <w:spacing w:line="240" w:lineRule="auto"/>
    </w:pPr>
  </w:style>
  <w:style w:type="character" w:customStyle="1" w:styleId="HeaderChar">
    <w:name w:val="Header Char"/>
    <w:basedOn w:val="DefaultParagraphFont"/>
    <w:link w:val="Header"/>
    <w:uiPriority w:val="99"/>
    <w:rsid w:val="00392594"/>
    <w:rPr>
      <w:rFonts w:ascii="Arial" w:eastAsia="Arial" w:hAnsi="Arial" w:cs="Arial"/>
      <w:sz w:val="24"/>
    </w:rPr>
  </w:style>
  <w:style w:type="paragraph" w:styleId="Footer">
    <w:name w:val="footer"/>
    <w:basedOn w:val="Normal"/>
    <w:link w:val="FooterChar"/>
    <w:uiPriority w:val="99"/>
    <w:unhideWhenUsed/>
    <w:rsid w:val="00392594"/>
    <w:pPr>
      <w:tabs>
        <w:tab w:val="center" w:pos="4513"/>
        <w:tab w:val="right" w:pos="9026"/>
      </w:tabs>
      <w:spacing w:line="240" w:lineRule="auto"/>
    </w:pPr>
  </w:style>
  <w:style w:type="character" w:customStyle="1" w:styleId="FooterChar">
    <w:name w:val="Footer Char"/>
    <w:basedOn w:val="DefaultParagraphFont"/>
    <w:link w:val="Footer"/>
    <w:uiPriority w:val="99"/>
    <w:rsid w:val="00392594"/>
    <w:rPr>
      <w:rFonts w:ascii="Arial" w:eastAsia="Arial" w:hAnsi="Arial" w:cs="Arial"/>
      <w:sz w:val="24"/>
    </w:rPr>
  </w:style>
  <w:style w:type="paragraph" w:styleId="ListBullet">
    <w:name w:val="List Bullet"/>
    <w:basedOn w:val="Normal"/>
    <w:uiPriority w:val="1"/>
    <w:qFormat/>
    <w:rsid w:val="00E643A3"/>
    <w:pPr>
      <w:widowControl/>
      <w:numPr>
        <w:numId w:val="7"/>
      </w:numPr>
      <w:tabs>
        <w:tab w:val="left" w:pos="170"/>
      </w:tabs>
      <w:autoSpaceDE/>
      <w:autoSpaceDN/>
      <w:spacing w:before="120" w:after="180" w:line="280" w:lineRule="atLeast"/>
      <w:ind w:left="533"/>
    </w:pPr>
    <w:rPr>
      <w:rFonts w:eastAsia="Times New Roman" w:cs="Times New Roman"/>
      <w:spacing w:val="4"/>
      <w:szCs w:val="24"/>
      <w:lang w:eastAsia="en-AU"/>
    </w:rPr>
  </w:style>
  <w:style w:type="table" w:styleId="TableGrid">
    <w:name w:val="Table Grid"/>
    <w:basedOn w:val="TableNormal"/>
    <w:uiPriority w:val="39"/>
    <w:rsid w:val="00E7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545A"/>
    <w:rPr>
      <w:color w:val="666666"/>
    </w:rPr>
  </w:style>
  <w:style w:type="paragraph" w:customStyle="1" w:styleId="FSHeading2">
    <w:name w:val="FS Heading 2"/>
    <w:basedOn w:val="Normal"/>
    <w:link w:val="FSHeading2Char"/>
    <w:qFormat/>
    <w:rsid w:val="00C12A69"/>
    <w:pPr>
      <w:spacing w:after="120" w:line="280" w:lineRule="atLeast"/>
      <w:ind w:right="284"/>
      <w:outlineLvl w:val="1"/>
    </w:pPr>
    <w:rPr>
      <w:rFonts w:ascii="Georgia" w:eastAsia="Georgia" w:hAnsi="Georgia" w:cs="Georgia"/>
      <w:color w:val="005A6F"/>
      <w:spacing w:val="4"/>
      <w:sz w:val="32"/>
      <w:szCs w:val="32"/>
      <w:lang w:eastAsia="en-AU"/>
    </w:rPr>
  </w:style>
  <w:style w:type="character" w:customStyle="1" w:styleId="FSHeading2Char">
    <w:name w:val="FS Heading 2 Char"/>
    <w:basedOn w:val="DefaultParagraphFont"/>
    <w:link w:val="FSHeading2"/>
    <w:rsid w:val="00C12A69"/>
    <w:rPr>
      <w:rFonts w:ascii="Georgia" w:eastAsia="Georgia" w:hAnsi="Georgia" w:cs="Georgia"/>
      <w:color w:val="005A6F"/>
      <w:spacing w:val="4"/>
      <w:sz w:val="3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05992">
      <w:bodyDiv w:val="1"/>
      <w:marLeft w:val="0"/>
      <w:marRight w:val="0"/>
      <w:marTop w:val="0"/>
      <w:marBottom w:val="0"/>
      <w:divBdr>
        <w:top w:val="none" w:sz="0" w:space="0" w:color="auto"/>
        <w:left w:val="none" w:sz="0" w:space="0" w:color="auto"/>
        <w:bottom w:val="none" w:sz="0" w:space="0" w:color="auto"/>
        <w:right w:val="none" w:sz="0" w:space="0" w:color="auto"/>
      </w:divBdr>
    </w:div>
    <w:div w:id="803305943">
      <w:bodyDiv w:val="1"/>
      <w:marLeft w:val="0"/>
      <w:marRight w:val="0"/>
      <w:marTop w:val="0"/>
      <w:marBottom w:val="0"/>
      <w:divBdr>
        <w:top w:val="none" w:sz="0" w:space="0" w:color="auto"/>
        <w:left w:val="none" w:sz="0" w:space="0" w:color="auto"/>
        <w:bottom w:val="none" w:sz="0" w:space="0" w:color="auto"/>
        <w:right w:val="none" w:sz="0" w:space="0" w:color="auto"/>
      </w:divBdr>
    </w:div>
    <w:div w:id="873687188">
      <w:bodyDiv w:val="1"/>
      <w:marLeft w:val="0"/>
      <w:marRight w:val="0"/>
      <w:marTop w:val="0"/>
      <w:marBottom w:val="0"/>
      <w:divBdr>
        <w:top w:val="none" w:sz="0" w:space="0" w:color="auto"/>
        <w:left w:val="none" w:sz="0" w:space="0" w:color="auto"/>
        <w:bottom w:val="none" w:sz="0" w:space="0" w:color="auto"/>
        <w:right w:val="none" w:sz="0" w:space="0" w:color="auto"/>
      </w:divBdr>
    </w:div>
    <w:div w:id="1128090977">
      <w:bodyDiv w:val="1"/>
      <w:marLeft w:val="0"/>
      <w:marRight w:val="0"/>
      <w:marTop w:val="0"/>
      <w:marBottom w:val="0"/>
      <w:divBdr>
        <w:top w:val="none" w:sz="0" w:space="0" w:color="auto"/>
        <w:left w:val="none" w:sz="0" w:space="0" w:color="auto"/>
        <w:bottom w:val="none" w:sz="0" w:space="0" w:color="auto"/>
        <w:right w:val="none" w:sz="0" w:space="0" w:color="auto"/>
      </w:divBdr>
    </w:div>
    <w:div w:id="212180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ss.gov.au/node/3322" TargetMode="External"/><Relationship Id="rId13" Type="http://schemas.openxmlformats.org/officeDocument/2006/relationships/hyperlink" Target="mailto:AccessibleAustralia@ds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ss.gov.au/disability-support-services/changing-pla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iletmap.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ss.gov.au/node/3315" TargetMode="External"/><Relationship Id="rId4" Type="http://schemas.openxmlformats.org/officeDocument/2006/relationships/webSettings" Target="webSettings.xml"/><Relationship Id="rId9" Type="http://schemas.openxmlformats.org/officeDocument/2006/relationships/hyperlink" Target="https://changingplaces.org.au/engage-an-assesso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3240</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Changing Places: Portable Facilities Frequently Asked Questions</vt:lpstr>
    </vt:vector>
  </TitlesOfParts>
  <Company>Department of Social Services</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Places: Portable Facilities Frequently Asked Questions</dc:title>
  <cp:keywords>[SEC=OFFICIAL]</cp:keywords>
  <cp:lastModifiedBy>MILLER, Vicky</cp:lastModifiedBy>
  <cp:revision>5</cp:revision>
  <dcterms:created xsi:type="dcterms:W3CDTF">2025-02-05T05:07:00Z</dcterms:created>
  <dcterms:modified xsi:type="dcterms:W3CDTF">2025-02-07T01:01:00Z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Microsoft® Word for Microsoft 365</vt:lpwstr>
  </property>
  <property fmtid="{D5CDD505-2E9C-101B-9397-08002B2CF9AE}" pid="4" name="LastSaved">
    <vt:filetime>2024-07-26T00:00:00Z</vt:filetime>
  </property>
  <property fmtid="{D5CDD505-2E9C-101B-9397-08002B2CF9AE}" pid="5" name="Producer">
    <vt:lpwstr>Microsoft® Word for Microsoft 365</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MSIP_Label_eb34d90b-fc41-464d-af60-f74d721d0790_Name">
    <vt:lpwstr>OFFICIAL</vt:lpwstr>
  </property>
  <property fmtid="{D5CDD505-2E9C-101B-9397-08002B2CF9AE}" pid="11" name="PMHMAC">
    <vt:lpwstr>v=2022.1;a=SHA256;h=E8572A221478E7D05B10F829234C63790641C857F92C54593F6C0357C9E795AD</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2024-07-26T05:48:18Z</vt:lpwstr>
  </property>
  <property fmtid="{D5CDD505-2E9C-101B-9397-08002B2CF9AE}" pid="16" name="PM_Markers">
    <vt:lpwstr/>
  </property>
  <property fmtid="{D5CDD505-2E9C-101B-9397-08002B2CF9AE}" pid="17" name="MSIP_Label_eb34d90b-fc41-464d-af60-f74d721d0790_SiteId">
    <vt:lpwstr>61e36dd1-ca6e-4d61-aa0a-2b4eb88317a3</vt:lpwstr>
  </property>
  <property fmtid="{D5CDD505-2E9C-101B-9397-08002B2CF9AE}" pid="18" name="MSIP_Label_eb34d90b-fc41-464d-af60-f74d721d0790_ContentBits">
    <vt:lpwstr>0</vt:lpwstr>
  </property>
  <property fmtid="{D5CDD505-2E9C-101B-9397-08002B2CF9AE}" pid="19" name="MSIP_Label_eb34d90b-fc41-464d-af60-f74d721d0790_Enabled">
    <vt:lpwstr>true</vt:lpwstr>
  </property>
  <property fmtid="{D5CDD505-2E9C-101B-9397-08002B2CF9AE}" pid="20" name="PM_ProtectiveMarkingImage_Footer">
    <vt:lpwstr>C:\Program Files (x86)\Common Files\janusNET Shared\janusSEAL\Images\DocumentSlashBlue.png</vt:lpwstr>
  </property>
  <property fmtid="{D5CDD505-2E9C-101B-9397-08002B2CF9AE}" pid="21" name="MSIP_Label_eb34d90b-fc41-464d-af60-f74d721d0790_SetDate">
    <vt:lpwstr>2024-07-26T05:48:18Z</vt:lpwstr>
  </property>
  <property fmtid="{D5CDD505-2E9C-101B-9397-08002B2CF9AE}" pid="22" name="MSIP_Label_eb34d90b-fc41-464d-af60-f74d721d0790_Method">
    <vt:lpwstr>Privileged</vt:lpwstr>
  </property>
  <property fmtid="{D5CDD505-2E9C-101B-9397-08002B2CF9AE}" pid="23" name="MSIP_Label_eb34d90b-fc41-464d-af60-f74d721d0790_ActionId">
    <vt:lpwstr>34d83276dfb640cd9380ece76f76ea51</vt:lpwstr>
  </property>
  <property fmtid="{D5CDD505-2E9C-101B-9397-08002B2CF9AE}" pid="24" name="PM_InsertionValue">
    <vt:lpwstr>OFFICIAL</vt:lpwstr>
  </property>
  <property fmtid="{D5CDD505-2E9C-101B-9397-08002B2CF9AE}" pid="25" name="PM_Originator_Hash_SHA1">
    <vt:lpwstr>DAACB08450204C0F46DD78BFF6F8049364488490</vt:lpwstr>
  </property>
  <property fmtid="{D5CDD505-2E9C-101B-9397-08002B2CF9AE}" pid="26" name="PM_DisplayValueSecClassificationWithQualifier">
    <vt:lpwstr>OFFICIAL</vt:lpwstr>
  </property>
  <property fmtid="{D5CDD505-2E9C-101B-9397-08002B2CF9AE}" pid="27" name="PM_Originating_FileId">
    <vt:lpwstr>2356281B778D40CD847D0C250331318F</vt:lpwstr>
  </property>
  <property fmtid="{D5CDD505-2E9C-101B-9397-08002B2CF9AE}" pid="28" name="PM_ProtectiveMarkingValue_Footer">
    <vt:lpwstr>OFFICIAL</vt:lpwstr>
  </property>
  <property fmtid="{D5CDD505-2E9C-101B-9397-08002B2CF9AE}" pid="29" name="PM_ProtectiveMarkingImage_Header">
    <vt:lpwstr>C:\Program Files (x86)\Common Files\janusNET Shared\janusSEAL\Images\DocumentSlashBlue.png</vt:lpwstr>
  </property>
  <property fmtid="{D5CDD505-2E9C-101B-9397-08002B2CF9AE}" pid="30" name="PM_Display">
    <vt:lpwstr>OFFICIAL</vt:lpwstr>
  </property>
  <property fmtid="{D5CDD505-2E9C-101B-9397-08002B2CF9AE}" pid="31" name="PM_OriginatorUserAccountName_SHA256">
    <vt:lpwstr>9871F6CFFBF84B5DD096BCB24488EABDE9250CEAA716568F68B24D42DED533FD</vt:lpwstr>
  </property>
  <property fmtid="{D5CDD505-2E9C-101B-9397-08002B2CF9AE}" pid="32" name="PM_OriginatorDomainName_SHA256">
    <vt:lpwstr>E83A2A66C4061446A7E3732E8D44762184B6B377D962B96C83DC624302585857</vt:lpwstr>
  </property>
  <property fmtid="{D5CDD505-2E9C-101B-9397-08002B2CF9AE}" pid="33" name="PMUuid">
    <vt:lpwstr>v=2022.2;d=gov.au;g=46DD6D7C-8107-577B-BC6E-F348953B2E44</vt:lpwstr>
  </property>
  <property fmtid="{D5CDD505-2E9C-101B-9397-08002B2CF9AE}" pid="34" name="PM_Hash_Version">
    <vt:lpwstr>2022.1</vt:lpwstr>
  </property>
  <property fmtid="{D5CDD505-2E9C-101B-9397-08002B2CF9AE}" pid="35" name="PM_Hash_Salt_Prev">
    <vt:lpwstr>F2A19B75304062D19F62549215FC46C3</vt:lpwstr>
  </property>
  <property fmtid="{D5CDD505-2E9C-101B-9397-08002B2CF9AE}" pid="36" name="PM_Hash_Salt">
    <vt:lpwstr>92C2CB0F2625EEDDC48D52E62E4FF631</vt:lpwstr>
  </property>
  <property fmtid="{D5CDD505-2E9C-101B-9397-08002B2CF9AE}" pid="37" name="PM_Hash_SHA1">
    <vt:lpwstr>96ECFCB415495021FF216B6824FA3A186FF7E822</vt:lpwstr>
  </property>
  <property fmtid="{D5CDD505-2E9C-101B-9397-08002B2CF9AE}" pid="38" name="PM_SecurityClassification_Prev">
    <vt:lpwstr>OFFICIAL</vt:lpwstr>
  </property>
  <property fmtid="{D5CDD505-2E9C-101B-9397-08002B2CF9AE}" pid="39" name="PM_Qualifier_Prev">
    <vt:lpwstr/>
  </property>
</Properties>
</file>