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3AC9" w14:textId="77777777" w:rsidR="002B70DC" w:rsidRPr="00B57C49" w:rsidRDefault="002B70DC" w:rsidP="00213914">
      <w:pPr>
        <w:pStyle w:val="Title"/>
        <w:overflowPunct w:val="0"/>
        <w:jc w:val="center"/>
      </w:pPr>
      <w:proofErr w:type="spellStart"/>
      <w:r w:rsidRPr="00B57C49">
        <w:rPr>
          <w:rFonts w:eastAsia="MS Gothic" w:cs="MS Gothic"/>
        </w:rPr>
        <w:t>年全國自閉症策略</w:t>
      </w:r>
      <w:proofErr w:type="spellEnd"/>
      <w:r w:rsidRPr="00B57C49">
        <w:t xml:space="preserve"> – </w:t>
      </w:r>
      <w:proofErr w:type="spellStart"/>
      <w:r w:rsidRPr="00B57C49">
        <w:rPr>
          <w:rFonts w:eastAsia="MS Gothic" w:cs="MS Gothic"/>
        </w:rPr>
        <w:t>概覽（標題</w:t>
      </w:r>
      <w:proofErr w:type="spellEnd"/>
      <w:r w:rsidRPr="00B57C49">
        <w:rPr>
          <w:rFonts w:eastAsia="MS Gothic" w:cs="MS Gothic"/>
        </w:rPr>
        <w:t>）</w:t>
      </w:r>
    </w:p>
    <w:p w14:paraId="51B31CEE" w14:textId="77777777" w:rsidR="002B70DC" w:rsidRPr="00B57C49" w:rsidRDefault="002B70DC" w:rsidP="002B70DC">
      <w:pPr>
        <w:pStyle w:val="Heading1"/>
        <w:overflowPunct w:val="0"/>
      </w:pPr>
      <w:proofErr w:type="spellStart"/>
      <w:r w:rsidRPr="00B57C49">
        <w:rPr>
          <w:rFonts w:eastAsia="MS Gothic" w:cs="MS Gothic"/>
        </w:rPr>
        <w:t>願景聲明</w:t>
      </w:r>
      <w:proofErr w:type="spellEnd"/>
    </w:p>
    <w:p w14:paraId="73F97303" w14:textId="314D7D25" w:rsidR="002B70DC" w:rsidRPr="00B57C49" w:rsidRDefault="002B70DC" w:rsidP="002B70DC">
      <w:pPr>
        <w:overflowPunct w:val="0"/>
        <w:adjustRightInd w:val="0"/>
        <w:snapToGrid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全國自閉症策略的願景是建立一個安全、包容的社會，讓所有自閉症人士都能在國際人權的框架下獲得支持與賦能，全面實現自我，享受豐富多彩的生活。</w:t>
      </w:r>
    </w:p>
    <w:p w14:paraId="43BE3E90" w14:textId="77777777" w:rsidR="002B70DC" w:rsidRPr="00B57C49" w:rsidRDefault="002B70DC" w:rsidP="002B70DC">
      <w:pPr>
        <w:pStyle w:val="Heading1"/>
        <w:overflowPunct w:val="0"/>
      </w:pPr>
      <w:proofErr w:type="spellStart"/>
      <w:r w:rsidRPr="00B57C49">
        <w:rPr>
          <w:rFonts w:eastAsia="MS Gothic" w:cs="MS Gothic"/>
        </w:rPr>
        <w:t>目標</w:t>
      </w:r>
      <w:proofErr w:type="spellEnd"/>
    </w:p>
    <w:p w14:paraId="79DC4486" w14:textId="46EC29A0" w:rsidR="002B70DC" w:rsidRPr="00B57C49" w:rsidRDefault="002B70DC" w:rsidP="002B70DC">
      <w:pPr>
        <w:overflowPunct w:val="0"/>
        <w:adjustRightInd w:val="0"/>
        <w:snapToGrid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全國自閉症策略的目標是以符合自閉症人士自身需求的方式，切實提升他們的生活</w:t>
      </w:r>
      <w:r w:rsidRPr="00B57C49">
        <w:rPr>
          <w:rFonts w:eastAsia="DengXian" w:cs="Calibri"/>
          <w:lang w:eastAsia="zh-TW"/>
        </w:rPr>
        <w:br/>
      </w:r>
      <w:r w:rsidRPr="00B57C49">
        <w:rPr>
          <w:rFonts w:eastAsia="Noto Sans CJK TC Regular" w:cs="Calibri"/>
          <w:lang w:eastAsia="zh-TW"/>
        </w:rPr>
        <w:t>品質。</w:t>
      </w:r>
    </w:p>
    <w:p w14:paraId="68CBC6C6" w14:textId="1D772E44" w:rsidR="002B70DC" w:rsidRPr="00B57C49" w:rsidRDefault="002B70DC" w:rsidP="002B70DC">
      <w:pPr>
        <w:pStyle w:val="Heading1"/>
        <w:overflowPunct w:val="0"/>
      </w:pPr>
      <w:proofErr w:type="spellStart"/>
      <w:r w:rsidRPr="00B57C49">
        <w:rPr>
          <w:rFonts w:eastAsia="MS Gothic" w:cs="MS Gothic"/>
        </w:rPr>
        <w:t>指導原則</w:t>
      </w:r>
      <w:proofErr w:type="spellEnd"/>
    </w:p>
    <w:p w14:paraId="6C9599C1" w14:textId="77777777" w:rsidR="002B70DC" w:rsidRPr="00B57C49" w:rsidRDefault="002B70DC" w:rsidP="00B57C49">
      <w:pPr>
        <w:pStyle w:val="ListParagraph"/>
        <w:numPr>
          <w:ilvl w:val="0"/>
          <w:numId w:val="16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攜手共建</w:t>
      </w:r>
      <w:r w:rsidRPr="00B57C49">
        <w:rPr>
          <w:rFonts w:eastAsia="Noto Sans CJK TC Regular" w:cs="Calibri"/>
          <w:lang w:eastAsia="zh-TW"/>
        </w:rPr>
        <w:t xml:space="preserve"> – </w:t>
      </w:r>
      <w:r w:rsidRPr="00B57C49">
        <w:rPr>
          <w:rFonts w:eastAsia="Noto Sans CJK TC Regular" w:cs="Calibri"/>
          <w:lang w:eastAsia="zh-TW"/>
        </w:rPr>
        <w:t>關於我們的決策，必須有我們的參與</w:t>
      </w:r>
    </w:p>
    <w:p w14:paraId="42387CAC" w14:textId="77777777" w:rsidR="002B70DC" w:rsidRPr="00B57C49" w:rsidRDefault="002B70DC" w:rsidP="00B57C49">
      <w:pPr>
        <w:pStyle w:val="ListParagraph"/>
        <w:numPr>
          <w:ilvl w:val="0"/>
          <w:numId w:val="16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基於通用設計的無障礙性</w:t>
      </w:r>
    </w:p>
    <w:p w14:paraId="0C139A32" w14:textId="77777777" w:rsidR="002B70DC" w:rsidRPr="00B57C49" w:rsidRDefault="002B70DC" w:rsidP="00B57C49">
      <w:pPr>
        <w:pStyle w:val="ListParagraph"/>
        <w:numPr>
          <w:ilvl w:val="0"/>
          <w:numId w:val="16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自我決定與自主權</w:t>
      </w:r>
    </w:p>
    <w:p w14:paraId="670F1D1E" w14:textId="77777777" w:rsidR="002B70DC" w:rsidRPr="00B57C49" w:rsidRDefault="002B70DC" w:rsidP="00B57C49">
      <w:pPr>
        <w:pStyle w:val="ListParagraph"/>
        <w:numPr>
          <w:ilvl w:val="0"/>
          <w:numId w:val="16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成果需符合目標並具問責性</w:t>
      </w:r>
    </w:p>
    <w:p w14:paraId="49DD0780" w14:textId="77777777" w:rsidR="002B70DC" w:rsidRPr="00B57C49" w:rsidRDefault="002B70DC" w:rsidP="00B57C49">
      <w:pPr>
        <w:pStyle w:val="ListParagraph"/>
        <w:numPr>
          <w:ilvl w:val="0"/>
          <w:numId w:val="16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接納與包容</w:t>
      </w:r>
    </w:p>
    <w:p w14:paraId="3F75A027" w14:textId="77777777" w:rsidR="002B70DC" w:rsidRPr="00B57C49" w:rsidRDefault="002B70DC" w:rsidP="00B57C49">
      <w:pPr>
        <w:pStyle w:val="ListParagraph"/>
        <w:numPr>
          <w:ilvl w:val="0"/>
          <w:numId w:val="16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安全與權利</w:t>
      </w:r>
    </w:p>
    <w:p w14:paraId="40DE327C" w14:textId="5C5ED98C" w:rsidR="002B70DC" w:rsidRPr="00B57C49" w:rsidRDefault="002B70DC" w:rsidP="00B57C49">
      <w:pPr>
        <w:pStyle w:val="ListParagraph"/>
        <w:numPr>
          <w:ilvl w:val="0"/>
          <w:numId w:val="16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神經多樣性</w:t>
      </w:r>
      <w:r w:rsidRPr="00B57C49">
        <w:rPr>
          <w:rFonts w:eastAsia="Noto Sans CJK TC Regular" w:cs="Calibri"/>
          <w:lang w:eastAsia="zh-TW"/>
        </w:rPr>
        <w:t xml:space="preserve"> – </w:t>
      </w:r>
      <w:r w:rsidRPr="00B57C49">
        <w:rPr>
          <w:rFonts w:eastAsia="Noto Sans CJK TC Regular" w:cs="Calibri"/>
          <w:lang w:eastAsia="zh-TW"/>
        </w:rPr>
        <w:t>正向肯定，強調個體差異與全面性</w:t>
      </w:r>
    </w:p>
    <w:p w14:paraId="696975D2" w14:textId="3DCCC2E0" w:rsidR="002B70DC" w:rsidRPr="00B57C49" w:rsidRDefault="002B70DC" w:rsidP="002B70DC">
      <w:pPr>
        <w:pStyle w:val="Heading1"/>
        <w:overflowPunct w:val="0"/>
      </w:pPr>
      <w:proofErr w:type="spellStart"/>
      <w:r w:rsidRPr="00B57C49">
        <w:rPr>
          <w:rFonts w:eastAsia="MS Gothic" w:cs="MS Gothic"/>
        </w:rPr>
        <w:t>關鍵成果</w:t>
      </w:r>
      <w:proofErr w:type="spellEnd"/>
    </w:p>
    <w:p w14:paraId="7D147627" w14:textId="4F39CD66" w:rsidR="002B70DC" w:rsidRPr="00B57C49" w:rsidRDefault="002B70DC" w:rsidP="002B70DC">
      <w:pPr>
        <w:pStyle w:val="Heading2"/>
      </w:pPr>
      <w:proofErr w:type="spellStart"/>
      <w:r w:rsidRPr="00B57C49">
        <w:rPr>
          <w:rFonts w:eastAsia="MS Gothic" w:cs="MS Gothic"/>
        </w:rPr>
        <w:t>社會包容</w:t>
      </w:r>
      <w:proofErr w:type="spellEnd"/>
      <w:r w:rsidRPr="00B57C49">
        <w:rPr>
          <w:rFonts w:eastAsia="MS Gothic" w:cs="MS Gothic"/>
        </w:rPr>
        <w:t>：</w:t>
      </w:r>
    </w:p>
    <w:p w14:paraId="15059E65" w14:textId="77777777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保障自閉症人士的基本權利。</w:t>
      </w:r>
    </w:p>
    <w:p w14:paraId="139A55A5" w14:textId="77777777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減少自閉症人士所遭受的傷害。</w:t>
      </w:r>
    </w:p>
    <w:p w14:paraId="22D46353" w14:textId="77777777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提高社會大眾對自閉症的認識、理解與接納。</w:t>
      </w:r>
    </w:p>
    <w:p w14:paraId="48F32C76" w14:textId="77777777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增強自閉症人士在社區中的參與感與歸屬感。</w:t>
      </w:r>
    </w:p>
    <w:p w14:paraId="1FF2C444" w14:textId="60314419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提高獲取支持、服務和資訊的便利性與實用性。</w:t>
      </w:r>
    </w:p>
    <w:p w14:paraId="261686F9" w14:textId="0DB19179" w:rsidR="002B70DC" w:rsidRPr="00B57C49" w:rsidRDefault="002B70DC" w:rsidP="002B70DC">
      <w:pPr>
        <w:pStyle w:val="Heading2"/>
      </w:pPr>
      <w:proofErr w:type="spellStart"/>
      <w:r w:rsidRPr="00B57C49">
        <w:rPr>
          <w:rFonts w:eastAsia="MS Gothic" w:cs="MS Gothic"/>
        </w:rPr>
        <w:t>經濟包容</w:t>
      </w:r>
      <w:proofErr w:type="spellEnd"/>
      <w:r w:rsidRPr="00B57C49">
        <w:rPr>
          <w:rFonts w:eastAsia="MS Gothic" w:cs="MS Gothic"/>
        </w:rPr>
        <w:t>：</w:t>
      </w:r>
    </w:p>
    <w:p w14:paraId="377A0BCA" w14:textId="77777777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color w:val="222222"/>
          <w:lang w:eastAsia="zh-TW"/>
        </w:rPr>
        <w:t>改善自閉症人士的教育機會與學習成果，提升教育系統對自閉症的認識與回應能力。</w:t>
      </w:r>
    </w:p>
    <w:p w14:paraId="3D2BCF50" w14:textId="1AA16143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lastRenderedPageBreak/>
        <w:t>增加自閉症人士的就業機會與職涯發展，提升雇主、職場及就業服務機構對自閉症的認識與回應能力。</w:t>
      </w:r>
    </w:p>
    <w:p w14:paraId="71A5066F" w14:textId="3C1D065B" w:rsidR="002B70DC" w:rsidRPr="00B57C49" w:rsidRDefault="002B70DC" w:rsidP="002B70DC">
      <w:pPr>
        <w:pStyle w:val="Heading2"/>
      </w:pPr>
      <w:proofErr w:type="spellStart"/>
      <w:r w:rsidRPr="00B57C49">
        <w:rPr>
          <w:rFonts w:eastAsia="MS Gothic" w:cs="MS Gothic"/>
        </w:rPr>
        <w:t>診斷、服務和支援</w:t>
      </w:r>
      <w:proofErr w:type="spellEnd"/>
      <w:r w:rsidRPr="00B57C49">
        <w:rPr>
          <w:rFonts w:eastAsia="MS Gothic" w:cs="MS Gothic"/>
        </w:rPr>
        <w:t>：</w:t>
      </w:r>
    </w:p>
    <w:p w14:paraId="62F4C955" w14:textId="77777777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提升社會對自閉症的認識，協助自閉症人士獲得及時且以尊重為基礎的評估與診斷，尤其是早期診斷。</w:t>
      </w:r>
    </w:p>
    <w:p w14:paraId="63DCA934" w14:textId="77777777" w:rsidR="002B70DC" w:rsidRPr="00B57C49" w:rsidRDefault="002B70DC" w:rsidP="00B57C49">
      <w:pPr>
        <w:pStyle w:val="ListParagraph"/>
        <w:numPr>
          <w:ilvl w:val="0"/>
          <w:numId w:val="17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提供清晰易懂的資訊，幫助自閉症人士及其家庭順利完成評估與診斷流程。</w:t>
      </w:r>
    </w:p>
    <w:p w14:paraId="6CCC1CA9" w14:textId="54CDB482" w:rsidR="002B70DC" w:rsidRPr="00B57C49" w:rsidRDefault="002B70DC" w:rsidP="00B57C49">
      <w:pPr>
        <w:pStyle w:val="ListParagraph"/>
        <w:numPr>
          <w:ilvl w:val="0"/>
          <w:numId w:val="17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提供及時、公平且正向肯定神經多樣性的服務與支援。</w:t>
      </w:r>
    </w:p>
    <w:p w14:paraId="262DE656" w14:textId="7292BAC9" w:rsidR="002B70DC" w:rsidRPr="00B57C49" w:rsidRDefault="002B70DC" w:rsidP="002B70DC">
      <w:pPr>
        <w:pStyle w:val="Heading1"/>
        <w:overflowPunct w:val="0"/>
      </w:pPr>
      <w:proofErr w:type="spellStart"/>
      <w:r w:rsidRPr="00B57C49">
        <w:rPr>
          <w:rFonts w:eastAsia="MS Gothic" w:cs="MS Gothic"/>
        </w:rPr>
        <w:t>具體行動</w:t>
      </w:r>
      <w:proofErr w:type="spellEnd"/>
    </w:p>
    <w:p w14:paraId="3C15B8E3" w14:textId="0214AFE1" w:rsidR="002B70DC" w:rsidRPr="00B57C49" w:rsidRDefault="002B70DC" w:rsidP="002B70DC">
      <w:pPr>
        <w:pStyle w:val="Heading2"/>
        <w:rPr>
          <w:lang w:eastAsia="zh-TW"/>
        </w:rPr>
      </w:pPr>
      <w:r w:rsidRPr="00B57C49">
        <w:rPr>
          <w:rFonts w:eastAsia="MS Gothic" w:cs="MS Gothic"/>
          <w:lang w:eastAsia="zh-TW"/>
        </w:rPr>
        <w:t>管理、研究以及證據、評估與報告：</w:t>
      </w:r>
    </w:p>
    <w:p w14:paraId="2862BB8D" w14:textId="77777777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val="en-GB" w:eastAsia="zh-TW"/>
        </w:rPr>
      </w:pPr>
      <w:r w:rsidRPr="00B57C49">
        <w:rPr>
          <w:rFonts w:eastAsia="Noto Sans CJK TC Regular" w:cs="Calibri"/>
          <w:b/>
          <w:bCs/>
          <w:lang w:eastAsia="zh-TW"/>
        </w:rPr>
        <w:t>管理：</w:t>
      </w:r>
      <w:r w:rsidRPr="00B57C49">
        <w:rPr>
          <w:rFonts w:eastAsia="Noto Sans CJK TC Regular" w:cs="Calibri"/>
          <w:lang w:eastAsia="zh-TW"/>
        </w:rPr>
        <w:t>在自閉症人士、家庭、照護者、專業人士、政府代表和研究人員的共同參與下，推動策略的制定與實施，確保各方意見得到充分考量。</w:t>
      </w:r>
    </w:p>
    <w:p w14:paraId="6EC1D6F4" w14:textId="77777777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val="en-GB" w:eastAsia="zh-TW"/>
        </w:rPr>
      </w:pPr>
      <w:r w:rsidRPr="00B57C49">
        <w:rPr>
          <w:rFonts w:eastAsia="Noto Sans CJK TC Regular" w:cs="Calibri"/>
          <w:b/>
          <w:bCs/>
          <w:spacing w:val="-4"/>
          <w:lang w:eastAsia="zh-TW"/>
        </w:rPr>
        <w:t>基於研究的政策：</w:t>
      </w:r>
      <w:r w:rsidRPr="00B57C49">
        <w:rPr>
          <w:rFonts w:eastAsia="Noto Sans CJK TC Regular" w:cs="Calibri"/>
          <w:spacing w:val="-4"/>
          <w:lang w:eastAsia="zh-TW"/>
        </w:rPr>
        <w:t>依據現有的研究成果與數據，制定更具包容性的政策，以滿足</w:t>
      </w:r>
      <w:r w:rsidRPr="00B57C49">
        <w:rPr>
          <w:rFonts w:eastAsia="Noto Sans CJK TC Regular" w:cs="Calibri"/>
          <w:lang w:eastAsia="zh-TW"/>
        </w:rPr>
        <w:t>自閉症人士及其社群的實際需求。</w:t>
      </w:r>
    </w:p>
    <w:p w14:paraId="0FAFA965" w14:textId="6B6BFD4D" w:rsidR="002B70DC" w:rsidRPr="00B57C49" w:rsidRDefault="002B70DC" w:rsidP="00B57C49">
      <w:pPr>
        <w:pStyle w:val="ListParagraph"/>
        <w:numPr>
          <w:ilvl w:val="0"/>
          <w:numId w:val="18"/>
        </w:numPr>
        <w:overflowPunct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eastAsia="Noto Sans CJK TC Regular" w:cs="Calibri"/>
          <w:lang w:val="en-GB" w:eastAsia="zh-TW"/>
        </w:rPr>
      </w:pPr>
      <w:r w:rsidRPr="00B57C49">
        <w:rPr>
          <w:rFonts w:eastAsia="Noto Sans CJK TC Regular" w:cs="Calibri"/>
          <w:b/>
          <w:bCs/>
          <w:lang w:eastAsia="zh-TW"/>
        </w:rPr>
        <w:t>監測和報告：</w:t>
      </w:r>
      <w:r w:rsidRPr="00B57C49">
        <w:rPr>
          <w:rFonts w:eastAsia="Noto Sans CJK TC Regular" w:cs="Calibri"/>
          <w:lang w:eastAsia="zh-TW"/>
        </w:rPr>
        <w:t>持續追蹤策略實施的進展，定期公開各項行動的成果與影響。</w:t>
      </w:r>
    </w:p>
    <w:p w14:paraId="2FE0B88F" w14:textId="28E15C53" w:rsidR="002B70DC" w:rsidRPr="00B57C49" w:rsidRDefault="002B70DC" w:rsidP="002B70DC">
      <w:pPr>
        <w:pStyle w:val="Heading1"/>
        <w:overflowPunct w:val="0"/>
      </w:pPr>
      <w:proofErr w:type="spellStart"/>
      <w:r w:rsidRPr="00B57C49">
        <w:rPr>
          <w:rFonts w:eastAsia="MS Gothic" w:cs="MS Gothic"/>
        </w:rPr>
        <w:t>幫助與支援</w:t>
      </w:r>
      <w:proofErr w:type="spellEnd"/>
    </w:p>
    <w:p w14:paraId="523553CA" w14:textId="689F9E9D" w:rsidR="002B70DC" w:rsidRPr="00B57C49" w:rsidRDefault="002B70DC" w:rsidP="002B70DC">
      <w:pPr>
        <w:overflowPunct w:val="0"/>
        <w:adjustRightInd w:val="0"/>
        <w:snapToGrid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Autism Connect </w:t>
      </w:r>
      <w:r w:rsidRPr="00B57C49">
        <w:rPr>
          <w:rFonts w:eastAsia="Noto Sans CJK TC Regular" w:cs="Calibri"/>
          <w:lang w:eastAsia="zh-TW"/>
        </w:rPr>
        <w:t>是全國統一的免費熱線，為您提供專業、獨立且</w:t>
      </w:r>
      <w:r w:rsidRPr="00B57C49">
        <w:rPr>
          <w:rFonts w:eastAsia="Microsoft JhengHei" w:cs="Microsoft JhengHei"/>
          <w:lang w:eastAsia="zh-TW"/>
        </w:rPr>
        <w:t>值</w:t>
      </w:r>
      <w:r w:rsidRPr="00B57C49">
        <w:rPr>
          <w:rFonts w:eastAsia="Yu Gothic" w:cs="Yu Gothic"/>
          <w:lang w:eastAsia="zh-TW"/>
        </w:rPr>
        <w:t>得信賴的自閉症</w:t>
      </w:r>
      <w:r w:rsidRPr="00B57C49">
        <w:rPr>
          <w:rFonts w:eastAsia="DengXian" w:cs="Calibri"/>
          <w:lang w:eastAsia="zh-TW"/>
        </w:rPr>
        <w:br/>
      </w:r>
      <w:r w:rsidRPr="00B57C49">
        <w:rPr>
          <w:rFonts w:eastAsia="Noto Sans CJK TC Regular" w:cs="Calibri"/>
          <w:lang w:eastAsia="zh-TW"/>
        </w:rPr>
        <w:t>資訊服務。您可以透過電話、電子郵件或網頁聊天與我們聯繫。撥打</w:t>
      </w:r>
      <w:r w:rsidRPr="00B57C49">
        <w:rPr>
          <w:rFonts w:eastAsia="Noto Sans CJK TC Regular" w:cs="Calibri"/>
          <w:lang w:eastAsia="zh-TW"/>
        </w:rPr>
        <w:t>1300 308 699</w:t>
      </w:r>
      <w:r w:rsidRPr="00B57C49">
        <w:rPr>
          <w:rFonts w:eastAsia="Noto Sans CJK TC Regular" w:cs="Calibri"/>
          <w:lang w:eastAsia="zh-TW"/>
        </w:rPr>
        <w:t>，</w:t>
      </w:r>
      <w:r w:rsidRPr="00B57C49">
        <w:rPr>
          <w:rFonts w:eastAsia="DengXian" w:cs="Calibri"/>
          <w:lang w:eastAsia="zh-TW"/>
        </w:rPr>
        <w:br/>
      </w:r>
      <w:r w:rsidRPr="00B57C49">
        <w:rPr>
          <w:rFonts w:eastAsia="Noto Sans CJK TC Regular" w:cs="Calibri"/>
          <w:lang w:eastAsia="zh-TW"/>
        </w:rPr>
        <w:t>聯絡</w:t>
      </w:r>
      <w:r w:rsidRPr="00B57C49">
        <w:rPr>
          <w:rFonts w:eastAsia="Noto Sans CJK TC Regular" w:cs="Calibri"/>
          <w:lang w:eastAsia="zh-TW"/>
        </w:rPr>
        <w:t>Autism Connect</w:t>
      </w:r>
      <w:r w:rsidRPr="00B57C49">
        <w:rPr>
          <w:rFonts w:eastAsia="Noto Sans CJK TC Regular" w:cs="Calibri"/>
          <w:lang w:eastAsia="zh-TW"/>
        </w:rPr>
        <w:t>的顧問獲得幫助，或造訪</w:t>
      </w:r>
      <w:r w:rsidRPr="00B57C49">
        <w:rPr>
          <w:rFonts w:eastAsia="SimSun" w:cstheme="minorBidi"/>
        </w:rPr>
        <w:fldChar w:fldCharType="begin"/>
      </w:r>
      <w:r w:rsidRPr="00B57C49">
        <w:instrText>HYPERLINK "http://www.amaze.org.au/autismconnect/"</w:instrText>
      </w:r>
      <w:r w:rsidRPr="00B57C49">
        <w:rPr>
          <w:rFonts w:eastAsia="SimSun" w:cstheme="minorBidi"/>
        </w:rPr>
      </w:r>
      <w:r w:rsidRPr="00B57C49">
        <w:rPr>
          <w:rFonts w:eastAsia="SimSun" w:cstheme="minorBidi"/>
        </w:rPr>
        <w:fldChar w:fldCharType="separate"/>
      </w:r>
      <w:r w:rsidRPr="00B57C49">
        <w:rPr>
          <w:rStyle w:val="Hyperlink"/>
          <w:rFonts w:eastAsia="Noto Sans CJK TC Regular" w:cs="Calibri"/>
          <w:color w:val="000000" w:themeColor="text1"/>
          <w:lang w:eastAsia="zh-TW"/>
        </w:rPr>
        <w:t>amaze.org.au/</w:t>
      </w:r>
      <w:proofErr w:type="spellStart"/>
      <w:r w:rsidRPr="00B57C49">
        <w:rPr>
          <w:rStyle w:val="Hyperlink"/>
          <w:rFonts w:eastAsia="Noto Sans CJK TC Regular" w:cs="Calibri"/>
          <w:color w:val="000000" w:themeColor="text1"/>
          <w:lang w:eastAsia="zh-TW"/>
        </w:rPr>
        <w:t>autismconnect</w:t>
      </w:r>
      <w:proofErr w:type="spellEnd"/>
      <w:r w:rsidRPr="00B57C49">
        <w:rPr>
          <w:rStyle w:val="Hyperlink"/>
          <w:rFonts w:eastAsia="Noto Sans CJK TC Regular" w:cs="Calibri"/>
          <w:color w:val="000000" w:themeColor="text1"/>
          <w:lang w:eastAsia="zh-TW"/>
        </w:rPr>
        <w:t>/</w:t>
      </w:r>
      <w:r w:rsidRPr="00B57C49">
        <w:rPr>
          <w:rStyle w:val="Hyperlink"/>
          <w:rFonts w:eastAsia="Noto Sans CJK TC Regular" w:cs="Calibri"/>
          <w:color w:val="000000" w:themeColor="text1"/>
          <w:lang w:eastAsia="zh-TW"/>
        </w:rPr>
        <w:fldChar w:fldCharType="end"/>
      </w:r>
    </w:p>
    <w:p w14:paraId="6BFB6087" w14:textId="47AA99F0" w:rsidR="00202B73" w:rsidRPr="00B57C49" w:rsidRDefault="002B70DC" w:rsidP="002B70DC">
      <w:pPr>
        <w:overflowPunct w:val="0"/>
        <w:adjustRightInd w:val="0"/>
        <w:snapToGrid w:val="0"/>
        <w:jc w:val="both"/>
        <w:rPr>
          <w:rFonts w:eastAsia="Noto Sans CJK TC Regular" w:cs="Calibri"/>
          <w:lang w:eastAsia="zh-TW"/>
        </w:rPr>
      </w:pPr>
      <w:r w:rsidRPr="00B57C49">
        <w:rPr>
          <w:rFonts w:eastAsia="Noto Sans CJK TC Regular" w:cs="Calibri"/>
          <w:lang w:eastAsia="zh-TW"/>
        </w:rPr>
        <w:t>為推動切實可行的措施與行動計畫，衛生及老年護理部正在制定</w:t>
      </w:r>
      <w:r w:rsidRPr="00B57C49">
        <w:rPr>
          <w:rFonts w:eastAsia="Noto Sans CJK TC Regular" w:cs="Calibri"/>
          <w:b/>
          <w:bCs/>
          <w:lang w:eastAsia="zh-TW"/>
        </w:rPr>
        <w:t>《自閉症健康</w:t>
      </w:r>
      <w:r w:rsidRPr="00B57C49">
        <w:rPr>
          <w:rFonts w:eastAsia="DengXian" w:cs="Calibri"/>
          <w:b/>
          <w:bCs/>
          <w:lang w:eastAsia="zh-TW"/>
        </w:rPr>
        <w:br/>
      </w:r>
      <w:r w:rsidRPr="00B57C49">
        <w:rPr>
          <w:rFonts w:eastAsia="Noto Sans CJK TC Regular" w:cs="Calibri"/>
          <w:b/>
          <w:bCs/>
          <w:lang w:eastAsia="zh-TW"/>
        </w:rPr>
        <w:t>路線圖》</w:t>
      </w:r>
      <w:r w:rsidRPr="00B57C49">
        <w:rPr>
          <w:rFonts w:eastAsia="Noto Sans CJK TC Regular" w:cs="Calibri"/>
          <w:lang w:eastAsia="zh-TW"/>
        </w:rPr>
        <w:t>，以全面改善自閉症人士的身心健康。</w:t>
      </w:r>
    </w:p>
    <w:sectPr w:rsidR="00202B73" w:rsidRPr="00B57C49" w:rsidSect="001E5326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3774" w14:textId="77777777" w:rsidR="00982DD7" w:rsidRDefault="00982DD7" w:rsidP="00C82EC0">
      <w:r>
        <w:separator/>
      </w:r>
    </w:p>
  </w:endnote>
  <w:endnote w:type="continuationSeparator" w:id="0">
    <w:p w14:paraId="2ADA09B2" w14:textId="77777777" w:rsidR="00982DD7" w:rsidRDefault="00982DD7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T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17EF" w14:textId="160E00C1" w:rsidR="00CB235A" w:rsidRPr="00F6383F" w:rsidRDefault="006F19CA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r w:rsidR="002B70DC" w:rsidRPr="002B70DC">
      <w:rPr>
        <w:rFonts w:ascii="Calibri" w:eastAsia="Noto Sans CJK TC Regular" w:hAnsi="Calibri" w:cs="Calibri" w:hint="eastAsia"/>
        <w:lang w:eastAsia="zh-TW"/>
      </w:rPr>
      <w:t>助力改變，共同塑造未來。造訪</w:t>
    </w:r>
    <w:hyperlink r:id="rId2" w:history="1">
      <w:r w:rsidR="002B70DC" w:rsidRPr="002B70DC">
        <w:rPr>
          <w:rStyle w:val="Hyperlink"/>
          <w:rFonts w:ascii="Calibri" w:eastAsia="Noto Sans CJK TC Regular" w:hAnsi="Calibri" w:cs="Calibri"/>
          <w:color w:val="000000" w:themeColor="text1"/>
          <w:lang w:eastAsia="zh-TW"/>
        </w:rPr>
        <w:t>dss.gov.au/National-Autism-Strategy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D7F4" w14:textId="006BFBE8" w:rsidR="002F305D" w:rsidRPr="002B70DC" w:rsidRDefault="004C1955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2B70DC">
          <w:rPr>
            <w:rStyle w:val="PageNumber"/>
            <w:rFonts w:ascii="Cambria" w:hAnsi="Cambria"/>
          </w:rPr>
          <w:fldChar w:fldCharType="begin"/>
        </w:r>
        <w:r w:rsidR="002F305D" w:rsidRPr="002B70DC">
          <w:rPr>
            <w:rStyle w:val="PageNumber"/>
            <w:rFonts w:ascii="Cambria" w:hAnsi="Cambria"/>
          </w:rPr>
          <w:instrText xml:space="preserve"> PAGE </w:instrText>
        </w:r>
        <w:r w:rsidR="002F305D" w:rsidRPr="002B70DC">
          <w:rPr>
            <w:rStyle w:val="PageNumber"/>
            <w:rFonts w:ascii="Cambria" w:hAnsi="Cambria"/>
          </w:rPr>
          <w:fldChar w:fldCharType="separate"/>
        </w:r>
        <w:r w:rsidR="002F305D" w:rsidRPr="002B70DC">
          <w:rPr>
            <w:rStyle w:val="PageNumber"/>
            <w:rFonts w:ascii="Cambria" w:hAnsi="Cambria"/>
          </w:rPr>
          <w:t>2</w:t>
        </w:r>
        <w:r w:rsidR="002F305D" w:rsidRPr="002B70DC">
          <w:rPr>
            <w:rStyle w:val="PageNumber"/>
            <w:rFonts w:ascii="Cambria" w:hAnsi="Cambria"/>
          </w:rPr>
          <w:fldChar w:fldCharType="end"/>
        </w:r>
      </w:sdtContent>
    </w:sdt>
    <w:r w:rsidR="002F305D" w:rsidRPr="002B70DC">
      <w:rPr>
        <w:rStyle w:val="PageNumber"/>
        <w:rFonts w:ascii="Cambria" w:hAnsi="Cambria"/>
      </w:rPr>
      <w:t xml:space="preserve"> - </w:t>
    </w:r>
    <w:r w:rsidR="002B70DC" w:rsidRPr="002B70DC">
      <w:rPr>
        <w:rFonts w:ascii="Calibri" w:eastAsia="Noto Sans CJK TC Regular" w:hAnsi="Calibri" w:cs="Calibri" w:hint="eastAsia"/>
        <w:lang w:eastAsia="zh-TW"/>
      </w:rPr>
      <w:t>助力改變，共同塑造未來。造訪</w:t>
    </w:r>
    <w:hyperlink r:id="rId2" w:history="1">
      <w:r w:rsidR="002B70DC" w:rsidRPr="002B70DC">
        <w:rPr>
          <w:rStyle w:val="Hyperlink"/>
          <w:rFonts w:ascii="Calibri" w:eastAsia="Noto Sans CJK TC Regular" w:hAnsi="Calibri" w:cs="Calibri"/>
          <w:color w:val="000000" w:themeColor="text1"/>
          <w:lang w:eastAsia="zh-TW"/>
        </w:rPr>
        <w:t>dss.gov.au/National-Autism-Strategy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3E07" w14:textId="77777777" w:rsidR="00982DD7" w:rsidRDefault="00982DD7" w:rsidP="00C82EC0">
      <w:r>
        <w:separator/>
      </w:r>
    </w:p>
  </w:footnote>
  <w:footnote w:type="continuationSeparator" w:id="0">
    <w:p w14:paraId="7EE58B9C" w14:textId="77777777" w:rsidR="00982DD7" w:rsidRDefault="00982DD7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56F"/>
    <w:multiLevelType w:val="hybridMultilevel"/>
    <w:tmpl w:val="9B8CEE20"/>
    <w:lvl w:ilvl="0" w:tplc="6F64C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C1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67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29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7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E5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0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88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143A1"/>
    <w:multiLevelType w:val="hybridMultilevel"/>
    <w:tmpl w:val="8FF66B00"/>
    <w:lvl w:ilvl="0" w:tplc="27E0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9C7764" w:tentative="1">
      <w:start w:val="1"/>
      <w:numFmt w:val="lowerLetter"/>
      <w:lvlText w:val="%2."/>
      <w:lvlJc w:val="left"/>
      <w:pPr>
        <w:ind w:left="1440" w:hanging="360"/>
      </w:pPr>
    </w:lvl>
    <w:lvl w:ilvl="2" w:tplc="9B3A8DAA" w:tentative="1">
      <w:start w:val="1"/>
      <w:numFmt w:val="lowerRoman"/>
      <w:lvlText w:val="%3."/>
      <w:lvlJc w:val="right"/>
      <w:pPr>
        <w:ind w:left="2160" w:hanging="180"/>
      </w:pPr>
    </w:lvl>
    <w:lvl w:ilvl="3" w:tplc="479C8CB8" w:tentative="1">
      <w:start w:val="1"/>
      <w:numFmt w:val="decimal"/>
      <w:lvlText w:val="%4."/>
      <w:lvlJc w:val="left"/>
      <w:pPr>
        <w:ind w:left="2880" w:hanging="360"/>
      </w:pPr>
    </w:lvl>
    <w:lvl w:ilvl="4" w:tplc="EA069252" w:tentative="1">
      <w:start w:val="1"/>
      <w:numFmt w:val="lowerLetter"/>
      <w:lvlText w:val="%5."/>
      <w:lvlJc w:val="left"/>
      <w:pPr>
        <w:ind w:left="3600" w:hanging="360"/>
      </w:pPr>
    </w:lvl>
    <w:lvl w:ilvl="5" w:tplc="B9FA476A" w:tentative="1">
      <w:start w:val="1"/>
      <w:numFmt w:val="lowerRoman"/>
      <w:lvlText w:val="%6."/>
      <w:lvlJc w:val="right"/>
      <w:pPr>
        <w:ind w:left="4320" w:hanging="180"/>
      </w:pPr>
    </w:lvl>
    <w:lvl w:ilvl="6" w:tplc="FCCE2868" w:tentative="1">
      <w:start w:val="1"/>
      <w:numFmt w:val="decimal"/>
      <w:lvlText w:val="%7."/>
      <w:lvlJc w:val="left"/>
      <w:pPr>
        <w:ind w:left="5040" w:hanging="360"/>
      </w:pPr>
    </w:lvl>
    <w:lvl w:ilvl="7" w:tplc="78BE8C28" w:tentative="1">
      <w:start w:val="1"/>
      <w:numFmt w:val="lowerLetter"/>
      <w:lvlText w:val="%8."/>
      <w:lvlJc w:val="left"/>
      <w:pPr>
        <w:ind w:left="5760" w:hanging="360"/>
      </w:pPr>
    </w:lvl>
    <w:lvl w:ilvl="8" w:tplc="4F143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0F3"/>
    <w:multiLevelType w:val="hybridMultilevel"/>
    <w:tmpl w:val="16841E30"/>
    <w:lvl w:ilvl="0" w:tplc="C46C0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6C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60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86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E0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E7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03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08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EC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8"/>
  </w:num>
  <w:num w:numId="2" w16cid:durableId="1411855247">
    <w:abstractNumId w:val="6"/>
  </w:num>
  <w:num w:numId="3" w16cid:durableId="736709645">
    <w:abstractNumId w:val="0"/>
  </w:num>
  <w:num w:numId="4" w16cid:durableId="1399522010">
    <w:abstractNumId w:val="3"/>
  </w:num>
  <w:num w:numId="5" w16cid:durableId="1206411759">
    <w:abstractNumId w:val="4"/>
  </w:num>
  <w:num w:numId="6" w16cid:durableId="937834074">
    <w:abstractNumId w:val="15"/>
  </w:num>
  <w:num w:numId="7" w16cid:durableId="3292660">
    <w:abstractNumId w:val="17"/>
  </w:num>
  <w:num w:numId="8" w16cid:durableId="1973365000">
    <w:abstractNumId w:val="14"/>
  </w:num>
  <w:num w:numId="9" w16cid:durableId="382948408">
    <w:abstractNumId w:val="5"/>
  </w:num>
  <w:num w:numId="10" w16cid:durableId="327485235">
    <w:abstractNumId w:val="2"/>
  </w:num>
  <w:num w:numId="11" w16cid:durableId="1770857758">
    <w:abstractNumId w:val="11"/>
  </w:num>
  <w:num w:numId="12" w16cid:durableId="387187689">
    <w:abstractNumId w:val="12"/>
  </w:num>
  <w:num w:numId="13" w16cid:durableId="867370976">
    <w:abstractNumId w:val="10"/>
  </w:num>
  <w:num w:numId="14" w16cid:durableId="402145837">
    <w:abstractNumId w:val="9"/>
  </w:num>
  <w:num w:numId="15" w16cid:durableId="232739219">
    <w:abstractNumId w:val="7"/>
  </w:num>
  <w:num w:numId="16" w16cid:durableId="352347755">
    <w:abstractNumId w:val="13"/>
  </w:num>
  <w:num w:numId="17" w16cid:durableId="47538606">
    <w:abstractNumId w:val="16"/>
  </w:num>
  <w:num w:numId="18" w16cid:durableId="174714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42C6"/>
    <w:rsid w:val="00031AC1"/>
    <w:rsid w:val="000363BB"/>
    <w:rsid w:val="0004215E"/>
    <w:rsid w:val="00044FA8"/>
    <w:rsid w:val="000820C1"/>
    <w:rsid w:val="00096925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60F6D"/>
    <w:rsid w:val="00162E14"/>
    <w:rsid w:val="00185813"/>
    <w:rsid w:val="001915B9"/>
    <w:rsid w:val="001A2695"/>
    <w:rsid w:val="001A658B"/>
    <w:rsid w:val="001B5BC0"/>
    <w:rsid w:val="001C7120"/>
    <w:rsid w:val="001C7C05"/>
    <w:rsid w:val="001E0C01"/>
    <w:rsid w:val="001E5326"/>
    <w:rsid w:val="001F11DD"/>
    <w:rsid w:val="001F1FA2"/>
    <w:rsid w:val="00200475"/>
    <w:rsid w:val="00202B73"/>
    <w:rsid w:val="00213914"/>
    <w:rsid w:val="00225D26"/>
    <w:rsid w:val="00233B9E"/>
    <w:rsid w:val="0024195B"/>
    <w:rsid w:val="0025062F"/>
    <w:rsid w:val="00271C26"/>
    <w:rsid w:val="00281FFD"/>
    <w:rsid w:val="002961AA"/>
    <w:rsid w:val="002B0C65"/>
    <w:rsid w:val="002B70DC"/>
    <w:rsid w:val="002B7F72"/>
    <w:rsid w:val="002F305D"/>
    <w:rsid w:val="00301C0A"/>
    <w:rsid w:val="00323A24"/>
    <w:rsid w:val="003418AC"/>
    <w:rsid w:val="003422F4"/>
    <w:rsid w:val="00363869"/>
    <w:rsid w:val="003748FE"/>
    <w:rsid w:val="00390D00"/>
    <w:rsid w:val="003B1865"/>
    <w:rsid w:val="003C2562"/>
    <w:rsid w:val="003C3A6D"/>
    <w:rsid w:val="003C635A"/>
    <w:rsid w:val="003D36D3"/>
    <w:rsid w:val="003E2D95"/>
    <w:rsid w:val="003F4C4E"/>
    <w:rsid w:val="00404710"/>
    <w:rsid w:val="00412DBB"/>
    <w:rsid w:val="004250CA"/>
    <w:rsid w:val="00444B34"/>
    <w:rsid w:val="00470832"/>
    <w:rsid w:val="0047530A"/>
    <w:rsid w:val="00487873"/>
    <w:rsid w:val="00490C25"/>
    <w:rsid w:val="0049143A"/>
    <w:rsid w:val="004A40B3"/>
    <w:rsid w:val="004C1444"/>
    <w:rsid w:val="004C1955"/>
    <w:rsid w:val="004C2959"/>
    <w:rsid w:val="004D5929"/>
    <w:rsid w:val="004E1629"/>
    <w:rsid w:val="00504222"/>
    <w:rsid w:val="005367A3"/>
    <w:rsid w:val="00543689"/>
    <w:rsid w:val="00564CF0"/>
    <w:rsid w:val="00566F16"/>
    <w:rsid w:val="00571E03"/>
    <w:rsid w:val="005B25E6"/>
    <w:rsid w:val="005B5592"/>
    <w:rsid w:val="005B7064"/>
    <w:rsid w:val="005C0363"/>
    <w:rsid w:val="005D5E37"/>
    <w:rsid w:val="005E3370"/>
    <w:rsid w:val="006168E4"/>
    <w:rsid w:val="006271EB"/>
    <w:rsid w:val="006340B3"/>
    <w:rsid w:val="0065442F"/>
    <w:rsid w:val="00661349"/>
    <w:rsid w:val="00672BE8"/>
    <w:rsid w:val="00674676"/>
    <w:rsid w:val="006C1392"/>
    <w:rsid w:val="006C6A83"/>
    <w:rsid w:val="006E0B02"/>
    <w:rsid w:val="006E3F7B"/>
    <w:rsid w:val="006F19CA"/>
    <w:rsid w:val="00703BD4"/>
    <w:rsid w:val="007040F9"/>
    <w:rsid w:val="00716707"/>
    <w:rsid w:val="00722623"/>
    <w:rsid w:val="00735792"/>
    <w:rsid w:val="00750DFD"/>
    <w:rsid w:val="00750EDF"/>
    <w:rsid w:val="007631BB"/>
    <w:rsid w:val="00765FF5"/>
    <w:rsid w:val="007730A3"/>
    <w:rsid w:val="007768CA"/>
    <w:rsid w:val="00781BC2"/>
    <w:rsid w:val="00782648"/>
    <w:rsid w:val="00787AF3"/>
    <w:rsid w:val="0079790D"/>
    <w:rsid w:val="007B076F"/>
    <w:rsid w:val="007B1B33"/>
    <w:rsid w:val="007B7B0A"/>
    <w:rsid w:val="007C68F5"/>
    <w:rsid w:val="007E3C55"/>
    <w:rsid w:val="007F2992"/>
    <w:rsid w:val="007F4F8E"/>
    <w:rsid w:val="007F740A"/>
    <w:rsid w:val="00802388"/>
    <w:rsid w:val="00802DB1"/>
    <w:rsid w:val="00815430"/>
    <w:rsid w:val="0085513B"/>
    <w:rsid w:val="008631D9"/>
    <w:rsid w:val="0087135B"/>
    <w:rsid w:val="00895B92"/>
    <w:rsid w:val="008A1A33"/>
    <w:rsid w:val="008B1FC1"/>
    <w:rsid w:val="008C65F4"/>
    <w:rsid w:val="008D756D"/>
    <w:rsid w:val="008F62B2"/>
    <w:rsid w:val="008F6E2E"/>
    <w:rsid w:val="00925C87"/>
    <w:rsid w:val="0092605D"/>
    <w:rsid w:val="00953921"/>
    <w:rsid w:val="0095753A"/>
    <w:rsid w:val="00970637"/>
    <w:rsid w:val="00982DD7"/>
    <w:rsid w:val="009873D0"/>
    <w:rsid w:val="009D2F29"/>
    <w:rsid w:val="009D4BD3"/>
    <w:rsid w:val="009F5E03"/>
    <w:rsid w:val="00A06575"/>
    <w:rsid w:val="00A17009"/>
    <w:rsid w:val="00A17661"/>
    <w:rsid w:val="00A22E7B"/>
    <w:rsid w:val="00A43262"/>
    <w:rsid w:val="00A46744"/>
    <w:rsid w:val="00A90565"/>
    <w:rsid w:val="00AA3D4D"/>
    <w:rsid w:val="00AB45E1"/>
    <w:rsid w:val="00AD0E13"/>
    <w:rsid w:val="00AD2B65"/>
    <w:rsid w:val="00AD6D1C"/>
    <w:rsid w:val="00AF72FE"/>
    <w:rsid w:val="00B05436"/>
    <w:rsid w:val="00B5063F"/>
    <w:rsid w:val="00B57C49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E00F0"/>
    <w:rsid w:val="00BF3352"/>
    <w:rsid w:val="00BF3D38"/>
    <w:rsid w:val="00BF6018"/>
    <w:rsid w:val="00C145AD"/>
    <w:rsid w:val="00C257E1"/>
    <w:rsid w:val="00C4024E"/>
    <w:rsid w:val="00C5072B"/>
    <w:rsid w:val="00C6328D"/>
    <w:rsid w:val="00C81C7A"/>
    <w:rsid w:val="00C82EC0"/>
    <w:rsid w:val="00C94650"/>
    <w:rsid w:val="00CA19C4"/>
    <w:rsid w:val="00CA6CE6"/>
    <w:rsid w:val="00CB235A"/>
    <w:rsid w:val="00CB2F2A"/>
    <w:rsid w:val="00CB5F72"/>
    <w:rsid w:val="00CD0B93"/>
    <w:rsid w:val="00CD4271"/>
    <w:rsid w:val="00CD72C5"/>
    <w:rsid w:val="00CE0658"/>
    <w:rsid w:val="00CE73E3"/>
    <w:rsid w:val="00D17CC8"/>
    <w:rsid w:val="00D2012A"/>
    <w:rsid w:val="00D207B2"/>
    <w:rsid w:val="00D347B5"/>
    <w:rsid w:val="00D41098"/>
    <w:rsid w:val="00D44862"/>
    <w:rsid w:val="00D66D13"/>
    <w:rsid w:val="00D76EF4"/>
    <w:rsid w:val="00DA0508"/>
    <w:rsid w:val="00DA79E9"/>
    <w:rsid w:val="00DB26F0"/>
    <w:rsid w:val="00DB692E"/>
    <w:rsid w:val="00DC2297"/>
    <w:rsid w:val="00DC74D0"/>
    <w:rsid w:val="00DD27B9"/>
    <w:rsid w:val="00DE69A4"/>
    <w:rsid w:val="00E132DF"/>
    <w:rsid w:val="00E304AD"/>
    <w:rsid w:val="00E42002"/>
    <w:rsid w:val="00E43FF3"/>
    <w:rsid w:val="00E56177"/>
    <w:rsid w:val="00E62F45"/>
    <w:rsid w:val="00E63079"/>
    <w:rsid w:val="00E968EE"/>
    <w:rsid w:val="00E9783C"/>
    <w:rsid w:val="00EA5679"/>
    <w:rsid w:val="00EB66BB"/>
    <w:rsid w:val="00EE0BBC"/>
    <w:rsid w:val="00F11001"/>
    <w:rsid w:val="00F17BAB"/>
    <w:rsid w:val="00F229BC"/>
    <w:rsid w:val="00F43C13"/>
    <w:rsid w:val="00F44B13"/>
    <w:rsid w:val="00F51EF6"/>
    <w:rsid w:val="00F6383F"/>
    <w:rsid w:val="00F75139"/>
    <w:rsid w:val="00F84568"/>
    <w:rsid w:val="00F864F5"/>
    <w:rsid w:val="00FA4688"/>
    <w:rsid w:val="00FC37FF"/>
    <w:rsid w:val="00FC6034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39"/>
    <w:pPr>
      <w:spacing w:before="240" w:after="60"/>
      <w:outlineLvl w:val="0"/>
    </w:pPr>
    <w:rPr>
      <w:b/>
      <w:color w:val="5F2A79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6E39"/>
    <w:pPr>
      <w:outlineLvl w:val="1"/>
    </w:pPr>
    <w:rPr>
      <w:color w:val="006D7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0B3"/>
    <w:pPr>
      <w:keepNext/>
      <w:keepLines/>
      <w:spacing w:before="120" w:after="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E39"/>
    <w:rPr>
      <w:rFonts w:ascii="Cambria" w:hAnsi="Cambria" w:cs="Arial"/>
      <w:b/>
      <w:color w:val="5F2A79" w:themeColor="accent1"/>
      <w:sz w:val="32"/>
      <w:szCs w:val="32"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6E39"/>
    <w:rPr>
      <w:rFonts w:ascii="Cambria" w:hAnsi="Cambria" w:cs="Arial"/>
      <w:b/>
      <w:color w:val="006D70" w:themeColor="accent2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A40B3"/>
    <w:rPr>
      <w:rFonts w:ascii="Cambria" w:eastAsiaTheme="majorEastAsia" w:hAnsi="Cambria" w:cstheme="majorBidi"/>
      <w:b/>
      <w:bCs/>
      <w:color w:val="000000" w:themeColor="text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9</TotalTime>
  <Pages>2</Pages>
  <Words>820</Words>
  <Characters>898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CT_Strategy Snapshot</dc:title>
  <dc:subject/>
  <dc:creator>EVANS, Corrina</dc:creator>
  <cp:keywords>[SEC=OFFICIAL]</cp:keywords>
  <dc:description/>
  <cp:lastModifiedBy>FENTON, Annabell</cp:lastModifiedBy>
  <cp:revision>7</cp:revision>
  <dcterms:created xsi:type="dcterms:W3CDTF">2025-01-08T01:13:00Z</dcterms:created>
  <dcterms:modified xsi:type="dcterms:W3CDTF">2025-01-09T04:54:00Z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v=2022.1;a=SHA256;h=7C2FFC2118EF1FEEC6F7F3C404FA1EFEFA4D1C2D6826F18562B4BB865B2355FF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bd503d475ba2484a8a826969f475fa91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AF610A7184759141C1BE268FFA227361</vt:lpwstr>
  </property>
  <property fmtid="{D5CDD505-2E9C-101B-9397-08002B2CF9AE}" pid="34" name="PM_Hash_Salt">
    <vt:lpwstr>F243702EC436FA4D2A6B964A7846E7F1</vt:lpwstr>
  </property>
  <property fmtid="{D5CDD505-2E9C-101B-9397-08002B2CF9AE}" pid="35" name="PM_Hash_SHA1">
    <vt:lpwstr>C52A33134DA5622CA2416CAEDFCEB362F1AA6582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