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8E7" w:rsidRDefault="00027577" w:rsidP="006E376A">
      <w:pPr>
        <w:jc w:val="center"/>
        <w:rPr>
          <w:b/>
          <w:bCs/>
          <w:color w:val="186871" w:themeColor="accent5" w:themeShade="80"/>
          <w:sz w:val="72"/>
          <w:szCs w:val="72"/>
        </w:rPr>
      </w:pPr>
      <w:bookmarkStart w:id="0" w:name="_GoBack"/>
      <w:bookmarkEnd w:id="0"/>
      <w:r>
        <w:rPr>
          <w:b/>
          <w:bCs/>
          <w:noProof/>
          <w:color w:val="186871" w:themeColor="accent5" w:themeShade="80"/>
          <w:sz w:val="72"/>
          <w:szCs w:val="72"/>
          <w:lang w:eastAsia="en-AU"/>
        </w:rPr>
        <w:drawing>
          <wp:anchor distT="0" distB="0" distL="114300" distR="114300" simplePos="0" relativeHeight="251669516" behindDoc="0" locked="0" layoutInCell="1" allowOverlap="1">
            <wp:simplePos x="0" y="0"/>
            <wp:positionH relativeFrom="column">
              <wp:posOffset>-228600</wp:posOffset>
            </wp:positionH>
            <wp:positionV relativeFrom="paragraph">
              <wp:posOffset>-914400</wp:posOffset>
            </wp:positionV>
            <wp:extent cx="1603375" cy="10674985"/>
            <wp:effectExtent l="0" t="0" r="0" b="0"/>
            <wp:wrapNone/>
            <wp:docPr id="5406" name="Picture 5406" descr="A narrow rectangle that is the length of the page, light blue at the top fading to medium blue at the bottom. A white circle is about one-third of the way from the top, containing a red outline of a house and a blue outline of a heart. " title="Title pag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3375" cy="10674985"/>
                    </a:xfrm>
                    <a:prstGeom prst="rect">
                      <a:avLst/>
                    </a:prstGeom>
                    <a:noFill/>
                  </pic:spPr>
                </pic:pic>
              </a:graphicData>
            </a:graphic>
          </wp:anchor>
        </w:drawing>
      </w:r>
    </w:p>
    <w:p w:rsidR="006E376A" w:rsidRPr="006E376A" w:rsidRDefault="006E376A" w:rsidP="006E376A">
      <w:pPr>
        <w:jc w:val="center"/>
        <w:rPr>
          <w:b/>
          <w:bCs/>
          <w:color w:val="186871" w:themeColor="accent5" w:themeShade="80"/>
          <w:sz w:val="20"/>
          <w:szCs w:val="72"/>
        </w:rPr>
      </w:pPr>
    </w:p>
    <w:p w:rsidR="006E376A" w:rsidRPr="006E376A" w:rsidRDefault="006E376A" w:rsidP="006E376A">
      <w:pPr>
        <w:jc w:val="center"/>
        <w:rPr>
          <w:rFonts w:eastAsia="Times New Roman" w:cs="Arial"/>
          <w:b/>
          <w:color w:val="215868"/>
          <w:lang w:eastAsia="en-AU"/>
        </w:rPr>
      </w:pPr>
    </w:p>
    <w:p w:rsidR="00462182" w:rsidRDefault="00462182" w:rsidP="00462182">
      <w:pPr>
        <w:spacing w:after="0"/>
        <w:ind w:left="2552"/>
        <w:rPr>
          <w:b/>
          <w:color w:val="186871" w:themeColor="accent5" w:themeShade="80"/>
          <w:sz w:val="96"/>
          <w:szCs w:val="72"/>
        </w:rPr>
      </w:pPr>
    </w:p>
    <w:p w:rsidR="00462182" w:rsidRPr="00B66D06" w:rsidRDefault="00462182" w:rsidP="00B66D06">
      <w:pPr>
        <w:pStyle w:val="Heading1"/>
        <w:numPr>
          <w:ilvl w:val="0"/>
          <w:numId w:val="0"/>
        </w:numPr>
        <w:ind w:left="2403"/>
        <w:rPr>
          <w:sz w:val="72"/>
        </w:rPr>
      </w:pPr>
      <w:r w:rsidRPr="00B66D06">
        <w:rPr>
          <w:sz w:val="72"/>
        </w:rPr>
        <w:t>Safe Places</w:t>
      </w:r>
    </w:p>
    <w:p w:rsidR="00462182" w:rsidRPr="00B66D06" w:rsidRDefault="00462182" w:rsidP="00B66D06">
      <w:pPr>
        <w:pStyle w:val="Heading1"/>
        <w:numPr>
          <w:ilvl w:val="0"/>
          <w:numId w:val="0"/>
        </w:numPr>
        <w:ind w:left="2403"/>
        <w:rPr>
          <w:b w:val="0"/>
          <w:sz w:val="56"/>
        </w:rPr>
      </w:pPr>
      <w:r w:rsidRPr="00B66D06">
        <w:rPr>
          <w:b w:val="0"/>
          <w:sz w:val="56"/>
        </w:rPr>
        <w:t>Emergency Accommodation Program</w:t>
      </w:r>
    </w:p>
    <w:p w:rsidR="00462182" w:rsidRPr="00DA2620" w:rsidRDefault="00462182" w:rsidP="00CD726B"/>
    <w:p w:rsidR="00462182" w:rsidRPr="00B66D06" w:rsidRDefault="00462182" w:rsidP="00B66D06">
      <w:pPr>
        <w:pStyle w:val="Heading1"/>
        <w:numPr>
          <w:ilvl w:val="0"/>
          <w:numId w:val="0"/>
        </w:numPr>
        <w:ind w:left="2403"/>
        <w:rPr>
          <w:b w:val="0"/>
          <w:i/>
          <w:sz w:val="56"/>
        </w:rPr>
      </w:pPr>
      <w:r w:rsidRPr="00B66D06">
        <w:rPr>
          <w:b w:val="0"/>
          <w:i/>
          <w:sz w:val="56"/>
        </w:rPr>
        <w:t>Inclusion Round</w:t>
      </w:r>
    </w:p>
    <w:p w:rsidR="00462182" w:rsidRPr="00DA2620" w:rsidRDefault="00462182" w:rsidP="00B66D06">
      <w:pPr>
        <w:pStyle w:val="Heading1"/>
        <w:numPr>
          <w:ilvl w:val="0"/>
          <w:numId w:val="0"/>
        </w:numPr>
        <w:ind w:left="2403"/>
        <w:rPr>
          <w:sz w:val="48"/>
          <w:szCs w:val="52"/>
        </w:rPr>
      </w:pPr>
      <w:r w:rsidRPr="004D42B5">
        <w:rPr>
          <w:sz w:val="48"/>
          <w:szCs w:val="52"/>
        </w:rPr>
        <w:t>Consultation Findings</w:t>
      </w:r>
    </w:p>
    <w:p w:rsidR="00462182" w:rsidRPr="00DA2620" w:rsidRDefault="00462182" w:rsidP="00462182">
      <w:pPr>
        <w:rPr>
          <w:i/>
          <w:color w:val="186871" w:themeColor="accent5" w:themeShade="80"/>
          <w:sz w:val="56"/>
          <w:szCs w:val="72"/>
        </w:rPr>
      </w:pPr>
    </w:p>
    <w:p w:rsidR="006E376A" w:rsidRDefault="006E376A">
      <w:pPr>
        <w:rPr>
          <w:rFonts w:eastAsia="Times New Roman" w:cs="Arial"/>
          <w:b/>
          <w:color w:val="215868"/>
          <w:sz w:val="26"/>
          <w:szCs w:val="26"/>
          <w:lang w:eastAsia="en-AU"/>
        </w:rPr>
      </w:pPr>
      <w:r w:rsidRPr="3982989E">
        <w:rPr>
          <w:rFonts w:eastAsia="Times New Roman" w:cs="Arial"/>
          <w:color w:val="215868"/>
          <w:lang w:eastAsia="en-AU"/>
        </w:rPr>
        <w:br w:type="page"/>
      </w:r>
    </w:p>
    <w:p w:rsidR="00D90FCB" w:rsidRPr="00027577" w:rsidRDefault="3BE4FEF3" w:rsidP="3894847F">
      <w:pPr>
        <w:pStyle w:val="Heading2"/>
        <w:numPr>
          <w:ilvl w:val="1"/>
          <w:numId w:val="0"/>
        </w:numPr>
        <w:spacing w:after="120"/>
        <w:ind w:left="576" w:hanging="576"/>
        <w:rPr>
          <w:rFonts w:eastAsia="Times New Roman"/>
          <w:i w:val="0"/>
          <w:lang w:eastAsia="en-AU"/>
        </w:rPr>
      </w:pPr>
      <w:bookmarkStart w:id="1" w:name="_Toc142492540"/>
      <w:bookmarkStart w:id="2" w:name="_Toc142557342"/>
      <w:bookmarkStart w:id="3" w:name="_Toc146118020"/>
      <w:r w:rsidRPr="00027577">
        <w:rPr>
          <w:rFonts w:eastAsia="Times New Roman"/>
          <w:i w:val="0"/>
          <w:lang w:eastAsia="en-AU"/>
        </w:rPr>
        <w:lastRenderedPageBreak/>
        <w:t>Acknowledgement of country</w:t>
      </w:r>
      <w:bookmarkEnd w:id="1"/>
      <w:bookmarkEnd w:id="2"/>
      <w:bookmarkEnd w:id="3"/>
    </w:p>
    <w:p w:rsidR="00D90FCB" w:rsidRPr="004D6A9C" w:rsidRDefault="3894847F" w:rsidP="004D6A9C">
      <w:r>
        <w:t>In the spirit of reconciliation, the Department of Social Services acknowledges the Traditional Custodians of country throughout Australia and their connections to land, sea and community. We pay our respect to their Elders past and present and extend that respect to all Aboriginal and Torres Strait Islander peoples today.</w:t>
      </w:r>
    </w:p>
    <w:p w:rsidR="00D90FCB" w:rsidRPr="00027577" w:rsidRDefault="3BE4FEF3" w:rsidP="3894847F">
      <w:pPr>
        <w:pStyle w:val="Heading2"/>
        <w:numPr>
          <w:ilvl w:val="1"/>
          <w:numId w:val="0"/>
        </w:numPr>
        <w:spacing w:after="120"/>
        <w:ind w:left="576" w:hanging="576"/>
        <w:rPr>
          <w:rFonts w:eastAsia="Times New Roman"/>
          <w:i w:val="0"/>
          <w:lang w:eastAsia="en-AU"/>
        </w:rPr>
      </w:pPr>
      <w:bookmarkStart w:id="4" w:name="_Toc142492541"/>
      <w:bookmarkStart w:id="5" w:name="_Toc142557343"/>
      <w:bookmarkStart w:id="6" w:name="_Toc146118021"/>
      <w:r w:rsidRPr="00027577">
        <w:rPr>
          <w:rFonts w:eastAsia="Times New Roman"/>
          <w:i w:val="0"/>
          <w:lang w:eastAsia="en-AU"/>
        </w:rPr>
        <w:t>Help and Support</w:t>
      </w:r>
      <w:bookmarkEnd w:id="4"/>
      <w:bookmarkEnd w:id="5"/>
      <w:bookmarkEnd w:id="6"/>
      <w:r w:rsidRPr="00027577">
        <w:rPr>
          <w:rFonts w:eastAsia="Times New Roman"/>
          <w:i w:val="0"/>
          <w:lang w:eastAsia="en-AU"/>
        </w:rPr>
        <w:t xml:space="preserve"> </w:t>
      </w:r>
    </w:p>
    <w:p w:rsidR="00D90FCB" w:rsidRPr="004D6A9C" w:rsidRDefault="3894847F" w:rsidP="004D6A9C">
      <w:r>
        <w:t xml:space="preserve">Violence against women and children can be hard to discuss and reading this document may cause distress. </w:t>
      </w:r>
    </w:p>
    <w:p w:rsidR="00D90FCB" w:rsidRPr="004D6A9C" w:rsidRDefault="3894847F" w:rsidP="004D6A9C">
      <w:r>
        <w:t xml:space="preserve">Help is available. If you or someone you know is experiencing or at risk of experiencing domestic, family or sexual violence, call 1800RESPECT on 1800 737 732 or visit 1800RESPECT.org.au. </w:t>
      </w:r>
    </w:p>
    <w:p w:rsidR="00F25DC3" w:rsidRDefault="3894847F" w:rsidP="3894847F">
      <w:pPr>
        <w:rPr>
          <w:b/>
          <w:bCs/>
        </w:rPr>
      </w:pPr>
      <w:r w:rsidRPr="3894847F">
        <w:rPr>
          <w:b/>
          <w:bCs/>
        </w:rPr>
        <w:t>If you or someone close to you is in distress or immediate danger, please call 000.</w:t>
      </w:r>
    </w:p>
    <w:p w:rsidR="003D5F1A" w:rsidRPr="003D5F1A" w:rsidRDefault="00F25DC3">
      <w:pPr>
        <w:rPr>
          <w:b/>
        </w:rPr>
      </w:pPr>
      <w:r>
        <w:rPr>
          <w:b/>
        </w:rPr>
        <w:br w:type="page"/>
      </w:r>
    </w:p>
    <w:sdt>
      <w:sdtPr>
        <w:rPr>
          <w:rFonts w:eastAsiaTheme="minorHAnsi" w:cstheme="minorBidi"/>
          <w:b w:val="0"/>
          <w:bCs w:val="0"/>
          <w:color w:val="auto"/>
          <w:sz w:val="22"/>
          <w:szCs w:val="22"/>
          <w:lang w:bidi="ar-SA"/>
        </w:rPr>
        <w:id w:val="1361548303"/>
        <w:docPartObj>
          <w:docPartGallery w:val="Table of Contents"/>
          <w:docPartUnique/>
        </w:docPartObj>
      </w:sdtPr>
      <w:sdtEndPr>
        <w:rPr>
          <w:noProof/>
        </w:rPr>
      </w:sdtEndPr>
      <w:sdtContent>
        <w:p w:rsidR="003D5F1A" w:rsidRDefault="003D5F1A" w:rsidP="003D5F1A">
          <w:pPr>
            <w:pStyle w:val="TOCHeading"/>
            <w:numPr>
              <w:ilvl w:val="0"/>
              <w:numId w:val="0"/>
            </w:numPr>
            <w:ind w:left="432" w:hanging="432"/>
          </w:pPr>
          <w:r>
            <w:t>Table of Contents</w:t>
          </w:r>
        </w:p>
        <w:p w:rsidR="00027577" w:rsidRDefault="003D5F1A">
          <w:pPr>
            <w:pStyle w:val="TOC2"/>
            <w:tabs>
              <w:tab w:val="right" w:leader="dot" w:pos="9016"/>
            </w:tabs>
            <w:rPr>
              <w:rFonts w:asciiTheme="minorHAnsi" w:eastAsiaTheme="minorEastAsia" w:hAnsiTheme="minorHAnsi"/>
              <w:noProof/>
              <w:lang w:eastAsia="en-AU"/>
            </w:rPr>
          </w:pPr>
          <w:r>
            <w:fldChar w:fldCharType="begin"/>
          </w:r>
          <w:r>
            <w:instrText xml:space="preserve"> TOC \o "1-3" \h \z \u </w:instrText>
          </w:r>
          <w:r>
            <w:fldChar w:fldCharType="separate"/>
          </w:r>
          <w:hyperlink w:anchor="_Toc146118020" w:history="1">
            <w:r w:rsidR="00027577" w:rsidRPr="0076339B">
              <w:rPr>
                <w:rStyle w:val="Hyperlink"/>
                <w:rFonts w:eastAsia="Times New Roman"/>
                <w:noProof/>
                <w:lang w:eastAsia="en-AU"/>
              </w:rPr>
              <w:t>Acknowledgement of country</w:t>
            </w:r>
            <w:r w:rsidR="00027577">
              <w:rPr>
                <w:noProof/>
                <w:webHidden/>
              </w:rPr>
              <w:tab/>
            </w:r>
            <w:r w:rsidR="00027577">
              <w:rPr>
                <w:noProof/>
                <w:webHidden/>
              </w:rPr>
              <w:fldChar w:fldCharType="begin"/>
            </w:r>
            <w:r w:rsidR="00027577">
              <w:rPr>
                <w:noProof/>
                <w:webHidden/>
              </w:rPr>
              <w:instrText xml:space="preserve"> PAGEREF _Toc146118020 \h </w:instrText>
            </w:r>
            <w:r w:rsidR="00027577">
              <w:rPr>
                <w:noProof/>
                <w:webHidden/>
              </w:rPr>
            </w:r>
            <w:r w:rsidR="00027577">
              <w:rPr>
                <w:noProof/>
                <w:webHidden/>
              </w:rPr>
              <w:fldChar w:fldCharType="separate"/>
            </w:r>
            <w:r w:rsidR="00CD726B">
              <w:rPr>
                <w:noProof/>
                <w:webHidden/>
              </w:rPr>
              <w:t>2</w:t>
            </w:r>
            <w:r w:rsidR="00027577">
              <w:rPr>
                <w:noProof/>
                <w:webHidden/>
              </w:rPr>
              <w:fldChar w:fldCharType="end"/>
            </w:r>
          </w:hyperlink>
        </w:p>
        <w:p w:rsidR="00027577" w:rsidRDefault="006D73CB">
          <w:pPr>
            <w:pStyle w:val="TOC2"/>
            <w:tabs>
              <w:tab w:val="right" w:leader="dot" w:pos="9016"/>
            </w:tabs>
            <w:rPr>
              <w:rFonts w:asciiTheme="minorHAnsi" w:eastAsiaTheme="minorEastAsia" w:hAnsiTheme="minorHAnsi"/>
              <w:noProof/>
              <w:lang w:eastAsia="en-AU"/>
            </w:rPr>
          </w:pPr>
          <w:hyperlink w:anchor="_Toc146118021" w:history="1">
            <w:r w:rsidR="00027577" w:rsidRPr="0076339B">
              <w:rPr>
                <w:rStyle w:val="Hyperlink"/>
                <w:rFonts w:eastAsia="Times New Roman"/>
                <w:noProof/>
                <w:lang w:eastAsia="en-AU"/>
              </w:rPr>
              <w:t>Help and Support</w:t>
            </w:r>
            <w:r w:rsidR="00027577">
              <w:rPr>
                <w:noProof/>
                <w:webHidden/>
              </w:rPr>
              <w:tab/>
            </w:r>
            <w:r w:rsidR="00027577">
              <w:rPr>
                <w:noProof/>
                <w:webHidden/>
              </w:rPr>
              <w:fldChar w:fldCharType="begin"/>
            </w:r>
            <w:r w:rsidR="00027577">
              <w:rPr>
                <w:noProof/>
                <w:webHidden/>
              </w:rPr>
              <w:instrText xml:space="preserve"> PAGEREF _Toc146118021 \h </w:instrText>
            </w:r>
            <w:r w:rsidR="00027577">
              <w:rPr>
                <w:noProof/>
                <w:webHidden/>
              </w:rPr>
            </w:r>
            <w:r w:rsidR="00027577">
              <w:rPr>
                <w:noProof/>
                <w:webHidden/>
              </w:rPr>
              <w:fldChar w:fldCharType="separate"/>
            </w:r>
            <w:r w:rsidR="00CD726B">
              <w:rPr>
                <w:noProof/>
                <w:webHidden/>
              </w:rPr>
              <w:t>2</w:t>
            </w:r>
            <w:r w:rsidR="00027577">
              <w:rPr>
                <w:noProof/>
                <w:webHidden/>
              </w:rPr>
              <w:fldChar w:fldCharType="end"/>
            </w:r>
          </w:hyperlink>
        </w:p>
        <w:p w:rsidR="00027577" w:rsidRDefault="006D73CB">
          <w:pPr>
            <w:pStyle w:val="TOC1"/>
            <w:rPr>
              <w:rFonts w:asciiTheme="minorHAnsi" w:eastAsiaTheme="minorEastAsia" w:hAnsiTheme="minorHAnsi"/>
              <w:b w:val="0"/>
            </w:rPr>
          </w:pPr>
          <w:hyperlink w:anchor="_Toc146118022" w:history="1">
            <w:r w:rsidR="00027577" w:rsidRPr="0076339B">
              <w:rPr>
                <w:rStyle w:val="Hyperlink"/>
              </w:rPr>
              <w:t>1</w:t>
            </w:r>
            <w:r w:rsidR="00027577">
              <w:rPr>
                <w:rFonts w:asciiTheme="minorHAnsi" w:eastAsiaTheme="minorEastAsia" w:hAnsiTheme="minorHAnsi"/>
                <w:b w:val="0"/>
              </w:rPr>
              <w:tab/>
            </w:r>
            <w:r w:rsidR="00027577" w:rsidRPr="0076339B">
              <w:rPr>
                <w:rStyle w:val="Hyperlink"/>
              </w:rPr>
              <w:t>Introduction</w:t>
            </w:r>
            <w:r w:rsidR="00027577">
              <w:rPr>
                <w:webHidden/>
              </w:rPr>
              <w:tab/>
            </w:r>
            <w:r w:rsidR="00027577">
              <w:rPr>
                <w:webHidden/>
              </w:rPr>
              <w:fldChar w:fldCharType="begin"/>
            </w:r>
            <w:r w:rsidR="00027577">
              <w:rPr>
                <w:webHidden/>
              </w:rPr>
              <w:instrText xml:space="preserve"> PAGEREF _Toc146118022 \h </w:instrText>
            </w:r>
            <w:r w:rsidR="00027577">
              <w:rPr>
                <w:webHidden/>
              </w:rPr>
            </w:r>
            <w:r w:rsidR="00027577">
              <w:rPr>
                <w:webHidden/>
              </w:rPr>
              <w:fldChar w:fldCharType="separate"/>
            </w:r>
            <w:r w:rsidR="00CD726B">
              <w:rPr>
                <w:webHidden/>
              </w:rPr>
              <w:t>4</w:t>
            </w:r>
            <w:r w:rsidR="00027577">
              <w:rPr>
                <w:webHidden/>
              </w:rPr>
              <w:fldChar w:fldCharType="end"/>
            </w:r>
          </w:hyperlink>
        </w:p>
        <w:p w:rsidR="00027577" w:rsidRDefault="006D73CB">
          <w:pPr>
            <w:pStyle w:val="TOC2"/>
            <w:tabs>
              <w:tab w:val="left" w:pos="880"/>
              <w:tab w:val="right" w:leader="dot" w:pos="9016"/>
            </w:tabs>
            <w:rPr>
              <w:rFonts w:asciiTheme="minorHAnsi" w:eastAsiaTheme="minorEastAsia" w:hAnsiTheme="minorHAnsi"/>
              <w:noProof/>
              <w:lang w:eastAsia="en-AU"/>
            </w:rPr>
          </w:pPr>
          <w:hyperlink w:anchor="_Toc146118023" w:history="1">
            <w:r w:rsidR="00027577" w:rsidRPr="0076339B">
              <w:rPr>
                <w:rStyle w:val="Hyperlink"/>
                <w:noProof/>
                <w:lang w:eastAsia="en-AU"/>
              </w:rPr>
              <w:t>1.1</w:t>
            </w:r>
            <w:r w:rsidR="00027577">
              <w:rPr>
                <w:rFonts w:asciiTheme="minorHAnsi" w:eastAsiaTheme="minorEastAsia" w:hAnsiTheme="minorHAnsi"/>
                <w:noProof/>
                <w:lang w:eastAsia="en-AU"/>
              </w:rPr>
              <w:tab/>
            </w:r>
            <w:r w:rsidR="00027577" w:rsidRPr="0076339B">
              <w:rPr>
                <w:rStyle w:val="Hyperlink"/>
                <w:noProof/>
                <w:lang w:eastAsia="en-AU"/>
              </w:rPr>
              <w:t>Overview of the Inclusion Round</w:t>
            </w:r>
            <w:r w:rsidR="00027577">
              <w:rPr>
                <w:noProof/>
                <w:webHidden/>
              </w:rPr>
              <w:tab/>
            </w:r>
            <w:r w:rsidR="00027577">
              <w:rPr>
                <w:noProof/>
                <w:webHidden/>
              </w:rPr>
              <w:fldChar w:fldCharType="begin"/>
            </w:r>
            <w:r w:rsidR="00027577">
              <w:rPr>
                <w:noProof/>
                <w:webHidden/>
              </w:rPr>
              <w:instrText xml:space="preserve"> PAGEREF _Toc146118023 \h </w:instrText>
            </w:r>
            <w:r w:rsidR="00027577">
              <w:rPr>
                <w:noProof/>
                <w:webHidden/>
              </w:rPr>
            </w:r>
            <w:r w:rsidR="00027577">
              <w:rPr>
                <w:noProof/>
                <w:webHidden/>
              </w:rPr>
              <w:fldChar w:fldCharType="separate"/>
            </w:r>
            <w:r w:rsidR="00CD726B">
              <w:rPr>
                <w:noProof/>
                <w:webHidden/>
              </w:rPr>
              <w:t>4</w:t>
            </w:r>
            <w:r w:rsidR="00027577">
              <w:rPr>
                <w:noProof/>
                <w:webHidden/>
              </w:rPr>
              <w:fldChar w:fldCharType="end"/>
            </w:r>
          </w:hyperlink>
        </w:p>
        <w:p w:rsidR="00027577" w:rsidRDefault="006D73CB">
          <w:pPr>
            <w:pStyle w:val="TOC2"/>
            <w:tabs>
              <w:tab w:val="left" w:pos="880"/>
              <w:tab w:val="right" w:leader="dot" w:pos="9016"/>
            </w:tabs>
            <w:rPr>
              <w:rFonts w:asciiTheme="minorHAnsi" w:eastAsiaTheme="minorEastAsia" w:hAnsiTheme="minorHAnsi"/>
              <w:noProof/>
              <w:lang w:eastAsia="en-AU"/>
            </w:rPr>
          </w:pPr>
          <w:hyperlink w:anchor="_Toc146118024" w:history="1">
            <w:r w:rsidR="00027577" w:rsidRPr="0076339B">
              <w:rPr>
                <w:rStyle w:val="Hyperlink"/>
                <w:noProof/>
                <w:lang w:eastAsia="en-AU"/>
              </w:rPr>
              <w:t>1.2</w:t>
            </w:r>
            <w:r w:rsidR="00027577">
              <w:rPr>
                <w:rFonts w:asciiTheme="minorHAnsi" w:eastAsiaTheme="minorEastAsia" w:hAnsiTheme="minorHAnsi"/>
                <w:noProof/>
                <w:lang w:eastAsia="en-AU"/>
              </w:rPr>
              <w:tab/>
            </w:r>
            <w:r w:rsidR="00027577" w:rsidRPr="0076339B">
              <w:rPr>
                <w:rStyle w:val="Hyperlink"/>
                <w:noProof/>
                <w:lang w:eastAsia="en-AU"/>
              </w:rPr>
              <w:t>Overview of consultation activities</w:t>
            </w:r>
            <w:r w:rsidR="00027577">
              <w:rPr>
                <w:noProof/>
                <w:webHidden/>
              </w:rPr>
              <w:tab/>
            </w:r>
            <w:r w:rsidR="00027577">
              <w:rPr>
                <w:noProof/>
                <w:webHidden/>
              </w:rPr>
              <w:fldChar w:fldCharType="begin"/>
            </w:r>
            <w:r w:rsidR="00027577">
              <w:rPr>
                <w:noProof/>
                <w:webHidden/>
              </w:rPr>
              <w:instrText xml:space="preserve"> PAGEREF _Toc146118024 \h </w:instrText>
            </w:r>
            <w:r w:rsidR="00027577">
              <w:rPr>
                <w:noProof/>
                <w:webHidden/>
              </w:rPr>
            </w:r>
            <w:r w:rsidR="00027577">
              <w:rPr>
                <w:noProof/>
                <w:webHidden/>
              </w:rPr>
              <w:fldChar w:fldCharType="separate"/>
            </w:r>
            <w:r w:rsidR="00CD726B">
              <w:rPr>
                <w:noProof/>
                <w:webHidden/>
              </w:rPr>
              <w:t>5</w:t>
            </w:r>
            <w:r w:rsidR="00027577">
              <w:rPr>
                <w:noProof/>
                <w:webHidden/>
              </w:rPr>
              <w:fldChar w:fldCharType="end"/>
            </w:r>
          </w:hyperlink>
        </w:p>
        <w:p w:rsidR="00027577" w:rsidRDefault="006D73CB">
          <w:pPr>
            <w:pStyle w:val="TOC2"/>
            <w:tabs>
              <w:tab w:val="left" w:pos="880"/>
              <w:tab w:val="right" w:leader="dot" w:pos="9016"/>
            </w:tabs>
            <w:rPr>
              <w:rFonts w:asciiTheme="minorHAnsi" w:eastAsiaTheme="minorEastAsia" w:hAnsiTheme="minorHAnsi"/>
              <w:noProof/>
              <w:lang w:eastAsia="en-AU"/>
            </w:rPr>
          </w:pPr>
          <w:hyperlink w:anchor="_Toc146118025" w:history="1">
            <w:r w:rsidR="00027577" w:rsidRPr="0076339B">
              <w:rPr>
                <w:rStyle w:val="Hyperlink"/>
                <w:noProof/>
                <w:lang w:eastAsia="en-AU"/>
              </w:rPr>
              <w:t>1.3</w:t>
            </w:r>
            <w:r w:rsidR="00027577">
              <w:rPr>
                <w:rFonts w:asciiTheme="minorHAnsi" w:eastAsiaTheme="minorEastAsia" w:hAnsiTheme="minorHAnsi"/>
                <w:noProof/>
                <w:lang w:eastAsia="en-AU"/>
              </w:rPr>
              <w:tab/>
            </w:r>
            <w:r w:rsidR="00027577" w:rsidRPr="0076339B">
              <w:rPr>
                <w:rStyle w:val="Hyperlink"/>
                <w:noProof/>
                <w:lang w:eastAsia="en-AU"/>
              </w:rPr>
              <w:t>Additional housing support for women and children experiencing FDV</w:t>
            </w:r>
            <w:r w:rsidR="00027577">
              <w:rPr>
                <w:noProof/>
                <w:webHidden/>
              </w:rPr>
              <w:tab/>
            </w:r>
            <w:r w:rsidR="00027577">
              <w:rPr>
                <w:noProof/>
                <w:webHidden/>
              </w:rPr>
              <w:fldChar w:fldCharType="begin"/>
            </w:r>
            <w:r w:rsidR="00027577">
              <w:rPr>
                <w:noProof/>
                <w:webHidden/>
              </w:rPr>
              <w:instrText xml:space="preserve"> PAGEREF _Toc146118025 \h </w:instrText>
            </w:r>
            <w:r w:rsidR="00027577">
              <w:rPr>
                <w:noProof/>
                <w:webHidden/>
              </w:rPr>
            </w:r>
            <w:r w:rsidR="00027577">
              <w:rPr>
                <w:noProof/>
                <w:webHidden/>
              </w:rPr>
              <w:fldChar w:fldCharType="separate"/>
            </w:r>
            <w:r w:rsidR="00CD726B">
              <w:rPr>
                <w:noProof/>
                <w:webHidden/>
              </w:rPr>
              <w:t>5</w:t>
            </w:r>
            <w:r w:rsidR="00027577">
              <w:rPr>
                <w:noProof/>
                <w:webHidden/>
              </w:rPr>
              <w:fldChar w:fldCharType="end"/>
            </w:r>
          </w:hyperlink>
        </w:p>
        <w:p w:rsidR="00027577" w:rsidRDefault="006D73CB">
          <w:pPr>
            <w:pStyle w:val="TOC1"/>
            <w:rPr>
              <w:rFonts w:asciiTheme="minorHAnsi" w:eastAsiaTheme="minorEastAsia" w:hAnsiTheme="minorHAnsi"/>
              <w:b w:val="0"/>
            </w:rPr>
          </w:pPr>
          <w:hyperlink w:anchor="_Toc146118026" w:history="1">
            <w:r w:rsidR="00027577" w:rsidRPr="0076339B">
              <w:rPr>
                <w:rStyle w:val="Hyperlink"/>
              </w:rPr>
              <w:t>2</w:t>
            </w:r>
            <w:r w:rsidR="00027577">
              <w:rPr>
                <w:rFonts w:asciiTheme="minorHAnsi" w:eastAsiaTheme="minorEastAsia" w:hAnsiTheme="minorHAnsi"/>
                <w:b w:val="0"/>
              </w:rPr>
              <w:tab/>
            </w:r>
            <w:r w:rsidR="00027577" w:rsidRPr="0076339B">
              <w:rPr>
                <w:rStyle w:val="Hyperlink"/>
              </w:rPr>
              <w:t>Key findings</w:t>
            </w:r>
            <w:r w:rsidR="00027577">
              <w:rPr>
                <w:webHidden/>
              </w:rPr>
              <w:tab/>
            </w:r>
            <w:r w:rsidR="00027577">
              <w:rPr>
                <w:webHidden/>
              </w:rPr>
              <w:fldChar w:fldCharType="begin"/>
            </w:r>
            <w:r w:rsidR="00027577">
              <w:rPr>
                <w:webHidden/>
              </w:rPr>
              <w:instrText xml:space="preserve"> PAGEREF _Toc146118026 \h </w:instrText>
            </w:r>
            <w:r w:rsidR="00027577">
              <w:rPr>
                <w:webHidden/>
              </w:rPr>
            </w:r>
            <w:r w:rsidR="00027577">
              <w:rPr>
                <w:webHidden/>
              </w:rPr>
              <w:fldChar w:fldCharType="separate"/>
            </w:r>
            <w:r w:rsidR="00CD726B">
              <w:rPr>
                <w:webHidden/>
              </w:rPr>
              <w:t>7</w:t>
            </w:r>
            <w:r w:rsidR="00027577">
              <w:rPr>
                <w:webHidden/>
              </w:rPr>
              <w:fldChar w:fldCharType="end"/>
            </w:r>
          </w:hyperlink>
        </w:p>
        <w:p w:rsidR="00027577" w:rsidRDefault="006D73CB">
          <w:pPr>
            <w:pStyle w:val="TOC2"/>
            <w:tabs>
              <w:tab w:val="left" w:pos="880"/>
              <w:tab w:val="right" w:leader="dot" w:pos="9016"/>
            </w:tabs>
            <w:rPr>
              <w:rFonts w:asciiTheme="minorHAnsi" w:eastAsiaTheme="minorEastAsia" w:hAnsiTheme="minorHAnsi"/>
              <w:noProof/>
              <w:lang w:eastAsia="en-AU"/>
            </w:rPr>
          </w:pPr>
          <w:hyperlink w:anchor="_Toc146118027" w:history="1">
            <w:r w:rsidR="00027577" w:rsidRPr="0076339B">
              <w:rPr>
                <w:rStyle w:val="Hyperlink"/>
                <w:noProof/>
                <w:lang w:eastAsia="en-AU"/>
              </w:rPr>
              <w:t>2.1</w:t>
            </w:r>
            <w:r w:rsidR="00027577">
              <w:rPr>
                <w:rFonts w:asciiTheme="minorHAnsi" w:eastAsiaTheme="minorEastAsia" w:hAnsiTheme="minorHAnsi"/>
                <w:noProof/>
                <w:lang w:eastAsia="en-AU"/>
              </w:rPr>
              <w:tab/>
            </w:r>
            <w:r w:rsidR="00027577" w:rsidRPr="0076339B">
              <w:rPr>
                <w:rStyle w:val="Hyperlink"/>
                <w:noProof/>
                <w:lang w:eastAsia="en-AU"/>
              </w:rPr>
              <w:t>Definitions of emergency accommodation and ‘safe place’</w:t>
            </w:r>
            <w:r w:rsidR="00027577">
              <w:rPr>
                <w:noProof/>
                <w:webHidden/>
              </w:rPr>
              <w:tab/>
            </w:r>
            <w:r w:rsidR="00027577">
              <w:rPr>
                <w:noProof/>
                <w:webHidden/>
              </w:rPr>
              <w:fldChar w:fldCharType="begin"/>
            </w:r>
            <w:r w:rsidR="00027577">
              <w:rPr>
                <w:noProof/>
                <w:webHidden/>
              </w:rPr>
              <w:instrText xml:space="preserve"> PAGEREF _Toc146118027 \h </w:instrText>
            </w:r>
            <w:r w:rsidR="00027577">
              <w:rPr>
                <w:noProof/>
                <w:webHidden/>
              </w:rPr>
            </w:r>
            <w:r w:rsidR="00027577">
              <w:rPr>
                <w:noProof/>
                <w:webHidden/>
              </w:rPr>
              <w:fldChar w:fldCharType="separate"/>
            </w:r>
            <w:r w:rsidR="00CD726B">
              <w:rPr>
                <w:noProof/>
                <w:webHidden/>
              </w:rPr>
              <w:t>8</w:t>
            </w:r>
            <w:r w:rsidR="00027577">
              <w:rPr>
                <w:noProof/>
                <w:webHidden/>
              </w:rPr>
              <w:fldChar w:fldCharType="end"/>
            </w:r>
          </w:hyperlink>
        </w:p>
        <w:p w:rsidR="00027577" w:rsidRDefault="006D73CB">
          <w:pPr>
            <w:pStyle w:val="TOC3"/>
            <w:tabs>
              <w:tab w:val="left" w:pos="1320"/>
              <w:tab w:val="right" w:leader="dot" w:pos="9016"/>
            </w:tabs>
            <w:rPr>
              <w:rFonts w:asciiTheme="minorHAnsi" w:eastAsiaTheme="minorEastAsia" w:hAnsiTheme="minorHAnsi"/>
              <w:noProof/>
              <w:lang w:eastAsia="en-AU"/>
            </w:rPr>
          </w:pPr>
          <w:hyperlink w:anchor="_Toc146118028" w:history="1">
            <w:r w:rsidR="00027577" w:rsidRPr="0076339B">
              <w:rPr>
                <w:rStyle w:val="Hyperlink"/>
                <w:noProof/>
                <w:lang w:eastAsia="en-AU"/>
              </w:rPr>
              <w:t>2.1.1</w:t>
            </w:r>
            <w:r w:rsidR="00027577">
              <w:rPr>
                <w:rFonts w:asciiTheme="minorHAnsi" w:eastAsiaTheme="minorEastAsia" w:hAnsiTheme="minorHAnsi"/>
                <w:noProof/>
                <w:lang w:eastAsia="en-AU"/>
              </w:rPr>
              <w:tab/>
            </w:r>
            <w:r w:rsidR="00027577" w:rsidRPr="0076339B">
              <w:rPr>
                <w:rStyle w:val="Hyperlink"/>
                <w:noProof/>
                <w:lang w:eastAsia="en-AU"/>
              </w:rPr>
              <w:t>Definition of emergency accommodation, including length of stay</w:t>
            </w:r>
            <w:r w:rsidR="00027577">
              <w:rPr>
                <w:noProof/>
                <w:webHidden/>
              </w:rPr>
              <w:tab/>
            </w:r>
            <w:r w:rsidR="00027577">
              <w:rPr>
                <w:noProof/>
                <w:webHidden/>
              </w:rPr>
              <w:fldChar w:fldCharType="begin"/>
            </w:r>
            <w:r w:rsidR="00027577">
              <w:rPr>
                <w:noProof/>
                <w:webHidden/>
              </w:rPr>
              <w:instrText xml:space="preserve"> PAGEREF _Toc146118028 \h </w:instrText>
            </w:r>
            <w:r w:rsidR="00027577">
              <w:rPr>
                <w:noProof/>
                <w:webHidden/>
              </w:rPr>
            </w:r>
            <w:r w:rsidR="00027577">
              <w:rPr>
                <w:noProof/>
                <w:webHidden/>
              </w:rPr>
              <w:fldChar w:fldCharType="separate"/>
            </w:r>
            <w:r w:rsidR="00CD726B">
              <w:rPr>
                <w:noProof/>
                <w:webHidden/>
              </w:rPr>
              <w:t>8</w:t>
            </w:r>
            <w:r w:rsidR="00027577">
              <w:rPr>
                <w:noProof/>
                <w:webHidden/>
              </w:rPr>
              <w:fldChar w:fldCharType="end"/>
            </w:r>
          </w:hyperlink>
        </w:p>
        <w:p w:rsidR="00027577" w:rsidRDefault="006D73CB">
          <w:pPr>
            <w:pStyle w:val="TOC3"/>
            <w:tabs>
              <w:tab w:val="left" w:pos="1320"/>
              <w:tab w:val="right" w:leader="dot" w:pos="9016"/>
            </w:tabs>
            <w:rPr>
              <w:rFonts w:asciiTheme="minorHAnsi" w:eastAsiaTheme="minorEastAsia" w:hAnsiTheme="minorHAnsi"/>
              <w:noProof/>
              <w:lang w:eastAsia="en-AU"/>
            </w:rPr>
          </w:pPr>
          <w:hyperlink w:anchor="_Toc146118029" w:history="1">
            <w:r w:rsidR="00027577" w:rsidRPr="0076339B">
              <w:rPr>
                <w:rStyle w:val="Hyperlink"/>
                <w:noProof/>
                <w:lang w:eastAsia="en-AU"/>
              </w:rPr>
              <w:t>2.1.2</w:t>
            </w:r>
            <w:r w:rsidR="00027577">
              <w:rPr>
                <w:rFonts w:asciiTheme="minorHAnsi" w:eastAsiaTheme="minorEastAsia" w:hAnsiTheme="minorHAnsi"/>
                <w:noProof/>
                <w:lang w:eastAsia="en-AU"/>
              </w:rPr>
              <w:tab/>
            </w:r>
            <w:r w:rsidR="00027577" w:rsidRPr="0076339B">
              <w:rPr>
                <w:rStyle w:val="Hyperlink"/>
                <w:noProof/>
                <w:lang w:eastAsia="en-AU"/>
              </w:rPr>
              <w:t>Definition of safe place</w:t>
            </w:r>
            <w:r w:rsidR="00027577">
              <w:rPr>
                <w:noProof/>
                <w:webHidden/>
              </w:rPr>
              <w:tab/>
            </w:r>
            <w:r w:rsidR="00027577">
              <w:rPr>
                <w:noProof/>
                <w:webHidden/>
              </w:rPr>
              <w:fldChar w:fldCharType="begin"/>
            </w:r>
            <w:r w:rsidR="00027577">
              <w:rPr>
                <w:noProof/>
                <w:webHidden/>
              </w:rPr>
              <w:instrText xml:space="preserve"> PAGEREF _Toc146118029 \h </w:instrText>
            </w:r>
            <w:r w:rsidR="00027577">
              <w:rPr>
                <w:noProof/>
                <w:webHidden/>
              </w:rPr>
            </w:r>
            <w:r w:rsidR="00027577">
              <w:rPr>
                <w:noProof/>
                <w:webHidden/>
              </w:rPr>
              <w:fldChar w:fldCharType="separate"/>
            </w:r>
            <w:r w:rsidR="00CD726B">
              <w:rPr>
                <w:noProof/>
                <w:webHidden/>
              </w:rPr>
              <w:t>9</w:t>
            </w:r>
            <w:r w:rsidR="00027577">
              <w:rPr>
                <w:noProof/>
                <w:webHidden/>
              </w:rPr>
              <w:fldChar w:fldCharType="end"/>
            </w:r>
          </w:hyperlink>
        </w:p>
        <w:p w:rsidR="00027577" w:rsidRDefault="006D73CB">
          <w:pPr>
            <w:pStyle w:val="TOC2"/>
            <w:tabs>
              <w:tab w:val="left" w:pos="880"/>
              <w:tab w:val="right" w:leader="dot" w:pos="9016"/>
            </w:tabs>
            <w:rPr>
              <w:rFonts w:asciiTheme="minorHAnsi" w:eastAsiaTheme="minorEastAsia" w:hAnsiTheme="minorHAnsi"/>
              <w:noProof/>
              <w:lang w:eastAsia="en-AU"/>
            </w:rPr>
          </w:pPr>
          <w:hyperlink w:anchor="_Toc146118030" w:history="1">
            <w:r w:rsidR="00027577" w:rsidRPr="0076339B">
              <w:rPr>
                <w:rStyle w:val="Hyperlink"/>
                <w:noProof/>
                <w:lang w:eastAsia="en-AU"/>
              </w:rPr>
              <w:t>2.2</w:t>
            </w:r>
            <w:r w:rsidR="00027577">
              <w:rPr>
                <w:rFonts w:asciiTheme="minorHAnsi" w:eastAsiaTheme="minorEastAsia" w:hAnsiTheme="minorHAnsi"/>
                <w:noProof/>
                <w:lang w:eastAsia="en-AU"/>
              </w:rPr>
              <w:tab/>
            </w:r>
            <w:r w:rsidR="00027577" w:rsidRPr="0076339B">
              <w:rPr>
                <w:rStyle w:val="Hyperlink"/>
                <w:noProof/>
                <w:lang w:eastAsia="en-AU"/>
              </w:rPr>
              <w:t>Design of emergency accommodation</w:t>
            </w:r>
            <w:r w:rsidR="00027577">
              <w:rPr>
                <w:noProof/>
                <w:webHidden/>
              </w:rPr>
              <w:tab/>
            </w:r>
            <w:r w:rsidR="00027577">
              <w:rPr>
                <w:noProof/>
                <w:webHidden/>
              </w:rPr>
              <w:fldChar w:fldCharType="begin"/>
            </w:r>
            <w:r w:rsidR="00027577">
              <w:rPr>
                <w:noProof/>
                <w:webHidden/>
              </w:rPr>
              <w:instrText xml:space="preserve"> PAGEREF _Toc146118030 \h </w:instrText>
            </w:r>
            <w:r w:rsidR="00027577">
              <w:rPr>
                <w:noProof/>
                <w:webHidden/>
              </w:rPr>
            </w:r>
            <w:r w:rsidR="00027577">
              <w:rPr>
                <w:noProof/>
                <w:webHidden/>
              </w:rPr>
              <w:fldChar w:fldCharType="separate"/>
            </w:r>
            <w:r w:rsidR="00CD726B">
              <w:rPr>
                <w:noProof/>
                <w:webHidden/>
              </w:rPr>
              <w:t>10</w:t>
            </w:r>
            <w:r w:rsidR="00027577">
              <w:rPr>
                <w:noProof/>
                <w:webHidden/>
              </w:rPr>
              <w:fldChar w:fldCharType="end"/>
            </w:r>
          </w:hyperlink>
        </w:p>
        <w:p w:rsidR="00027577" w:rsidRDefault="006D73CB">
          <w:pPr>
            <w:pStyle w:val="TOC3"/>
            <w:tabs>
              <w:tab w:val="left" w:pos="1320"/>
              <w:tab w:val="right" w:leader="dot" w:pos="9016"/>
            </w:tabs>
            <w:rPr>
              <w:rFonts w:asciiTheme="minorHAnsi" w:eastAsiaTheme="minorEastAsia" w:hAnsiTheme="minorHAnsi"/>
              <w:noProof/>
              <w:lang w:eastAsia="en-AU"/>
            </w:rPr>
          </w:pPr>
          <w:hyperlink w:anchor="_Toc146118031" w:history="1">
            <w:r w:rsidR="00027577" w:rsidRPr="0076339B">
              <w:rPr>
                <w:rStyle w:val="Hyperlink"/>
                <w:iCs/>
                <w:noProof/>
                <w:lang w:eastAsia="en-AU"/>
              </w:rPr>
              <w:t>2.2.1</w:t>
            </w:r>
            <w:r w:rsidR="00027577">
              <w:rPr>
                <w:rFonts w:asciiTheme="minorHAnsi" w:eastAsiaTheme="minorEastAsia" w:hAnsiTheme="minorHAnsi"/>
                <w:noProof/>
                <w:lang w:eastAsia="en-AU"/>
              </w:rPr>
              <w:tab/>
            </w:r>
            <w:r w:rsidR="00027577" w:rsidRPr="0076339B">
              <w:rPr>
                <w:rStyle w:val="Hyperlink"/>
                <w:noProof/>
                <w:lang w:eastAsia="en-AU"/>
              </w:rPr>
              <w:t>Livable Housing Design Guidelines:</w:t>
            </w:r>
            <w:r w:rsidR="00027577">
              <w:rPr>
                <w:noProof/>
                <w:webHidden/>
              </w:rPr>
              <w:tab/>
            </w:r>
            <w:r w:rsidR="00027577">
              <w:rPr>
                <w:noProof/>
                <w:webHidden/>
              </w:rPr>
              <w:fldChar w:fldCharType="begin"/>
            </w:r>
            <w:r w:rsidR="00027577">
              <w:rPr>
                <w:noProof/>
                <w:webHidden/>
              </w:rPr>
              <w:instrText xml:space="preserve"> PAGEREF _Toc146118031 \h </w:instrText>
            </w:r>
            <w:r w:rsidR="00027577">
              <w:rPr>
                <w:noProof/>
                <w:webHidden/>
              </w:rPr>
            </w:r>
            <w:r w:rsidR="00027577">
              <w:rPr>
                <w:noProof/>
                <w:webHidden/>
              </w:rPr>
              <w:fldChar w:fldCharType="separate"/>
            </w:r>
            <w:r w:rsidR="00CD726B">
              <w:rPr>
                <w:noProof/>
                <w:webHidden/>
              </w:rPr>
              <w:t>12</w:t>
            </w:r>
            <w:r w:rsidR="00027577">
              <w:rPr>
                <w:noProof/>
                <w:webHidden/>
              </w:rPr>
              <w:fldChar w:fldCharType="end"/>
            </w:r>
          </w:hyperlink>
        </w:p>
        <w:p w:rsidR="00027577" w:rsidRDefault="006D73CB">
          <w:pPr>
            <w:pStyle w:val="TOC3"/>
            <w:tabs>
              <w:tab w:val="left" w:pos="1320"/>
              <w:tab w:val="right" w:leader="dot" w:pos="9016"/>
            </w:tabs>
            <w:rPr>
              <w:rFonts w:asciiTheme="minorHAnsi" w:eastAsiaTheme="minorEastAsia" w:hAnsiTheme="minorHAnsi"/>
              <w:noProof/>
              <w:lang w:eastAsia="en-AU"/>
            </w:rPr>
          </w:pPr>
          <w:hyperlink w:anchor="_Toc146118032" w:history="1">
            <w:r w:rsidR="00027577" w:rsidRPr="0076339B">
              <w:rPr>
                <w:rStyle w:val="Hyperlink"/>
                <w:iCs/>
                <w:noProof/>
                <w:lang w:eastAsia="en-AU"/>
              </w:rPr>
              <w:t>2.2.2</w:t>
            </w:r>
            <w:r w:rsidR="00027577">
              <w:rPr>
                <w:rFonts w:asciiTheme="minorHAnsi" w:eastAsiaTheme="minorEastAsia" w:hAnsiTheme="minorHAnsi"/>
                <w:noProof/>
                <w:lang w:eastAsia="en-AU"/>
              </w:rPr>
              <w:tab/>
            </w:r>
            <w:r w:rsidR="00027577" w:rsidRPr="0076339B">
              <w:rPr>
                <w:rStyle w:val="Hyperlink"/>
                <w:noProof/>
                <w:lang w:eastAsia="en-AU"/>
              </w:rPr>
              <w:t>Additional design features</w:t>
            </w:r>
            <w:r w:rsidR="00027577">
              <w:rPr>
                <w:noProof/>
                <w:webHidden/>
              </w:rPr>
              <w:tab/>
            </w:r>
            <w:r w:rsidR="00027577">
              <w:rPr>
                <w:noProof/>
                <w:webHidden/>
              </w:rPr>
              <w:fldChar w:fldCharType="begin"/>
            </w:r>
            <w:r w:rsidR="00027577">
              <w:rPr>
                <w:noProof/>
                <w:webHidden/>
              </w:rPr>
              <w:instrText xml:space="preserve"> PAGEREF _Toc146118032 \h </w:instrText>
            </w:r>
            <w:r w:rsidR="00027577">
              <w:rPr>
                <w:noProof/>
                <w:webHidden/>
              </w:rPr>
            </w:r>
            <w:r w:rsidR="00027577">
              <w:rPr>
                <w:noProof/>
                <w:webHidden/>
              </w:rPr>
              <w:fldChar w:fldCharType="separate"/>
            </w:r>
            <w:r w:rsidR="00CD726B">
              <w:rPr>
                <w:noProof/>
                <w:webHidden/>
              </w:rPr>
              <w:t>13</w:t>
            </w:r>
            <w:r w:rsidR="00027577">
              <w:rPr>
                <w:noProof/>
                <w:webHidden/>
              </w:rPr>
              <w:fldChar w:fldCharType="end"/>
            </w:r>
          </w:hyperlink>
        </w:p>
        <w:p w:rsidR="00027577" w:rsidRDefault="006D73CB">
          <w:pPr>
            <w:pStyle w:val="TOC2"/>
            <w:tabs>
              <w:tab w:val="left" w:pos="880"/>
              <w:tab w:val="right" w:leader="dot" w:pos="9016"/>
            </w:tabs>
            <w:rPr>
              <w:rFonts w:asciiTheme="minorHAnsi" w:eastAsiaTheme="minorEastAsia" w:hAnsiTheme="minorHAnsi"/>
              <w:noProof/>
              <w:lang w:eastAsia="en-AU"/>
            </w:rPr>
          </w:pPr>
          <w:hyperlink w:anchor="_Toc146118033" w:history="1">
            <w:r w:rsidR="00027577" w:rsidRPr="0076339B">
              <w:rPr>
                <w:rStyle w:val="Hyperlink"/>
                <w:noProof/>
                <w:lang w:eastAsia="en-AU"/>
              </w:rPr>
              <w:t>2.3</w:t>
            </w:r>
            <w:r w:rsidR="00027577">
              <w:rPr>
                <w:rFonts w:asciiTheme="minorHAnsi" w:eastAsiaTheme="minorEastAsia" w:hAnsiTheme="minorHAnsi"/>
                <w:noProof/>
                <w:lang w:eastAsia="en-AU"/>
              </w:rPr>
              <w:tab/>
            </w:r>
            <w:r w:rsidR="00027577" w:rsidRPr="0076339B">
              <w:rPr>
                <w:rStyle w:val="Hyperlink"/>
                <w:noProof/>
                <w:lang w:eastAsia="en-AU"/>
              </w:rPr>
              <w:t>Supporting the priority groups</w:t>
            </w:r>
            <w:r w:rsidR="00027577">
              <w:rPr>
                <w:noProof/>
                <w:webHidden/>
              </w:rPr>
              <w:tab/>
            </w:r>
            <w:r w:rsidR="00027577">
              <w:rPr>
                <w:noProof/>
                <w:webHidden/>
              </w:rPr>
              <w:fldChar w:fldCharType="begin"/>
            </w:r>
            <w:r w:rsidR="00027577">
              <w:rPr>
                <w:noProof/>
                <w:webHidden/>
              </w:rPr>
              <w:instrText xml:space="preserve"> PAGEREF _Toc146118033 \h </w:instrText>
            </w:r>
            <w:r w:rsidR="00027577">
              <w:rPr>
                <w:noProof/>
                <w:webHidden/>
              </w:rPr>
            </w:r>
            <w:r w:rsidR="00027577">
              <w:rPr>
                <w:noProof/>
                <w:webHidden/>
              </w:rPr>
              <w:fldChar w:fldCharType="separate"/>
            </w:r>
            <w:r w:rsidR="00CD726B">
              <w:rPr>
                <w:noProof/>
                <w:webHidden/>
              </w:rPr>
              <w:t>14</w:t>
            </w:r>
            <w:r w:rsidR="00027577">
              <w:rPr>
                <w:noProof/>
                <w:webHidden/>
              </w:rPr>
              <w:fldChar w:fldCharType="end"/>
            </w:r>
          </w:hyperlink>
        </w:p>
        <w:p w:rsidR="00027577" w:rsidRDefault="006D73CB">
          <w:pPr>
            <w:pStyle w:val="TOC3"/>
            <w:tabs>
              <w:tab w:val="left" w:pos="1320"/>
              <w:tab w:val="right" w:leader="dot" w:pos="9016"/>
            </w:tabs>
            <w:rPr>
              <w:rFonts w:asciiTheme="minorHAnsi" w:eastAsiaTheme="minorEastAsia" w:hAnsiTheme="minorHAnsi"/>
              <w:noProof/>
              <w:lang w:eastAsia="en-AU"/>
            </w:rPr>
          </w:pPr>
          <w:hyperlink w:anchor="_Toc146118034" w:history="1">
            <w:r w:rsidR="00027577" w:rsidRPr="0076339B">
              <w:rPr>
                <w:rStyle w:val="Hyperlink"/>
                <w:iCs/>
                <w:noProof/>
                <w:lang w:eastAsia="en-AU"/>
              </w:rPr>
              <w:t>2.3.1</w:t>
            </w:r>
            <w:r w:rsidR="00027577">
              <w:rPr>
                <w:rFonts w:asciiTheme="minorHAnsi" w:eastAsiaTheme="minorEastAsia" w:hAnsiTheme="minorHAnsi"/>
                <w:noProof/>
                <w:lang w:eastAsia="en-AU"/>
              </w:rPr>
              <w:tab/>
            </w:r>
            <w:r w:rsidR="00027577" w:rsidRPr="0076339B">
              <w:rPr>
                <w:rStyle w:val="Hyperlink"/>
                <w:noProof/>
                <w:lang w:eastAsia="en-AU"/>
              </w:rPr>
              <w:t>First Nations women and children</w:t>
            </w:r>
            <w:r w:rsidR="00027577">
              <w:rPr>
                <w:noProof/>
                <w:webHidden/>
              </w:rPr>
              <w:tab/>
            </w:r>
            <w:r w:rsidR="00027577">
              <w:rPr>
                <w:noProof/>
                <w:webHidden/>
              </w:rPr>
              <w:fldChar w:fldCharType="begin"/>
            </w:r>
            <w:r w:rsidR="00027577">
              <w:rPr>
                <w:noProof/>
                <w:webHidden/>
              </w:rPr>
              <w:instrText xml:space="preserve"> PAGEREF _Toc146118034 \h </w:instrText>
            </w:r>
            <w:r w:rsidR="00027577">
              <w:rPr>
                <w:noProof/>
                <w:webHidden/>
              </w:rPr>
            </w:r>
            <w:r w:rsidR="00027577">
              <w:rPr>
                <w:noProof/>
                <w:webHidden/>
              </w:rPr>
              <w:fldChar w:fldCharType="separate"/>
            </w:r>
            <w:r w:rsidR="00CD726B">
              <w:rPr>
                <w:noProof/>
                <w:webHidden/>
              </w:rPr>
              <w:t>15</w:t>
            </w:r>
            <w:r w:rsidR="00027577">
              <w:rPr>
                <w:noProof/>
                <w:webHidden/>
              </w:rPr>
              <w:fldChar w:fldCharType="end"/>
            </w:r>
          </w:hyperlink>
        </w:p>
        <w:p w:rsidR="00027577" w:rsidRDefault="006D73CB">
          <w:pPr>
            <w:pStyle w:val="TOC3"/>
            <w:tabs>
              <w:tab w:val="left" w:pos="1320"/>
              <w:tab w:val="right" w:leader="dot" w:pos="9016"/>
            </w:tabs>
            <w:rPr>
              <w:rFonts w:asciiTheme="minorHAnsi" w:eastAsiaTheme="minorEastAsia" w:hAnsiTheme="minorHAnsi"/>
              <w:noProof/>
              <w:lang w:eastAsia="en-AU"/>
            </w:rPr>
          </w:pPr>
          <w:hyperlink w:anchor="_Toc146118035" w:history="1">
            <w:r w:rsidR="00027577" w:rsidRPr="0076339B">
              <w:rPr>
                <w:rStyle w:val="Hyperlink"/>
                <w:iCs/>
                <w:noProof/>
                <w:lang w:eastAsia="en-AU"/>
              </w:rPr>
              <w:t>2.3.2</w:t>
            </w:r>
            <w:r w:rsidR="00027577">
              <w:rPr>
                <w:rFonts w:asciiTheme="minorHAnsi" w:eastAsiaTheme="minorEastAsia" w:hAnsiTheme="minorHAnsi"/>
                <w:noProof/>
                <w:lang w:eastAsia="en-AU"/>
              </w:rPr>
              <w:tab/>
            </w:r>
            <w:r w:rsidR="00027577" w:rsidRPr="0076339B">
              <w:rPr>
                <w:rStyle w:val="Hyperlink"/>
                <w:noProof/>
                <w:lang w:eastAsia="en-AU"/>
              </w:rPr>
              <w:t>CALD women and children</w:t>
            </w:r>
            <w:r w:rsidR="00027577">
              <w:rPr>
                <w:noProof/>
                <w:webHidden/>
              </w:rPr>
              <w:tab/>
            </w:r>
            <w:r w:rsidR="00027577">
              <w:rPr>
                <w:noProof/>
                <w:webHidden/>
              </w:rPr>
              <w:fldChar w:fldCharType="begin"/>
            </w:r>
            <w:r w:rsidR="00027577">
              <w:rPr>
                <w:noProof/>
                <w:webHidden/>
              </w:rPr>
              <w:instrText xml:space="preserve"> PAGEREF _Toc146118035 \h </w:instrText>
            </w:r>
            <w:r w:rsidR="00027577">
              <w:rPr>
                <w:noProof/>
                <w:webHidden/>
              </w:rPr>
            </w:r>
            <w:r w:rsidR="00027577">
              <w:rPr>
                <w:noProof/>
                <w:webHidden/>
              </w:rPr>
              <w:fldChar w:fldCharType="separate"/>
            </w:r>
            <w:r w:rsidR="00CD726B">
              <w:rPr>
                <w:noProof/>
                <w:webHidden/>
              </w:rPr>
              <w:t>16</w:t>
            </w:r>
            <w:r w:rsidR="00027577">
              <w:rPr>
                <w:noProof/>
                <w:webHidden/>
              </w:rPr>
              <w:fldChar w:fldCharType="end"/>
            </w:r>
          </w:hyperlink>
        </w:p>
        <w:p w:rsidR="00027577" w:rsidRDefault="006D73CB">
          <w:pPr>
            <w:pStyle w:val="TOC3"/>
            <w:tabs>
              <w:tab w:val="left" w:pos="1320"/>
              <w:tab w:val="right" w:leader="dot" w:pos="9016"/>
            </w:tabs>
            <w:rPr>
              <w:rFonts w:asciiTheme="minorHAnsi" w:eastAsiaTheme="minorEastAsia" w:hAnsiTheme="minorHAnsi"/>
              <w:noProof/>
              <w:lang w:eastAsia="en-AU"/>
            </w:rPr>
          </w:pPr>
          <w:hyperlink w:anchor="_Toc146118036" w:history="1">
            <w:r w:rsidR="00027577" w:rsidRPr="0076339B">
              <w:rPr>
                <w:rStyle w:val="Hyperlink"/>
                <w:iCs/>
                <w:noProof/>
                <w:lang w:eastAsia="en-AU"/>
              </w:rPr>
              <w:t>2.3.3</w:t>
            </w:r>
            <w:r w:rsidR="00027577">
              <w:rPr>
                <w:rFonts w:asciiTheme="minorHAnsi" w:eastAsiaTheme="minorEastAsia" w:hAnsiTheme="minorHAnsi"/>
                <w:noProof/>
                <w:lang w:eastAsia="en-AU"/>
              </w:rPr>
              <w:tab/>
            </w:r>
            <w:r w:rsidR="00027577" w:rsidRPr="0076339B">
              <w:rPr>
                <w:rStyle w:val="Hyperlink"/>
                <w:noProof/>
                <w:lang w:eastAsia="en-AU"/>
              </w:rPr>
              <w:t>Women and children with disability</w:t>
            </w:r>
            <w:r w:rsidR="00027577">
              <w:rPr>
                <w:noProof/>
                <w:webHidden/>
              </w:rPr>
              <w:tab/>
            </w:r>
            <w:r w:rsidR="00027577">
              <w:rPr>
                <w:noProof/>
                <w:webHidden/>
              </w:rPr>
              <w:fldChar w:fldCharType="begin"/>
            </w:r>
            <w:r w:rsidR="00027577">
              <w:rPr>
                <w:noProof/>
                <w:webHidden/>
              </w:rPr>
              <w:instrText xml:space="preserve"> PAGEREF _Toc146118036 \h </w:instrText>
            </w:r>
            <w:r w:rsidR="00027577">
              <w:rPr>
                <w:noProof/>
                <w:webHidden/>
              </w:rPr>
            </w:r>
            <w:r w:rsidR="00027577">
              <w:rPr>
                <w:noProof/>
                <w:webHidden/>
              </w:rPr>
              <w:fldChar w:fldCharType="separate"/>
            </w:r>
            <w:r w:rsidR="00CD726B">
              <w:rPr>
                <w:noProof/>
                <w:webHidden/>
              </w:rPr>
              <w:t>17</w:t>
            </w:r>
            <w:r w:rsidR="00027577">
              <w:rPr>
                <w:noProof/>
                <w:webHidden/>
              </w:rPr>
              <w:fldChar w:fldCharType="end"/>
            </w:r>
          </w:hyperlink>
        </w:p>
        <w:p w:rsidR="00027577" w:rsidRDefault="006D73CB">
          <w:pPr>
            <w:pStyle w:val="TOC2"/>
            <w:tabs>
              <w:tab w:val="left" w:pos="880"/>
              <w:tab w:val="right" w:leader="dot" w:pos="9016"/>
            </w:tabs>
            <w:rPr>
              <w:rFonts w:asciiTheme="minorHAnsi" w:eastAsiaTheme="minorEastAsia" w:hAnsiTheme="minorHAnsi"/>
              <w:noProof/>
              <w:lang w:eastAsia="en-AU"/>
            </w:rPr>
          </w:pPr>
          <w:hyperlink w:anchor="_Toc146118037" w:history="1">
            <w:r w:rsidR="00027577" w:rsidRPr="0076339B">
              <w:rPr>
                <w:rStyle w:val="Hyperlink"/>
                <w:noProof/>
                <w:lang w:eastAsia="en-AU"/>
              </w:rPr>
              <w:t>2.4</w:t>
            </w:r>
            <w:r w:rsidR="00027577">
              <w:rPr>
                <w:rFonts w:asciiTheme="minorHAnsi" w:eastAsiaTheme="minorEastAsia" w:hAnsiTheme="minorHAnsi"/>
                <w:noProof/>
                <w:lang w:eastAsia="en-AU"/>
              </w:rPr>
              <w:tab/>
            </w:r>
            <w:r w:rsidR="00027577" w:rsidRPr="0076339B">
              <w:rPr>
                <w:rStyle w:val="Hyperlink"/>
                <w:noProof/>
                <w:lang w:eastAsia="en-AU"/>
              </w:rPr>
              <w:t>Building and construction sector challenges and mitigations</w:t>
            </w:r>
            <w:r w:rsidR="00027577">
              <w:rPr>
                <w:noProof/>
                <w:webHidden/>
              </w:rPr>
              <w:tab/>
            </w:r>
            <w:r w:rsidR="00027577">
              <w:rPr>
                <w:noProof/>
                <w:webHidden/>
              </w:rPr>
              <w:fldChar w:fldCharType="begin"/>
            </w:r>
            <w:r w:rsidR="00027577">
              <w:rPr>
                <w:noProof/>
                <w:webHidden/>
              </w:rPr>
              <w:instrText xml:space="preserve"> PAGEREF _Toc146118037 \h </w:instrText>
            </w:r>
            <w:r w:rsidR="00027577">
              <w:rPr>
                <w:noProof/>
                <w:webHidden/>
              </w:rPr>
            </w:r>
            <w:r w:rsidR="00027577">
              <w:rPr>
                <w:noProof/>
                <w:webHidden/>
              </w:rPr>
              <w:fldChar w:fldCharType="separate"/>
            </w:r>
            <w:r w:rsidR="00CD726B">
              <w:rPr>
                <w:noProof/>
                <w:webHidden/>
              </w:rPr>
              <w:t>18</w:t>
            </w:r>
            <w:r w:rsidR="00027577">
              <w:rPr>
                <w:noProof/>
                <w:webHidden/>
              </w:rPr>
              <w:fldChar w:fldCharType="end"/>
            </w:r>
          </w:hyperlink>
        </w:p>
        <w:p w:rsidR="00027577" w:rsidRDefault="006D73CB">
          <w:pPr>
            <w:pStyle w:val="TOC2"/>
            <w:tabs>
              <w:tab w:val="left" w:pos="880"/>
              <w:tab w:val="right" w:leader="dot" w:pos="9016"/>
            </w:tabs>
            <w:rPr>
              <w:rFonts w:asciiTheme="minorHAnsi" w:eastAsiaTheme="minorEastAsia" w:hAnsiTheme="minorHAnsi"/>
              <w:noProof/>
              <w:lang w:eastAsia="en-AU"/>
            </w:rPr>
          </w:pPr>
          <w:hyperlink w:anchor="_Toc146118038" w:history="1">
            <w:r w:rsidR="00027577" w:rsidRPr="0076339B">
              <w:rPr>
                <w:rStyle w:val="Hyperlink"/>
                <w:noProof/>
                <w:lang w:eastAsia="en-AU"/>
              </w:rPr>
              <w:t>2.5</w:t>
            </w:r>
            <w:r w:rsidR="00027577">
              <w:rPr>
                <w:rFonts w:asciiTheme="minorHAnsi" w:eastAsiaTheme="minorEastAsia" w:hAnsiTheme="minorHAnsi"/>
                <w:noProof/>
                <w:lang w:eastAsia="en-AU"/>
              </w:rPr>
              <w:tab/>
            </w:r>
            <w:r w:rsidR="00027577" w:rsidRPr="0076339B">
              <w:rPr>
                <w:rStyle w:val="Hyperlink"/>
                <w:noProof/>
                <w:lang w:eastAsia="en-AU"/>
              </w:rPr>
              <w:t>Eligibility and assessment criteria</w:t>
            </w:r>
            <w:r w:rsidR="00027577">
              <w:rPr>
                <w:noProof/>
                <w:webHidden/>
              </w:rPr>
              <w:tab/>
            </w:r>
            <w:r w:rsidR="00027577">
              <w:rPr>
                <w:noProof/>
                <w:webHidden/>
              </w:rPr>
              <w:fldChar w:fldCharType="begin"/>
            </w:r>
            <w:r w:rsidR="00027577">
              <w:rPr>
                <w:noProof/>
                <w:webHidden/>
              </w:rPr>
              <w:instrText xml:space="preserve"> PAGEREF _Toc146118038 \h </w:instrText>
            </w:r>
            <w:r w:rsidR="00027577">
              <w:rPr>
                <w:noProof/>
                <w:webHidden/>
              </w:rPr>
            </w:r>
            <w:r w:rsidR="00027577">
              <w:rPr>
                <w:noProof/>
                <w:webHidden/>
              </w:rPr>
              <w:fldChar w:fldCharType="separate"/>
            </w:r>
            <w:r w:rsidR="00CD726B">
              <w:rPr>
                <w:noProof/>
                <w:webHidden/>
              </w:rPr>
              <w:t>19</w:t>
            </w:r>
            <w:r w:rsidR="00027577">
              <w:rPr>
                <w:noProof/>
                <w:webHidden/>
              </w:rPr>
              <w:fldChar w:fldCharType="end"/>
            </w:r>
          </w:hyperlink>
        </w:p>
        <w:p w:rsidR="00027577" w:rsidRDefault="006D73CB">
          <w:pPr>
            <w:pStyle w:val="TOC3"/>
            <w:tabs>
              <w:tab w:val="left" w:pos="1320"/>
              <w:tab w:val="right" w:leader="dot" w:pos="9016"/>
            </w:tabs>
            <w:rPr>
              <w:rFonts w:asciiTheme="minorHAnsi" w:eastAsiaTheme="minorEastAsia" w:hAnsiTheme="minorHAnsi"/>
              <w:noProof/>
              <w:lang w:eastAsia="en-AU"/>
            </w:rPr>
          </w:pPr>
          <w:hyperlink w:anchor="_Toc146118039" w:history="1">
            <w:r w:rsidR="00027577" w:rsidRPr="0076339B">
              <w:rPr>
                <w:rStyle w:val="Hyperlink"/>
                <w:iCs/>
                <w:noProof/>
                <w:lang w:eastAsia="en-AU"/>
              </w:rPr>
              <w:t>2.5.1</w:t>
            </w:r>
            <w:r w:rsidR="00027577">
              <w:rPr>
                <w:rFonts w:asciiTheme="minorHAnsi" w:eastAsiaTheme="minorEastAsia" w:hAnsiTheme="minorHAnsi"/>
                <w:noProof/>
                <w:lang w:eastAsia="en-AU"/>
              </w:rPr>
              <w:tab/>
            </w:r>
            <w:r w:rsidR="00027577" w:rsidRPr="0076339B">
              <w:rPr>
                <w:rStyle w:val="Hyperlink"/>
                <w:noProof/>
                <w:lang w:eastAsia="en-AU"/>
              </w:rPr>
              <w:t>Eligibility criteria</w:t>
            </w:r>
            <w:r w:rsidR="00027577">
              <w:rPr>
                <w:noProof/>
                <w:webHidden/>
              </w:rPr>
              <w:tab/>
            </w:r>
            <w:r w:rsidR="00027577">
              <w:rPr>
                <w:noProof/>
                <w:webHidden/>
              </w:rPr>
              <w:fldChar w:fldCharType="begin"/>
            </w:r>
            <w:r w:rsidR="00027577">
              <w:rPr>
                <w:noProof/>
                <w:webHidden/>
              </w:rPr>
              <w:instrText xml:space="preserve"> PAGEREF _Toc146118039 \h </w:instrText>
            </w:r>
            <w:r w:rsidR="00027577">
              <w:rPr>
                <w:noProof/>
                <w:webHidden/>
              </w:rPr>
            </w:r>
            <w:r w:rsidR="00027577">
              <w:rPr>
                <w:noProof/>
                <w:webHidden/>
              </w:rPr>
              <w:fldChar w:fldCharType="separate"/>
            </w:r>
            <w:r w:rsidR="00CD726B">
              <w:rPr>
                <w:noProof/>
                <w:webHidden/>
              </w:rPr>
              <w:t>19</w:t>
            </w:r>
            <w:r w:rsidR="00027577">
              <w:rPr>
                <w:noProof/>
                <w:webHidden/>
              </w:rPr>
              <w:fldChar w:fldCharType="end"/>
            </w:r>
          </w:hyperlink>
        </w:p>
        <w:p w:rsidR="00027577" w:rsidRDefault="006D73CB">
          <w:pPr>
            <w:pStyle w:val="TOC3"/>
            <w:tabs>
              <w:tab w:val="left" w:pos="1320"/>
              <w:tab w:val="right" w:leader="dot" w:pos="9016"/>
            </w:tabs>
            <w:rPr>
              <w:rFonts w:asciiTheme="minorHAnsi" w:eastAsiaTheme="minorEastAsia" w:hAnsiTheme="minorHAnsi"/>
              <w:noProof/>
              <w:lang w:eastAsia="en-AU"/>
            </w:rPr>
          </w:pPr>
          <w:hyperlink w:anchor="_Toc146118040" w:history="1">
            <w:r w:rsidR="00027577" w:rsidRPr="0076339B">
              <w:rPr>
                <w:rStyle w:val="Hyperlink"/>
                <w:noProof/>
                <w:lang w:eastAsia="en-AU"/>
              </w:rPr>
              <w:t>2.5.2</w:t>
            </w:r>
            <w:r w:rsidR="00027577">
              <w:rPr>
                <w:rFonts w:asciiTheme="minorHAnsi" w:eastAsiaTheme="minorEastAsia" w:hAnsiTheme="minorHAnsi"/>
                <w:noProof/>
                <w:lang w:eastAsia="en-AU"/>
              </w:rPr>
              <w:tab/>
            </w:r>
            <w:r w:rsidR="00027577" w:rsidRPr="0076339B">
              <w:rPr>
                <w:rStyle w:val="Hyperlink"/>
                <w:noProof/>
                <w:lang w:eastAsia="en-AU"/>
              </w:rPr>
              <w:t>Assessment criteria</w:t>
            </w:r>
            <w:r w:rsidR="00027577">
              <w:rPr>
                <w:noProof/>
                <w:webHidden/>
              </w:rPr>
              <w:tab/>
            </w:r>
            <w:r w:rsidR="00027577">
              <w:rPr>
                <w:noProof/>
                <w:webHidden/>
              </w:rPr>
              <w:fldChar w:fldCharType="begin"/>
            </w:r>
            <w:r w:rsidR="00027577">
              <w:rPr>
                <w:noProof/>
                <w:webHidden/>
              </w:rPr>
              <w:instrText xml:space="preserve"> PAGEREF _Toc146118040 \h </w:instrText>
            </w:r>
            <w:r w:rsidR="00027577">
              <w:rPr>
                <w:noProof/>
                <w:webHidden/>
              </w:rPr>
            </w:r>
            <w:r w:rsidR="00027577">
              <w:rPr>
                <w:noProof/>
                <w:webHidden/>
              </w:rPr>
              <w:fldChar w:fldCharType="separate"/>
            </w:r>
            <w:r w:rsidR="00CD726B">
              <w:rPr>
                <w:noProof/>
                <w:webHidden/>
              </w:rPr>
              <w:t>20</w:t>
            </w:r>
            <w:r w:rsidR="00027577">
              <w:rPr>
                <w:noProof/>
                <w:webHidden/>
              </w:rPr>
              <w:fldChar w:fldCharType="end"/>
            </w:r>
          </w:hyperlink>
        </w:p>
        <w:p w:rsidR="00027577" w:rsidRDefault="006D73CB">
          <w:pPr>
            <w:pStyle w:val="TOC2"/>
            <w:tabs>
              <w:tab w:val="left" w:pos="880"/>
              <w:tab w:val="right" w:leader="dot" w:pos="9016"/>
            </w:tabs>
            <w:rPr>
              <w:rFonts w:asciiTheme="minorHAnsi" w:eastAsiaTheme="minorEastAsia" w:hAnsiTheme="minorHAnsi"/>
              <w:noProof/>
              <w:lang w:eastAsia="en-AU"/>
            </w:rPr>
          </w:pPr>
          <w:hyperlink w:anchor="_Toc146118041" w:history="1">
            <w:r w:rsidR="00027577" w:rsidRPr="0076339B">
              <w:rPr>
                <w:rStyle w:val="Hyperlink"/>
                <w:noProof/>
                <w:lang w:eastAsia="en-AU"/>
              </w:rPr>
              <w:t>2.6</w:t>
            </w:r>
            <w:r w:rsidR="00027577">
              <w:rPr>
                <w:rFonts w:asciiTheme="minorHAnsi" w:eastAsiaTheme="minorEastAsia" w:hAnsiTheme="minorHAnsi"/>
                <w:noProof/>
                <w:lang w:eastAsia="en-AU"/>
              </w:rPr>
              <w:tab/>
            </w:r>
            <w:r w:rsidR="00027577" w:rsidRPr="0076339B">
              <w:rPr>
                <w:rStyle w:val="Hyperlink"/>
                <w:noProof/>
                <w:lang w:eastAsia="en-AU"/>
              </w:rPr>
              <w:t>Support for applicants</w:t>
            </w:r>
            <w:r w:rsidR="00027577">
              <w:rPr>
                <w:noProof/>
                <w:webHidden/>
              </w:rPr>
              <w:tab/>
            </w:r>
            <w:r w:rsidR="00027577">
              <w:rPr>
                <w:noProof/>
                <w:webHidden/>
              </w:rPr>
              <w:fldChar w:fldCharType="begin"/>
            </w:r>
            <w:r w:rsidR="00027577">
              <w:rPr>
                <w:noProof/>
                <w:webHidden/>
              </w:rPr>
              <w:instrText xml:space="preserve"> PAGEREF _Toc146118041 \h </w:instrText>
            </w:r>
            <w:r w:rsidR="00027577">
              <w:rPr>
                <w:noProof/>
                <w:webHidden/>
              </w:rPr>
            </w:r>
            <w:r w:rsidR="00027577">
              <w:rPr>
                <w:noProof/>
                <w:webHidden/>
              </w:rPr>
              <w:fldChar w:fldCharType="separate"/>
            </w:r>
            <w:r w:rsidR="00CD726B">
              <w:rPr>
                <w:noProof/>
                <w:webHidden/>
              </w:rPr>
              <w:t>26</w:t>
            </w:r>
            <w:r w:rsidR="00027577">
              <w:rPr>
                <w:noProof/>
                <w:webHidden/>
              </w:rPr>
              <w:fldChar w:fldCharType="end"/>
            </w:r>
          </w:hyperlink>
        </w:p>
        <w:p w:rsidR="00027577" w:rsidRDefault="006D73CB">
          <w:pPr>
            <w:pStyle w:val="TOC3"/>
            <w:tabs>
              <w:tab w:val="left" w:pos="1320"/>
              <w:tab w:val="right" w:leader="dot" w:pos="9016"/>
            </w:tabs>
            <w:rPr>
              <w:rFonts w:asciiTheme="minorHAnsi" w:eastAsiaTheme="minorEastAsia" w:hAnsiTheme="minorHAnsi"/>
              <w:noProof/>
              <w:lang w:eastAsia="en-AU"/>
            </w:rPr>
          </w:pPr>
          <w:hyperlink w:anchor="_Toc146118042" w:history="1">
            <w:r w:rsidR="00027577" w:rsidRPr="0076339B">
              <w:rPr>
                <w:rStyle w:val="Hyperlink"/>
                <w:iCs/>
                <w:noProof/>
                <w:lang w:eastAsia="en-AU"/>
              </w:rPr>
              <w:t>2.6.1</w:t>
            </w:r>
            <w:r w:rsidR="00027577">
              <w:rPr>
                <w:rFonts w:asciiTheme="minorHAnsi" w:eastAsiaTheme="minorEastAsia" w:hAnsiTheme="minorHAnsi"/>
                <w:noProof/>
                <w:lang w:eastAsia="en-AU"/>
              </w:rPr>
              <w:tab/>
            </w:r>
            <w:r w:rsidR="00027577" w:rsidRPr="0076339B">
              <w:rPr>
                <w:rStyle w:val="Hyperlink"/>
                <w:noProof/>
                <w:lang w:eastAsia="en-AU"/>
              </w:rPr>
              <w:t>Development period</w:t>
            </w:r>
            <w:r w:rsidR="00027577">
              <w:rPr>
                <w:noProof/>
                <w:webHidden/>
              </w:rPr>
              <w:tab/>
            </w:r>
            <w:r w:rsidR="00027577">
              <w:rPr>
                <w:noProof/>
                <w:webHidden/>
              </w:rPr>
              <w:fldChar w:fldCharType="begin"/>
            </w:r>
            <w:r w:rsidR="00027577">
              <w:rPr>
                <w:noProof/>
                <w:webHidden/>
              </w:rPr>
              <w:instrText xml:space="preserve"> PAGEREF _Toc146118042 \h </w:instrText>
            </w:r>
            <w:r w:rsidR="00027577">
              <w:rPr>
                <w:noProof/>
                <w:webHidden/>
              </w:rPr>
            </w:r>
            <w:r w:rsidR="00027577">
              <w:rPr>
                <w:noProof/>
                <w:webHidden/>
              </w:rPr>
              <w:fldChar w:fldCharType="separate"/>
            </w:r>
            <w:r w:rsidR="00CD726B">
              <w:rPr>
                <w:noProof/>
                <w:webHidden/>
              </w:rPr>
              <w:t>27</w:t>
            </w:r>
            <w:r w:rsidR="00027577">
              <w:rPr>
                <w:noProof/>
                <w:webHidden/>
              </w:rPr>
              <w:fldChar w:fldCharType="end"/>
            </w:r>
          </w:hyperlink>
        </w:p>
        <w:p w:rsidR="00027577" w:rsidRDefault="006D73CB">
          <w:pPr>
            <w:pStyle w:val="TOC3"/>
            <w:tabs>
              <w:tab w:val="left" w:pos="1320"/>
              <w:tab w:val="right" w:leader="dot" w:pos="9016"/>
            </w:tabs>
            <w:rPr>
              <w:rFonts w:asciiTheme="minorHAnsi" w:eastAsiaTheme="minorEastAsia" w:hAnsiTheme="minorHAnsi"/>
              <w:noProof/>
              <w:lang w:eastAsia="en-AU"/>
            </w:rPr>
          </w:pPr>
          <w:hyperlink w:anchor="_Toc146118043" w:history="1">
            <w:r w:rsidR="00027577" w:rsidRPr="0076339B">
              <w:rPr>
                <w:rStyle w:val="Hyperlink"/>
                <w:iCs/>
                <w:noProof/>
                <w:lang w:eastAsia="en-AU"/>
              </w:rPr>
              <w:t>2.6.2</w:t>
            </w:r>
            <w:r w:rsidR="00027577">
              <w:rPr>
                <w:rFonts w:asciiTheme="minorHAnsi" w:eastAsiaTheme="minorEastAsia" w:hAnsiTheme="minorHAnsi"/>
                <w:noProof/>
                <w:lang w:eastAsia="en-AU"/>
              </w:rPr>
              <w:tab/>
            </w:r>
            <w:r w:rsidR="00027577" w:rsidRPr="0076339B">
              <w:rPr>
                <w:rStyle w:val="Hyperlink"/>
                <w:noProof/>
                <w:lang w:eastAsia="en-AU"/>
              </w:rPr>
              <w:t>‘Expression of Interest’ process and length of submission period</w:t>
            </w:r>
            <w:r w:rsidR="00027577">
              <w:rPr>
                <w:noProof/>
                <w:webHidden/>
              </w:rPr>
              <w:tab/>
            </w:r>
            <w:r w:rsidR="00027577">
              <w:rPr>
                <w:noProof/>
                <w:webHidden/>
              </w:rPr>
              <w:fldChar w:fldCharType="begin"/>
            </w:r>
            <w:r w:rsidR="00027577">
              <w:rPr>
                <w:noProof/>
                <w:webHidden/>
              </w:rPr>
              <w:instrText xml:space="preserve"> PAGEREF _Toc146118043 \h </w:instrText>
            </w:r>
            <w:r w:rsidR="00027577">
              <w:rPr>
                <w:noProof/>
                <w:webHidden/>
              </w:rPr>
            </w:r>
            <w:r w:rsidR="00027577">
              <w:rPr>
                <w:noProof/>
                <w:webHidden/>
              </w:rPr>
              <w:fldChar w:fldCharType="separate"/>
            </w:r>
            <w:r w:rsidR="00CD726B">
              <w:rPr>
                <w:noProof/>
                <w:webHidden/>
              </w:rPr>
              <w:t>28</w:t>
            </w:r>
            <w:r w:rsidR="00027577">
              <w:rPr>
                <w:noProof/>
                <w:webHidden/>
              </w:rPr>
              <w:fldChar w:fldCharType="end"/>
            </w:r>
          </w:hyperlink>
        </w:p>
        <w:p w:rsidR="00027577" w:rsidRDefault="006D73CB">
          <w:pPr>
            <w:pStyle w:val="TOC3"/>
            <w:tabs>
              <w:tab w:val="left" w:pos="1320"/>
              <w:tab w:val="right" w:leader="dot" w:pos="9016"/>
            </w:tabs>
            <w:rPr>
              <w:rFonts w:asciiTheme="minorHAnsi" w:eastAsiaTheme="minorEastAsia" w:hAnsiTheme="minorHAnsi"/>
              <w:noProof/>
              <w:lang w:eastAsia="en-AU"/>
            </w:rPr>
          </w:pPr>
          <w:hyperlink w:anchor="_Toc146118044" w:history="1">
            <w:r w:rsidR="00027577" w:rsidRPr="0076339B">
              <w:rPr>
                <w:rStyle w:val="Hyperlink"/>
                <w:iCs/>
                <w:noProof/>
                <w:lang w:eastAsia="en-AU"/>
              </w:rPr>
              <w:t>2.6.3</w:t>
            </w:r>
            <w:r w:rsidR="00027577">
              <w:rPr>
                <w:rFonts w:asciiTheme="minorHAnsi" w:eastAsiaTheme="minorEastAsia" w:hAnsiTheme="minorHAnsi"/>
                <w:noProof/>
                <w:lang w:eastAsia="en-AU"/>
              </w:rPr>
              <w:tab/>
            </w:r>
            <w:r w:rsidR="00027577" w:rsidRPr="0076339B">
              <w:rPr>
                <w:rStyle w:val="Hyperlink"/>
                <w:noProof/>
                <w:lang w:eastAsia="en-AU"/>
              </w:rPr>
              <w:t>Resources for smaller organisations to develop proposals</w:t>
            </w:r>
            <w:r w:rsidR="00027577">
              <w:rPr>
                <w:noProof/>
                <w:webHidden/>
              </w:rPr>
              <w:tab/>
            </w:r>
            <w:r w:rsidR="00027577">
              <w:rPr>
                <w:noProof/>
                <w:webHidden/>
              </w:rPr>
              <w:fldChar w:fldCharType="begin"/>
            </w:r>
            <w:r w:rsidR="00027577">
              <w:rPr>
                <w:noProof/>
                <w:webHidden/>
              </w:rPr>
              <w:instrText xml:space="preserve"> PAGEREF _Toc146118044 \h </w:instrText>
            </w:r>
            <w:r w:rsidR="00027577">
              <w:rPr>
                <w:noProof/>
                <w:webHidden/>
              </w:rPr>
            </w:r>
            <w:r w:rsidR="00027577">
              <w:rPr>
                <w:noProof/>
                <w:webHidden/>
              </w:rPr>
              <w:fldChar w:fldCharType="separate"/>
            </w:r>
            <w:r w:rsidR="00CD726B">
              <w:rPr>
                <w:noProof/>
                <w:webHidden/>
              </w:rPr>
              <w:t>29</w:t>
            </w:r>
            <w:r w:rsidR="00027577">
              <w:rPr>
                <w:noProof/>
                <w:webHidden/>
              </w:rPr>
              <w:fldChar w:fldCharType="end"/>
            </w:r>
          </w:hyperlink>
        </w:p>
        <w:p w:rsidR="00027577" w:rsidRDefault="006D73CB">
          <w:pPr>
            <w:pStyle w:val="TOC3"/>
            <w:tabs>
              <w:tab w:val="left" w:pos="1320"/>
              <w:tab w:val="right" w:leader="dot" w:pos="9016"/>
            </w:tabs>
            <w:rPr>
              <w:rFonts w:asciiTheme="minorHAnsi" w:eastAsiaTheme="minorEastAsia" w:hAnsiTheme="minorHAnsi"/>
              <w:noProof/>
              <w:lang w:eastAsia="en-AU"/>
            </w:rPr>
          </w:pPr>
          <w:hyperlink w:anchor="_Toc146118045" w:history="1">
            <w:r w:rsidR="00027577" w:rsidRPr="0076339B">
              <w:rPr>
                <w:rStyle w:val="Hyperlink"/>
                <w:iCs/>
                <w:noProof/>
                <w:lang w:eastAsia="en-AU"/>
              </w:rPr>
              <w:t>2.6.4</w:t>
            </w:r>
            <w:r w:rsidR="00027577">
              <w:rPr>
                <w:rFonts w:asciiTheme="minorHAnsi" w:eastAsiaTheme="minorEastAsia" w:hAnsiTheme="minorHAnsi"/>
                <w:noProof/>
                <w:lang w:eastAsia="en-AU"/>
              </w:rPr>
              <w:tab/>
            </w:r>
            <w:r w:rsidR="00027577" w:rsidRPr="0076339B">
              <w:rPr>
                <w:rStyle w:val="Hyperlink"/>
                <w:noProof/>
                <w:lang w:eastAsia="en-AU"/>
              </w:rPr>
              <w:t>Apportioning funds to Aboriginal and Torres Strait Islander organisations, particularly ACCOs, in line with Priority Reform Two (Building the community-controlled sector) of the National Agreement on Closing the Gap.</w:t>
            </w:r>
            <w:r w:rsidR="00027577">
              <w:rPr>
                <w:noProof/>
                <w:webHidden/>
              </w:rPr>
              <w:tab/>
            </w:r>
            <w:r w:rsidR="00027577">
              <w:rPr>
                <w:noProof/>
                <w:webHidden/>
              </w:rPr>
              <w:fldChar w:fldCharType="begin"/>
            </w:r>
            <w:r w:rsidR="00027577">
              <w:rPr>
                <w:noProof/>
                <w:webHidden/>
              </w:rPr>
              <w:instrText xml:space="preserve"> PAGEREF _Toc146118045 \h </w:instrText>
            </w:r>
            <w:r w:rsidR="00027577">
              <w:rPr>
                <w:noProof/>
                <w:webHidden/>
              </w:rPr>
            </w:r>
            <w:r w:rsidR="00027577">
              <w:rPr>
                <w:noProof/>
                <w:webHidden/>
              </w:rPr>
              <w:fldChar w:fldCharType="separate"/>
            </w:r>
            <w:r w:rsidR="00CD726B">
              <w:rPr>
                <w:noProof/>
                <w:webHidden/>
              </w:rPr>
              <w:t>29</w:t>
            </w:r>
            <w:r w:rsidR="00027577">
              <w:rPr>
                <w:noProof/>
                <w:webHidden/>
              </w:rPr>
              <w:fldChar w:fldCharType="end"/>
            </w:r>
          </w:hyperlink>
        </w:p>
        <w:p w:rsidR="00027577" w:rsidRDefault="006D73CB">
          <w:pPr>
            <w:pStyle w:val="TOC3"/>
            <w:tabs>
              <w:tab w:val="left" w:pos="1320"/>
              <w:tab w:val="right" w:leader="dot" w:pos="9016"/>
            </w:tabs>
            <w:rPr>
              <w:rFonts w:asciiTheme="minorHAnsi" w:eastAsiaTheme="minorEastAsia" w:hAnsiTheme="minorHAnsi"/>
              <w:noProof/>
              <w:lang w:eastAsia="en-AU"/>
            </w:rPr>
          </w:pPr>
          <w:hyperlink w:anchor="_Toc146118046" w:history="1">
            <w:r w:rsidR="00027577" w:rsidRPr="0076339B">
              <w:rPr>
                <w:rStyle w:val="Hyperlink"/>
                <w:noProof/>
              </w:rPr>
              <w:t>2.6.5</w:t>
            </w:r>
            <w:r w:rsidR="00027577">
              <w:rPr>
                <w:rFonts w:asciiTheme="minorHAnsi" w:eastAsiaTheme="minorEastAsia" w:hAnsiTheme="minorHAnsi"/>
                <w:noProof/>
                <w:lang w:eastAsia="en-AU"/>
              </w:rPr>
              <w:tab/>
            </w:r>
            <w:r w:rsidR="00027577" w:rsidRPr="0076339B">
              <w:rPr>
                <w:rStyle w:val="Hyperlink"/>
                <w:noProof/>
              </w:rPr>
              <w:t>Advice, templates and checklists to assist applicants</w:t>
            </w:r>
            <w:r w:rsidR="00027577">
              <w:rPr>
                <w:noProof/>
                <w:webHidden/>
              </w:rPr>
              <w:tab/>
            </w:r>
            <w:r w:rsidR="00027577">
              <w:rPr>
                <w:noProof/>
                <w:webHidden/>
              </w:rPr>
              <w:fldChar w:fldCharType="begin"/>
            </w:r>
            <w:r w:rsidR="00027577">
              <w:rPr>
                <w:noProof/>
                <w:webHidden/>
              </w:rPr>
              <w:instrText xml:space="preserve"> PAGEREF _Toc146118046 \h </w:instrText>
            </w:r>
            <w:r w:rsidR="00027577">
              <w:rPr>
                <w:noProof/>
                <w:webHidden/>
              </w:rPr>
            </w:r>
            <w:r w:rsidR="00027577">
              <w:rPr>
                <w:noProof/>
                <w:webHidden/>
              </w:rPr>
              <w:fldChar w:fldCharType="separate"/>
            </w:r>
            <w:r w:rsidR="00CD726B">
              <w:rPr>
                <w:noProof/>
                <w:webHidden/>
              </w:rPr>
              <w:t>30</w:t>
            </w:r>
            <w:r w:rsidR="00027577">
              <w:rPr>
                <w:noProof/>
                <w:webHidden/>
              </w:rPr>
              <w:fldChar w:fldCharType="end"/>
            </w:r>
          </w:hyperlink>
        </w:p>
        <w:p w:rsidR="00027577" w:rsidRDefault="006D73CB">
          <w:pPr>
            <w:pStyle w:val="TOC2"/>
            <w:tabs>
              <w:tab w:val="left" w:pos="880"/>
              <w:tab w:val="right" w:leader="dot" w:pos="9016"/>
            </w:tabs>
            <w:rPr>
              <w:rFonts w:asciiTheme="minorHAnsi" w:eastAsiaTheme="minorEastAsia" w:hAnsiTheme="minorHAnsi"/>
              <w:noProof/>
              <w:lang w:eastAsia="en-AU"/>
            </w:rPr>
          </w:pPr>
          <w:hyperlink w:anchor="_Toc146118047" w:history="1">
            <w:r w:rsidR="00027577" w:rsidRPr="0076339B">
              <w:rPr>
                <w:rStyle w:val="Hyperlink"/>
                <w:noProof/>
                <w:lang w:eastAsia="en-AU"/>
              </w:rPr>
              <w:t>2.7</w:t>
            </w:r>
            <w:r w:rsidR="00027577">
              <w:rPr>
                <w:rFonts w:asciiTheme="minorHAnsi" w:eastAsiaTheme="minorEastAsia" w:hAnsiTheme="minorHAnsi"/>
                <w:noProof/>
                <w:lang w:eastAsia="en-AU"/>
              </w:rPr>
              <w:tab/>
            </w:r>
            <w:r w:rsidR="00027577" w:rsidRPr="0076339B">
              <w:rPr>
                <w:rStyle w:val="Hyperlink"/>
                <w:noProof/>
                <w:lang w:eastAsia="en-AU"/>
              </w:rPr>
              <w:t>Program funding and funding approach</w:t>
            </w:r>
            <w:r w:rsidR="00027577">
              <w:rPr>
                <w:noProof/>
                <w:webHidden/>
              </w:rPr>
              <w:tab/>
            </w:r>
            <w:r w:rsidR="00027577">
              <w:rPr>
                <w:noProof/>
                <w:webHidden/>
              </w:rPr>
              <w:fldChar w:fldCharType="begin"/>
            </w:r>
            <w:r w:rsidR="00027577">
              <w:rPr>
                <w:noProof/>
                <w:webHidden/>
              </w:rPr>
              <w:instrText xml:space="preserve"> PAGEREF _Toc146118047 \h </w:instrText>
            </w:r>
            <w:r w:rsidR="00027577">
              <w:rPr>
                <w:noProof/>
                <w:webHidden/>
              </w:rPr>
            </w:r>
            <w:r w:rsidR="00027577">
              <w:rPr>
                <w:noProof/>
                <w:webHidden/>
              </w:rPr>
              <w:fldChar w:fldCharType="separate"/>
            </w:r>
            <w:r w:rsidR="00CD726B">
              <w:rPr>
                <w:noProof/>
                <w:webHidden/>
              </w:rPr>
              <w:t>31</w:t>
            </w:r>
            <w:r w:rsidR="00027577">
              <w:rPr>
                <w:noProof/>
                <w:webHidden/>
              </w:rPr>
              <w:fldChar w:fldCharType="end"/>
            </w:r>
          </w:hyperlink>
        </w:p>
        <w:p w:rsidR="00027577" w:rsidRDefault="006D73CB">
          <w:pPr>
            <w:pStyle w:val="TOC3"/>
            <w:tabs>
              <w:tab w:val="left" w:pos="1320"/>
              <w:tab w:val="right" w:leader="dot" w:pos="9016"/>
            </w:tabs>
            <w:rPr>
              <w:rFonts w:asciiTheme="minorHAnsi" w:eastAsiaTheme="minorEastAsia" w:hAnsiTheme="minorHAnsi"/>
              <w:noProof/>
              <w:lang w:eastAsia="en-AU"/>
            </w:rPr>
          </w:pPr>
          <w:hyperlink w:anchor="_Toc146118048" w:history="1">
            <w:r w:rsidR="00027577" w:rsidRPr="0076339B">
              <w:rPr>
                <w:rStyle w:val="Hyperlink"/>
                <w:iCs/>
                <w:noProof/>
                <w:lang w:eastAsia="en-AU"/>
              </w:rPr>
              <w:t>2.7.1</w:t>
            </w:r>
            <w:r w:rsidR="00027577">
              <w:rPr>
                <w:rFonts w:asciiTheme="minorHAnsi" w:eastAsiaTheme="minorEastAsia" w:hAnsiTheme="minorHAnsi"/>
                <w:noProof/>
                <w:lang w:eastAsia="en-AU"/>
              </w:rPr>
              <w:tab/>
            </w:r>
            <w:r w:rsidR="00027577" w:rsidRPr="0076339B">
              <w:rPr>
                <w:rStyle w:val="Hyperlink"/>
                <w:noProof/>
                <w:lang w:eastAsia="en-AU"/>
              </w:rPr>
              <w:t>Mixed-use proposals</w:t>
            </w:r>
            <w:r w:rsidR="00027577">
              <w:rPr>
                <w:noProof/>
                <w:webHidden/>
              </w:rPr>
              <w:tab/>
            </w:r>
            <w:r w:rsidR="00027577">
              <w:rPr>
                <w:noProof/>
                <w:webHidden/>
              </w:rPr>
              <w:fldChar w:fldCharType="begin"/>
            </w:r>
            <w:r w:rsidR="00027577">
              <w:rPr>
                <w:noProof/>
                <w:webHidden/>
              </w:rPr>
              <w:instrText xml:space="preserve"> PAGEREF _Toc146118048 \h </w:instrText>
            </w:r>
            <w:r w:rsidR="00027577">
              <w:rPr>
                <w:noProof/>
                <w:webHidden/>
              </w:rPr>
            </w:r>
            <w:r w:rsidR="00027577">
              <w:rPr>
                <w:noProof/>
                <w:webHidden/>
              </w:rPr>
              <w:fldChar w:fldCharType="separate"/>
            </w:r>
            <w:r w:rsidR="00CD726B">
              <w:rPr>
                <w:noProof/>
                <w:webHidden/>
              </w:rPr>
              <w:t>31</w:t>
            </w:r>
            <w:r w:rsidR="00027577">
              <w:rPr>
                <w:noProof/>
                <w:webHidden/>
              </w:rPr>
              <w:fldChar w:fldCharType="end"/>
            </w:r>
          </w:hyperlink>
        </w:p>
        <w:p w:rsidR="00027577" w:rsidRDefault="006D73CB">
          <w:pPr>
            <w:pStyle w:val="TOC3"/>
            <w:tabs>
              <w:tab w:val="left" w:pos="1320"/>
              <w:tab w:val="right" w:leader="dot" w:pos="9016"/>
            </w:tabs>
            <w:rPr>
              <w:rFonts w:asciiTheme="minorHAnsi" w:eastAsiaTheme="minorEastAsia" w:hAnsiTheme="minorHAnsi"/>
              <w:noProof/>
              <w:lang w:eastAsia="en-AU"/>
            </w:rPr>
          </w:pPr>
          <w:hyperlink w:anchor="_Toc146118049" w:history="1">
            <w:r w:rsidR="00027577" w:rsidRPr="0076339B">
              <w:rPr>
                <w:rStyle w:val="Hyperlink"/>
                <w:iCs/>
                <w:noProof/>
                <w:lang w:eastAsia="en-AU"/>
              </w:rPr>
              <w:t>2.7.2</w:t>
            </w:r>
            <w:r w:rsidR="00027577">
              <w:rPr>
                <w:rFonts w:asciiTheme="minorHAnsi" w:eastAsiaTheme="minorEastAsia" w:hAnsiTheme="minorHAnsi"/>
                <w:noProof/>
                <w:lang w:eastAsia="en-AU"/>
              </w:rPr>
              <w:tab/>
            </w:r>
            <w:r w:rsidR="00027577" w:rsidRPr="0076339B">
              <w:rPr>
                <w:rStyle w:val="Hyperlink"/>
                <w:noProof/>
                <w:lang w:eastAsia="en-AU"/>
              </w:rPr>
              <w:t>Milestone payments</w:t>
            </w:r>
            <w:r w:rsidR="00027577">
              <w:rPr>
                <w:noProof/>
                <w:webHidden/>
              </w:rPr>
              <w:tab/>
            </w:r>
            <w:r w:rsidR="00027577">
              <w:rPr>
                <w:noProof/>
                <w:webHidden/>
              </w:rPr>
              <w:fldChar w:fldCharType="begin"/>
            </w:r>
            <w:r w:rsidR="00027577">
              <w:rPr>
                <w:noProof/>
                <w:webHidden/>
              </w:rPr>
              <w:instrText xml:space="preserve"> PAGEREF _Toc146118049 \h </w:instrText>
            </w:r>
            <w:r w:rsidR="00027577">
              <w:rPr>
                <w:noProof/>
                <w:webHidden/>
              </w:rPr>
            </w:r>
            <w:r w:rsidR="00027577">
              <w:rPr>
                <w:noProof/>
                <w:webHidden/>
              </w:rPr>
              <w:fldChar w:fldCharType="separate"/>
            </w:r>
            <w:r w:rsidR="00CD726B">
              <w:rPr>
                <w:noProof/>
                <w:webHidden/>
              </w:rPr>
              <w:t>31</w:t>
            </w:r>
            <w:r w:rsidR="00027577">
              <w:rPr>
                <w:noProof/>
                <w:webHidden/>
              </w:rPr>
              <w:fldChar w:fldCharType="end"/>
            </w:r>
          </w:hyperlink>
        </w:p>
        <w:p w:rsidR="00027577" w:rsidRDefault="006D73CB">
          <w:pPr>
            <w:pStyle w:val="TOC2"/>
            <w:tabs>
              <w:tab w:val="left" w:pos="880"/>
              <w:tab w:val="right" w:leader="dot" w:pos="9016"/>
            </w:tabs>
            <w:rPr>
              <w:rFonts w:asciiTheme="minorHAnsi" w:eastAsiaTheme="minorEastAsia" w:hAnsiTheme="minorHAnsi"/>
              <w:noProof/>
              <w:lang w:eastAsia="en-AU"/>
            </w:rPr>
          </w:pPr>
          <w:hyperlink w:anchor="_Toc146118050" w:history="1">
            <w:r w:rsidR="00027577" w:rsidRPr="0076339B">
              <w:rPr>
                <w:rStyle w:val="Hyperlink"/>
                <w:noProof/>
                <w:lang w:eastAsia="en-AU"/>
              </w:rPr>
              <w:t>2.8</w:t>
            </w:r>
            <w:r w:rsidR="00027577">
              <w:rPr>
                <w:rFonts w:asciiTheme="minorHAnsi" w:eastAsiaTheme="minorEastAsia" w:hAnsiTheme="minorHAnsi"/>
                <w:noProof/>
                <w:lang w:eastAsia="en-AU"/>
              </w:rPr>
              <w:tab/>
            </w:r>
            <w:r w:rsidR="00027577" w:rsidRPr="0076339B">
              <w:rPr>
                <w:rStyle w:val="Hyperlink"/>
                <w:noProof/>
                <w:lang w:eastAsia="en-AU"/>
              </w:rPr>
              <w:t>Designated use period</w:t>
            </w:r>
            <w:r w:rsidR="00027577">
              <w:rPr>
                <w:noProof/>
                <w:webHidden/>
              </w:rPr>
              <w:tab/>
            </w:r>
            <w:r w:rsidR="00027577">
              <w:rPr>
                <w:noProof/>
                <w:webHidden/>
              </w:rPr>
              <w:fldChar w:fldCharType="begin"/>
            </w:r>
            <w:r w:rsidR="00027577">
              <w:rPr>
                <w:noProof/>
                <w:webHidden/>
              </w:rPr>
              <w:instrText xml:space="preserve"> PAGEREF _Toc146118050 \h </w:instrText>
            </w:r>
            <w:r w:rsidR="00027577">
              <w:rPr>
                <w:noProof/>
                <w:webHidden/>
              </w:rPr>
            </w:r>
            <w:r w:rsidR="00027577">
              <w:rPr>
                <w:noProof/>
                <w:webHidden/>
              </w:rPr>
              <w:fldChar w:fldCharType="separate"/>
            </w:r>
            <w:r w:rsidR="00CD726B">
              <w:rPr>
                <w:noProof/>
                <w:webHidden/>
              </w:rPr>
              <w:t>32</w:t>
            </w:r>
            <w:r w:rsidR="00027577">
              <w:rPr>
                <w:noProof/>
                <w:webHidden/>
              </w:rPr>
              <w:fldChar w:fldCharType="end"/>
            </w:r>
          </w:hyperlink>
        </w:p>
        <w:p w:rsidR="00027577" w:rsidRDefault="006D73CB">
          <w:pPr>
            <w:pStyle w:val="TOC1"/>
            <w:rPr>
              <w:rFonts w:asciiTheme="minorHAnsi" w:eastAsiaTheme="minorEastAsia" w:hAnsiTheme="minorHAnsi"/>
              <w:b w:val="0"/>
            </w:rPr>
          </w:pPr>
          <w:hyperlink w:anchor="_Toc146118051" w:history="1">
            <w:r w:rsidR="00027577" w:rsidRPr="0076339B">
              <w:rPr>
                <w:rStyle w:val="Hyperlink"/>
              </w:rPr>
              <w:t>3</w:t>
            </w:r>
            <w:r w:rsidR="00027577">
              <w:rPr>
                <w:rFonts w:asciiTheme="minorHAnsi" w:eastAsiaTheme="minorEastAsia" w:hAnsiTheme="minorHAnsi"/>
                <w:b w:val="0"/>
              </w:rPr>
              <w:tab/>
            </w:r>
            <w:r w:rsidR="00027577" w:rsidRPr="0076339B">
              <w:rPr>
                <w:rStyle w:val="Hyperlink"/>
              </w:rPr>
              <w:t>Conclusion</w:t>
            </w:r>
            <w:r w:rsidR="00027577">
              <w:rPr>
                <w:webHidden/>
              </w:rPr>
              <w:tab/>
            </w:r>
            <w:r w:rsidR="00027577">
              <w:rPr>
                <w:webHidden/>
              </w:rPr>
              <w:fldChar w:fldCharType="begin"/>
            </w:r>
            <w:r w:rsidR="00027577">
              <w:rPr>
                <w:webHidden/>
              </w:rPr>
              <w:instrText xml:space="preserve"> PAGEREF _Toc146118051 \h </w:instrText>
            </w:r>
            <w:r w:rsidR="00027577">
              <w:rPr>
                <w:webHidden/>
              </w:rPr>
            </w:r>
            <w:r w:rsidR="00027577">
              <w:rPr>
                <w:webHidden/>
              </w:rPr>
              <w:fldChar w:fldCharType="separate"/>
            </w:r>
            <w:r w:rsidR="00CD726B">
              <w:rPr>
                <w:webHidden/>
              </w:rPr>
              <w:t>32</w:t>
            </w:r>
            <w:r w:rsidR="00027577">
              <w:rPr>
                <w:webHidden/>
              </w:rPr>
              <w:fldChar w:fldCharType="end"/>
            </w:r>
          </w:hyperlink>
        </w:p>
        <w:p w:rsidR="003D5F1A" w:rsidRDefault="003D5F1A">
          <w:r>
            <w:rPr>
              <w:b/>
              <w:bCs/>
              <w:noProof/>
            </w:rPr>
            <w:fldChar w:fldCharType="end"/>
          </w:r>
        </w:p>
      </w:sdtContent>
    </w:sdt>
    <w:p w:rsidR="003D256D" w:rsidRPr="00DF057B" w:rsidRDefault="3BE4FEF3" w:rsidP="00DF057B">
      <w:pPr>
        <w:pStyle w:val="Heading1"/>
        <w:numPr>
          <w:ilvl w:val="0"/>
          <w:numId w:val="11"/>
        </w:numPr>
        <w:rPr>
          <w:rFonts w:eastAsia="Times New Roman"/>
          <w:lang w:eastAsia="en-AU"/>
        </w:rPr>
      </w:pPr>
      <w:bookmarkStart w:id="7" w:name="_Toc142492542"/>
      <w:bookmarkStart w:id="8" w:name="_Toc142557344"/>
      <w:bookmarkStart w:id="9" w:name="_Toc146118022"/>
      <w:r w:rsidRPr="00DF057B">
        <w:rPr>
          <w:rFonts w:eastAsia="Times New Roman"/>
          <w:lang w:eastAsia="en-AU"/>
        </w:rPr>
        <w:lastRenderedPageBreak/>
        <w:t>Introduction</w:t>
      </w:r>
      <w:bookmarkEnd w:id="7"/>
      <w:bookmarkEnd w:id="8"/>
      <w:bookmarkEnd w:id="9"/>
    </w:p>
    <w:p w:rsidR="00302FD6" w:rsidRDefault="008D4A4B" w:rsidP="004D6A9C">
      <w:r>
        <w:t xml:space="preserve">Family and domestic violence (FDV) is one of the leading causes of homelessness for women and children. </w:t>
      </w:r>
      <w:r w:rsidR="0050764C" w:rsidRPr="0050764C">
        <w:t xml:space="preserve">The </w:t>
      </w:r>
      <w:r w:rsidR="0050764C" w:rsidRPr="00027577">
        <w:rPr>
          <w:iCs/>
        </w:rPr>
        <w:t>National Plan to End Violence against Women and Children 2022</w:t>
      </w:r>
      <w:r w:rsidR="0050764C" w:rsidRPr="00027577" w:rsidDel="00F67D66">
        <w:rPr>
          <w:iCs/>
        </w:rPr>
        <w:t>-</w:t>
      </w:r>
      <w:r w:rsidR="0050764C" w:rsidRPr="00027577">
        <w:noBreakHyphen/>
      </w:r>
      <w:r w:rsidR="0050764C" w:rsidRPr="00027577">
        <w:rPr>
          <w:iCs/>
        </w:rPr>
        <w:t>2032</w:t>
      </w:r>
      <w:r w:rsidR="007E6211" w:rsidRPr="208439D9">
        <w:rPr>
          <w:rStyle w:val="FootnoteReference"/>
          <w:i/>
          <w:iCs/>
        </w:rPr>
        <w:footnoteReference w:id="2"/>
      </w:r>
      <w:r w:rsidR="0050764C" w:rsidRPr="208439D9">
        <w:rPr>
          <w:i/>
          <w:iCs/>
        </w:rPr>
        <w:t xml:space="preserve"> </w:t>
      </w:r>
      <w:r w:rsidR="0050764C">
        <w:t xml:space="preserve">(the National Plan) </w:t>
      </w:r>
      <w:r w:rsidR="0050764C" w:rsidRPr="0050764C">
        <w:t>recognises housing is essential to ending gender-based violence.</w:t>
      </w:r>
    </w:p>
    <w:p w:rsidR="0050764C" w:rsidRPr="00AD5C1A" w:rsidRDefault="000D58C5" w:rsidP="3894847F">
      <w:pPr>
        <w:rPr>
          <w:rFonts w:cs="Arial"/>
        </w:rPr>
      </w:pPr>
      <w:r>
        <w:t>Under</w:t>
      </w:r>
      <w:r w:rsidR="3BE4FEF3">
        <w:t xml:space="preserve"> the National Plan</w:t>
      </w:r>
      <w:r>
        <w:t>, the Australian Government is providing</w:t>
      </w:r>
      <w:r w:rsidR="3BE4FEF3">
        <w:t xml:space="preserve"> $100 million over 5 years (2022-23 to 2026-27) </w:t>
      </w:r>
      <w:r w:rsidR="003E3196">
        <w:rPr>
          <w:rFonts w:cs="Arial"/>
        </w:rPr>
        <w:t xml:space="preserve">for the Department of Social Services (the department) to </w:t>
      </w:r>
      <w:r w:rsidR="00AD5C1A">
        <w:t xml:space="preserve">continue the Safe Places Emergency Accommodation (Safe Places) program through the Safe Places Inclusion Round (the Inclusion Round). </w:t>
      </w:r>
      <w:r w:rsidR="00AD5C1A">
        <w:rPr>
          <w:rFonts w:cs="Arial"/>
        </w:rPr>
        <w:t>Of this,</w:t>
      </w:r>
      <w:r w:rsidR="003E3196">
        <w:rPr>
          <w:rFonts w:cs="Arial"/>
        </w:rPr>
        <w:t xml:space="preserve"> up to $90.9 million is available for grants over four years (2023-24 to 2026-27).</w:t>
      </w:r>
      <w:r w:rsidR="00AD5C1A">
        <w:rPr>
          <w:rFonts w:cs="Arial"/>
        </w:rPr>
        <w:t xml:space="preserve"> </w:t>
      </w:r>
      <w:r w:rsidR="3BE4FEF3">
        <w:t xml:space="preserve">The Inclusion Round builds on the $72.6 million </w:t>
      </w:r>
      <w:r w:rsidR="00875659">
        <w:t xml:space="preserve">investment </w:t>
      </w:r>
      <w:r w:rsidR="3BE4FEF3">
        <w:t>in the Safe Places program across 2020-21 to 2024-25.</w:t>
      </w:r>
    </w:p>
    <w:p w:rsidR="003525CC" w:rsidRPr="00AD5C1A" w:rsidRDefault="3894847F" w:rsidP="3894847F">
      <w:pPr>
        <w:rPr>
          <w:rFonts w:cs="Arial"/>
        </w:rPr>
      </w:pPr>
      <w:r>
        <w:t xml:space="preserve">From November 2022 to June 2023, the department undertook a range of consultation activities to inform the design of the Inclusion Round. This Consultation Findings Report (the Report) provides an overview of the key themes and findings from these activities. </w:t>
      </w:r>
    </w:p>
    <w:p w:rsidR="003525CC" w:rsidRDefault="40C0725C" w:rsidP="003525CC">
      <w:r>
        <w:t xml:space="preserve">The intent of the Report is to provide a resource for stakeholders to inform the development of emergency accommodation, including organisations who are interested in applying for funding under the Inclusion Round and/or </w:t>
      </w:r>
      <w:r w:rsidR="00F67D66">
        <w:t xml:space="preserve">applying for relevant </w:t>
      </w:r>
      <w:r>
        <w:t>state and territory government opportunities.</w:t>
      </w:r>
    </w:p>
    <w:p w:rsidR="003525CC" w:rsidRPr="00BA21EB" w:rsidRDefault="3BE4FEF3" w:rsidP="00DF057B">
      <w:pPr>
        <w:pStyle w:val="Heading2"/>
        <w:rPr>
          <w:lang w:eastAsia="en-AU"/>
        </w:rPr>
      </w:pPr>
      <w:bookmarkStart w:id="10" w:name="_Toc142492543"/>
      <w:bookmarkStart w:id="11" w:name="_Toc142557345"/>
      <w:bookmarkStart w:id="12" w:name="_Toc146118023"/>
      <w:r w:rsidRPr="00BA21EB">
        <w:rPr>
          <w:lang w:eastAsia="en-AU"/>
        </w:rPr>
        <w:t xml:space="preserve">Overview of the </w:t>
      </w:r>
      <w:r w:rsidRPr="00DF057B">
        <w:t>Inclusion</w:t>
      </w:r>
      <w:r w:rsidRPr="00BA21EB">
        <w:rPr>
          <w:lang w:eastAsia="en-AU"/>
        </w:rPr>
        <w:t xml:space="preserve"> Round</w:t>
      </w:r>
      <w:bookmarkEnd w:id="10"/>
      <w:bookmarkEnd w:id="11"/>
      <w:bookmarkEnd w:id="12"/>
    </w:p>
    <w:p w:rsidR="00A10F87" w:rsidRDefault="3894847F" w:rsidP="004D6A9C">
      <w:r>
        <w:t xml:space="preserve">The Inclusion Round will provide capital work grants to fund the building, renovation or purchase of new or expanded emergency accommodation to assist women and children experiencing FDV. </w:t>
      </w:r>
    </w:p>
    <w:p w:rsidR="008D4A4B" w:rsidRDefault="3894847F" w:rsidP="004D6A9C">
      <w:r>
        <w:t>The Inclusion Round will focus on improving access to appropriate emergency accommodation for First Nations women and children, women and children from culturally and linguistically diverse (CALD) backgrounds, and women and children with disability. This includes those who experience the intersection of racism, ableism and sexism.</w:t>
      </w:r>
    </w:p>
    <w:p w:rsidR="002468DB" w:rsidRDefault="40C0725C" w:rsidP="002468DB">
      <w:r>
        <w:t>The $100 million commitment to the Inclusion Round is part of the Australian Government’s investment to support the delivery of the National Plan with a strong focus on prevention, early intervention, response and supporting victim-survivors to recover and heal. It also contributes to reducing all forms of violence against Aboriginal and Torres Strait Islander women and children by 50 per cent</w:t>
      </w:r>
      <w:r w:rsidR="00F67D66">
        <w:t>,</w:t>
      </w:r>
      <w:r>
        <w:t xml:space="preserve"> in line with Target 13 of Closing the Gap.</w:t>
      </w:r>
    </w:p>
    <w:p w:rsidR="003F161A" w:rsidRDefault="3894847F" w:rsidP="004D6A9C">
      <w:r>
        <w:t>The Inclusion Round is being delivered via a competitive gran</w:t>
      </w:r>
      <w:r w:rsidR="0065591F">
        <w:t>t round on GrantConnect</w:t>
      </w:r>
      <w:r w:rsidR="0036770A">
        <w:t>.</w:t>
      </w:r>
      <w:r w:rsidR="0065591F">
        <w:rPr>
          <w:rStyle w:val="FootnoteReference"/>
        </w:rPr>
        <w:footnoteReference w:id="3"/>
      </w:r>
    </w:p>
    <w:p w:rsidR="003F161A" w:rsidRDefault="003F161A">
      <w:r>
        <w:br w:type="page"/>
      </w:r>
    </w:p>
    <w:p w:rsidR="00D90FCB" w:rsidRPr="00BA21EB" w:rsidRDefault="3BE4FEF3" w:rsidP="00DF057B">
      <w:pPr>
        <w:pStyle w:val="Heading2"/>
        <w:rPr>
          <w:lang w:eastAsia="en-AU"/>
        </w:rPr>
      </w:pPr>
      <w:bookmarkStart w:id="13" w:name="_Toc142492544"/>
      <w:bookmarkStart w:id="14" w:name="_Toc142557346"/>
      <w:bookmarkStart w:id="15" w:name="_Toc146118024"/>
      <w:r w:rsidRPr="00BA21EB">
        <w:rPr>
          <w:lang w:eastAsia="en-AU"/>
        </w:rPr>
        <w:lastRenderedPageBreak/>
        <w:t>Overview of consultation activities</w:t>
      </w:r>
      <w:bookmarkEnd w:id="13"/>
      <w:bookmarkEnd w:id="14"/>
      <w:bookmarkEnd w:id="15"/>
    </w:p>
    <w:p w:rsidR="00BF277B" w:rsidRPr="006A37A7" w:rsidRDefault="3894847F" w:rsidP="006A37A7">
      <w:r>
        <w:t>From November 2022 to June 2023, the department consulted with 145 organisations and individuals to inform the design of the Inclusion Round.</w:t>
      </w:r>
      <w:r w:rsidRPr="3894847F">
        <w:rPr>
          <w:color w:val="FF0000"/>
        </w:rPr>
        <w:t xml:space="preserve"> </w:t>
      </w:r>
      <w:r>
        <w:t>This included national peak bodies and state and territory service organisations across the housing and homelessness and FDV sectors. The department also consulted with current Safe Places grantees and organisations with expertise relating to First Nations women and children, women and children from CALD backgrounds, and women and children with disability, who are the focus of the Inclusion Round.</w:t>
      </w:r>
    </w:p>
    <w:p w:rsidR="00933BFC" w:rsidRPr="004D6A9C" w:rsidRDefault="3894847F" w:rsidP="004D6A9C">
      <w:r>
        <w:t>Consultation activities included:</w:t>
      </w:r>
    </w:p>
    <w:p w:rsidR="00933BFC" w:rsidRPr="004D6A9C" w:rsidRDefault="3894847F" w:rsidP="000B0AEF">
      <w:pPr>
        <w:pStyle w:val="ListParagraph"/>
        <w:numPr>
          <w:ilvl w:val="0"/>
          <w:numId w:val="4"/>
        </w:numPr>
      </w:pPr>
      <w:r>
        <w:t xml:space="preserve">Releasing a Discussion Paper for public consultation on </w:t>
      </w:r>
      <w:r w:rsidR="00027577">
        <w:t>Engage</w:t>
      </w:r>
      <w:r w:rsidR="00027577">
        <w:rPr>
          <w:rStyle w:val="FootnoteReference"/>
        </w:rPr>
        <w:footnoteReference w:id="4"/>
      </w:r>
      <w:r w:rsidR="00027577">
        <w:t xml:space="preserve"> </w:t>
      </w:r>
      <w:r>
        <w:t>from 30 January to 10 March 2023, with 37 submissions received</w:t>
      </w:r>
    </w:p>
    <w:p w:rsidR="00933BFC" w:rsidRPr="004D6A9C" w:rsidRDefault="3894847F" w:rsidP="000B0AEF">
      <w:pPr>
        <w:pStyle w:val="ListParagraph"/>
        <w:numPr>
          <w:ilvl w:val="0"/>
          <w:numId w:val="4"/>
        </w:numPr>
      </w:pPr>
      <w:r>
        <w:t>Facilitating workshops in each state and territory capital city and Townsville, as well as 2 virtual workshops in March 2023</w:t>
      </w:r>
    </w:p>
    <w:p w:rsidR="00933BFC" w:rsidRDefault="3894847F" w:rsidP="000B0AEF">
      <w:pPr>
        <w:pStyle w:val="ListParagraph"/>
        <w:numPr>
          <w:ilvl w:val="0"/>
          <w:numId w:val="4"/>
        </w:numPr>
      </w:pPr>
      <w:r>
        <w:t>A Roundtable discussion with sector stakeholders and the Minister for Social Services, the Hon Amanda Rishworth MP, held on 6 June 2023</w:t>
      </w:r>
    </w:p>
    <w:p w:rsidR="00BD257E" w:rsidRPr="004D6A9C" w:rsidRDefault="3894847F" w:rsidP="000B0AEF">
      <w:pPr>
        <w:pStyle w:val="ListParagraph"/>
        <w:numPr>
          <w:ilvl w:val="0"/>
          <w:numId w:val="4"/>
        </w:numPr>
      </w:pPr>
      <w:r>
        <w:t>Ongoing engagement with state and territory governments.</w:t>
      </w:r>
    </w:p>
    <w:p w:rsidR="00933BFC" w:rsidRPr="004D6A9C" w:rsidRDefault="3894847F" w:rsidP="004D6A9C">
      <w:r>
        <w:t>In addition, the department engaged Cultural and Indigenous Research Centre Australia (CIRCA) to facilitate:</w:t>
      </w:r>
    </w:p>
    <w:p w:rsidR="00933BFC" w:rsidRPr="004D6A9C" w:rsidRDefault="3894847F" w:rsidP="000B0AEF">
      <w:pPr>
        <w:pStyle w:val="ListParagraph"/>
        <w:numPr>
          <w:ilvl w:val="0"/>
          <w:numId w:val="3"/>
        </w:numPr>
      </w:pPr>
      <w:r>
        <w:t xml:space="preserve">Specialist sector workshops with organisations working with </w:t>
      </w:r>
      <w:r w:rsidR="003C2FC9">
        <w:t>and/or advocating for</w:t>
      </w:r>
      <w:r>
        <w:t xml:space="preserve"> the priority groups, which were held from February to March 2023</w:t>
      </w:r>
    </w:p>
    <w:p w:rsidR="004D6A9C" w:rsidRPr="004D6A9C" w:rsidRDefault="3894847F" w:rsidP="000B0AEF">
      <w:pPr>
        <w:pStyle w:val="ListParagraph"/>
        <w:numPr>
          <w:ilvl w:val="0"/>
          <w:numId w:val="3"/>
        </w:numPr>
      </w:pPr>
      <w:r>
        <w:t xml:space="preserve">Interviews with victim-survivors of FDV </w:t>
      </w:r>
      <w:r w:rsidR="003C2FC9">
        <w:t>with</w:t>
      </w:r>
      <w:r>
        <w:t xml:space="preserve"> lived experience of emergency accommodation, which were held from May to June 2023.</w:t>
      </w:r>
    </w:p>
    <w:p w:rsidR="00BD257E" w:rsidRDefault="3894847F" w:rsidP="00D90FCB">
      <w:r>
        <w:t>Dedicated engagement with victim-survivors who have lived experience of emergency accommodation services aligns with the cross-cutting principle of the National Plan to centre victim-survivors. The National Plan commits to working with victim survivors and recognises the value of lived experience in informing appropriate and effective initiatives.</w:t>
      </w:r>
    </w:p>
    <w:p w:rsidR="00B23CB3" w:rsidRDefault="3894847F" w:rsidP="00D90FCB">
      <w:r>
        <w:t>This Report captures the key findings from these consultation activities.</w:t>
      </w:r>
    </w:p>
    <w:p w:rsidR="00B07E67" w:rsidRDefault="3BE4FEF3" w:rsidP="3894847F">
      <w:pPr>
        <w:rPr>
          <w:color w:val="FF0000"/>
        </w:rPr>
      </w:pPr>
      <w:r>
        <w:t xml:space="preserve">CIRCA has also developed separate detailed reports on findings from the specialist sector workshops and interviews with victim-survivors. The full reports are available </w:t>
      </w:r>
      <w:r w:rsidR="003D5F1A">
        <w:t>on the department’s website</w:t>
      </w:r>
      <w:r w:rsidR="00067911">
        <w:rPr>
          <w:rStyle w:val="FootnoteReference"/>
        </w:rPr>
        <w:footnoteReference w:id="5"/>
      </w:r>
      <w:r w:rsidR="003D5F1A">
        <w:t xml:space="preserve"> </w:t>
      </w:r>
      <w:r w:rsidR="007E6211">
        <w:t>a</w:t>
      </w:r>
      <w:r w:rsidR="003D5F1A">
        <w:t>nd published alongside the Inclusion Round grant opportunity on Grant</w:t>
      </w:r>
      <w:r w:rsidR="003D5F1A" w:rsidRPr="003D5F1A">
        <w:t>Connect</w:t>
      </w:r>
      <w:r w:rsidR="005B2113">
        <w:t xml:space="preserve"> (</w:t>
      </w:r>
      <w:hyperlink r:id="rId13">
        <w:r w:rsidR="005B2113" w:rsidRPr="3894847F">
          <w:rPr>
            <w:u w:val="single"/>
          </w:rPr>
          <w:t>www.grants.gov.au</w:t>
        </w:r>
      </w:hyperlink>
      <w:r w:rsidR="005B2113">
        <w:t>)</w:t>
      </w:r>
      <w:r w:rsidRPr="003D5F1A">
        <w:t>.</w:t>
      </w:r>
    </w:p>
    <w:p w:rsidR="00B23CB3" w:rsidRPr="00BA21EB" w:rsidRDefault="3BE4FEF3" w:rsidP="00DF057B">
      <w:pPr>
        <w:pStyle w:val="Heading2"/>
        <w:rPr>
          <w:lang w:eastAsia="en-AU"/>
        </w:rPr>
      </w:pPr>
      <w:bookmarkStart w:id="16" w:name="_Additional_housing_support"/>
      <w:bookmarkStart w:id="17" w:name="_Toc142492545"/>
      <w:bookmarkStart w:id="18" w:name="_Toc142557347"/>
      <w:bookmarkStart w:id="19" w:name="_Toc146118025"/>
      <w:bookmarkEnd w:id="16"/>
      <w:r w:rsidRPr="00BA21EB">
        <w:rPr>
          <w:lang w:eastAsia="en-AU"/>
        </w:rPr>
        <w:t xml:space="preserve">Additional </w:t>
      </w:r>
      <w:r w:rsidR="00743C4B" w:rsidRPr="00BA21EB">
        <w:rPr>
          <w:lang w:eastAsia="en-AU"/>
        </w:rPr>
        <w:t xml:space="preserve">housing </w:t>
      </w:r>
      <w:r w:rsidRPr="00BA21EB">
        <w:rPr>
          <w:lang w:eastAsia="en-AU"/>
        </w:rPr>
        <w:t>support for women and children</w:t>
      </w:r>
      <w:r w:rsidR="00187D32" w:rsidRPr="00BA21EB">
        <w:rPr>
          <w:lang w:eastAsia="en-AU"/>
        </w:rPr>
        <w:t xml:space="preserve"> experiencing FDV</w:t>
      </w:r>
      <w:bookmarkEnd w:id="17"/>
      <w:bookmarkEnd w:id="18"/>
      <w:bookmarkEnd w:id="19"/>
    </w:p>
    <w:p w:rsidR="00187D32" w:rsidRDefault="3894847F" w:rsidP="00187D32">
      <w:r>
        <w:t xml:space="preserve">The Government has committed to a comprehensive housing agenda to address the issues Australians are facing </w:t>
      </w:r>
      <w:r w:rsidRPr="003413D7">
        <w:t>in securing appropriate accommodation</w:t>
      </w:r>
      <w:r w:rsidRPr="00CA1C01">
        <w:t xml:space="preserve">, </w:t>
      </w:r>
      <w:r>
        <w:t>including women and children experiencing FDV.</w:t>
      </w:r>
    </w:p>
    <w:p w:rsidR="00187D32" w:rsidRDefault="3894847F" w:rsidP="00187D32">
      <w:r>
        <w:lastRenderedPageBreak/>
        <w:t>Women and children experiencing FDV will benefit from a range of housing initiatives, including the $10 billion Housing Australia Future Fund (HAFF), which will build 30,000 new social and affordable housing properties in its first 5 years. In addition to supporting women in general through the increased number of secure housing properties available, a minimum of 4,000 of these dwellings will be allocated to women and children impacted by FDV and older women at risk of homelessness.</w:t>
      </w:r>
    </w:p>
    <w:p w:rsidR="00187D32" w:rsidRDefault="3894847F" w:rsidP="3BE4FEF3">
      <w:r>
        <w:t xml:space="preserve">The Australian Government has also </w:t>
      </w:r>
      <w:r w:rsidR="00126AB6">
        <w:t xml:space="preserve">committed </w:t>
      </w:r>
      <w:r>
        <w:t>$100 million from the HAFF</w:t>
      </w:r>
      <w:r w:rsidR="00126AB6">
        <w:t xml:space="preserve"> in its first 5 years</w:t>
      </w:r>
      <w:r>
        <w:t xml:space="preserve"> to </w:t>
      </w:r>
      <w:r w:rsidR="00A936CC">
        <w:t xml:space="preserve">deliver </w:t>
      </w:r>
      <w:r>
        <w:t xml:space="preserve">crisis and transitional housing options for women and children experiencing FDV and older women at risk of homelessness. </w:t>
      </w:r>
      <w:r w:rsidR="003000E5">
        <w:t xml:space="preserve">Establishment of the HAFF requires passage of legislation through Parliament. </w:t>
      </w:r>
      <w:r>
        <w:t>These measures complement the additional $100</w:t>
      </w:r>
      <w:r w:rsidR="000B6E9D">
        <w:rPr>
          <w:vertAlign w:val="superscript"/>
        </w:rPr>
        <w:t> </w:t>
      </w:r>
      <w:r>
        <w:t xml:space="preserve">million committed to the Inclusion Round grant opportunity. </w:t>
      </w:r>
    </w:p>
    <w:p w:rsidR="0064702A" w:rsidRPr="0064702A" w:rsidRDefault="0064702A" w:rsidP="0064702A">
      <w:r w:rsidRPr="0064702A">
        <w:t xml:space="preserve">In addition, the Keeping Women Safe in their Homes (KWSITH) program funded under the National Plan supports women and their children </w:t>
      </w:r>
      <w:r w:rsidR="000B6E9D">
        <w:t>experiencing</w:t>
      </w:r>
      <w:r w:rsidRPr="0064702A">
        <w:t xml:space="preserve"> </w:t>
      </w:r>
      <w:r w:rsidR="000B6E9D">
        <w:t>FDV</w:t>
      </w:r>
      <w:r w:rsidRPr="0064702A">
        <w:t xml:space="preserve"> to stay in their own home, or a home of their choice, where it is safe and appropriate to do so. The Australian Government has committed $76.57 million from 2022</w:t>
      </w:r>
      <w:r w:rsidR="000B6E9D">
        <w:noBreakHyphen/>
      </w:r>
      <w:r w:rsidRPr="0064702A">
        <w:t>23 to 2026-27</w:t>
      </w:r>
      <w:r w:rsidR="001E1372">
        <w:t xml:space="preserve"> to deliver KWSITH</w:t>
      </w:r>
      <w:r w:rsidRPr="0064702A">
        <w:t>, including $41.7 million through the 2022-23 October Budget</w:t>
      </w:r>
      <w:r w:rsidR="00801DF9">
        <w:t>.</w:t>
      </w:r>
    </w:p>
    <w:p w:rsidR="00187D32" w:rsidRPr="00CE216D" w:rsidRDefault="00187D32" w:rsidP="0064702A">
      <w:pPr>
        <w:rPr>
          <w:color w:val="FF0000"/>
        </w:rPr>
      </w:pPr>
    </w:p>
    <w:p w:rsidR="007E6211" w:rsidRPr="00D77148" w:rsidRDefault="007E6211">
      <w:pPr>
        <w:rPr>
          <w:rFonts w:eastAsia="Times New Roman" w:cstheme="majorBidi"/>
          <w:b/>
          <w:bCs/>
          <w:color w:val="186871" w:themeColor="accent5" w:themeShade="80"/>
          <w:sz w:val="32"/>
          <w:szCs w:val="32"/>
          <w:lang w:eastAsia="en-AU"/>
        </w:rPr>
      </w:pPr>
      <w:r>
        <w:rPr>
          <w:rFonts w:eastAsia="Times New Roman"/>
          <w:lang w:eastAsia="en-AU"/>
        </w:rPr>
        <w:br w:type="page"/>
      </w:r>
    </w:p>
    <w:p w:rsidR="00D90FCB" w:rsidRPr="00904DEA" w:rsidRDefault="3BE4FEF3" w:rsidP="00DF057B">
      <w:pPr>
        <w:pStyle w:val="Heading1"/>
        <w:rPr>
          <w:rFonts w:eastAsia="Times New Roman"/>
          <w:lang w:eastAsia="en-AU"/>
        </w:rPr>
      </w:pPr>
      <w:bookmarkStart w:id="20" w:name="_Toc142492546"/>
      <w:bookmarkStart w:id="21" w:name="_Toc142557348"/>
      <w:bookmarkStart w:id="22" w:name="_Toc146118026"/>
      <w:r w:rsidRPr="3BE4FEF3">
        <w:rPr>
          <w:rFonts w:eastAsia="Times New Roman"/>
          <w:lang w:eastAsia="en-AU"/>
        </w:rPr>
        <w:lastRenderedPageBreak/>
        <w:t>Key findings</w:t>
      </w:r>
      <w:bookmarkEnd w:id="20"/>
      <w:bookmarkEnd w:id="21"/>
      <w:bookmarkEnd w:id="22"/>
    </w:p>
    <w:p w:rsidR="00A3241B" w:rsidRPr="00E66E41" w:rsidRDefault="3894847F" w:rsidP="00C06C24">
      <w:r>
        <w:t xml:space="preserve">During consultations, several common themes emerged. </w:t>
      </w:r>
    </w:p>
    <w:p w:rsidR="00801DF9" w:rsidRPr="00E66E41" w:rsidRDefault="3894847F" w:rsidP="00C06C24">
      <w:r>
        <w:t xml:space="preserve">In recognition of client diversity, there was broad agreement </w:t>
      </w:r>
      <w:r w:rsidRPr="00A77BA1">
        <w:t xml:space="preserve">that </w:t>
      </w:r>
      <w:r>
        <w:t xml:space="preserve">the proposed definition of emergency accommodation </w:t>
      </w:r>
      <w:r w:rsidRPr="00A77BA1">
        <w:t xml:space="preserve">should </w:t>
      </w:r>
      <w:r>
        <w:t xml:space="preserve">include stays up to 12 months, with flexibility for longer stays where applicants </w:t>
      </w:r>
      <w:r w:rsidR="008A13B1">
        <w:t>demonstrate</w:t>
      </w:r>
      <w:r>
        <w:t xml:space="preserve"> </w:t>
      </w:r>
      <w:r w:rsidRPr="00A77BA1">
        <w:t>why they are taking</w:t>
      </w:r>
      <w:r>
        <w:t xml:space="preserve"> a custom approach.</w:t>
      </w:r>
    </w:p>
    <w:p w:rsidR="00A3241B" w:rsidRPr="00C06C24" w:rsidRDefault="3894847F" w:rsidP="00C06C24">
      <w:r>
        <w:t xml:space="preserve">Stakeholders called for consideration of additional design features, such </w:t>
      </w:r>
      <w:r w:rsidR="009D0558">
        <w:t xml:space="preserve">as </w:t>
      </w:r>
      <w:r>
        <w:t xml:space="preserve">prayer or faith rooms and space for yarning circles, in order to meet the needs of the priority groups, as well as communal areas such as gardens, recreation rooms and rooms for outreach services. Stakeholders felt that value for money assessments </w:t>
      </w:r>
      <w:r w:rsidRPr="00A77BA1" w:rsidDel="00A77BA1">
        <w:t xml:space="preserve">should factor in </w:t>
      </w:r>
      <w:r w:rsidR="004F004E">
        <w:t>additional</w:t>
      </w:r>
      <w:r w:rsidR="004F004E" w:rsidRPr="004F004E">
        <w:t xml:space="preserve"> </w:t>
      </w:r>
      <w:r w:rsidR="004F004E">
        <w:t>design</w:t>
      </w:r>
      <w:r w:rsidR="00A77BA1" w:rsidRPr="00A77BA1">
        <w:t xml:space="preserve"> features</w:t>
      </w:r>
      <w:r w:rsidR="00A77BA1" w:rsidRPr="00CA1C01">
        <w:t xml:space="preserve"> </w:t>
      </w:r>
      <w:r>
        <w:t xml:space="preserve">to ensure projects </w:t>
      </w:r>
      <w:r w:rsidR="005F453C">
        <w:t>including such features</w:t>
      </w:r>
      <w:r w:rsidR="00A77BA1" w:rsidRPr="00A77BA1">
        <w:t xml:space="preserve"> at an additional cost</w:t>
      </w:r>
      <w:r w:rsidR="00A77BA1" w:rsidRPr="00CA1C01">
        <w:t xml:space="preserve"> </w:t>
      </w:r>
      <w:r>
        <w:t>are not disadvantaged.</w:t>
      </w:r>
    </w:p>
    <w:p w:rsidR="00A3241B" w:rsidRPr="00E66E41" w:rsidRDefault="3894847F" w:rsidP="3894847F">
      <w:pPr>
        <w:rPr>
          <w:color w:val="FF0000"/>
        </w:rPr>
      </w:pPr>
      <w:r w:rsidRPr="00A77BA1" w:rsidDel="00A77BA1">
        <w:rPr>
          <w:lang w:eastAsia="en-AU"/>
        </w:rPr>
        <w:t xml:space="preserve">Another common theme when determining the suitability of an applicant was </w:t>
      </w:r>
      <w:r w:rsidR="005348B2">
        <w:rPr>
          <w:lang w:eastAsia="en-AU"/>
        </w:rPr>
        <w:t>a</w:t>
      </w:r>
      <w:r w:rsidR="00A77BA1" w:rsidRPr="00A77BA1">
        <w:rPr>
          <w:lang w:eastAsia="en-AU"/>
        </w:rPr>
        <w:t xml:space="preserve"> demonstrated</w:t>
      </w:r>
      <w:r w:rsidR="00A77BA1" w:rsidRPr="40C0725C">
        <w:rPr>
          <w:lang w:eastAsia="en-AU"/>
        </w:rPr>
        <w:t xml:space="preserve"> </w:t>
      </w:r>
      <w:r w:rsidRPr="40C0725C">
        <w:rPr>
          <w:lang w:eastAsia="en-AU"/>
        </w:rPr>
        <w:t>understanding of</w:t>
      </w:r>
      <w:r w:rsidR="005F453C">
        <w:rPr>
          <w:lang w:eastAsia="en-AU"/>
        </w:rPr>
        <w:t>,</w:t>
      </w:r>
      <w:r w:rsidRPr="40C0725C">
        <w:rPr>
          <w:lang w:eastAsia="en-AU"/>
        </w:rPr>
        <w:t xml:space="preserve"> and </w:t>
      </w:r>
      <w:r w:rsidRPr="3894847F">
        <w:rPr>
          <w:lang w:eastAsia="en-AU"/>
        </w:rPr>
        <w:t>ability to embed</w:t>
      </w:r>
      <w:r w:rsidR="005F453C">
        <w:rPr>
          <w:lang w:eastAsia="en-AU"/>
        </w:rPr>
        <w:t>,</w:t>
      </w:r>
      <w:r w:rsidRPr="3894847F">
        <w:rPr>
          <w:lang w:eastAsia="en-AU"/>
        </w:rPr>
        <w:t xml:space="preserve"> the needs of women and children in the design of emergency accommodation and delivery of services.</w:t>
      </w:r>
      <w:r w:rsidRPr="3894847F">
        <w:rPr>
          <w:color w:val="FF0000"/>
        </w:rPr>
        <w:t xml:space="preserve"> </w:t>
      </w:r>
      <w:r>
        <w:t xml:space="preserve">Stakeholders raised the importance of </w:t>
      </w:r>
      <w:r w:rsidDel="00A77BA1">
        <w:t xml:space="preserve">applicants </w:t>
      </w:r>
      <w:r>
        <w:t>demonstrating genuine, meaningful and ongoing engagement with local communities in developing proposal</w:t>
      </w:r>
      <w:r w:rsidR="00A77BA1">
        <w:t>s</w:t>
      </w:r>
      <w:r>
        <w:t xml:space="preserve"> and designing emergency accommodation. This includes engagement with First Nations, CALD and disability communities, as well as people with lived experience of FDV and emergency accommodation.</w:t>
      </w:r>
    </w:p>
    <w:p w:rsidR="004F63FC" w:rsidRDefault="3894847F" w:rsidP="004F63FC">
      <w:pPr>
        <w:rPr>
          <w:noProof/>
          <w:lang w:eastAsia="en-AU"/>
        </w:rPr>
      </w:pPr>
      <w:r>
        <w:t>Stakeholders also highlighted the importance of building the capacity and capability of smaller organisations</w:t>
      </w:r>
      <w:r w:rsidR="005348B2">
        <w:t xml:space="preserve">. </w:t>
      </w:r>
      <w:r w:rsidR="005F453C">
        <w:t>Stakeholders</w:t>
      </w:r>
      <w:r>
        <w:t xml:space="preserve"> emphasis</w:t>
      </w:r>
      <w:r w:rsidR="005348B2">
        <w:t>ed</w:t>
      </w:r>
      <w:r w:rsidR="00A77BA1">
        <w:t xml:space="preserve"> these applicants may have more suitable</w:t>
      </w:r>
      <w:r>
        <w:t xml:space="preserve"> expertise </w:t>
      </w:r>
      <w:r w:rsidR="00A77BA1">
        <w:t>providing appropriate emergency accommodation services to Inclusion Round</w:t>
      </w:r>
      <w:r>
        <w:t xml:space="preserve"> priority groups.</w:t>
      </w:r>
      <w:r w:rsidR="004F63FC" w:rsidRPr="004F63FC">
        <w:rPr>
          <w:noProof/>
          <w:lang w:eastAsia="en-AU"/>
        </w:rPr>
        <w:t xml:space="preserve"> </w:t>
      </w:r>
    </w:p>
    <w:p w:rsidR="00BB65B0" w:rsidRDefault="004F63FC" w:rsidP="004F63FC">
      <w:pPr>
        <w:ind w:left="-1418"/>
      </w:pPr>
      <w:r>
        <w:rPr>
          <w:noProof/>
          <w:lang w:eastAsia="en-AU"/>
        </w:rPr>
        <w:drawing>
          <wp:inline distT="0" distB="0" distL="0" distR="0" wp14:anchorId="1B9B225A">
            <wp:extent cx="7529195" cy="3444240"/>
            <wp:effectExtent l="0" t="0" r="0" b="3810"/>
            <wp:docPr id="4" name="Picture 4" descr="Diagram shows four rectangular text boxes arranged on a circle surrounding a bubble. The bubble is dark blue and read 'Inclusion Round feedback'. Clockwise from the top, a red box reads 'Flexibility and custom approaches', then a pink box reads 'Strong relationships with local communities, integrated support services'. Then, a purple box reads 'Client centered and genuinely accessible', and a blue box reads 'better support for small organisations'. &#10;" title="Inclusion Round feed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29195" cy="3444240"/>
                    </a:xfrm>
                    <a:prstGeom prst="rect">
                      <a:avLst/>
                    </a:prstGeom>
                    <a:noFill/>
                  </pic:spPr>
                </pic:pic>
              </a:graphicData>
            </a:graphic>
          </wp:inline>
        </w:drawing>
      </w:r>
    </w:p>
    <w:p w:rsidR="004F63FC" w:rsidRDefault="3894847F">
      <w:r>
        <w:t>The following sections capture the key consultation findings and explain how the</w:t>
      </w:r>
      <w:r w:rsidR="00A77BA1">
        <w:t>y have been embedded in the</w:t>
      </w:r>
      <w:r>
        <w:t xml:space="preserve"> Inclusion Round grant opportunity.</w:t>
      </w:r>
      <w:bookmarkStart w:id="23" w:name="_Toc142492547"/>
    </w:p>
    <w:p w:rsidR="001E0450" w:rsidRPr="00C1707C" w:rsidRDefault="3BE4FEF3" w:rsidP="00DF057B">
      <w:pPr>
        <w:pStyle w:val="Heading2"/>
        <w:rPr>
          <w:lang w:eastAsia="en-AU"/>
        </w:rPr>
      </w:pPr>
      <w:bookmarkStart w:id="24" w:name="_Toc142557349"/>
      <w:bookmarkStart w:id="25" w:name="_Toc146118027"/>
      <w:r w:rsidRPr="00DF057B">
        <w:lastRenderedPageBreak/>
        <w:t>Definitions</w:t>
      </w:r>
      <w:r w:rsidRPr="00C1707C">
        <w:rPr>
          <w:lang w:eastAsia="en-AU"/>
        </w:rPr>
        <w:t xml:space="preserve"> of emergency accommodation and ‘safe place’</w:t>
      </w:r>
      <w:bookmarkEnd w:id="23"/>
      <w:bookmarkEnd w:id="24"/>
      <w:bookmarkEnd w:id="25"/>
    </w:p>
    <w:p w:rsidR="001E0450" w:rsidRPr="00C1707C" w:rsidRDefault="3BE4FEF3" w:rsidP="00DF057B">
      <w:pPr>
        <w:pStyle w:val="Heading3"/>
        <w:rPr>
          <w:lang w:eastAsia="en-AU"/>
        </w:rPr>
      </w:pPr>
      <w:bookmarkStart w:id="26" w:name="_Toc142492548"/>
      <w:bookmarkStart w:id="27" w:name="_Toc142557350"/>
      <w:bookmarkStart w:id="28" w:name="_Toc146118028"/>
      <w:r w:rsidRPr="00DF057B">
        <w:t>Definition</w:t>
      </w:r>
      <w:r w:rsidRPr="00C1707C">
        <w:rPr>
          <w:lang w:eastAsia="en-AU"/>
        </w:rPr>
        <w:t xml:space="preserve"> of emergency </w:t>
      </w:r>
      <w:r w:rsidRPr="00DF057B">
        <w:t>accommodation</w:t>
      </w:r>
      <w:r w:rsidRPr="00C1707C">
        <w:rPr>
          <w:lang w:eastAsia="en-AU"/>
        </w:rPr>
        <w:t>, including length of stay</w:t>
      </w:r>
      <w:bookmarkEnd w:id="26"/>
      <w:bookmarkEnd w:id="27"/>
      <w:bookmarkEnd w:id="28"/>
    </w:p>
    <w:p w:rsidR="001E0450" w:rsidRDefault="001E0450" w:rsidP="001E0450">
      <w:r>
        <w:t>As part of the Inclusion Round consultation, the department sought feedback on the proposal to define emergency accommodation as short-term accommodation for less than 12 months. This definition includes refuges and crisis shelters, and incorporates emergency accommodation options (excluding hotels and boarding houses) as described by the Australian Institute of Health and Welfare (AIHW).</w:t>
      </w:r>
      <w:r>
        <w:rPr>
          <w:rStyle w:val="FootnoteReference"/>
        </w:rPr>
        <w:footnoteReference w:id="6"/>
      </w:r>
    </w:p>
    <w:p w:rsidR="001E0450" w:rsidRPr="008A13B1" w:rsidRDefault="3894847F" w:rsidP="3894847F">
      <w:r>
        <w:t>In recognition of client diversity and different models of emergency accommodation across jurisdictions, the department</w:t>
      </w:r>
      <w:r w:rsidR="00A77BA1">
        <w:t xml:space="preserve"> has</w:t>
      </w:r>
      <w:r>
        <w:t xml:space="preserve"> proposed considering longer stays where applicants </w:t>
      </w:r>
      <w:r w:rsidR="008A13B1">
        <w:t>demonstrate the need, suitability, tenancy timelines and referral pathways</w:t>
      </w:r>
      <w:r>
        <w:t xml:space="preserve"> </w:t>
      </w:r>
      <w:r w:rsidR="00CA1C01">
        <w:t>relevant to their</w:t>
      </w:r>
      <w:r>
        <w:t xml:space="preserve"> custom approach.</w:t>
      </w:r>
    </w:p>
    <w:p w:rsidR="001E0450" w:rsidRDefault="3894847F" w:rsidP="001E0450">
      <w:r>
        <w:t>Overall, stakeholders supported the proposed definition of emergency accommodation. The department heard</w:t>
      </w:r>
      <w:r w:rsidR="00582198">
        <w:t xml:space="preserve"> </w:t>
      </w:r>
      <w:r>
        <w:t>flexibility for custom approaches was important to allow providers to respond to the individual needs of women and children experiencing FDV, and provide time to begin the healing process. Stakeholders noted this flexibility was particularly important to meet the diverse needs of victim-survivors from the priority groups, noting some First Nations and CALD women and children experiencing FDV face the additional impact of separating from family or community, or may need longer to build trust with service providers.</w:t>
      </w:r>
    </w:p>
    <w:p w:rsidR="001E0450" w:rsidRPr="001E0450" w:rsidRDefault="3894847F" w:rsidP="001E0450">
      <w:r>
        <w:t>Stakeholders were particularly pleased to see custom approaches available as a potential avenue to support women on temporary visas experiencing FDV</w:t>
      </w:r>
      <w:r w:rsidR="00582198">
        <w:t xml:space="preserve">. These women may </w:t>
      </w:r>
      <w:r>
        <w:t>face additional barriers seeking and receiving services and supports, such as social security payments and social or public housing.</w:t>
      </w:r>
    </w:p>
    <w:p w:rsidR="001E0450" w:rsidRPr="00E72E01" w:rsidRDefault="3894847F" w:rsidP="001E0450">
      <w:r>
        <w:t xml:space="preserve">Stakeholders also </w:t>
      </w:r>
      <w:r w:rsidR="00582198">
        <w:t>recognised</w:t>
      </w:r>
      <w:r>
        <w:t xml:space="preserve"> </w:t>
      </w:r>
      <w:r w:rsidR="00582198">
        <w:t xml:space="preserve">that </w:t>
      </w:r>
      <w:r>
        <w:t xml:space="preserve">having access to safe and stable accommodation plays a </w:t>
      </w:r>
      <w:r w:rsidR="00582198">
        <w:t xml:space="preserve">major </w:t>
      </w:r>
      <w:r>
        <w:t>role in recovery and healing</w:t>
      </w:r>
      <w:r w:rsidR="00582198">
        <w:t xml:space="preserve"> for victim-survivors</w:t>
      </w:r>
      <w:r>
        <w:t xml:space="preserve">. </w:t>
      </w:r>
      <w:r w:rsidR="008F308B">
        <w:t>This</w:t>
      </w:r>
      <w:r>
        <w:t xml:space="preserve"> is a highly individualised process, and some women and children have complex needs requiring greater and longer</w:t>
      </w:r>
      <w:r w:rsidR="005F453C">
        <w:noBreakHyphen/>
      </w:r>
      <w:r>
        <w:t xml:space="preserve">term support. </w:t>
      </w:r>
      <w:r w:rsidR="005F453C">
        <w:t>Stakeholders</w:t>
      </w:r>
      <w:r>
        <w:t xml:space="preserve"> also noted it can take multiple attempts for victim</w:t>
      </w:r>
      <w:r w:rsidR="005F453C">
        <w:noBreakHyphen/>
      </w:r>
      <w:r>
        <w:t xml:space="preserve">survivors to leave violent situations, and it is important to support them </w:t>
      </w:r>
      <w:r w:rsidR="008F308B">
        <w:t>in</w:t>
      </w:r>
      <w:r>
        <w:t xml:space="preserve"> access</w:t>
      </w:r>
      <w:r w:rsidR="008F308B">
        <w:t>ing</w:t>
      </w:r>
      <w:r>
        <w:t xml:space="preserve"> safe and supportive accommodation and services on every occasion.</w:t>
      </w:r>
    </w:p>
    <w:p w:rsidR="001E0450" w:rsidRDefault="3894847F" w:rsidP="001E0450">
      <w:r>
        <w:t>However, stakeholders also acknowledged</w:t>
      </w:r>
      <w:r w:rsidR="008F308B">
        <w:t xml:space="preserve"> when </w:t>
      </w:r>
      <w:r>
        <w:t xml:space="preserve">women and children spend </w:t>
      </w:r>
      <w:r w:rsidR="008F308B">
        <w:t xml:space="preserve">longer periods of time </w:t>
      </w:r>
      <w:r>
        <w:t>in emergency accommodation, th</w:t>
      </w:r>
      <w:r w:rsidR="008F308B">
        <w:t>is reduces the</w:t>
      </w:r>
      <w:r>
        <w:t xml:space="preserve"> </w:t>
      </w:r>
      <w:r w:rsidR="00070204">
        <w:t xml:space="preserve">system’s </w:t>
      </w:r>
      <w:r w:rsidR="008F308B">
        <w:t>c</w:t>
      </w:r>
      <w:r>
        <w:t xml:space="preserve">apacity to meet </w:t>
      </w:r>
      <w:r w:rsidR="00070204">
        <w:t xml:space="preserve">ongoing </w:t>
      </w:r>
      <w:r>
        <w:t xml:space="preserve">demand. It is important to note the guidelines for length of stay </w:t>
      </w:r>
      <w:r w:rsidR="00337B9E">
        <w:t xml:space="preserve">of </w:t>
      </w:r>
      <w:r>
        <w:t>up to 12 months are not mandatory for every client using emergency accommodation. The Inclusion Round grant opportunity recognises service providers need to apply the guidelines at their own discretion and according to the circumstances of each client.</w:t>
      </w:r>
    </w:p>
    <w:p w:rsidR="001E0450" w:rsidRDefault="3894847F" w:rsidP="001E0450">
      <w:r>
        <w:t xml:space="preserve">Stakeholders reported challenges </w:t>
      </w:r>
      <w:r w:rsidR="00070204">
        <w:t xml:space="preserve">in </w:t>
      </w:r>
      <w:r>
        <w:t>supporting women and children to access transitional or long-term housing in the current market, particularly in regional and remote areas. The</w:t>
      </w:r>
      <w:r w:rsidR="005F453C">
        <w:t> </w:t>
      </w:r>
      <w:r>
        <w:t xml:space="preserve">department heard there can be delays in transitioning women and children out of emergency accommodation due to increasing housing costs, low rental vacancy rates and long social housing wait lists. Due to these challenges, there was support for the </w:t>
      </w:r>
      <w:r>
        <w:lastRenderedPageBreak/>
        <w:t xml:space="preserve">requirement for applicants to provide a tenancy management policy, including exit pathways </w:t>
      </w:r>
      <w:r w:rsidR="00070204">
        <w:t xml:space="preserve">for </w:t>
      </w:r>
      <w:r>
        <w:t>clients</w:t>
      </w:r>
      <w:r w:rsidR="00070204">
        <w:t xml:space="preserve"> moving</w:t>
      </w:r>
      <w:r>
        <w:t xml:space="preserve"> into longer-term accommodation.</w:t>
      </w:r>
    </w:p>
    <w:p w:rsidR="00475FFA" w:rsidRDefault="3894847F" w:rsidP="001E0450">
      <w:r>
        <w:t xml:space="preserve">There were also calls for the Inclusion Round to be complemented with an increase in transitional and longer-term housing options. The Government has committed to a comprehensive housing agenda to address the issues </w:t>
      </w:r>
      <w:r w:rsidR="00070204">
        <w:t xml:space="preserve">facing </w:t>
      </w:r>
      <w:r>
        <w:t xml:space="preserve">Australians, including women and children experiencing FDV (see </w:t>
      </w:r>
      <w:hyperlink w:anchor="_Additional_housing_support" w:history="1">
        <w:r w:rsidRPr="00883293">
          <w:rPr>
            <w:rStyle w:val="Hyperlink"/>
            <w:color w:val="186871" w:themeColor="accent5" w:themeShade="80"/>
          </w:rPr>
          <w:t>Section 1.3 Additional housing support for women and children experiencing FDV</w:t>
        </w:r>
      </w:hyperlink>
      <w:r w:rsidRPr="00883293">
        <w:rPr>
          <w:color w:val="186871" w:themeColor="accent5" w:themeShade="80"/>
        </w:rPr>
        <w:t xml:space="preserve">). </w:t>
      </w:r>
      <w:r w:rsidR="00343C52">
        <w:t xml:space="preserve">The $100 million committed to the Inclusion Round complements this agenda. </w:t>
      </w:r>
    </w:p>
    <w:p w:rsidR="001E0450" w:rsidRPr="00C1707C" w:rsidRDefault="3BE4FEF3" w:rsidP="00DF057B">
      <w:pPr>
        <w:pStyle w:val="Heading3"/>
        <w:rPr>
          <w:lang w:eastAsia="en-AU"/>
        </w:rPr>
      </w:pPr>
      <w:bookmarkStart w:id="29" w:name="_Toc142492549"/>
      <w:bookmarkStart w:id="30" w:name="_Toc142557351"/>
      <w:bookmarkStart w:id="31" w:name="_Toc146118029"/>
      <w:r w:rsidRPr="00C1707C">
        <w:rPr>
          <w:lang w:eastAsia="en-AU"/>
        </w:rPr>
        <w:t xml:space="preserve">Definition of safe </w:t>
      </w:r>
      <w:r w:rsidRPr="00DF057B">
        <w:t>place</w:t>
      </w:r>
      <w:bookmarkEnd w:id="29"/>
      <w:bookmarkEnd w:id="30"/>
      <w:bookmarkEnd w:id="31"/>
    </w:p>
    <w:p w:rsidR="001E0450" w:rsidRPr="00BF4ACB" w:rsidRDefault="3894847F" w:rsidP="001E0450">
      <w:r>
        <w:t>As part of the Inclusion Round consultation, the department sought feedback on the proposed definition of a ‘safe place’.</w:t>
      </w:r>
    </w:p>
    <w:p w:rsidR="004F63FC" w:rsidRDefault="00C1707C" w:rsidP="004F63FC">
      <w:pPr>
        <w:spacing w:before="240" w:after="0"/>
        <w:ind w:left="-1418"/>
      </w:pPr>
      <w:r>
        <w:rPr>
          <w:noProof/>
          <w:lang w:eastAsia="en-AU"/>
        </w:rPr>
        <w:drawing>
          <wp:inline distT="0" distB="0" distL="0" distR="0">
            <wp:extent cx="7583170" cy="3201035"/>
            <wp:effectExtent l="0" t="0" r="0" b="0"/>
            <wp:docPr id="5397" name="Picture 5397" descr="A medium blue outline of a house is surrounded by seven text bubbles, all connected by a line to the house. Clockwise from the top left, the bubbles read 'What makes a Safe Place?' (in dark blue), 'Self-contained' (in red), 'Dignity, security, safety, privacy' (in orange), 'Flexibility for different family structures and cultural needs' (in green), 'Own bedroom, bathroom, kitchenette, laundry' (in purple), '2 Safe Places per bedroom' (in pink), and '1 person or family' (in blue). " title="What makes a Safe P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83170" cy="3201035"/>
                    </a:xfrm>
                    <a:prstGeom prst="rect">
                      <a:avLst/>
                    </a:prstGeom>
                    <a:noFill/>
                  </pic:spPr>
                </pic:pic>
              </a:graphicData>
            </a:graphic>
          </wp:inline>
        </w:drawing>
      </w:r>
    </w:p>
    <w:p w:rsidR="001E0450" w:rsidRDefault="00B16062" w:rsidP="004F63FC">
      <w:pPr>
        <w:spacing w:before="240" w:after="0"/>
        <w:rPr>
          <w:lang w:eastAsia="en-AU"/>
        </w:rPr>
      </w:pPr>
      <w:r>
        <w:t>D</w:t>
      </w:r>
      <w:r w:rsidR="3894847F">
        <w:t>wellings eligible for funding under the Inclusion Round must provide dignity, security, safety and privacy in a self-contained living space, including bedroom/s, bathroom, kitchen/kitchenette, and laundry, for the sole use of one person or family group. The</w:t>
      </w:r>
      <w:r w:rsidR="005F453C">
        <w:t> </w:t>
      </w:r>
      <w:r w:rsidR="3894847F">
        <w:t>department proposed dormitory-style accommodation would not be eligible for funding under the Inclusion Round, as it does not provide the appropriate level of privacy or dignity for women and children experiencing FDV.</w:t>
      </w:r>
      <w:r w:rsidR="3894847F" w:rsidRPr="3894847F">
        <w:rPr>
          <w:lang w:eastAsia="en-AU"/>
        </w:rPr>
        <w:t xml:space="preserve"> Stakeholders largely agreed with this definition.</w:t>
      </w:r>
    </w:p>
    <w:p w:rsidR="001E0450" w:rsidRDefault="3894847F" w:rsidP="3894847F">
      <w:pPr>
        <w:rPr>
          <w:lang w:eastAsia="en-AU"/>
        </w:rPr>
      </w:pPr>
      <w:r w:rsidRPr="3894847F">
        <w:rPr>
          <w:lang w:eastAsia="en-AU"/>
        </w:rPr>
        <w:t xml:space="preserve">Stakeholders acknowledged it is important to </w:t>
      </w:r>
      <w:r w:rsidR="00B16062">
        <w:rPr>
          <w:lang w:eastAsia="en-AU"/>
        </w:rPr>
        <w:t>accommodate</w:t>
      </w:r>
      <w:r w:rsidRPr="3894847F">
        <w:rPr>
          <w:lang w:eastAsia="en-AU"/>
        </w:rPr>
        <w:t xml:space="preserve"> the needs of both women without children and </w:t>
      </w:r>
      <w:r w:rsidR="00B16062">
        <w:rPr>
          <w:lang w:eastAsia="en-AU"/>
        </w:rPr>
        <w:t xml:space="preserve">with </w:t>
      </w:r>
      <w:r w:rsidRPr="3894847F">
        <w:rPr>
          <w:lang w:eastAsia="en-AU"/>
        </w:rPr>
        <w:t>larger families. They noted the size and structure of families can vary significantly, and it is important to build in flexibility to accommodate older children, female family members</w:t>
      </w:r>
      <w:r w:rsidR="00475FFA">
        <w:rPr>
          <w:lang w:eastAsia="en-AU"/>
        </w:rPr>
        <w:t xml:space="preserve"> such as mothers or sisters</w:t>
      </w:r>
      <w:r w:rsidR="00B16062">
        <w:rPr>
          <w:lang w:eastAsia="en-AU"/>
        </w:rPr>
        <w:t>,</w:t>
      </w:r>
      <w:r w:rsidRPr="3894847F">
        <w:rPr>
          <w:lang w:eastAsia="en-AU"/>
        </w:rPr>
        <w:t xml:space="preserve"> </w:t>
      </w:r>
      <w:r w:rsidR="00B16062">
        <w:rPr>
          <w:lang w:eastAsia="en-AU"/>
        </w:rPr>
        <w:t>particular</w:t>
      </w:r>
      <w:r w:rsidR="00475FFA">
        <w:rPr>
          <w:lang w:eastAsia="en-AU"/>
        </w:rPr>
        <w:t xml:space="preserve">ly for </w:t>
      </w:r>
      <w:r w:rsidRPr="3894847F">
        <w:rPr>
          <w:lang w:eastAsia="en-AU"/>
        </w:rPr>
        <w:t xml:space="preserve">First Nations or CALD women, and carers and/or support workers for women and children with disability. Suggestions included dual lock doors, which could allow the joining of 2 self-contained living spaces, or proposals with a mix of different size dwellings to accommodate various family </w:t>
      </w:r>
      <w:r w:rsidR="00B16062">
        <w:rPr>
          <w:lang w:eastAsia="en-AU"/>
        </w:rPr>
        <w:t>structures</w:t>
      </w:r>
      <w:r w:rsidRPr="3894847F">
        <w:rPr>
          <w:lang w:eastAsia="en-AU"/>
        </w:rPr>
        <w:t>.</w:t>
      </w:r>
    </w:p>
    <w:p w:rsidR="001E0450" w:rsidRDefault="3894847F" w:rsidP="001E0450">
      <w:r>
        <w:lastRenderedPageBreak/>
        <w:t>In determining the number of ‘safe places’ (i.e. the maximum number of women/children supported at any one time) for assessment and reporting purposes, the department proposed using the calculation of 2 persons per bedroom. For example, a 2-bedroom house accommodating one family unit will equal 4 safe places.</w:t>
      </w:r>
    </w:p>
    <w:p w:rsidR="001E0450" w:rsidRPr="00D566B3" w:rsidRDefault="00D566B3" w:rsidP="3894847F">
      <w:pPr>
        <w:rPr>
          <w:rFonts w:cs="Arial"/>
        </w:rPr>
      </w:pPr>
      <w:r w:rsidRPr="00A44CED">
        <w:rPr>
          <w:rFonts w:cs="Arial"/>
        </w:rPr>
        <w:t>T</w:t>
      </w:r>
      <w:r>
        <w:rPr>
          <w:rFonts w:cs="Arial"/>
        </w:rPr>
        <w:t>he calculation for the number of safe places</w:t>
      </w:r>
      <w:r w:rsidRPr="00A44CED">
        <w:rPr>
          <w:rFonts w:cs="Arial"/>
        </w:rPr>
        <w:t xml:space="preserve"> is consistent with the </w:t>
      </w:r>
      <w:r>
        <w:rPr>
          <w:rFonts w:cs="Arial"/>
        </w:rPr>
        <w:t>definition</w:t>
      </w:r>
      <w:r w:rsidRPr="00A44CED">
        <w:rPr>
          <w:rFonts w:cs="Arial"/>
        </w:rPr>
        <w:t xml:space="preserve"> of overcrowding accepted by the</w:t>
      </w:r>
      <w:r>
        <w:rPr>
          <w:rFonts w:cs="Arial"/>
        </w:rPr>
        <w:t xml:space="preserve"> Australian Bureau of Statistics and</w:t>
      </w:r>
      <w:r w:rsidRPr="00A44CED">
        <w:rPr>
          <w:rFonts w:cs="Arial"/>
        </w:rPr>
        <w:t xml:space="preserve"> AIHW</w:t>
      </w:r>
      <w:r>
        <w:rPr>
          <w:rFonts w:cs="Arial"/>
        </w:rPr>
        <w:t>,</w:t>
      </w:r>
      <w:r w:rsidRPr="00A44CED">
        <w:rPr>
          <w:rStyle w:val="FootnoteReference"/>
          <w:rFonts w:cs="Arial"/>
        </w:rPr>
        <w:footnoteReference w:id="7"/>
      </w:r>
      <w:r w:rsidRPr="00A44CED">
        <w:rPr>
          <w:rFonts w:cs="Arial"/>
        </w:rPr>
        <w:t xml:space="preserve"> noting there may be individual circumstances </w:t>
      </w:r>
      <w:r>
        <w:rPr>
          <w:rFonts w:cs="Arial"/>
        </w:rPr>
        <w:t xml:space="preserve">where it is appropriate for </w:t>
      </w:r>
      <w:r w:rsidRPr="00A44CED">
        <w:rPr>
          <w:rFonts w:cs="Arial"/>
        </w:rPr>
        <w:t xml:space="preserve">emergency accommodation to be provided in a way that does </w:t>
      </w:r>
      <w:r>
        <w:rPr>
          <w:rFonts w:cs="Arial"/>
        </w:rPr>
        <w:t xml:space="preserve">not </w:t>
      </w:r>
      <w:r w:rsidRPr="00A44CED">
        <w:rPr>
          <w:rFonts w:cs="Arial"/>
        </w:rPr>
        <w:t>meet the definition</w:t>
      </w:r>
      <w:r>
        <w:rPr>
          <w:rFonts w:cs="Arial"/>
        </w:rPr>
        <w:t>.</w:t>
      </w:r>
      <w:r w:rsidRPr="00A44CED">
        <w:rPr>
          <w:rStyle w:val="FootnoteReference"/>
          <w:rFonts w:cs="Arial"/>
        </w:rPr>
        <w:footnoteReference w:id="8"/>
      </w:r>
      <w:r w:rsidRPr="0002438F">
        <w:rPr>
          <w:rFonts w:cs="Arial"/>
        </w:rPr>
        <w:t xml:space="preserve"> </w:t>
      </w:r>
    </w:p>
    <w:p w:rsidR="001E0450" w:rsidRDefault="3894847F" w:rsidP="001E0450">
      <w:r>
        <w:t xml:space="preserve">The </w:t>
      </w:r>
      <w:r w:rsidR="00642DE6">
        <w:t>d</w:t>
      </w:r>
      <w:r w:rsidR="40C0725C">
        <w:t>epartment</w:t>
      </w:r>
      <w:r>
        <w:t xml:space="preserve"> heard a need for flexibility with </w:t>
      </w:r>
      <w:r w:rsidR="00B16062">
        <w:t>assessing the acceptable number of safe places</w:t>
      </w:r>
      <w:r w:rsidDel="00B16062">
        <w:t xml:space="preserve"> </w:t>
      </w:r>
      <w:r>
        <w:t xml:space="preserve">as, in some circumstances, having 2 </w:t>
      </w:r>
      <w:r w:rsidR="00B16062">
        <w:t xml:space="preserve">family </w:t>
      </w:r>
      <w:r>
        <w:t>members</w:t>
      </w:r>
      <w:r w:rsidDel="00B16062">
        <w:t xml:space="preserve"> </w:t>
      </w:r>
      <w:r>
        <w:t xml:space="preserve">sharing a bedroom may be inappropriate. </w:t>
      </w:r>
      <w:r w:rsidR="00B16062">
        <w:t>Equally</w:t>
      </w:r>
      <w:r>
        <w:t>, some stakeholders noted a quota of 2 people per bedroom may limit true accessibility and inclusivity, as it is common for women, particularly First Nations and CALD women, to have more than one child in their care who they may wish to sleep in the same room as them.</w:t>
      </w:r>
    </w:p>
    <w:p w:rsidR="00D566B3" w:rsidRDefault="3894847F" w:rsidP="3894847F">
      <w:pPr>
        <w:rPr>
          <w:rFonts w:cs="Arial"/>
        </w:rPr>
      </w:pPr>
      <w:r w:rsidRPr="3894847F">
        <w:rPr>
          <w:rFonts w:cs="Arial"/>
        </w:rPr>
        <w:t xml:space="preserve">The </w:t>
      </w:r>
      <w:r w:rsidR="00B16062">
        <w:rPr>
          <w:rFonts w:cs="Arial"/>
        </w:rPr>
        <w:t>d</w:t>
      </w:r>
      <w:r w:rsidRPr="3894847F">
        <w:rPr>
          <w:rFonts w:cs="Arial"/>
        </w:rPr>
        <w:t xml:space="preserve">epartment will apply this definition of safe places to all </w:t>
      </w:r>
      <w:r w:rsidR="00B16062" w:rsidRPr="3894847F">
        <w:rPr>
          <w:rFonts w:cs="Arial"/>
        </w:rPr>
        <w:t xml:space="preserve">Inclusion </w:t>
      </w:r>
      <w:r w:rsidRPr="3894847F" w:rsidDel="00B16062">
        <w:rPr>
          <w:rFonts w:cs="Arial"/>
        </w:rPr>
        <w:t>Round</w:t>
      </w:r>
      <w:r w:rsidR="007D28E9">
        <w:rPr>
          <w:rFonts w:cs="Arial"/>
        </w:rPr>
        <w:t xml:space="preserve"> </w:t>
      </w:r>
      <w:r w:rsidRPr="3894847F">
        <w:rPr>
          <w:rFonts w:cs="Arial"/>
        </w:rPr>
        <w:t xml:space="preserve">applications. The </w:t>
      </w:r>
      <w:r w:rsidR="00B16062">
        <w:rPr>
          <w:rFonts w:cs="Arial"/>
        </w:rPr>
        <w:t>d</w:t>
      </w:r>
      <w:r w:rsidRPr="3894847F">
        <w:rPr>
          <w:rFonts w:cs="Arial"/>
        </w:rPr>
        <w:t xml:space="preserve">epartment will calculate the cost to the Commonwealth </w:t>
      </w:r>
      <w:r w:rsidR="00B16062" w:rsidRPr="3894847F">
        <w:rPr>
          <w:rFonts w:cs="Arial"/>
        </w:rPr>
        <w:t xml:space="preserve">of each application </w:t>
      </w:r>
      <w:r w:rsidRPr="3894847F">
        <w:rPr>
          <w:rFonts w:cs="Arial"/>
        </w:rPr>
        <w:t xml:space="preserve">based on the </w:t>
      </w:r>
      <w:r w:rsidR="007D28E9">
        <w:rPr>
          <w:rFonts w:cs="Arial"/>
        </w:rPr>
        <w:t>cost</w:t>
      </w:r>
      <w:r w:rsidRPr="3894847F">
        <w:rPr>
          <w:rFonts w:cs="Arial"/>
        </w:rPr>
        <w:t xml:space="preserve"> per dwelling and per safe place.</w:t>
      </w:r>
    </w:p>
    <w:p w:rsidR="00675EBA" w:rsidRPr="009C1EBF" w:rsidRDefault="00D566B3">
      <w:pPr>
        <w:rPr>
          <w:rFonts w:cs="Arial"/>
        </w:rPr>
      </w:pPr>
      <w:r>
        <w:rPr>
          <w:rStyle w:val="normaltextrun"/>
          <w:rFonts w:cs="Arial"/>
          <w:color w:val="000000"/>
          <w:shd w:val="clear" w:color="auto" w:fill="FFFFFF"/>
        </w:rPr>
        <w:t xml:space="preserve">It is important to note the </w:t>
      </w:r>
      <w:r w:rsidR="00B16062">
        <w:rPr>
          <w:rStyle w:val="normaltextrun"/>
          <w:rFonts w:cs="Arial"/>
          <w:color w:val="000000"/>
          <w:shd w:val="clear" w:color="auto" w:fill="FFFFFF"/>
        </w:rPr>
        <w:t xml:space="preserve">method for determining </w:t>
      </w:r>
      <w:r>
        <w:rPr>
          <w:rStyle w:val="normaltextrun"/>
          <w:rFonts w:cs="Arial"/>
          <w:color w:val="000000"/>
          <w:shd w:val="clear" w:color="auto" w:fill="FFFFFF"/>
        </w:rPr>
        <w:t xml:space="preserve">the number of safe places </w:t>
      </w:r>
      <w:r w:rsidR="007D28E9">
        <w:rPr>
          <w:rStyle w:val="normaltextrun"/>
          <w:rFonts w:cs="Arial"/>
          <w:color w:val="000000"/>
          <w:shd w:val="clear" w:color="auto" w:fill="FFFFFF"/>
        </w:rPr>
        <w:t>will</w:t>
      </w:r>
      <w:r w:rsidR="00B16062">
        <w:rPr>
          <w:rStyle w:val="normaltextrun"/>
          <w:rFonts w:cs="Arial"/>
          <w:color w:val="000000"/>
          <w:shd w:val="clear" w:color="auto" w:fill="FFFFFF"/>
        </w:rPr>
        <w:t xml:space="preserve"> only be used </w:t>
      </w:r>
      <w:r>
        <w:rPr>
          <w:rStyle w:val="normaltextrun"/>
          <w:rFonts w:cs="Arial"/>
          <w:color w:val="000000"/>
          <w:shd w:val="clear" w:color="auto" w:fill="FFFFFF"/>
        </w:rPr>
        <w:t>for assessment and reporting purposes</w:t>
      </w:r>
      <w:r w:rsidR="00B16062">
        <w:rPr>
          <w:rStyle w:val="normaltextrun"/>
          <w:rFonts w:cs="Arial"/>
          <w:color w:val="000000"/>
          <w:shd w:val="clear" w:color="auto" w:fill="FFFFFF"/>
        </w:rPr>
        <w:t>,</w:t>
      </w:r>
      <w:r>
        <w:rPr>
          <w:rStyle w:val="normaltextrun"/>
          <w:rFonts w:cs="Arial"/>
          <w:color w:val="000000"/>
          <w:shd w:val="clear" w:color="auto" w:fill="FFFFFF"/>
        </w:rPr>
        <w:t xml:space="preserve"> to ensure consistency when calculating the number of safe places offered by each application. There is no requirement for grantees to enforce the calculation of two persons per bedroom. Determining the appropriate number of persons per bedroom for emergency accommodation funded under the Inclusion Round is an operational matter for grantees, and should be based on the preferences and needs of women and children on a case-by-case basis.</w:t>
      </w:r>
      <w:bookmarkStart w:id="32" w:name="_Toc142492550"/>
    </w:p>
    <w:p w:rsidR="001E0450" w:rsidRPr="000907F8" w:rsidRDefault="3BE4FEF3" w:rsidP="00DF057B">
      <w:pPr>
        <w:pStyle w:val="Heading2"/>
        <w:rPr>
          <w:lang w:eastAsia="en-AU"/>
        </w:rPr>
      </w:pPr>
      <w:bookmarkStart w:id="33" w:name="_Toc142557352"/>
      <w:bookmarkStart w:id="34" w:name="_Toc146118030"/>
      <w:r w:rsidRPr="000907F8">
        <w:rPr>
          <w:lang w:eastAsia="en-AU"/>
        </w:rPr>
        <w:t>Design of emergency accommodation</w:t>
      </w:r>
      <w:bookmarkEnd w:id="32"/>
      <w:bookmarkEnd w:id="33"/>
      <w:bookmarkEnd w:id="34"/>
    </w:p>
    <w:p w:rsidR="00425A6E" w:rsidRDefault="3894847F" w:rsidP="3894847F">
      <w:pPr>
        <w:rPr>
          <w:lang w:eastAsia="en-AU"/>
        </w:rPr>
      </w:pPr>
      <w:r w:rsidRPr="3894847F">
        <w:rPr>
          <w:lang w:eastAsia="en-AU"/>
        </w:rPr>
        <w:t>Stakeholders highlighted the importance of safe places being homely, welcoming and clean. They also noted a need for safe places to be functional in design, rather than clinical. Practical suggestions to create a cosy and comfortable space included</w:t>
      </w:r>
      <w:r w:rsidR="00425A6E">
        <w:rPr>
          <w:lang w:eastAsia="en-AU"/>
        </w:rPr>
        <w:t>:</w:t>
      </w:r>
    </w:p>
    <w:p w:rsidR="00425A6E" w:rsidRDefault="3894847F" w:rsidP="000B0AEF">
      <w:pPr>
        <w:pStyle w:val="ListParagraph"/>
        <w:numPr>
          <w:ilvl w:val="0"/>
          <w:numId w:val="17"/>
        </w:numPr>
        <w:rPr>
          <w:lang w:eastAsia="en-AU"/>
        </w:rPr>
      </w:pPr>
      <w:r w:rsidRPr="3894847F">
        <w:rPr>
          <w:lang w:eastAsia="en-AU"/>
        </w:rPr>
        <w:t xml:space="preserve">using soft furnishings, </w:t>
      </w:r>
    </w:p>
    <w:p w:rsidR="00425A6E" w:rsidRDefault="3894847F" w:rsidP="000B0AEF">
      <w:pPr>
        <w:pStyle w:val="ListParagraph"/>
        <w:numPr>
          <w:ilvl w:val="0"/>
          <w:numId w:val="17"/>
        </w:numPr>
        <w:rPr>
          <w:lang w:eastAsia="en-AU"/>
        </w:rPr>
      </w:pPr>
      <w:r w:rsidRPr="3894847F">
        <w:rPr>
          <w:lang w:eastAsia="en-AU"/>
        </w:rPr>
        <w:t xml:space="preserve">ensuring there is natural light and sufficient storage, and </w:t>
      </w:r>
    </w:p>
    <w:p w:rsidR="00425A6E" w:rsidRDefault="3894847F" w:rsidP="000B0AEF">
      <w:pPr>
        <w:pStyle w:val="ListParagraph"/>
        <w:numPr>
          <w:ilvl w:val="0"/>
          <w:numId w:val="17"/>
        </w:numPr>
        <w:rPr>
          <w:lang w:eastAsia="en-AU"/>
        </w:rPr>
      </w:pPr>
      <w:r w:rsidRPr="3894847F">
        <w:rPr>
          <w:lang w:eastAsia="en-AU"/>
        </w:rPr>
        <w:t xml:space="preserve">providing new bedding and linen. </w:t>
      </w:r>
    </w:p>
    <w:p w:rsidR="009C1EBF" w:rsidRDefault="3894847F">
      <w:pPr>
        <w:rPr>
          <w:lang w:eastAsia="en-AU"/>
        </w:rPr>
      </w:pPr>
      <w:r w:rsidRPr="3894847F">
        <w:rPr>
          <w:lang w:eastAsia="en-AU"/>
        </w:rPr>
        <w:t>Stakeholders also noted a full kitchen, rather than a kitchenette, is more practical and accessible, enabling women to cook nutritious and cost effective meals. Access to the internet and/or a computer was also considered important to allow women and children to maintain contact with their friends and family, send emails and access online services.</w:t>
      </w:r>
    </w:p>
    <w:p w:rsidR="00097657" w:rsidRDefault="00097657">
      <w:pPr>
        <w:rPr>
          <w:lang w:eastAsia="en-AU"/>
        </w:rPr>
      </w:pPr>
      <w:r>
        <w:rPr>
          <w:lang w:eastAsia="en-AU"/>
        </w:rPr>
        <w:br w:type="page"/>
      </w:r>
    </w:p>
    <w:p w:rsidR="00425A6E" w:rsidRDefault="3894847F" w:rsidP="3894847F">
      <w:pPr>
        <w:rPr>
          <w:lang w:eastAsia="en-AU"/>
        </w:rPr>
      </w:pPr>
      <w:r w:rsidRPr="3894847F">
        <w:rPr>
          <w:lang w:eastAsia="en-AU"/>
        </w:rPr>
        <w:lastRenderedPageBreak/>
        <w:t>Stakeholders noted it was important for emergency accommodation to make women and children feel safe and secure. Suggestions included</w:t>
      </w:r>
      <w:r w:rsidR="00425A6E">
        <w:rPr>
          <w:lang w:eastAsia="en-AU"/>
        </w:rPr>
        <w:t>:</w:t>
      </w:r>
    </w:p>
    <w:p w:rsidR="00425A6E" w:rsidRDefault="3894847F" w:rsidP="000B0AEF">
      <w:pPr>
        <w:pStyle w:val="ListParagraph"/>
        <w:numPr>
          <w:ilvl w:val="0"/>
          <w:numId w:val="16"/>
        </w:numPr>
        <w:rPr>
          <w:lang w:eastAsia="en-AU"/>
        </w:rPr>
      </w:pPr>
      <w:r w:rsidRPr="3894847F">
        <w:rPr>
          <w:lang w:eastAsia="en-AU"/>
        </w:rPr>
        <w:t xml:space="preserve">sound proofing, </w:t>
      </w:r>
    </w:p>
    <w:p w:rsidR="00425A6E" w:rsidRDefault="3894847F" w:rsidP="000B0AEF">
      <w:pPr>
        <w:pStyle w:val="ListParagraph"/>
        <w:numPr>
          <w:ilvl w:val="0"/>
          <w:numId w:val="16"/>
        </w:numPr>
        <w:rPr>
          <w:lang w:eastAsia="en-AU"/>
        </w:rPr>
      </w:pPr>
      <w:r w:rsidRPr="3894847F">
        <w:rPr>
          <w:lang w:eastAsia="en-AU"/>
        </w:rPr>
        <w:t xml:space="preserve">alarms, </w:t>
      </w:r>
    </w:p>
    <w:p w:rsidR="00425A6E" w:rsidRDefault="3894847F" w:rsidP="000B0AEF">
      <w:pPr>
        <w:pStyle w:val="ListParagraph"/>
        <w:numPr>
          <w:ilvl w:val="0"/>
          <w:numId w:val="16"/>
        </w:numPr>
        <w:rPr>
          <w:lang w:eastAsia="en-AU"/>
        </w:rPr>
      </w:pPr>
      <w:r w:rsidRPr="3894847F">
        <w:rPr>
          <w:lang w:eastAsia="en-AU"/>
        </w:rPr>
        <w:t xml:space="preserve">cameras, </w:t>
      </w:r>
    </w:p>
    <w:p w:rsidR="00425A6E" w:rsidRDefault="3894847F" w:rsidP="000B0AEF">
      <w:pPr>
        <w:pStyle w:val="ListParagraph"/>
        <w:numPr>
          <w:ilvl w:val="0"/>
          <w:numId w:val="16"/>
        </w:numPr>
        <w:rPr>
          <w:lang w:eastAsia="en-AU"/>
        </w:rPr>
      </w:pPr>
      <w:r w:rsidRPr="3894847F">
        <w:rPr>
          <w:lang w:eastAsia="en-AU"/>
        </w:rPr>
        <w:t xml:space="preserve">crim safe screens, </w:t>
      </w:r>
    </w:p>
    <w:p w:rsidR="00425A6E" w:rsidRDefault="3894847F" w:rsidP="000B0AEF">
      <w:pPr>
        <w:pStyle w:val="ListParagraph"/>
        <w:numPr>
          <w:ilvl w:val="0"/>
          <w:numId w:val="16"/>
        </w:numPr>
        <w:rPr>
          <w:lang w:eastAsia="en-AU"/>
        </w:rPr>
      </w:pPr>
      <w:r w:rsidRPr="3894847F">
        <w:rPr>
          <w:lang w:eastAsia="en-AU"/>
        </w:rPr>
        <w:t>front door stopper</w:t>
      </w:r>
      <w:r w:rsidR="00A83E82">
        <w:rPr>
          <w:lang w:eastAsia="en-AU"/>
        </w:rPr>
        <w:t>s,</w:t>
      </w:r>
      <w:r w:rsidRPr="3894847F">
        <w:rPr>
          <w:lang w:eastAsia="en-AU"/>
        </w:rPr>
        <w:t xml:space="preserve"> </w:t>
      </w:r>
    </w:p>
    <w:p w:rsidR="00425A6E" w:rsidRDefault="3894847F" w:rsidP="000B0AEF">
      <w:pPr>
        <w:pStyle w:val="ListParagraph"/>
        <w:numPr>
          <w:ilvl w:val="0"/>
          <w:numId w:val="16"/>
        </w:numPr>
        <w:rPr>
          <w:lang w:eastAsia="en-AU"/>
        </w:rPr>
      </w:pPr>
      <w:r w:rsidRPr="3894847F">
        <w:rPr>
          <w:lang w:eastAsia="en-AU"/>
        </w:rPr>
        <w:t xml:space="preserve">presence of onsite staff, </w:t>
      </w:r>
    </w:p>
    <w:p w:rsidR="00425A6E" w:rsidRDefault="3894847F" w:rsidP="000B0AEF">
      <w:pPr>
        <w:pStyle w:val="ListParagraph"/>
        <w:numPr>
          <w:ilvl w:val="0"/>
          <w:numId w:val="16"/>
        </w:numPr>
        <w:rPr>
          <w:lang w:eastAsia="en-AU"/>
        </w:rPr>
      </w:pPr>
      <w:r w:rsidRPr="3894847F">
        <w:rPr>
          <w:lang w:eastAsia="en-AU"/>
        </w:rPr>
        <w:t>no</w:t>
      </w:r>
      <w:r w:rsidR="00A83E82">
        <w:rPr>
          <w:lang w:eastAsia="en-AU"/>
        </w:rPr>
        <w:t>t having</w:t>
      </w:r>
      <w:r w:rsidRPr="3894847F">
        <w:rPr>
          <w:lang w:eastAsia="en-AU"/>
        </w:rPr>
        <w:t xml:space="preserve"> visible house number</w:t>
      </w:r>
      <w:r w:rsidR="00A83E82">
        <w:rPr>
          <w:lang w:eastAsia="en-AU"/>
        </w:rPr>
        <w:t>s</w:t>
      </w:r>
      <w:r w:rsidRPr="3894847F">
        <w:rPr>
          <w:lang w:eastAsia="en-AU"/>
        </w:rPr>
        <w:t xml:space="preserve"> on the dwelling, </w:t>
      </w:r>
    </w:p>
    <w:p w:rsidR="00425A6E" w:rsidRDefault="3894847F" w:rsidP="000B0AEF">
      <w:pPr>
        <w:pStyle w:val="ListParagraph"/>
        <w:numPr>
          <w:ilvl w:val="0"/>
          <w:numId w:val="16"/>
        </w:numPr>
        <w:rPr>
          <w:lang w:eastAsia="en-AU"/>
        </w:rPr>
      </w:pPr>
      <w:r w:rsidRPr="3894847F">
        <w:rPr>
          <w:lang w:eastAsia="en-AU"/>
        </w:rPr>
        <w:t>secure and high fencing</w:t>
      </w:r>
      <w:r w:rsidR="00A83E82">
        <w:rPr>
          <w:lang w:eastAsia="en-AU"/>
        </w:rPr>
        <w:t>,</w:t>
      </w:r>
      <w:r w:rsidRPr="3894847F">
        <w:rPr>
          <w:lang w:eastAsia="en-AU"/>
        </w:rPr>
        <w:t xml:space="preserve"> and </w:t>
      </w:r>
    </w:p>
    <w:p w:rsidR="00425A6E" w:rsidRDefault="3894847F" w:rsidP="000B0AEF">
      <w:pPr>
        <w:pStyle w:val="ListParagraph"/>
        <w:numPr>
          <w:ilvl w:val="0"/>
          <w:numId w:val="16"/>
        </w:numPr>
        <w:rPr>
          <w:lang w:eastAsia="en-AU"/>
        </w:rPr>
      </w:pPr>
      <w:r w:rsidRPr="3894847F">
        <w:rPr>
          <w:lang w:eastAsia="en-AU"/>
        </w:rPr>
        <w:t xml:space="preserve">discreet parking close the dwelling where cars cannot be seen from the street. </w:t>
      </w:r>
    </w:p>
    <w:p w:rsidR="001E0450" w:rsidRPr="006459D9" w:rsidRDefault="3894847F" w:rsidP="3894847F">
      <w:pPr>
        <w:rPr>
          <w:lang w:eastAsia="en-AU"/>
        </w:rPr>
      </w:pPr>
      <w:r w:rsidRPr="3894847F">
        <w:rPr>
          <w:lang w:eastAsia="en-AU"/>
        </w:rPr>
        <w:t xml:space="preserve">It was noted high quality applications </w:t>
      </w:r>
      <w:r w:rsidR="00A83E82">
        <w:rPr>
          <w:lang w:eastAsia="en-AU"/>
        </w:rPr>
        <w:t>sh</w:t>
      </w:r>
      <w:r w:rsidRPr="3894847F">
        <w:rPr>
          <w:lang w:eastAsia="en-AU"/>
        </w:rPr>
        <w:t>ould demonstrate an understanding of the most appropriate security design features</w:t>
      </w:r>
      <w:r w:rsidR="00A83E82">
        <w:rPr>
          <w:lang w:eastAsia="en-AU"/>
        </w:rPr>
        <w:t>,</w:t>
      </w:r>
      <w:r w:rsidRPr="3894847F">
        <w:rPr>
          <w:lang w:eastAsia="en-AU"/>
        </w:rPr>
        <w:t xml:space="preserve"> taking into account the location of the emergency accommodation. Stakeholders suggested that, where possible, security features should be individualised based on the preferences of clients.</w:t>
      </w:r>
    </w:p>
    <w:p w:rsidR="007D28E9" w:rsidRDefault="001E0450" w:rsidP="007D28E9">
      <w:pPr>
        <w:rPr>
          <w:lang w:eastAsia="en-AU"/>
        </w:rPr>
      </w:pPr>
      <w:r w:rsidRPr="00BE2D0B">
        <w:rPr>
          <w:lang w:eastAsia="en-AU"/>
        </w:rPr>
        <w:t>Stakeholders also noted high quality proposals would consider</w:t>
      </w:r>
      <w:r>
        <w:rPr>
          <w:lang w:eastAsia="en-AU"/>
        </w:rPr>
        <w:t xml:space="preserve"> sensory needs and trauma</w:t>
      </w:r>
      <w:r w:rsidR="002813FD">
        <w:rPr>
          <w:lang w:eastAsia="en-AU"/>
        </w:rPr>
        <w:noBreakHyphen/>
      </w:r>
      <w:r w:rsidRPr="00BE2D0B">
        <w:rPr>
          <w:lang w:eastAsia="en-AU"/>
        </w:rPr>
        <w:t>informed design principles</w:t>
      </w:r>
      <w:r w:rsidR="007D28E9">
        <w:rPr>
          <w:lang w:eastAsia="en-AU"/>
        </w:rPr>
        <w:t xml:space="preserve">. This may include consideration of the </w:t>
      </w:r>
      <w:r w:rsidR="007D28E9" w:rsidRPr="00EF2DDD">
        <w:rPr>
          <w:iCs/>
          <w:lang w:eastAsia="en-AU"/>
        </w:rPr>
        <w:t>Design Guide for Refuge Accommodation for women and children</w:t>
      </w:r>
      <w:r w:rsidR="007D28E9" w:rsidRPr="000718B2">
        <w:rPr>
          <w:rStyle w:val="FootnoteReference"/>
          <w:i/>
          <w:iCs/>
          <w:lang w:eastAsia="en-AU"/>
        </w:rPr>
        <w:footnoteReference w:id="9"/>
      </w:r>
      <w:r w:rsidR="007D28E9">
        <w:rPr>
          <w:lang w:eastAsia="en-AU"/>
        </w:rPr>
        <w:t xml:space="preserve"> </w:t>
      </w:r>
      <w:r>
        <w:rPr>
          <w:lang w:eastAsia="en-AU"/>
        </w:rPr>
        <w:t>developed by Sam Donnelly from the University of Technology Sydney</w:t>
      </w:r>
      <w:r w:rsidR="007D28E9">
        <w:rPr>
          <w:lang w:eastAsia="en-AU"/>
        </w:rPr>
        <w:t>, which contains design principles for trauma-informed emergency accommodation</w:t>
      </w:r>
      <w:r w:rsidRPr="00BE2D0B">
        <w:rPr>
          <w:lang w:eastAsia="en-AU"/>
        </w:rPr>
        <w:t xml:space="preserve">. </w:t>
      </w:r>
    </w:p>
    <w:p w:rsidR="000907F8" w:rsidRDefault="3894847F" w:rsidP="3894847F">
      <w:pPr>
        <w:rPr>
          <w:lang w:eastAsia="en-AU"/>
        </w:rPr>
      </w:pPr>
      <w:r w:rsidRPr="3894847F">
        <w:rPr>
          <w:lang w:eastAsia="en-AU"/>
        </w:rPr>
        <w:t>Some stakeholders also encouraged the department to favourably view proposals that consider environmental sustainability and energy efficiency, such as using local resources and materials, renewable energy options such as solar panels and batteries, and water efficiency. These were considered beneficial to help reduce ongoing costs, such as electricity bills. In some locations, stakeholders noted it was also important to include air conditioners, and consider the impact of extreme weather events, such as floods, bushfires and cyclones.</w:t>
      </w:r>
    </w:p>
    <w:p w:rsidR="000907F8" w:rsidRDefault="000907F8">
      <w:pPr>
        <w:rPr>
          <w:lang w:eastAsia="en-AU"/>
        </w:rPr>
      </w:pPr>
      <w:r>
        <w:rPr>
          <w:lang w:eastAsia="en-AU"/>
        </w:rPr>
        <w:br w:type="page"/>
      </w:r>
    </w:p>
    <w:p w:rsidR="001E0450" w:rsidRPr="000907F8" w:rsidRDefault="3BE4FEF3" w:rsidP="00DF057B">
      <w:pPr>
        <w:pStyle w:val="Heading3"/>
        <w:rPr>
          <w:i/>
          <w:iCs/>
          <w:lang w:eastAsia="en-AU"/>
        </w:rPr>
      </w:pPr>
      <w:bookmarkStart w:id="35" w:name="_Toc142492551"/>
      <w:bookmarkStart w:id="36" w:name="_Toc142557353"/>
      <w:bookmarkStart w:id="37" w:name="_Toc146118031"/>
      <w:r w:rsidRPr="00DF057B">
        <w:lastRenderedPageBreak/>
        <w:t>Livable</w:t>
      </w:r>
      <w:r w:rsidRPr="000907F8">
        <w:rPr>
          <w:lang w:eastAsia="en-AU"/>
        </w:rPr>
        <w:t xml:space="preserve"> Housing </w:t>
      </w:r>
      <w:r w:rsidR="00383397" w:rsidRPr="000907F8">
        <w:rPr>
          <w:lang w:eastAsia="en-AU"/>
        </w:rPr>
        <w:t>Design Guidelines</w:t>
      </w:r>
      <w:r w:rsidRPr="000907F8">
        <w:rPr>
          <w:lang w:eastAsia="en-AU"/>
        </w:rPr>
        <w:t>:</w:t>
      </w:r>
      <w:bookmarkEnd w:id="35"/>
      <w:bookmarkEnd w:id="36"/>
      <w:bookmarkEnd w:id="37"/>
    </w:p>
    <w:p w:rsidR="004F63FC" w:rsidRDefault="3894847F" w:rsidP="001E0450">
      <w:pPr>
        <w:rPr>
          <w:noProof/>
          <w:lang w:eastAsia="en-AU"/>
        </w:rPr>
      </w:pPr>
      <w:r>
        <w:t xml:space="preserve">As part of the Inclusion Round consultation, the department sought feedback on what standard of the </w:t>
      </w:r>
      <w:r w:rsidRPr="00EF2DDD">
        <w:t>Livable Housing Design Guidelines</w:t>
      </w:r>
      <w:r w:rsidR="00EF2DDD">
        <w:rPr>
          <w:rStyle w:val="FootnoteReference"/>
        </w:rPr>
        <w:footnoteReference w:id="10"/>
      </w:r>
      <w:r w:rsidRPr="00EF2DDD">
        <w:t xml:space="preserve"> </w:t>
      </w:r>
      <w:r>
        <w:t>in the National Construction Code should be met for emergency accommodation delivered under the Inclusion Round. The guidelines describe livable design elements and what is required to achieve a Livable Housing Australia (LHA) Silver-, Gold- or Platinum-level accreditation. Certification of homes against the guidelines provides assurance that homes are easier to access, navigate and live in, and are cost-effective to adapt as life circumstances change.</w:t>
      </w:r>
      <w:r w:rsidR="004F63FC" w:rsidRPr="004F63FC">
        <w:rPr>
          <w:noProof/>
          <w:lang w:eastAsia="en-AU"/>
        </w:rPr>
        <w:t xml:space="preserve"> </w:t>
      </w:r>
    </w:p>
    <w:p w:rsidR="00383397" w:rsidRDefault="004F63FC" w:rsidP="004F63FC">
      <w:pPr>
        <w:ind w:left="-1418"/>
      </w:pPr>
      <w:r w:rsidRPr="00883293">
        <w:rPr>
          <w:noProof/>
          <w:lang w:eastAsia="en-AU"/>
        </w:rPr>
        <w:drawing>
          <wp:inline distT="0" distB="0" distL="0" distR="0" wp14:anchorId="2FF21F92" wp14:editId="76B1FA34">
            <wp:extent cx="7539487" cy="3543165"/>
            <wp:effectExtent l="0" t="0" r="4445" b="635"/>
            <wp:docPr id="30" name="Picture 29" descr="The diagram shows three rounded rectangles in light grey, light yellow and medium grey, labelled 'Silver', 'Gold' and 'Platinum' respectively. 'Silver' sits above the words 'a safe, continuous and step-free path of travel from the street or parking area to a level entrance; at least one step-free entrance; internal doors and corridors that facilitate comfortable and unimpeded movement between spaces; a toilet on the entry level that provides easy access; a bathroom with a hobless shower recess; reinforced walls around the toilet, shower and bath to support the safe installation of grabrails; stairways which reduce the likelihood of injury and enable future adaptation'. 'Gold' reads 'Gold includes all of Silver as well as: the kitchen space is designed to support ease of movement between fixed benches and easy adaptation; the laundry space is designed to support ease of movement between fixed benches and easy adaptation; space on the entry level that can be used as a bedroom; light switches and powerpoints are located at heights that are easy to reach for all home occupants; home occupants are able to easily and independently open and close doors and safely use tap hardware'. 'Platinum' reads 'Platinum includes all of Gold and Silver, and: the living room features clear space to enable the home occupant to move in and around the room with ease; window sills are installed at a height that enables home occupants to view the outdoor space from either a seated or standing position; floor coverings are slip resistant to reduce the likelihood of slips, trips and falls in the home'. &#10;" title="Livable Housing design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7599260" cy="3571255"/>
                    </a:xfrm>
                    <a:prstGeom prst="rect">
                      <a:avLst/>
                    </a:prstGeom>
                  </pic:spPr>
                </pic:pic>
              </a:graphicData>
            </a:graphic>
          </wp:inline>
        </w:drawing>
      </w:r>
      <w:r w:rsidR="00A83E82">
        <w:t xml:space="preserve"> </w:t>
      </w:r>
    </w:p>
    <w:p w:rsidR="001E0450" w:rsidRDefault="3894847F" w:rsidP="00883293">
      <w:pPr>
        <w:spacing w:before="240"/>
        <w:rPr>
          <w:szCs w:val="20"/>
        </w:rPr>
      </w:pPr>
      <w:r>
        <w:t xml:space="preserve">There was broad agreement </w:t>
      </w:r>
      <w:r w:rsidR="00A83E82">
        <w:t>for</w:t>
      </w:r>
      <w:r>
        <w:t xml:space="preserve"> new builds to</w:t>
      </w:r>
      <w:r w:rsidR="00A83E82" w:rsidRPr="00A83E82">
        <w:t xml:space="preserve"> </w:t>
      </w:r>
      <w:r w:rsidR="00A83E82">
        <w:t>meet LHA Silver-level accreditation</w:t>
      </w:r>
      <w:r>
        <w:t xml:space="preserve"> at a minimum</w:t>
      </w:r>
      <w:r w:rsidDel="00A83E82">
        <w:t xml:space="preserve">, </w:t>
      </w:r>
      <w:r>
        <w:t xml:space="preserve">with stakeholders emphasising the importance of creating physically accessible emergency accommodation. Stakeholders agreed with the department’s proposal to consider favourably proposals </w:t>
      </w:r>
      <w:r w:rsidDel="00A83E82">
        <w:t xml:space="preserve">meeting </w:t>
      </w:r>
      <w:r>
        <w:t>LHA Gold or Platinum level accreditation to promote a higher degree of accessibility, noting this is a requirement in some states.</w:t>
      </w:r>
    </w:p>
    <w:p w:rsidR="001E0450" w:rsidRDefault="3894847F" w:rsidP="208439D9">
      <w:pPr>
        <w:rPr>
          <w:szCs w:val="20"/>
        </w:rPr>
      </w:pPr>
      <w:r>
        <w:t>For renovations and purchases, stakeholders noted challenges with retrofitting existing structures to meet accessibility standards, including increased costs and difficulties obtaining approval. Stakeholders considered preference should be given to renovations and purchases meeting a minimum LHA Silver-level accreditation, but it should not be a requirement.</w:t>
      </w:r>
    </w:p>
    <w:p w:rsidR="004F34B6" w:rsidRDefault="3894847F">
      <w:pPr>
        <w:rPr>
          <w:rFonts w:cs="Arial"/>
          <w:lang w:eastAsia="en-AU"/>
        </w:rPr>
      </w:pPr>
      <w:r>
        <w:t>Feedback indicated proposals with multiple dwellings should include at least one safe place meeting LHA Gold or Platinum</w:t>
      </w:r>
      <w:r w:rsidR="00F51736">
        <w:t xml:space="preserve"> </w:t>
      </w:r>
      <w:r>
        <w:t xml:space="preserve">level accreditation to increase access for women and children with disability. Stakeholders also noted that high quality applications would also align with any accessible design standards recommended or required by their state and/or local government. </w:t>
      </w:r>
      <w:r w:rsidRPr="3894847F" w:rsidDel="00A83E82">
        <w:rPr>
          <w:rFonts w:cs="Arial"/>
          <w:lang w:eastAsia="en-AU"/>
        </w:rPr>
        <w:t>The Inclusion Round grant opportunity factors in this feedback.</w:t>
      </w:r>
      <w:bookmarkStart w:id="38" w:name="_Toc142492552"/>
      <w:bookmarkStart w:id="39" w:name="_Toc142557354"/>
    </w:p>
    <w:p w:rsidR="001E0450" w:rsidRPr="008C2747" w:rsidRDefault="3BE4FEF3" w:rsidP="00DF057B">
      <w:pPr>
        <w:pStyle w:val="Heading3"/>
        <w:rPr>
          <w:i/>
          <w:iCs/>
          <w:lang w:eastAsia="en-AU"/>
        </w:rPr>
      </w:pPr>
      <w:bookmarkStart w:id="40" w:name="_Toc146118032"/>
      <w:r w:rsidRPr="008C2747">
        <w:rPr>
          <w:lang w:eastAsia="en-AU"/>
        </w:rPr>
        <w:lastRenderedPageBreak/>
        <w:t>Additional design features</w:t>
      </w:r>
      <w:bookmarkEnd w:id="38"/>
      <w:bookmarkEnd w:id="39"/>
      <w:bookmarkEnd w:id="40"/>
    </w:p>
    <w:p w:rsidR="001E0450" w:rsidRDefault="3894847F" w:rsidP="001E0450">
      <w:r>
        <w:t xml:space="preserve">Stakeholders highlighted the importance of additional design features </w:t>
      </w:r>
      <w:r w:rsidR="007141B2">
        <w:t>that</w:t>
      </w:r>
      <w:r>
        <w:t xml:space="preserve"> meet the specific needs of the</w:t>
      </w:r>
      <w:r w:rsidR="00302ACA">
        <w:t xml:space="preserve"> </w:t>
      </w:r>
      <w:r>
        <w:t xml:space="preserve">priority groups, noting they contribute to the creation of a place that feels safe. </w:t>
      </w:r>
    </w:p>
    <w:p w:rsidR="001E0450" w:rsidRDefault="3894847F" w:rsidP="001E0450">
      <w:r>
        <w:t>The department heard high quality projects would include features that facilitate connection</w:t>
      </w:r>
      <w:r w:rsidR="00697C31">
        <w:t>s</w:t>
      </w:r>
      <w:r>
        <w:t xml:space="preserve"> to faith. Examples included sufficient space within dwellings for private prayer, clean and discrete communal prayer or faith rooms, and connection</w:t>
      </w:r>
      <w:r w:rsidR="00697C31">
        <w:t>s</w:t>
      </w:r>
      <w:r>
        <w:t xml:space="preserve"> to local religious institutions.</w:t>
      </w:r>
    </w:p>
    <w:p w:rsidR="001E0450" w:rsidRDefault="3894847F" w:rsidP="001E0450">
      <w:r>
        <w:t xml:space="preserve">Stakeholders also noted the importance of </w:t>
      </w:r>
      <w:r w:rsidR="00697C31">
        <w:t xml:space="preserve">funding </w:t>
      </w:r>
      <w:r>
        <w:t xml:space="preserve">projects </w:t>
      </w:r>
      <w:r w:rsidR="00697C31">
        <w:t xml:space="preserve">designed for </w:t>
      </w:r>
      <w:r>
        <w:t xml:space="preserve">First Nations women and children </w:t>
      </w:r>
      <w:r w:rsidR="00697C31">
        <w:t xml:space="preserve">that </w:t>
      </w:r>
      <w:r>
        <w:t xml:space="preserve">consider and accommodate their unique </w:t>
      </w:r>
      <w:r w:rsidR="00697C31">
        <w:t>needs</w:t>
      </w:r>
      <w:r w:rsidDel="00697C31">
        <w:t>,</w:t>
      </w:r>
      <w:r>
        <w:t xml:space="preserve"> connection to the land</w:t>
      </w:r>
      <w:r w:rsidR="00697C31">
        <w:t>,</w:t>
      </w:r>
      <w:r>
        <w:t xml:space="preserve"> and cultural practices, such as spaces for yarning circles</w:t>
      </w:r>
      <w:r w:rsidR="00697C31">
        <w:t>. I</w:t>
      </w:r>
      <w:r>
        <w:t>ncorporating cultural activities, ceremonies and traditional healing practices into emergency accommodation</w:t>
      </w:r>
      <w:r w:rsidR="00697C31">
        <w:t xml:space="preserve"> was also highlighted</w:t>
      </w:r>
      <w:r>
        <w:t>.</w:t>
      </w:r>
    </w:p>
    <w:p w:rsidR="001E0450" w:rsidRDefault="00697C31" w:rsidP="001E0450">
      <w:r>
        <w:t>In order to</w:t>
      </w:r>
      <w:r w:rsidR="3894847F">
        <w:t xml:space="preserve"> provide women and children with dignity, </w:t>
      </w:r>
      <w:r>
        <w:t xml:space="preserve">the department heard </w:t>
      </w:r>
      <w:r w:rsidR="3894847F">
        <w:t>high quality projects may include additional design features such as a backyard or garden. Where self</w:t>
      </w:r>
      <w:r w:rsidR="00F51736">
        <w:noBreakHyphen/>
      </w:r>
      <w:r w:rsidR="3894847F">
        <w:t xml:space="preserve">contained dwellings are co-located, stakeholders considered it important to have communal areas such as child-friendly gardens, playgrounds and play areas, recreation rooms, gyms, and rooms for outreach services. Communal areas were considered particularly important for those who have a much stronger or recent experience of living in a collective culture. </w:t>
      </w:r>
    </w:p>
    <w:p w:rsidR="004F63FC" w:rsidRDefault="3894847F" w:rsidP="3BE4FEF3">
      <w:r>
        <w:t xml:space="preserve">Stakeholders noted outdoor areas are important to support women and children experiencing FDV with pets, including assistance animals, which can play an important therapeutic function. </w:t>
      </w:r>
      <w:r w:rsidR="00F51736">
        <w:t xml:space="preserve">Stakeholders </w:t>
      </w:r>
      <w:r>
        <w:t>suggested favourably considering applications with animal inclusive emergency accommodation, including protocols for animal intake, partnerships with animal welfare organisations, support services for pet owners, and animal free zones and procedures to ensure other residents</w:t>
      </w:r>
      <w:r w:rsidR="00697C31">
        <w:t>’</w:t>
      </w:r>
      <w:r>
        <w:t xml:space="preserve"> boundaries are respected.</w:t>
      </w:r>
    </w:p>
    <w:p w:rsidR="004F63FC" w:rsidRDefault="3894847F" w:rsidP="004F63FC">
      <w:r>
        <w:t>Stakeholders acknowledged projects with additional features would likely attract higher costs, noting it may reduce the overall number of safe places delivered. Th</w:t>
      </w:r>
      <w:r w:rsidR="007141B2">
        <w:t>e assessment of a project’s value for money incorporates this</w:t>
      </w:r>
      <w:r>
        <w:t xml:space="preserve"> feedback.</w:t>
      </w:r>
    </w:p>
    <w:p w:rsidR="001E0450" w:rsidRDefault="004F63FC" w:rsidP="004F63FC">
      <w:pPr>
        <w:ind w:left="-1418"/>
      </w:pPr>
      <w:r w:rsidRPr="000E4349">
        <w:rPr>
          <w:noProof/>
          <w:lang w:eastAsia="en-AU"/>
        </w:rPr>
        <w:drawing>
          <wp:inline distT="0" distB="0" distL="0" distR="0" wp14:anchorId="04061F90" wp14:editId="79F597BF">
            <wp:extent cx="7539487" cy="2830088"/>
            <wp:effectExtent l="0" t="0" r="4445" b="8890"/>
            <wp:docPr id="33" name="Picture 32" descr="A mindmap with four multi-coloured braches all lead to a dark blue bubble that says 'additional design features'. In the top right, a pink bubble that says 'connections to faith' is connected to rectangles that say 'private prayer spaces', 'faith rooms', and 'local religious institutions'. In the bottom right, a red bubble that says 'design for First Nations clients' is connected to bubbles that say 'cultural activities and ceremonies', 'traditional healing' and 'connection to the land'. In the bottom centre a blue bubble reads 'support animals'. On the left, a yellow bubble reads 'communal spaces' and is connected to rectangles that say 'outreach services', 'gyms', 'recreation rooms', 'play areas' and 'gardens'. &#10;" title="Additional design fea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2"/>
                    <pic:cNvPicPr>
                      <a:picLocks noChangeAspect="1"/>
                    </pic:cNvPicPr>
                  </pic:nvPicPr>
                  <pic:blipFill rotWithShape="1">
                    <a:blip r:embed="rId17">
                      <a:extLst>
                        <a:ext uri="{28A0092B-C50C-407E-A947-70E740481C1C}">
                          <a14:useLocalDpi xmlns:a14="http://schemas.microsoft.com/office/drawing/2010/main" val="0"/>
                        </a:ext>
                      </a:extLst>
                    </a:blip>
                    <a:srcRect l="-102" t="2097" r="-228" b="28316"/>
                    <a:stretch/>
                  </pic:blipFill>
                  <pic:spPr>
                    <a:xfrm>
                      <a:off x="0" y="0"/>
                      <a:ext cx="7586588" cy="2847768"/>
                    </a:xfrm>
                    <a:prstGeom prst="rect">
                      <a:avLst/>
                    </a:prstGeom>
                  </pic:spPr>
                </pic:pic>
              </a:graphicData>
            </a:graphic>
          </wp:inline>
        </w:drawing>
      </w:r>
    </w:p>
    <w:p w:rsidR="009A29EA" w:rsidRPr="00D477C8" w:rsidRDefault="3BE4FEF3" w:rsidP="00DF057B">
      <w:pPr>
        <w:pStyle w:val="Heading2"/>
        <w:rPr>
          <w:lang w:eastAsia="en-AU"/>
        </w:rPr>
      </w:pPr>
      <w:bookmarkStart w:id="41" w:name="_Toc142492553"/>
      <w:bookmarkStart w:id="42" w:name="_Toc142557355"/>
      <w:bookmarkStart w:id="43" w:name="_Toc146118033"/>
      <w:r w:rsidRPr="00D477C8">
        <w:rPr>
          <w:lang w:eastAsia="en-AU"/>
        </w:rPr>
        <w:lastRenderedPageBreak/>
        <w:t>Supporting the priority groups</w:t>
      </w:r>
      <w:bookmarkEnd w:id="41"/>
      <w:bookmarkEnd w:id="42"/>
      <w:bookmarkEnd w:id="43"/>
    </w:p>
    <w:p w:rsidR="007E5F67" w:rsidRPr="00A7052A" w:rsidRDefault="3894847F" w:rsidP="3894847F">
      <w:pPr>
        <w:rPr>
          <w:lang w:eastAsia="en-AU"/>
        </w:rPr>
      </w:pPr>
      <w:r w:rsidRPr="3894847F">
        <w:rPr>
          <w:lang w:eastAsia="en-AU"/>
        </w:rPr>
        <w:t>In addition to consultation undertaken by the department, CIRCA was engaged to facilitate:</w:t>
      </w:r>
    </w:p>
    <w:p w:rsidR="007E5F67" w:rsidRPr="004D6A9C" w:rsidRDefault="3894847F" w:rsidP="000B0AEF">
      <w:pPr>
        <w:pStyle w:val="ListParagraph"/>
        <w:numPr>
          <w:ilvl w:val="0"/>
          <w:numId w:val="3"/>
        </w:numPr>
      </w:pPr>
      <w:r>
        <w:t>Specialist sector workshops with organisations working with</w:t>
      </w:r>
      <w:r w:rsidR="00F51736">
        <w:t>, and/</w:t>
      </w:r>
      <w:r>
        <w:t>or advocating for, the priority groups</w:t>
      </w:r>
    </w:p>
    <w:p w:rsidR="007E5F67" w:rsidRPr="004D6A9C" w:rsidRDefault="3894847F" w:rsidP="000B0AEF">
      <w:pPr>
        <w:pStyle w:val="ListParagraph"/>
        <w:numPr>
          <w:ilvl w:val="0"/>
          <w:numId w:val="3"/>
        </w:numPr>
      </w:pPr>
      <w:r>
        <w:t>Interviews with victim-survivors of FDV who have lived experience of emergency accommodation, including First Nations women, women from CALD backgrounds, and women with disability.</w:t>
      </w:r>
    </w:p>
    <w:p w:rsidR="007E5F67" w:rsidRPr="009A29EA" w:rsidRDefault="007E5F67" w:rsidP="3894847F">
      <w:pPr>
        <w:rPr>
          <w:color w:val="FF0000"/>
        </w:rPr>
      </w:pPr>
      <w:r>
        <w:t>CIRCA has developed separate detailed reports on findings from the specialist sector workshops and interviews with victim-survivors</w:t>
      </w:r>
      <w:r w:rsidR="007141B2">
        <w:t>. These are</w:t>
      </w:r>
      <w:r>
        <w:t xml:space="preserve"> available</w:t>
      </w:r>
      <w:r w:rsidR="002908FF">
        <w:t xml:space="preserve"> on the department’s website</w:t>
      </w:r>
      <w:r w:rsidR="002908FF">
        <w:rPr>
          <w:rStyle w:val="FootnoteReference"/>
        </w:rPr>
        <w:footnoteReference w:id="11"/>
      </w:r>
      <w:r w:rsidR="00EF2DDD">
        <w:t>,</w:t>
      </w:r>
      <w:r w:rsidR="002908FF">
        <w:t xml:space="preserve"> </w:t>
      </w:r>
      <w:r w:rsidR="007141B2">
        <w:t>a</w:t>
      </w:r>
      <w:r w:rsidR="002908FF">
        <w:t>nd published alongside the Inclusion Round grant opportunity on Grant</w:t>
      </w:r>
      <w:r w:rsidR="002908FF" w:rsidRPr="003D5F1A">
        <w:t>Connect</w:t>
      </w:r>
      <w:r w:rsidR="007141B2">
        <w:t>.</w:t>
      </w:r>
      <w:r w:rsidR="002908FF">
        <w:rPr>
          <w:color w:val="FF0000"/>
        </w:rPr>
        <w:t xml:space="preserve"> </w:t>
      </w:r>
      <w:r w:rsidR="00A7052A">
        <w:rPr>
          <w:lang w:eastAsia="en-AU"/>
        </w:rPr>
        <w:t xml:space="preserve">While there are commonalities between the consultation undertaken by CIRCA and the department, this section of the Report primarily focuses on stakeholder feedback </w:t>
      </w:r>
      <w:r w:rsidR="00864031">
        <w:rPr>
          <w:lang w:eastAsia="en-AU"/>
        </w:rPr>
        <w:t xml:space="preserve">regarding </w:t>
      </w:r>
      <w:r w:rsidR="00A7052A">
        <w:rPr>
          <w:lang w:eastAsia="en-AU"/>
        </w:rPr>
        <w:t xml:space="preserve">how best to support </w:t>
      </w:r>
      <w:r w:rsidR="00302ACA">
        <w:rPr>
          <w:lang w:eastAsia="en-AU"/>
        </w:rPr>
        <w:t xml:space="preserve">the </w:t>
      </w:r>
      <w:r w:rsidR="00A7052A">
        <w:rPr>
          <w:lang w:eastAsia="en-AU"/>
        </w:rPr>
        <w:t>priority groups provided during department</w:t>
      </w:r>
      <w:r w:rsidR="00864031">
        <w:rPr>
          <w:lang w:eastAsia="en-AU"/>
        </w:rPr>
        <w:t>-</w:t>
      </w:r>
      <w:r w:rsidR="00A7052A">
        <w:rPr>
          <w:lang w:eastAsia="en-AU"/>
        </w:rPr>
        <w:t>led engagement activities.</w:t>
      </w:r>
    </w:p>
    <w:p w:rsidR="009A29EA" w:rsidRDefault="00F86C16" w:rsidP="3894847F">
      <w:pPr>
        <w:rPr>
          <w:lang w:eastAsia="en-AU"/>
        </w:rPr>
      </w:pPr>
      <w:r>
        <w:rPr>
          <w:lang w:eastAsia="en-AU"/>
        </w:rPr>
        <w:t>A</w:t>
      </w:r>
      <w:r w:rsidR="00103218">
        <w:rPr>
          <w:lang w:eastAsia="en-AU"/>
        </w:rPr>
        <w:t xml:space="preserve"> common theme in consultation was </w:t>
      </w:r>
      <w:r>
        <w:rPr>
          <w:lang w:eastAsia="en-AU"/>
        </w:rPr>
        <w:t xml:space="preserve">how best to ensure an applicant has the desired </w:t>
      </w:r>
      <w:r w:rsidRPr="3894847F">
        <w:rPr>
          <w:lang w:eastAsia="en-AU"/>
        </w:rPr>
        <w:t xml:space="preserve">specialist knowledge, skills and competencies relevant to the </w:t>
      </w:r>
      <w:r>
        <w:rPr>
          <w:lang w:eastAsia="en-AU"/>
        </w:rPr>
        <w:t xml:space="preserve">priority </w:t>
      </w:r>
      <w:r w:rsidRPr="3894847F">
        <w:rPr>
          <w:lang w:eastAsia="en-AU"/>
        </w:rPr>
        <w:t xml:space="preserve">group(s) whose access </w:t>
      </w:r>
      <w:r>
        <w:rPr>
          <w:lang w:eastAsia="en-AU"/>
        </w:rPr>
        <w:t xml:space="preserve">to accommodation and services </w:t>
      </w:r>
      <w:r w:rsidRPr="3894847F">
        <w:rPr>
          <w:lang w:eastAsia="en-AU"/>
        </w:rPr>
        <w:t>they are seeking to improve</w:t>
      </w:r>
      <w:r>
        <w:rPr>
          <w:lang w:eastAsia="en-AU"/>
        </w:rPr>
        <w:t xml:space="preserve">. </w:t>
      </w:r>
      <w:r w:rsidR="3894847F" w:rsidRPr="3894847F">
        <w:rPr>
          <w:lang w:eastAsia="en-AU"/>
        </w:rPr>
        <w:t xml:space="preserve">Stakeholders considered applicants could demonstrate </w:t>
      </w:r>
      <w:r w:rsidR="00416804">
        <w:rPr>
          <w:lang w:eastAsia="en-AU"/>
        </w:rPr>
        <w:t>their suitability</w:t>
      </w:r>
      <w:r w:rsidR="3894847F" w:rsidRPr="3894847F">
        <w:rPr>
          <w:lang w:eastAsia="en-AU"/>
        </w:rPr>
        <w:t xml:space="preserve"> through:</w:t>
      </w:r>
    </w:p>
    <w:p w:rsidR="009A29EA" w:rsidRDefault="3894847F" w:rsidP="00DF057B">
      <w:pPr>
        <w:pStyle w:val="ListParagraph"/>
        <w:numPr>
          <w:ilvl w:val="0"/>
          <w:numId w:val="24"/>
        </w:numPr>
        <w:spacing w:after="120"/>
        <w:rPr>
          <w:lang w:eastAsia="en-AU"/>
        </w:rPr>
      </w:pPr>
      <w:r w:rsidRPr="3894847F">
        <w:rPr>
          <w:lang w:eastAsia="en-AU"/>
        </w:rPr>
        <w:t xml:space="preserve">Community engagement, including connection with the priority groups within their region (see </w:t>
      </w:r>
      <w:hyperlink w:anchor="_Consultation_with_local" w:history="1">
        <w:r w:rsidR="00EF2DDD" w:rsidRPr="00DF057B">
          <w:rPr>
            <w:rStyle w:val="Hyperlink"/>
            <w:color w:val="186871" w:themeColor="accent5" w:themeShade="80"/>
            <w:lang w:eastAsia="en-AU"/>
          </w:rPr>
          <w:t xml:space="preserve">2.5.3 </w:t>
        </w:r>
        <w:r w:rsidRPr="00DF057B">
          <w:rPr>
            <w:rStyle w:val="Hyperlink"/>
            <w:color w:val="186871" w:themeColor="accent5" w:themeShade="80"/>
            <w:lang w:eastAsia="en-AU"/>
          </w:rPr>
          <w:t>Consultation with local community and priority groups</w:t>
        </w:r>
      </w:hyperlink>
      <w:r w:rsidRPr="00DF057B">
        <w:rPr>
          <w:color w:val="000000"/>
          <w:lang w:eastAsia="en-AU"/>
          <w14:textFill>
            <w14:solidFill>
              <w14:srgbClr w14:val="000000">
                <w14:lumMod w14:val="75000"/>
              </w14:srgbClr>
            </w14:solidFill>
          </w14:textFill>
        </w:rPr>
        <w:t>)</w:t>
      </w:r>
      <w:r w:rsidR="00F51736" w:rsidRPr="00DF057B">
        <w:rPr>
          <w:color w:val="000000"/>
          <w:lang w:eastAsia="en-AU"/>
          <w14:textFill>
            <w14:solidFill>
              <w14:srgbClr w14:val="000000">
                <w14:lumMod w14:val="75000"/>
              </w14:srgbClr>
            </w14:solidFill>
          </w14:textFill>
        </w:rPr>
        <w:t>.</w:t>
      </w:r>
      <w:hyperlink w:anchor="_Consultation_with_local" w:history="1"/>
    </w:p>
    <w:p w:rsidR="009A29EA" w:rsidRDefault="3894847F" w:rsidP="00DF057B">
      <w:pPr>
        <w:pStyle w:val="ListParagraph"/>
        <w:numPr>
          <w:ilvl w:val="0"/>
          <w:numId w:val="24"/>
        </w:numPr>
        <w:spacing w:after="120"/>
        <w:rPr>
          <w:lang w:eastAsia="en-AU"/>
        </w:rPr>
      </w:pPr>
      <w:r w:rsidRPr="3894847F">
        <w:rPr>
          <w:lang w:eastAsia="en-AU"/>
        </w:rPr>
        <w:t>Expertise working with and delivering services to First Nations women and children, women and children from CALD backgrounds, and/or women and children with disability, or a partnering provider who has this expertise</w:t>
      </w:r>
      <w:r w:rsidR="00F51736">
        <w:rPr>
          <w:lang w:eastAsia="en-AU"/>
        </w:rPr>
        <w:t>.</w:t>
      </w:r>
    </w:p>
    <w:p w:rsidR="009A29EA" w:rsidRDefault="00416804" w:rsidP="00DF057B">
      <w:pPr>
        <w:pStyle w:val="ListParagraph"/>
        <w:numPr>
          <w:ilvl w:val="0"/>
          <w:numId w:val="24"/>
        </w:numPr>
        <w:spacing w:after="120"/>
        <w:rPr>
          <w:lang w:eastAsia="en-AU"/>
        </w:rPr>
      </w:pPr>
      <w:r>
        <w:rPr>
          <w:lang w:eastAsia="en-AU"/>
        </w:rPr>
        <w:t>Evidence of</w:t>
      </w:r>
      <w:r w:rsidR="3894847F" w:rsidRPr="3894847F">
        <w:rPr>
          <w:lang w:eastAsia="en-AU"/>
        </w:rPr>
        <w:t xml:space="preserve"> appropriate, accessible and culturally sensitive referral pathways to additional specialist services</w:t>
      </w:r>
      <w:r w:rsidR="00F51736">
        <w:rPr>
          <w:lang w:eastAsia="en-AU"/>
        </w:rPr>
        <w:t>.</w:t>
      </w:r>
    </w:p>
    <w:p w:rsidR="009A29EA" w:rsidRDefault="3894847F" w:rsidP="00DF057B">
      <w:pPr>
        <w:pStyle w:val="ListParagraph"/>
        <w:numPr>
          <w:ilvl w:val="0"/>
          <w:numId w:val="24"/>
        </w:numPr>
        <w:spacing w:after="120"/>
        <w:rPr>
          <w:lang w:eastAsia="en-AU"/>
        </w:rPr>
      </w:pPr>
      <w:r>
        <w:t>Cultural competency, including a service model that demonstrates a commitment to s</w:t>
      </w:r>
      <w:r w:rsidRPr="3894847F">
        <w:rPr>
          <w:lang w:eastAsia="en-AU"/>
        </w:rPr>
        <w:t>taff sensitivity to cultural practices, traditions and values, and an ability to communicate effectively with First Nations women and children, women and children from CALD backgrounds, and women and children with disability. This includes an understanding of the unique needs of clients, the different forms of FDV they may experience and the impact it may have on their lives. This may include training in cultural competency, cultural supervision, disability awareness, disability-specific practice approaches, intersectionality and accessibility, including refresher courses</w:t>
      </w:r>
      <w:r w:rsidR="00F51736">
        <w:rPr>
          <w:lang w:eastAsia="en-AU"/>
        </w:rPr>
        <w:t>.</w:t>
      </w:r>
    </w:p>
    <w:p w:rsidR="009A29EA" w:rsidRDefault="3894847F" w:rsidP="00DF057B">
      <w:pPr>
        <w:pStyle w:val="ListParagraph"/>
        <w:numPr>
          <w:ilvl w:val="0"/>
          <w:numId w:val="24"/>
        </w:numPr>
        <w:spacing w:after="120"/>
        <w:rPr>
          <w:lang w:eastAsia="en-AU"/>
        </w:rPr>
      </w:pPr>
      <w:r w:rsidRPr="3894847F">
        <w:rPr>
          <w:lang w:eastAsia="en-AU"/>
        </w:rPr>
        <w:t>Direct employment of First Nations</w:t>
      </w:r>
      <w:r w:rsidR="006C45B0">
        <w:rPr>
          <w:lang w:eastAsia="en-AU"/>
        </w:rPr>
        <w:t xml:space="preserve"> staff</w:t>
      </w:r>
      <w:r w:rsidRPr="3894847F">
        <w:rPr>
          <w:lang w:eastAsia="en-AU"/>
        </w:rPr>
        <w:t xml:space="preserve">, CALD </w:t>
      </w:r>
      <w:r w:rsidR="006C45B0">
        <w:rPr>
          <w:lang w:eastAsia="en-AU"/>
        </w:rPr>
        <w:t xml:space="preserve">staff, </w:t>
      </w:r>
      <w:r w:rsidRPr="3894847F">
        <w:rPr>
          <w:lang w:eastAsia="en-AU"/>
        </w:rPr>
        <w:t>or staff with disability, including any policies to enhance the employment rate of these groups</w:t>
      </w:r>
      <w:r w:rsidR="00F51736">
        <w:rPr>
          <w:lang w:eastAsia="en-AU"/>
        </w:rPr>
        <w:t>.</w:t>
      </w:r>
    </w:p>
    <w:p w:rsidR="009A29EA" w:rsidRPr="008634C9" w:rsidRDefault="3894847F" w:rsidP="00DF057B">
      <w:pPr>
        <w:pStyle w:val="ListParagraph"/>
        <w:numPr>
          <w:ilvl w:val="0"/>
          <w:numId w:val="24"/>
        </w:numPr>
        <w:spacing w:after="120"/>
        <w:rPr>
          <w:lang w:eastAsia="en-AU"/>
        </w:rPr>
      </w:pPr>
      <w:r w:rsidRPr="3894847F">
        <w:rPr>
          <w:lang w:eastAsia="en-AU"/>
        </w:rPr>
        <w:t>Reconciliation, Diversity</w:t>
      </w:r>
      <w:r w:rsidR="006C45B0">
        <w:rPr>
          <w:lang w:eastAsia="en-AU"/>
        </w:rPr>
        <w:t>,</w:t>
      </w:r>
      <w:r w:rsidRPr="3894847F">
        <w:rPr>
          <w:lang w:eastAsia="en-AU"/>
        </w:rPr>
        <w:t xml:space="preserve"> and Disability Action Plans or Strategies, including review processes.</w:t>
      </w:r>
    </w:p>
    <w:p w:rsidR="00D10645" w:rsidRDefault="00D10645">
      <w:pPr>
        <w:rPr>
          <w:lang w:eastAsia="en-AU"/>
        </w:rPr>
      </w:pPr>
      <w:r>
        <w:rPr>
          <w:lang w:eastAsia="en-AU"/>
        </w:rPr>
        <w:br w:type="page"/>
      </w:r>
    </w:p>
    <w:p w:rsidR="009A29EA" w:rsidRDefault="3894847F" w:rsidP="3894847F">
      <w:pPr>
        <w:rPr>
          <w:lang w:eastAsia="en-AU"/>
        </w:rPr>
      </w:pPr>
      <w:r w:rsidRPr="3894847F">
        <w:rPr>
          <w:lang w:eastAsia="en-AU"/>
        </w:rPr>
        <w:lastRenderedPageBreak/>
        <w:t>Stakeholders were also pleased to see consideration of intersectionality within the Inclusion Round, noting the impact compounding forms of oppression or inequality may have for women and children experiencing FDV. However, some stakeholders noted the nature of intersectionality may reduce consideration of specific needs, and that high-quality applications would acknowledge and demonstrate how they would overcome this.</w:t>
      </w:r>
    </w:p>
    <w:p w:rsidR="009A29EA" w:rsidRPr="00A4327E" w:rsidRDefault="3894847F" w:rsidP="3894847F">
      <w:pPr>
        <w:rPr>
          <w:lang w:eastAsia="en-AU"/>
        </w:rPr>
      </w:pPr>
      <w:r w:rsidRPr="3894847F">
        <w:rPr>
          <w:lang w:eastAsia="en-AU"/>
        </w:rPr>
        <w:t>The following section outlines some of the specific indicators raised by stakeholders to determine an applicant’s suitability to meet the needs of each priority group.</w:t>
      </w:r>
    </w:p>
    <w:p w:rsidR="009A29EA" w:rsidRPr="00D477C8" w:rsidRDefault="3BE4FEF3" w:rsidP="00DF057B">
      <w:pPr>
        <w:pStyle w:val="Heading3"/>
        <w:rPr>
          <w:i/>
          <w:iCs/>
          <w:lang w:eastAsia="en-AU"/>
        </w:rPr>
      </w:pPr>
      <w:bookmarkStart w:id="44" w:name="_Toc142492554"/>
      <w:bookmarkStart w:id="45" w:name="_Toc142557356"/>
      <w:bookmarkStart w:id="46" w:name="_Toc146118034"/>
      <w:r w:rsidRPr="00D477C8">
        <w:rPr>
          <w:lang w:eastAsia="en-AU"/>
        </w:rPr>
        <w:t>First Nations women and children</w:t>
      </w:r>
      <w:bookmarkEnd w:id="44"/>
      <w:bookmarkEnd w:id="45"/>
      <w:bookmarkEnd w:id="46"/>
    </w:p>
    <w:p w:rsidR="009A29EA" w:rsidRDefault="3894847F" w:rsidP="3894847F">
      <w:pPr>
        <w:rPr>
          <w:lang w:eastAsia="en-AU"/>
        </w:rPr>
      </w:pPr>
      <w:r w:rsidRPr="3894847F">
        <w:rPr>
          <w:lang w:eastAsia="en-AU"/>
        </w:rPr>
        <w:t>Stakeholders emphasised the importance of projects proposing to provide emergency accommodation for First Nations women and children to be led by, or work in conjunction with, Aboriginal Controlled Community Organisations</w:t>
      </w:r>
      <w:r w:rsidR="00F51736">
        <w:rPr>
          <w:lang w:eastAsia="en-AU"/>
        </w:rPr>
        <w:t xml:space="preserve"> (ACCOs)</w:t>
      </w:r>
      <w:r w:rsidRPr="3894847F">
        <w:rPr>
          <w:lang w:eastAsia="en-AU"/>
        </w:rPr>
        <w:t>. Stakeholders considered access to workers from a similar cultural background to be a key contributor to feelings of safety for First Nations women and children.</w:t>
      </w:r>
    </w:p>
    <w:p w:rsidR="009A29EA" w:rsidRDefault="3894847F" w:rsidP="3894847F">
      <w:pPr>
        <w:rPr>
          <w:lang w:eastAsia="en-AU"/>
        </w:rPr>
      </w:pPr>
      <w:r w:rsidRPr="3894847F">
        <w:rPr>
          <w:lang w:eastAsia="en-AU"/>
        </w:rPr>
        <w:t>The Inclusion Round grant opportunity</w:t>
      </w:r>
      <w:r w:rsidR="00B620BC">
        <w:rPr>
          <w:lang w:eastAsia="en-AU"/>
        </w:rPr>
        <w:t xml:space="preserve"> guidelines</w:t>
      </w:r>
      <w:r w:rsidRPr="3894847F">
        <w:rPr>
          <w:lang w:eastAsia="en-AU"/>
        </w:rPr>
        <w:t xml:space="preserve"> specif</w:t>
      </w:r>
      <w:r w:rsidR="00B620BC">
        <w:rPr>
          <w:lang w:eastAsia="en-AU"/>
        </w:rPr>
        <w:t>y</w:t>
      </w:r>
      <w:r w:rsidRPr="3894847F">
        <w:rPr>
          <w:lang w:eastAsia="en-AU"/>
        </w:rPr>
        <w:t xml:space="preserve"> that applications from </w:t>
      </w:r>
      <w:r>
        <w:t>Aboriginal and Torres Strait Islander organisations, including ACCOs, will be considered favourably.</w:t>
      </w:r>
    </w:p>
    <w:p w:rsidR="009A29EA" w:rsidRDefault="3894847F" w:rsidP="3894847F">
      <w:pPr>
        <w:rPr>
          <w:lang w:eastAsia="en-AU"/>
        </w:rPr>
      </w:pPr>
      <w:r w:rsidRPr="3894847F">
        <w:rPr>
          <w:lang w:eastAsia="en-AU"/>
        </w:rPr>
        <w:t xml:space="preserve">Other measures raised by stakeholders to determine the suitability of applicants to meet the needs of First Nations women and children included: </w:t>
      </w:r>
    </w:p>
    <w:p w:rsidR="004755B3" w:rsidRDefault="00D477C8" w:rsidP="004755B3">
      <w:pPr>
        <w:spacing w:after="0"/>
        <w:rPr>
          <w:lang w:eastAsia="en-AU"/>
        </w:rPr>
      </w:pPr>
      <w:r>
        <w:rPr>
          <w:noProof/>
          <w:lang w:eastAsia="en-AU"/>
        </w:rPr>
        <w:drawing>
          <wp:inline distT="0" distB="0" distL="0" distR="0" wp14:anchorId="0475C7B2">
            <wp:extent cx="5582285" cy="2486660"/>
            <wp:effectExtent l="0" t="0" r="0" b="8890"/>
            <wp:docPr id="5401" name="Picture 5401" descr="Five grey rounded rectangles are arranged in a vertical line, with a coloured arrow on the left side. The first box, with a blue arrow, says 'access to healing practices and programs'. The second box, with an orange arrow, says 'capacity to support women and children to renew and maintain strong relationships to their cultural heritage'. The third box, with a purple arrow, reads 'connection to country and spirituality'. The fourth box, with a pink arrow, says 'consideration for physical and sensory health and wellbeing'. The fifth box, with a red arrow, says 'access to on-call support by cultural safe, local, Aboriginal workers or Elders'. " title="Design for First Nations cl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82285" cy="2486660"/>
                    </a:xfrm>
                    <a:prstGeom prst="rect">
                      <a:avLst/>
                    </a:prstGeom>
                    <a:noFill/>
                  </pic:spPr>
                </pic:pic>
              </a:graphicData>
            </a:graphic>
          </wp:inline>
        </w:drawing>
      </w:r>
    </w:p>
    <w:p w:rsidR="00D477C8" w:rsidRDefault="00D477C8" w:rsidP="004755B3">
      <w:pPr>
        <w:rPr>
          <w:lang w:eastAsia="en-AU"/>
        </w:rPr>
      </w:pPr>
    </w:p>
    <w:p w:rsidR="00EB73E1" w:rsidRDefault="3894847F" w:rsidP="004755B3">
      <w:pPr>
        <w:rPr>
          <w:lang w:eastAsia="en-AU"/>
        </w:rPr>
      </w:pPr>
      <w:r w:rsidRPr="3894847F">
        <w:rPr>
          <w:lang w:eastAsia="en-AU"/>
        </w:rPr>
        <w:t>Stakeholders also noted the lack of after-hours emergency accommodation support in regional and remote areas is an additional barrier faced by First Nations women and children. They noted presenting to police was often the only choice available after-hours, which can deter women from seeking help, including due to the lack of privacy in small towns. Stakeholders suggested high quality applications for emergency accommodation in regional and remote areas that may service First Nations women and children would demonstrate how they would provide after-hours support.</w:t>
      </w:r>
    </w:p>
    <w:p w:rsidR="009A29EA" w:rsidRDefault="00EB73E1" w:rsidP="004755B3">
      <w:pPr>
        <w:rPr>
          <w:lang w:eastAsia="en-AU"/>
        </w:rPr>
      </w:pPr>
      <w:r>
        <w:rPr>
          <w:lang w:eastAsia="en-AU"/>
        </w:rPr>
        <w:br w:type="page"/>
      </w:r>
    </w:p>
    <w:p w:rsidR="009A29EA" w:rsidRPr="00D477C8" w:rsidRDefault="3BE4FEF3" w:rsidP="00DF057B">
      <w:pPr>
        <w:pStyle w:val="Heading3"/>
        <w:rPr>
          <w:i/>
          <w:iCs/>
          <w:lang w:eastAsia="en-AU"/>
        </w:rPr>
      </w:pPr>
      <w:bookmarkStart w:id="47" w:name="_Toc142492555"/>
      <w:bookmarkStart w:id="48" w:name="_Toc142557357"/>
      <w:bookmarkStart w:id="49" w:name="_Toc146118035"/>
      <w:r w:rsidRPr="00D477C8">
        <w:rPr>
          <w:lang w:eastAsia="en-AU"/>
        </w:rPr>
        <w:lastRenderedPageBreak/>
        <w:t>CALD women and children</w:t>
      </w:r>
      <w:bookmarkEnd w:id="47"/>
      <w:bookmarkEnd w:id="48"/>
      <w:bookmarkEnd w:id="49"/>
    </w:p>
    <w:p w:rsidR="00BB65B0" w:rsidRDefault="3894847F" w:rsidP="3894847F">
      <w:pPr>
        <w:rPr>
          <w:lang w:eastAsia="en-AU"/>
        </w:rPr>
      </w:pPr>
      <w:r w:rsidRPr="3894847F">
        <w:rPr>
          <w:lang w:eastAsia="en-AU"/>
        </w:rPr>
        <w:t xml:space="preserve">For women and children from CALD backgrounds, stakeholders noted high-quality applications would demonstrate how they would meet clients’ communication needs and provide language support. </w:t>
      </w:r>
      <w:r w:rsidR="008A13B1">
        <w:rPr>
          <w:lang w:eastAsia="en-AU"/>
        </w:rPr>
        <w:t>Suggestions</w:t>
      </w:r>
      <w:r w:rsidRPr="3894847F">
        <w:rPr>
          <w:lang w:eastAsia="en-AU"/>
        </w:rPr>
        <w:t xml:space="preserve"> included</w:t>
      </w:r>
      <w:r w:rsidR="00BB65B0">
        <w:rPr>
          <w:lang w:eastAsia="en-AU"/>
        </w:rPr>
        <w:t>:</w:t>
      </w:r>
    </w:p>
    <w:p w:rsidR="00EB73E1" w:rsidRDefault="00D477C8" w:rsidP="00D477C8">
      <w:pPr>
        <w:rPr>
          <w:lang w:eastAsia="en-AU"/>
        </w:rPr>
      </w:pPr>
      <w:r>
        <w:rPr>
          <w:noProof/>
          <w:lang w:eastAsia="en-AU"/>
        </w:rPr>
        <w:drawing>
          <wp:inline distT="0" distB="0" distL="0" distR="0" wp14:anchorId="24FF6504">
            <wp:extent cx="5582285" cy="1381125"/>
            <wp:effectExtent l="0" t="0" r="0" b="9525"/>
            <wp:docPr id="5402" name="Picture 5402" descr="Three grey rectangles are arranged in a vertical line. The first box, with a blue arrow on the left, reads 'hiring staff who are bilingual or multilingual'. The second box, with a purple arrow on the left, reads 'providing access to interpretation and translation services'. The third box, with a pink arrow on the left, reads 'providing information and displaying signs in multiple languages to indicate the service is culturally safe and help women and children feel welcome'. " title="Design for CALD cl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82285" cy="1381125"/>
                    </a:xfrm>
                    <a:prstGeom prst="rect">
                      <a:avLst/>
                    </a:prstGeom>
                    <a:noFill/>
                  </pic:spPr>
                </pic:pic>
              </a:graphicData>
            </a:graphic>
          </wp:inline>
        </w:drawing>
      </w:r>
    </w:p>
    <w:p w:rsidR="009A29EA" w:rsidRDefault="3894847F" w:rsidP="3894847F">
      <w:pPr>
        <w:rPr>
          <w:lang w:eastAsia="en-AU"/>
        </w:rPr>
      </w:pPr>
      <w:r w:rsidRPr="3894847F">
        <w:rPr>
          <w:lang w:eastAsia="en-AU"/>
        </w:rPr>
        <w:t xml:space="preserve">The importance of safe places catering to religious and cultural needs was also raised. This includes access to a culturally safe prayer room, kitchen policies that respect cultural needs, and cooking facilities and food suitable for a diverse range of cultural and religious groups, such as halal, kosher and vegetarian options. </w:t>
      </w:r>
    </w:p>
    <w:p w:rsidR="009A29EA" w:rsidRDefault="3894847F" w:rsidP="3894847F">
      <w:pPr>
        <w:rPr>
          <w:lang w:eastAsia="en-AU"/>
        </w:rPr>
      </w:pPr>
      <w:r w:rsidRPr="3894847F">
        <w:rPr>
          <w:lang w:eastAsia="en-AU"/>
        </w:rPr>
        <w:t>Stakeholders highlighted the importance of applicants being able to cater to the specific needs of non-Australian citizens, including women on temporary visas. This includes ensuring eligibility for income support or residency is not a barrier to accessing emergency accommodation. Some stakeholders also noted a preference for emergency accommodation for women and children from CALD backgrounds to be located in an area with good public transport options to assist those who do not have a drivers licence.</w:t>
      </w:r>
    </w:p>
    <w:p w:rsidR="007160DD" w:rsidRDefault="007160DD" w:rsidP="007160DD">
      <w:pPr>
        <w:rPr>
          <w:rFonts w:eastAsiaTheme="majorEastAsia" w:cstheme="majorBidi"/>
          <w:color w:val="186871" w:themeColor="accent5" w:themeShade="80"/>
          <w:highlight w:val="lightGray"/>
          <w:lang w:eastAsia="en-AU"/>
        </w:rPr>
      </w:pPr>
      <w:bookmarkStart w:id="50" w:name="_Toc142492556"/>
      <w:bookmarkStart w:id="51" w:name="_Toc142557358"/>
      <w:r>
        <w:rPr>
          <w:highlight w:val="lightGray"/>
          <w:lang w:eastAsia="en-AU"/>
        </w:rPr>
        <w:br w:type="page"/>
      </w:r>
    </w:p>
    <w:p w:rsidR="009A29EA" w:rsidRPr="00D477C8" w:rsidRDefault="3BE4FEF3" w:rsidP="00DF057B">
      <w:pPr>
        <w:pStyle w:val="Heading3"/>
        <w:rPr>
          <w:i/>
          <w:iCs/>
          <w:lang w:eastAsia="en-AU"/>
        </w:rPr>
      </w:pPr>
      <w:bookmarkStart w:id="52" w:name="_Toc146118036"/>
      <w:r w:rsidRPr="00D477C8">
        <w:rPr>
          <w:lang w:eastAsia="en-AU"/>
        </w:rPr>
        <w:lastRenderedPageBreak/>
        <w:t>Women and children with disability</w:t>
      </w:r>
      <w:bookmarkEnd w:id="50"/>
      <w:bookmarkEnd w:id="51"/>
      <w:bookmarkEnd w:id="52"/>
    </w:p>
    <w:p w:rsidR="00382667" w:rsidRDefault="3894847F" w:rsidP="3894847F">
      <w:pPr>
        <w:rPr>
          <w:lang w:eastAsia="en-AU"/>
        </w:rPr>
      </w:pPr>
      <w:r w:rsidRPr="3894847F">
        <w:rPr>
          <w:lang w:eastAsia="en-AU"/>
        </w:rPr>
        <w:t>In addition to meeting a minimum LHA Silver-level accreditation, stakeholders noted a commitment to providing an accessible service that allows clients to maintain independence is a key indicator of an applicant’s suitability to meet the needs of women and children with disability. This includes</w:t>
      </w:r>
      <w:r w:rsidR="00382667">
        <w:rPr>
          <w:lang w:eastAsia="en-AU"/>
        </w:rPr>
        <w:t>:</w:t>
      </w:r>
    </w:p>
    <w:p w:rsidR="007160DD" w:rsidRDefault="00883293" w:rsidP="3894847F">
      <w:pPr>
        <w:rPr>
          <w:lang w:eastAsia="en-AU"/>
        </w:rPr>
      </w:pPr>
      <w:r>
        <w:rPr>
          <w:noProof/>
          <w:lang w:eastAsia="en-AU"/>
        </w:rPr>
        <w:drawing>
          <wp:inline distT="0" distB="0" distL="0" distR="0" wp14:anchorId="49E748DA">
            <wp:extent cx="5584190" cy="4017645"/>
            <wp:effectExtent l="0" t="0" r="0" b="1905"/>
            <wp:docPr id="5408" name="Picture 5408" descr="Nine grey rectangles, with coloured arrows on the left side pointing right, are arranged in a vertical line. The first five boxes in order read: Accessible physical design features, such as; wheelchair ramps, grab bars, and wide doorways; appropriate height and positioning of windows; accessible bathrooms, kitchens and laundries; accommodation suitable for carers and/or service animals. The next four boxes read, in order: Accessible features for people with intellectual, psychosocial, cognitive and/or sensory disabilities, including; soundproofing; dimmable lights; visual alerts. &#10;" title="Design for clients with dis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84190" cy="4017645"/>
                    </a:xfrm>
                    <a:prstGeom prst="rect">
                      <a:avLst/>
                    </a:prstGeom>
                    <a:noFill/>
                  </pic:spPr>
                </pic:pic>
              </a:graphicData>
            </a:graphic>
          </wp:inline>
        </w:drawing>
      </w:r>
    </w:p>
    <w:p w:rsidR="009A29EA" w:rsidRDefault="3894847F" w:rsidP="3894847F">
      <w:pPr>
        <w:rPr>
          <w:lang w:eastAsia="en-AU"/>
        </w:rPr>
      </w:pPr>
      <w:r w:rsidRPr="3894847F">
        <w:rPr>
          <w:lang w:eastAsia="en-AU"/>
        </w:rPr>
        <w:t>Stakeholders also highlighted the importance of informational and attitudinal accessibility. Stakeholders considered it important to employ staff who have specialised skills to support the diverse and individual needs of women and children with disability and an understanding of accessibility issues. This includes the ability to explain expectations, rules and procedures to clients so they know what to expect while living in emergency accommodation.</w:t>
      </w:r>
    </w:p>
    <w:p w:rsidR="009A29EA" w:rsidRDefault="3894847F" w:rsidP="3894847F">
      <w:pPr>
        <w:rPr>
          <w:lang w:eastAsia="en-AU"/>
        </w:rPr>
      </w:pPr>
      <w:r w:rsidRPr="3894847F">
        <w:rPr>
          <w:lang w:eastAsia="en-AU"/>
        </w:rPr>
        <w:t xml:space="preserve">An understanding of accessible </w:t>
      </w:r>
      <w:r w:rsidR="00F007B2" w:rsidRPr="3894847F">
        <w:rPr>
          <w:lang w:eastAsia="en-AU"/>
        </w:rPr>
        <w:t xml:space="preserve">information </w:t>
      </w:r>
      <w:r w:rsidRPr="3894847F">
        <w:rPr>
          <w:lang w:eastAsia="en-AU"/>
        </w:rPr>
        <w:t>formats, such as close</w:t>
      </w:r>
      <w:r w:rsidR="00B620BC">
        <w:rPr>
          <w:lang w:eastAsia="en-AU"/>
        </w:rPr>
        <w:t>d</w:t>
      </w:r>
      <w:r w:rsidRPr="3894847F">
        <w:rPr>
          <w:lang w:eastAsia="en-AU"/>
        </w:rPr>
        <w:t xml:space="preserve"> captioning, assistive technologies and sign language, was also considered an indicator of a high quality application. In addition, demonstrating staff could respond to the varying needs of clients and work collaboratively with other service providers and health professionals was considered favourable.</w:t>
      </w:r>
    </w:p>
    <w:p w:rsidR="007160DD" w:rsidRDefault="007160DD">
      <w:pPr>
        <w:rPr>
          <w:rFonts w:eastAsiaTheme="majorEastAsia" w:cstheme="majorBidi"/>
          <w:b/>
          <w:bCs/>
          <w:i/>
          <w:color w:val="186871" w:themeColor="accent5" w:themeShade="80"/>
          <w:sz w:val="26"/>
          <w:szCs w:val="26"/>
          <w:lang w:eastAsia="en-AU"/>
        </w:rPr>
      </w:pPr>
      <w:bookmarkStart w:id="53" w:name="_Toc142492557"/>
      <w:bookmarkStart w:id="54" w:name="_Toc142557359"/>
      <w:r>
        <w:rPr>
          <w:lang w:eastAsia="en-AU"/>
        </w:rPr>
        <w:br w:type="page"/>
      </w:r>
    </w:p>
    <w:p w:rsidR="003A7A7C" w:rsidRPr="00411092" w:rsidRDefault="3BE4FEF3" w:rsidP="00DF057B">
      <w:pPr>
        <w:pStyle w:val="Heading2"/>
        <w:rPr>
          <w:lang w:eastAsia="en-AU"/>
        </w:rPr>
      </w:pPr>
      <w:bookmarkStart w:id="55" w:name="_Toc146118037"/>
      <w:r w:rsidRPr="00DF057B">
        <w:lastRenderedPageBreak/>
        <w:t>Building</w:t>
      </w:r>
      <w:r w:rsidRPr="00411092">
        <w:rPr>
          <w:lang w:eastAsia="en-AU"/>
        </w:rPr>
        <w:t xml:space="preserve"> and construction sector challenges and mitigations</w:t>
      </w:r>
      <w:bookmarkEnd w:id="53"/>
      <w:bookmarkEnd w:id="54"/>
      <w:bookmarkEnd w:id="55"/>
    </w:p>
    <w:p w:rsidR="003A7A7C" w:rsidRDefault="3894847F" w:rsidP="003A7A7C">
      <w:r>
        <w:t>Stakeholders also raised challenges with timeframes for planning and development approval, which can affect project timelines, resulting in increased construction costs.</w:t>
      </w:r>
    </w:p>
    <w:p w:rsidR="003A7A7C" w:rsidRDefault="3894847F" w:rsidP="003A7A7C">
      <w:r>
        <w:t>The department heard there is a need for the Inclusion Round to consider potential additional costs due to delays, inflation and increasing construction costs. There was broad agreement high quality applications would include cost contingency, with the department establishing clear processes and procedures to allow successful grantees to access contingency funds if the need arises.</w:t>
      </w:r>
    </w:p>
    <w:p w:rsidR="003A7A7C" w:rsidRDefault="3894847F" w:rsidP="003A7A7C">
      <w:r>
        <w:t xml:space="preserve">Stakeholders </w:t>
      </w:r>
      <w:r w:rsidR="00390A70">
        <w:t>recommended</w:t>
      </w:r>
      <w:r>
        <w:t xml:space="preserve"> applicants include and demonstrate the appropriateness of contingency funds as part of their proposal, noting it may vary considerably between locations. For example, the department heard freight and transport costs may necessitate a higher level of contingency funds for projects in regional and remote areas.</w:t>
      </w:r>
    </w:p>
    <w:p w:rsidR="003A7A7C" w:rsidRDefault="3894847F" w:rsidP="003A7A7C">
      <w:r>
        <w:t xml:space="preserve">Stakeholders suggested engaging suitably qualified consultants, in particular a dedicated project manager, is also an effective </w:t>
      </w:r>
      <w:r w:rsidR="00A35DFD">
        <w:t xml:space="preserve">risk </w:t>
      </w:r>
      <w:r>
        <w:t xml:space="preserve">mitigation strategy. The procurement of a quantity surveyor report was also considered valuable. Stakeholders suggested it would be helpful for the department to facilitate an information seminar focused on construction market risk and mitigation to support applicants </w:t>
      </w:r>
      <w:r w:rsidR="00A35DFD">
        <w:t xml:space="preserve">in </w:t>
      </w:r>
      <w:r>
        <w:t>minimising risks associated with capital works projects.</w:t>
      </w:r>
    </w:p>
    <w:p w:rsidR="003A7A7C" w:rsidRPr="002D4119" w:rsidRDefault="3894847F" w:rsidP="003A7A7C">
      <w:r>
        <w:t xml:space="preserve">Some stakeholders suggested turnkey or pre-fabrication projects as another strategy to reduce the impact of challenges in the current building and construction sector. However, others cautioned against relying too heavily on turnkey or pre-fabrication projects as many projects are not fit for purpose and may not improve access to emergency accommodation for </w:t>
      </w:r>
      <w:r w:rsidR="00A35DFD">
        <w:t>the priority groups</w:t>
      </w:r>
      <w:r>
        <w:t>.</w:t>
      </w:r>
    </w:p>
    <w:p w:rsidR="001E7A27" w:rsidRPr="001E7A27" w:rsidRDefault="005E4F03" w:rsidP="001E7A27">
      <w:r>
        <w:t>In response to this feedback, t</w:t>
      </w:r>
      <w:r w:rsidR="3894847F">
        <w:t xml:space="preserve">he Inclusion Round grant opportunity </w:t>
      </w:r>
      <w:r>
        <w:t>will include a mandatory</w:t>
      </w:r>
      <w:r w:rsidR="3894847F" w:rsidDel="005E4F03">
        <w:t xml:space="preserve"> </w:t>
      </w:r>
      <w:r>
        <w:t>Capital Works Project Plan and Budget</w:t>
      </w:r>
      <w:r w:rsidR="3894847F">
        <w:t xml:space="preserve"> template with guidance to assist applicants </w:t>
      </w:r>
      <w:r>
        <w:t>in addressing</w:t>
      </w:r>
      <w:r w:rsidR="3894847F">
        <w:t xml:space="preserve"> these challenges. </w:t>
      </w:r>
      <w:r>
        <w:t>Applicants will also be strongly encouraged</w:t>
      </w:r>
      <w:r w:rsidR="3894847F">
        <w:t xml:space="preserve"> to </w:t>
      </w:r>
      <w:r>
        <w:t>seek</w:t>
      </w:r>
      <w:r w:rsidR="3894847F">
        <w:t xml:space="preserve"> grant funding amounts that include contingency funding for unexpected expenses, such as capital works costs that might increase in the future. </w:t>
      </w:r>
    </w:p>
    <w:p w:rsidR="007160DD" w:rsidRDefault="007160DD">
      <w:pPr>
        <w:rPr>
          <w:rFonts w:eastAsiaTheme="majorEastAsia" w:cstheme="majorBidi"/>
          <w:b/>
          <w:bCs/>
          <w:i/>
          <w:color w:val="186871" w:themeColor="accent5" w:themeShade="80"/>
          <w:sz w:val="26"/>
          <w:szCs w:val="26"/>
          <w:lang w:eastAsia="en-AU"/>
        </w:rPr>
      </w:pPr>
      <w:bookmarkStart w:id="56" w:name="_Toc142492558"/>
      <w:bookmarkStart w:id="57" w:name="_Toc142557360"/>
      <w:r>
        <w:rPr>
          <w:lang w:eastAsia="en-AU"/>
        </w:rPr>
        <w:br w:type="page"/>
      </w:r>
    </w:p>
    <w:p w:rsidR="00F313F0" w:rsidRPr="00411092" w:rsidRDefault="3BE4FEF3" w:rsidP="00DF057B">
      <w:pPr>
        <w:pStyle w:val="Heading2"/>
        <w:rPr>
          <w:lang w:eastAsia="en-AU"/>
        </w:rPr>
      </w:pPr>
      <w:bookmarkStart w:id="58" w:name="_Toc146118038"/>
      <w:r w:rsidRPr="00DF057B">
        <w:lastRenderedPageBreak/>
        <w:t>Eligibility</w:t>
      </w:r>
      <w:r w:rsidRPr="00411092">
        <w:rPr>
          <w:lang w:eastAsia="en-AU"/>
        </w:rPr>
        <w:t xml:space="preserve"> and assessment criteria</w:t>
      </w:r>
      <w:bookmarkEnd w:id="56"/>
      <w:bookmarkEnd w:id="57"/>
      <w:bookmarkEnd w:id="58"/>
    </w:p>
    <w:p w:rsidR="00F313F0" w:rsidRPr="00411092" w:rsidRDefault="3BE4FEF3" w:rsidP="00DF057B">
      <w:pPr>
        <w:pStyle w:val="Heading3"/>
        <w:rPr>
          <w:iCs/>
          <w:lang w:eastAsia="en-AU"/>
        </w:rPr>
      </w:pPr>
      <w:bookmarkStart w:id="59" w:name="_Toc142492559"/>
      <w:bookmarkStart w:id="60" w:name="_Toc142557361"/>
      <w:bookmarkStart w:id="61" w:name="_Toc146118039"/>
      <w:r w:rsidRPr="00DF057B">
        <w:t>Eligibility</w:t>
      </w:r>
      <w:r w:rsidRPr="00411092">
        <w:rPr>
          <w:lang w:eastAsia="en-AU"/>
        </w:rPr>
        <w:t xml:space="preserve"> criteria</w:t>
      </w:r>
      <w:bookmarkEnd w:id="59"/>
      <w:bookmarkEnd w:id="60"/>
      <w:bookmarkEnd w:id="61"/>
    </w:p>
    <w:p w:rsidR="00232B05" w:rsidRDefault="3894847F" w:rsidP="00F313F0">
      <w:r>
        <w:t>As part of the Inclusion Round consultation, the department sought feedback on potential eligibility criteria, including:</w:t>
      </w:r>
    </w:p>
    <w:p w:rsidR="00232B05" w:rsidRDefault="00662BE7" w:rsidP="000B0AEF">
      <w:pPr>
        <w:pStyle w:val="ListParagraph"/>
        <w:numPr>
          <w:ilvl w:val="0"/>
          <w:numId w:val="3"/>
        </w:numPr>
      </w:pPr>
      <w:r>
        <w:t xml:space="preserve">Which </w:t>
      </w:r>
      <w:r w:rsidR="3894847F">
        <w:t>entity types</w:t>
      </w:r>
      <w:r>
        <w:t xml:space="preserve"> should be eligible and ineligible</w:t>
      </w:r>
      <w:r w:rsidR="00057D93">
        <w:t>.</w:t>
      </w:r>
    </w:p>
    <w:p w:rsidR="00232B05" w:rsidRDefault="00662BE7" w:rsidP="000B0AEF">
      <w:pPr>
        <w:pStyle w:val="ListParagraph"/>
        <w:numPr>
          <w:ilvl w:val="0"/>
          <w:numId w:val="3"/>
        </w:numPr>
      </w:pPr>
      <w:r>
        <w:t xml:space="preserve">The requirement </w:t>
      </w:r>
      <w:r w:rsidR="00510CE1">
        <w:t>for</w:t>
      </w:r>
      <w:r w:rsidR="005E4F03">
        <w:t xml:space="preserve"> project</w:t>
      </w:r>
      <w:r w:rsidR="00510CE1">
        <w:t>s to</w:t>
      </w:r>
      <w:r w:rsidR="005E4F03">
        <w:t xml:space="preserve"> provide</w:t>
      </w:r>
      <w:r w:rsidR="3894847F">
        <w:t xml:space="preserve"> new (additional) safe places for FDV emergency accommodation</w:t>
      </w:r>
      <w:r w:rsidR="00057D93">
        <w:t>.</w:t>
      </w:r>
    </w:p>
    <w:p w:rsidR="00232B05" w:rsidRDefault="3894847F" w:rsidP="000B0AEF">
      <w:pPr>
        <w:pStyle w:val="ListParagraph"/>
        <w:numPr>
          <w:ilvl w:val="0"/>
          <w:numId w:val="3"/>
        </w:numPr>
      </w:pPr>
      <w:r>
        <w:t xml:space="preserve">The </w:t>
      </w:r>
      <w:r w:rsidR="00662BE7">
        <w:t>requirement</w:t>
      </w:r>
      <w:r w:rsidR="00057D93">
        <w:t xml:space="preserve"> </w:t>
      </w:r>
      <w:r w:rsidR="00662BE7">
        <w:t xml:space="preserve">the </w:t>
      </w:r>
      <w:r>
        <w:t>applicant or partnering service provider is a suitable FDV specialist services provider</w:t>
      </w:r>
      <w:r w:rsidR="00057D93">
        <w:t>.</w:t>
      </w:r>
    </w:p>
    <w:p w:rsidR="00232B05" w:rsidRDefault="3894847F" w:rsidP="000B0AEF">
      <w:pPr>
        <w:pStyle w:val="ListParagraph"/>
        <w:numPr>
          <w:ilvl w:val="0"/>
          <w:numId w:val="3"/>
        </w:numPr>
      </w:pPr>
      <w:r>
        <w:t xml:space="preserve">Confirmation </w:t>
      </w:r>
      <w:r w:rsidR="00662BE7">
        <w:t>t</w:t>
      </w:r>
      <w:r>
        <w:t>he applicant and partnering services providers will agree to reporting and evaluation requirements of the department</w:t>
      </w:r>
      <w:r w:rsidR="00057D93">
        <w:t>.</w:t>
      </w:r>
    </w:p>
    <w:p w:rsidR="00232B05" w:rsidRDefault="3894847F" w:rsidP="000B0AEF">
      <w:pPr>
        <w:pStyle w:val="ListParagraph"/>
        <w:numPr>
          <w:ilvl w:val="0"/>
          <w:numId w:val="3"/>
        </w:numPr>
      </w:pPr>
      <w:r>
        <w:t xml:space="preserve">Confirmation of compliance with all relevant Australian Government, state, and local government regulations, including implementation and compliance with the </w:t>
      </w:r>
      <w:r w:rsidRPr="00411092">
        <w:rPr>
          <w:iCs/>
        </w:rPr>
        <w:t>National Principles for Child Safe Organisation</w:t>
      </w:r>
      <w:r w:rsidR="00640B48">
        <w:rPr>
          <w:rStyle w:val="FootnoteReference"/>
        </w:rPr>
        <w:footnoteReference w:id="12"/>
      </w:r>
      <w:r>
        <w:t>, with compliance evidenced on an annual basis through the designated use period.</w:t>
      </w:r>
    </w:p>
    <w:p w:rsidR="00F313F0" w:rsidRDefault="3894847F" w:rsidP="00F313F0">
      <w:r w:rsidRPr="3894847F">
        <w:rPr>
          <w:lang w:eastAsia="en-AU"/>
        </w:rPr>
        <w:t>Stakeholders also called for funding to support</w:t>
      </w:r>
      <w:r w:rsidRPr="3894847F">
        <w:rPr>
          <w:color w:val="FF0000"/>
          <w:lang w:eastAsia="en-AU"/>
        </w:rPr>
        <w:t xml:space="preserve"> </w:t>
      </w:r>
      <w:r w:rsidRPr="3894847F">
        <w:rPr>
          <w:lang w:eastAsia="en-AU"/>
        </w:rPr>
        <w:t xml:space="preserve">the refurbishment of existing emergency accommodation, such as communal, dormitory style accommodation, to make it inclusive, accessible and fit for purpose, self-contained accommodation. </w:t>
      </w:r>
      <w:r>
        <w:t xml:space="preserve">While modifications and renovations are eligible for funding under the Inclusion Round, </w:t>
      </w:r>
      <w:r w:rsidR="00BC46D6">
        <w:t xml:space="preserve">all </w:t>
      </w:r>
      <w:r>
        <w:t>projects must result in the creation of new (additional) safe places.</w:t>
      </w:r>
    </w:p>
    <w:p w:rsidR="00F313F0" w:rsidRPr="00411092" w:rsidRDefault="3894847F" w:rsidP="00CD726B">
      <w:pPr>
        <w:pStyle w:val="Heading4"/>
      </w:pPr>
      <w:r w:rsidRPr="00411092">
        <w:t>Other communities of victim-</w:t>
      </w:r>
      <w:r w:rsidRPr="00CD726B">
        <w:t>survivors</w:t>
      </w:r>
    </w:p>
    <w:p w:rsidR="00F313F0" w:rsidRDefault="3894847F" w:rsidP="3894847F">
      <w:pPr>
        <w:rPr>
          <w:rFonts w:cs="Times New Roman"/>
        </w:rPr>
      </w:pPr>
      <w:r w:rsidRPr="3894847F">
        <w:rPr>
          <w:rFonts w:cs="Times New Roman"/>
        </w:rPr>
        <w:t xml:space="preserve">While stakeholders expressed support for the focus on improving access to emergency accommodation for the priority groups, some stakeholders raised </w:t>
      </w:r>
      <w:r w:rsidR="00BC46D6">
        <w:rPr>
          <w:rFonts w:cs="Times New Roman"/>
        </w:rPr>
        <w:t xml:space="preserve">concerns over </w:t>
      </w:r>
      <w:r w:rsidRPr="3894847F">
        <w:rPr>
          <w:rFonts w:cs="Times New Roman"/>
        </w:rPr>
        <w:t>barriers for other communities of victim-survivors. This included victim-survivors from LGBTQIA+ communities, older women, and young people who present to emergency accommodation on their own. Some called for consideration of these communities as additional priority groups in the Inclusion Round, or in intersection with the priority groups.</w:t>
      </w:r>
    </w:p>
    <w:p w:rsidR="008A13B1" w:rsidRDefault="40C0725C" w:rsidP="40C0725C">
      <w:pPr>
        <w:rPr>
          <w:rFonts w:cs="Times New Roman"/>
        </w:rPr>
      </w:pPr>
      <w:r w:rsidRPr="40C0725C">
        <w:rPr>
          <w:rFonts w:cs="Times New Roman"/>
        </w:rPr>
        <w:t xml:space="preserve">Women and children who need to access emergency accommodation delivered under the Inclusion Round will be assessed based on need, regardless of whether they are part of a priority group. </w:t>
      </w:r>
      <w:r>
        <w:t>All women and children, regardless of identity, must be provided with accommodation or referral. Referral should be made only if accommodation is unavailable or a provider has security or safety concerns for the presenting women and children, staff or existing residents.</w:t>
      </w:r>
      <w:r w:rsidRPr="40C0725C">
        <w:rPr>
          <w:rFonts w:cs="Times New Roman"/>
        </w:rPr>
        <w:t xml:space="preserve"> To support this, applicants </w:t>
      </w:r>
      <w:r w:rsidR="008A13B1">
        <w:rPr>
          <w:rFonts w:cs="Times New Roman"/>
        </w:rPr>
        <w:t xml:space="preserve">are strongly encouraged to demonstrate appropriate referral pathways to specialised support services as part of the application process. This may include providing optional attachments such as </w:t>
      </w:r>
      <w:r w:rsidR="00BC46D6">
        <w:rPr>
          <w:rFonts w:cs="Times New Roman"/>
        </w:rPr>
        <w:t>referral policies</w:t>
      </w:r>
      <w:r w:rsidR="008A13B1">
        <w:rPr>
          <w:rFonts w:cs="Times New Roman"/>
        </w:rPr>
        <w:t>.</w:t>
      </w:r>
    </w:p>
    <w:p w:rsidR="00F313F0" w:rsidRPr="00411092" w:rsidRDefault="3894847F" w:rsidP="00CD726B">
      <w:pPr>
        <w:pStyle w:val="Heading4"/>
      </w:pPr>
      <w:r w:rsidRPr="00411092">
        <w:t xml:space="preserve">Other models of emergency </w:t>
      </w:r>
      <w:r w:rsidRPr="00CD726B">
        <w:t>accommodation</w:t>
      </w:r>
    </w:p>
    <w:p w:rsidR="009E5653" w:rsidRDefault="3894847F" w:rsidP="3894847F">
      <w:pPr>
        <w:rPr>
          <w:rFonts w:cs="Times New Roman"/>
        </w:rPr>
      </w:pPr>
      <w:r w:rsidRPr="3894847F">
        <w:rPr>
          <w:rFonts w:cs="Times New Roman"/>
        </w:rPr>
        <w:t xml:space="preserve">Stakeholders also raised interest in accommodation models that support women and children to remain in their home. </w:t>
      </w:r>
    </w:p>
    <w:p w:rsidR="00D10645" w:rsidRDefault="00D10645">
      <w:pPr>
        <w:rPr>
          <w:rFonts w:cs="Times New Roman"/>
        </w:rPr>
      </w:pPr>
      <w:r>
        <w:rPr>
          <w:rFonts w:cs="Times New Roman"/>
        </w:rPr>
        <w:br w:type="page"/>
      </w:r>
    </w:p>
    <w:p w:rsidR="00F67309" w:rsidRPr="00F67309" w:rsidRDefault="00F67309" w:rsidP="00F67309">
      <w:pPr>
        <w:rPr>
          <w:rFonts w:cs="Times New Roman"/>
        </w:rPr>
      </w:pPr>
      <w:r w:rsidRPr="00F67309">
        <w:rPr>
          <w:rFonts w:cs="Times New Roman"/>
        </w:rPr>
        <w:lastRenderedPageBreak/>
        <w:t>The KWSITH program</w:t>
      </w:r>
      <w:r w:rsidR="00EF2DDD">
        <w:rPr>
          <w:rStyle w:val="FootnoteReference"/>
          <w:rFonts w:cs="Times New Roman"/>
        </w:rPr>
        <w:footnoteReference w:id="13"/>
      </w:r>
      <w:r w:rsidRPr="00F67309">
        <w:rPr>
          <w:rFonts w:cs="Times New Roman"/>
        </w:rPr>
        <w:t xml:space="preserve"> is an alternative to emergency accommodation.  The program helps women and their children who have experienced FDV to remain in their homes or a home of their choosing, when it is safe and appropriate to do so. This means women and children can continue to have access to their usual support networks, such as workplaces and schools.</w:t>
      </w:r>
    </w:p>
    <w:p w:rsidR="00F67309" w:rsidRPr="00F67309" w:rsidRDefault="00F67309" w:rsidP="00F67309">
      <w:pPr>
        <w:rPr>
          <w:rFonts w:cs="Times New Roman"/>
        </w:rPr>
      </w:pPr>
      <w:r w:rsidRPr="00F67309">
        <w:rPr>
          <w:rFonts w:cs="Times New Roman"/>
        </w:rPr>
        <w:t>It supports women through risk assessments, safety planning, home security audits and upgrades, and case management. The home security upgrades can vary across the different providers, but can include alarms, security screens and locks, and the use of technologies such as monitored personal safety devices, surveillance cameras, dashboard cameras, and electronic sweeping and de-bugging of homes and cars.</w:t>
      </w:r>
    </w:p>
    <w:p w:rsidR="009E5653" w:rsidRPr="009E5653" w:rsidRDefault="00F67309" w:rsidP="3894847F">
      <w:pPr>
        <w:rPr>
          <w:rFonts w:cs="Times New Roman"/>
          <w:color w:val="FF0000"/>
        </w:rPr>
      </w:pPr>
      <w:r w:rsidRPr="00F67309">
        <w:t>The KWSITH program can help to prevent homelessness by offering greater housing stability for women experiencing violence, and providing an alternative to homeless shelters and emergency accommodation. This can also help to reduce the strain on emergency</w:t>
      </w:r>
      <w:r w:rsidR="00B620BC">
        <w:t xml:space="preserve"> accommodation</w:t>
      </w:r>
      <w:r w:rsidR="3894847F" w:rsidRPr="00063832">
        <w:rPr>
          <w:rFonts w:cs="Times New Roman"/>
        </w:rPr>
        <w:t>.</w:t>
      </w:r>
    </w:p>
    <w:p w:rsidR="00F313F0" w:rsidRPr="00411092" w:rsidRDefault="3BE4FEF3" w:rsidP="00CD726B">
      <w:pPr>
        <w:pStyle w:val="Heading3"/>
        <w:rPr>
          <w:lang w:eastAsia="en-AU"/>
        </w:rPr>
      </w:pPr>
      <w:bookmarkStart w:id="62" w:name="_Toc142492560"/>
      <w:bookmarkStart w:id="63" w:name="_Toc142557362"/>
      <w:bookmarkStart w:id="64" w:name="_Toc146118040"/>
      <w:r w:rsidRPr="00CD726B">
        <w:t>Assessment</w:t>
      </w:r>
      <w:r w:rsidRPr="00411092">
        <w:rPr>
          <w:lang w:eastAsia="en-AU"/>
        </w:rPr>
        <w:t xml:space="preserve"> criteria</w:t>
      </w:r>
      <w:bookmarkEnd w:id="62"/>
      <w:bookmarkEnd w:id="63"/>
      <w:bookmarkEnd w:id="64"/>
    </w:p>
    <w:p w:rsidR="00F313F0" w:rsidRDefault="3894847F" w:rsidP="00F313F0">
      <w:r>
        <w:t>As part of consultation, the department proposed assessing Inclusion Round applications against 4 criteri</w:t>
      </w:r>
      <w:r w:rsidR="00BC46D6">
        <w:t>a</w:t>
      </w:r>
      <w:r>
        <w:t>:</w:t>
      </w:r>
    </w:p>
    <w:p w:rsidR="00411092" w:rsidRDefault="00411092" w:rsidP="00F313F0">
      <w:r>
        <w:rPr>
          <w:noProof/>
          <w:lang w:eastAsia="en-AU"/>
        </w:rPr>
        <w:drawing>
          <wp:inline distT="0" distB="0" distL="0" distR="0" wp14:anchorId="30899FDD">
            <wp:extent cx="5810250" cy="3669523"/>
            <wp:effectExtent l="0" t="0" r="0" b="0"/>
            <wp:docPr id="5405" name="Picture 5405" descr="The four criteria are listed in dot points. Criterion 1 is titled 'Demand and location' and says this includes assessing the extent to which the build is in an appropriate location to meet demand for emergency accommodation and provide access t services and amenities. Criterion 2 is titled 'Specialist services and appropriate support' and says this includes assessing the extent to which proposals provide security, safety, privacy and dignity. Criterion 3 is titled 'Value for money' and says this includes determining how applications represent value for money for the Commonwealth investment in terms of project cost and project quality. Criterion 4 is titles 'Capacity and capability to deliver the accommodation' and says this includes the extent to which the applicant demonstrates capacity and capability to deliver their project and provide emergency accommodation for their clients. " title="Assessment crit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23205" cy="3677705"/>
                    </a:xfrm>
                    <a:prstGeom prst="rect">
                      <a:avLst/>
                    </a:prstGeom>
                    <a:noFill/>
                  </pic:spPr>
                </pic:pic>
              </a:graphicData>
            </a:graphic>
          </wp:inline>
        </w:drawing>
      </w:r>
    </w:p>
    <w:p w:rsidR="00D10645" w:rsidRPr="0065591F" w:rsidRDefault="3894847F">
      <w:r>
        <w:t>Stakeholders were broadly supportive of the proposed criteria. A key piece of feedback around the proposed assessment criteria was</w:t>
      </w:r>
      <w:r w:rsidR="001F7938">
        <w:t xml:space="preserve"> needing</w:t>
      </w:r>
      <w:r>
        <w:t xml:space="preserve"> a stronger focus on </w:t>
      </w:r>
      <w:r w:rsidDel="001F7938">
        <w:t xml:space="preserve">the importance of applicants </w:t>
      </w:r>
      <w:r>
        <w:t>demonstrating genuine, meaningful and ongoing engagement with local communities</w:t>
      </w:r>
      <w:r w:rsidDel="001F7938">
        <w:t xml:space="preserve"> in developing proposals</w:t>
      </w:r>
      <w:r>
        <w:t xml:space="preserve">. This was considered particularly important given the </w:t>
      </w:r>
      <w:r>
        <w:lastRenderedPageBreak/>
        <w:t xml:space="preserve">focus of the Inclusion Round </w:t>
      </w:r>
      <w:r w:rsidR="001F7938">
        <w:t>on increasing</w:t>
      </w:r>
      <w:r>
        <w:t xml:space="preserve"> access to appropriate emergency accommodation for First Nations women and children, women and children from CALD backgrounds, and women and children with disability. Some stakeholders also suggested adding an additional criterion to assess the </w:t>
      </w:r>
      <w:r w:rsidR="005B2113">
        <w:t xml:space="preserve">community </w:t>
      </w:r>
      <w:r>
        <w:t>impact the proposed project would have.</w:t>
      </w:r>
    </w:p>
    <w:p w:rsidR="00F313F0" w:rsidRPr="00AD5C3B" w:rsidRDefault="3894847F" w:rsidP="3894847F">
      <w:pPr>
        <w:pStyle w:val="Heading4"/>
        <w:numPr>
          <w:ilvl w:val="3"/>
          <w:numId w:val="0"/>
        </w:numPr>
        <w:ind w:left="864" w:hanging="864"/>
        <w:rPr>
          <w:i w:val="0"/>
          <w:color w:val="0C4198" w:themeColor="accent1"/>
          <w:lang w:eastAsia="en-AU"/>
        </w:rPr>
      </w:pPr>
      <w:r w:rsidRPr="00AD5C3B">
        <w:rPr>
          <w:i w:val="0"/>
          <w:color w:val="0C4198" w:themeColor="accent1"/>
          <w:lang w:eastAsia="en-AU"/>
        </w:rPr>
        <w:t>Criterion 1: Demand and location</w:t>
      </w:r>
      <w:r w:rsidRPr="00AD5C3B">
        <w:rPr>
          <w:i w:val="0"/>
          <w:color w:val="0C4198" w:themeColor="accent1"/>
        </w:rPr>
        <w:t xml:space="preserve"> </w:t>
      </w:r>
    </w:p>
    <w:p w:rsidR="00F313F0" w:rsidRPr="00AD5C3B" w:rsidRDefault="3894847F" w:rsidP="00F313F0">
      <w:r w:rsidRPr="00AD5C3B">
        <w:t xml:space="preserve">Stakeholders were largely supportive of proposed </w:t>
      </w:r>
      <w:r w:rsidRPr="00AD5C3B">
        <w:rPr>
          <w:iCs/>
        </w:rPr>
        <w:t>Criterion 1: Demand and location</w:t>
      </w:r>
      <w:r w:rsidRPr="00AD5C3B">
        <w:t>.</w:t>
      </w:r>
      <w:r w:rsidR="00BC75DD" w:rsidRPr="00AD5C3B">
        <w:t xml:space="preserve"> </w:t>
      </w:r>
      <w:r w:rsidR="00D9187B" w:rsidRPr="00AD5C3B">
        <w:t>The</w:t>
      </w:r>
      <w:r w:rsidR="00D16F77" w:rsidRPr="00AD5C3B">
        <w:t> </w:t>
      </w:r>
      <w:r w:rsidR="00D9187B" w:rsidRPr="00AD5C3B">
        <w:t xml:space="preserve">department </w:t>
      </w:r>
      <w:r w:rsidR="003E63F2" w:rsidRPr="00AD5C3B">
        <w:t xml:space="preserve">heard </w:t>
      </w:r>
      <w:r w:rsidR="00D9187B" w:rsidRPr="00AD5C3B">
        <w:t xml:space="preserve">this criterion </w:t>
      </w:r>
      <w:r w:rsidR="003E63F2" w:rsidRPr="00AD5C3B">
        <w:t xml:space="preserve">should </w:t>
      </w:r>
      <w:r w:rsidR="00D9187B" w:rsidRPr="00AD5C3B">
        <w:t xml:space="preserve">not </w:t>
      </w:r>
      <w:r w:rsidR="003E63F2" w:rsidRPr="00AD5C3B">
        <w:t xml:space="preserve">be </w:t>
      </w:r>
      <w:r w:rsidR="00D9187B" w:rsidRPr="00AD5C3B">
        <w:t>overly restrictive</w:t>
      </w:r>
      <w:r w:rsidR="003E63F2" w:rsidRPr="00AD5C3B">
        <w:t xml:space="preserve"> </w:t>
      </w:r>
      <w:r w:rsidR="00CB04DF" w:rsidRPr="00AD5C3B">
        <w:t>to enable</w:t>
      </w:r>
      <w:r w:rsidR="003E63F2" w:rsidRPr="00AD5C3B">
        <w:t xml:space="preserve"> applicants </w:t>
      </w:r>
      <w:r w:rsidR="00CB04DF" w:rsidRPr="00AD5C3B">
        <w:t>to</w:t>
      </w:r>
      <w:r w:rsidR="00D9187B" w:rsidRPr="00AD5C3B">
        <w:t xml:space="preserve"> demonstrate</w:t>
      </w:r>
      <w:r w:rsidR="00CB04DF" w:rsidRPr="00AD5C3B">
        <w:t xml:space="preserve"> the suitability of a </w:t>
      </w:r>
      <w:r w:rsidR="00D9187B" w:rsidRPr="00AD5C3B">
        <w:t>variety of different types of projects for their particular circumstances</w:t>
      </w:r>
      <w:r w:rsidRPr="00AD5C3B">
        <w:t>.</w:t>
      </w:r>
    </w:p>
    <w:p w:rsidR="001202A5" w:rsidRPr="009A1F50" w:rsidRDefault="001202A5" w:rsidP="009B7686">
      <w:pPr>
        <w:pStyle w:val="Heading5"/>
        <w:numPr>
          <w:ilvl w:val="0"/>
          <w:numId w:val="0"/>
        </w:numPr>
        <w:spacing w:before="0" w:after="200"/>
        <w:ind w:left="1009" w:hanging="1009"/>
        <w:rPr>
          <w:b w:val="0"/>
          <w:i w:val="0"/>
          <w:color w:val="0C4198" w:themeColor="accent1"/>
          <w:lang w:eastAsia="en-AU"/>
        </w:rPr>
      </w:pPr>
      <w:r w:rsidRPr="009A1F50">
        <w:rPr>
          <w:b w:val="0"/>
          <w:i w:val="0"/>
          <w:color w:val="0C4198" w:themeColor="accent1"/>
          <w:lang w:eastAsia="en-AU"/>
        </w:rPr>
        <w:t>Addressing access and location issues</w:t>
      </w:r>
    </w:p>
    <w:p w:rsidR="00071E79" w:rsidRDefault="00071E79" w:rsidP="00BC75DD">
      <w:r>
        <w:t xml:space="preserve">It was noted women and children in greatest need of appropriate and accessible emergency accommodation options often experience </w:t>
      </w:r>
      <w:r w:rsidRPr="3894847F">
        <w:rPr>
          <w:lang w:eastAsia="en-AU"/>
        </w:rPr>
        <w:t>compounding forms of oppression or inequality</w:t>
      </w:r>
      <w:r>
        <w:t xml:space="preserve"> and are small in number</w:t>
      </w:r>
      <w:r w:rsidR="00BC75DD">
        <w:t>, which should be considered when assessing this criterion</w:t>
      </w:r>
      <w:r>
        <w:t xml:space="preserve">. </w:t>
      </w:r>
    </w:p>
    <w:p w:rsidR="00071E79" w:rsidRPr="0013495B" w:rsidRDefault="00BC75DD" w:rsidP="00071E79">
      <w:r>
        <w:t>Similarly</w:t>
      </w:r>
      <w:r w:rsidR="00071E79">
        <w:t>, the department heard it is important to consider that for many culturally diverse community members experiencing FDV, there can be limited knowledge of</w:t>
      </w:r>
      <w:r w:rsidR="00D16F77">
        <w:t>,</w:t>
      </w:r>
      <w:r w:rsidR="00071E79">
        <w:t xml:space="preserve"> or willingness to access formal services outside of their cultural community. It was noted these clients may be more likely to seek support from informal networks and resources, including seeking advice and guidance from trusted members of their community</w:t>
      </w:r>
      <w:r w:rsidR="003E63F2">
        <w:t>.</w:t>
      </w:r>
    </w:p>
    <w:p w:rsidR="00BC75DD" w:rsidRDefault="3894847F" w:rsidP="00F313F0">
      <w:r>
        <w:t>In terms of the location of emergency accommodation, stakeholders considered it important to be close to services and amenities such as public transport, schools, community groups, childcare, police stations, employment services, shops and medical services. However, stakeholders noted there should be some room for judgement in the assessment process so proposals to create new emergency accommodation in rural and remote locations are not disadvantaged due to reduced proximity to services and amenities.</w:t>
      </w:r>
      <w:r w:rsidR="00BC75DD">
        <w:t xml:space="preserve"> S</w:t>
      </w:r>
      <w:r>
        <w:t xml:space="preserve">ome stakeholders noted locating emergency accommodation away from central hubs was important to provide privacy and security, particularly in regional and remote locations. </w:t>
      </w:r>
    </w:p>
    <w:p w:rsidR="00F313F0" w:rsidRDefault="00BC75DD" w:rsidP="00F313F0">
      <w:r>
        <w:t xml:space="preserve">It was </w:t>
      </w:r>
      <w:r w:rsidR="3894847F">
        <w:t>also suggested</w:t>
      </w:r>
      <w:r>
        <w:t xml:space="preserve"> that</w:t>
      </w:r>
      <w:r w:rsidR="3894847F">
        <w:t xml:space="preserve"> scattering emergency accommodation throughout the community </w:t>
      </w:r>
      <w:r>
        <w:t>may</w:t>
      </w:r>
      <w:r w:rsidR="3894847F">
        <w:t xml:space="preserve"> assist women and children feel like they are part of the community and reduce stigma, as dwellings are not specifically identifiable as emergency accommodation. However, the department also heard models that co-locate dwellings (e.g. town houses, apartments or units) can be beneficial for healing and recovery as they provide an extra sense of security and a sense of community, particularly for First Nations women and children.</w:t>
      </w:r>
    </w:p>
    <w:p w:rsidR="001202A5" w:rsidRPr="009A1F50" w:rsidRDefault="00FE22FA" w:rsidP="009B7686">
      <w:pPr>
        <w:pStyle w:val="Heading5"/>
        <w:numPr>
          <w:ilvl w:val="0"/>
          <w:numId w:val="0"/>
        </w:numPr>
        <w:spacing w:before="0" w:after="200"/>
        <w:ind w:left="1009" w:hanging="1009"/>
        <w:rPr>
          <w:b w:val="0"/>
          <w:i w:val="0"/>
          <w:color w:val="0C4198" w:themeColor="accent1"/>
          <w:lang w:eastAsia="en-AU"/>
        </w:rPr>
      </w:pPr>
      <w:r w:rsidRPr="009A1F50">
        <w:rPr>
          <w:b w:val="0"/>
          <w:i w:val="0"/>
          <w:color w:val="0C4198" w:themeColor="accent1"/>
          <w:lang w:eastAsia="en-AU"/>
        </w:rPr>
        <w:t>Demonstrating demand in the Inclusion Round</w:t>
      </w:r>
    </w:p>
    <w:p w:rsidR="00F313F0" w:rsidRDefault="3894847F" w:rsidP="3894847F">
      <w:r>
        <w:t xml:space="preserve">The Inclusion Round grant opportunity factors in feedback on </w:t>
      </w:r>
      <w:r w:rsidR="00AD5C3B">
        <w:t>c</w:t>
      </w:r>
      <w:r w:rsidR="00AD5C3B">
        <w:rPr>
          <w:iCs/>
        </w:rPr>
        <w:t>riterion 1: d</w:t>
      </w:r>
      <w:r w:rsidRPr="00AD5C3B">
        <w:rPr>
          <w:iCs/>
        </w:rPr>
        <w:t>emand and location</w:t>
      </w:r>
      <w:r w:rsidRPr="00AD5C3B">
        <w:t xml:space="preserve">. Applicants are required to demonstrate the appropriateness </w:t>
      </w:r>
      <w:r>
        <w:t>of their proposed location, taking into consideration the needs of potential clients in that area, including any priority groups they are proposing to increase access for.</w:t>
      </w:r>
    </w:p>
    <w:p w:rsidR="00097657" w:rsidRDefault="00097657">
      <w:r>
        <w:br w:type="page"/>
      </w:r>
    </w:p>
    <w:p w:rsidR="00BC75DD" w:rsidRDefault="00BC75DD" w:rsidP="00BC75DD">
      <w:r>
        <w:lastRenderedPageBreak/>
        <w:t xml:space="preserve">As part of the Inclusion Round grant opportunity the department released factsheets indicating local levels of unmet demand for emergency accommodation for women and children experiencing FDV, based on state and territory Specialist Homelessness Services data. </w:t>
      </w:r>
    </w:p>
    <w:p w:rsidR="00BC75DD" w:rsidRPr="00DA2620" w:rsidRDefault="00BC75DD" w:rsidP="3894847F">
      <w:r>
        <w:t>Applicants are able to supplement this data with any additional quantitative or qualitative data they may have on unmet demand. This may include</w:t>
      </w:r>
      <w:r w:rsidRPr="208439D9">
        <w:rPr>
          <w:rFonts w:eastAsiaTheme="majorEastAsia" w:cstheme="majorBidi"/>
          <w:lang w:eastAsia="en-AU"/>
        </w:rPr>
        <w:t xml:space="preserve"> waiting lists, qualitative evidence s</w:t>
      </w:r>
      <w:r>
        <w:t>uch as reports of women and children accessing informal supports and resources,</w:t>
      </w:r>
      <w:r w:rsidRPr="208439D9">
        <w:rPr>
          <w:rFonts w:eastAsiaTheme="majorEastAsia" w:cstheme="majorBidi"/>
          <w:lang w:eastAsia="en-AU"/>
        </w:rPr>
        <w:t xml:space="preserve"> or localised evidence and knowledge, including the distance to the next emergency accommodation location. This acknowledges women and children experiencing </w:t>
      </w:r>
      <w:r w:rsidRPr="3894847F">
        <w:rPr>
          <w:lang w:eastAsia="en-AU"/>
        </w:rPr>
        <w:t>compounding forms of oppression or inequality do not always present to formal support services to seek help, and therefore may not be captured by official data sources.</w:t>
      </w:r>
      <w:r w:rsidRPr="00BC75DD">
        <w:rPr>
          <w:lang w:eastAsia="en-AU"/>
        </w:rPr>
        <w:t xml:space="preserve"> </w:t>
      </w:r>
      <w:r w:rsidR="003E63F2">
        <w:rPr>
          <w:lang w:eastAsia="en-AU"/>
        </w:rPr>
        <w:t>It also acknowledges stakeholder feedback that</w:t>
      </w:r>
      <w:r w:rsidRPr="3894847F">
        <w:rPr>
          <w:lang w:eastAsia="en-AU"/>
        </w:rPr>
        <w:t xml:space="preserve"> women and children experiencing FDV sometimes travel out of area to access emergency accommodation</w:t>
      </w:r>
      <w:r>
        <w:rPr>
          <w:lang w:eastAsia="en-AU"/>
        </w:rPr>
        <w:t>, which may also be better represented through an applicant’s own data</w:t>
      </w:r>
      <w:r w:rsidRPr="3894847F">
        <w:rPr>
          <w:lang w:eastAsia="en-AU"/>
        </w:rPr>
        <w:t>.</w:t>
      </w:r>
    </w:p>
    <w:p w:rsidR="00F313F0" w:rsidRPr="00AD5C3B" w:rsidRDefault="3894847F" w:rsidP="3894847F">
      <w:pPr>
        <w:pStyle w:val="Heading4"/>
        <w:numPr>
          <w:ilvl w:val="3"/>
          <w:numId w:val="0"/>
        </w:numPr>
        <w:ind w:left="864" w:hanging="864"/>
        <w:rPr>
          <w:i w:val="0"/>
          <w:color w:val="C00000" w:themeColor="accent2"/>
          <w:lang w:eastAsia="en-AU"/>
        </w:rPr>
      </w:pPr>
      <w:r w:rsidRPr="00AD5C3B">
        <w:rPr>
          <w:i w:val="0"/>
          <w:color w:val="C00000" w:themeColor="accent2"/>
          <w:lang w:eastAsia="en-AU"/>
        </w:rPr>
        <w:t>Criterion 2: Specialist services and appropriate support</w:t>
      </w:r>
    </w:p>
    <w:p w:rsidR="00F313F0" w:rsidRPr="00AD5C3B" w:rsidRDefault="3894847F" w:rsidP="3894847F">
      <w:pPr>
        <w:rPr>
          <w:lang w:eastAsia="en-AU"/>
        </w:rPr>
      </w:pPr>
      <w:r w:rsidRPr="00AD5C3B">
        <w:rPr>
          <w:lang w:eastAsia="en-AU"/>
        </w:rPr>
        <w:t>Stakeholders agreed</w:t>
      </w:r>
      <w:r w:rsidR="00D9187B" w:rsidRPr="00AD5C3B">
        <w:rPr>
          <w:lang w:eastAsia="en-AU"/>
        </w:rPr>
        <w:t xml:space="preserve"> the </w:t>
      </w:r>
      <w:r w:rsidRPr="00AD5C3B">
        <w:rPr>
          <w:lang w:eastAsia="en-AU"/>
        </w:rPr>
        <w:t xml:space="preserve">proposed </w:t>
      </w:r>
      <w:r w:rsidR="00AD5C3B">
        <w:rPr>
          <w:iCs/>
          <w:lang w:eastAsia="en-AU"/>
        </w:rPr>
        <w:t>c</w:t>
      </w:r>
      <w:r w:rsidRPr="00AD5C3B">
        <w:rPr>
          <w:iCs/>
          <w:lang w:eastAsia="en-AU"/>
        </w:rPr>
        <w:t xml:space="preserve">riterion 2: </w:t>
      </w:r>
      <w:r w:rsidR="00AD5C3B">
        <w:rPr>
          <w:iCs/>
          <w:lang w:eastAsia="en-AU"/>
        </w:rPr>
        <w:t>s</w:t>
      </w:r>
      <w:r w:rsidRPr="00AD5C3B">
        <w:rPr>
          <w:iCs/>
          <w:lang w:eastAsia="en-AU"/>
        </w:rPr>
        <w:t>pecialist services and appropriate support</w:t>
      </w:r>
      <w:r w:rsidRPr="00AD5C3B">
        <w:rPr>
          <w:lang w:eastAsia="en-AU"/>
        </w:rPr>
        <w:t xml:space="preserve"> was important.</w:t>
      </w:r>
      <w:r w:rsidR="00F9471C" w:rsidRPr="00AD5C3B">
        <w:rPr>
          <w:lang w:eastAsia="en-AU"/>
        </w:rPr>
        <w:t xml:space="preserve"> Stakeholders</w:t>
      </w:r>
      <w:r w:rsidRPr="00AD5C3B">
        <w:rPr>
          <w:lang w:eastAsia="en-AU"/>
        </w:rPr>
        <w:t xml:space="preserve"> suggested the ability to provide specialist services and appropriate support is</w:t>
      </w:r>
      <w:r w:rsidRPr="00AD5C3B" w:rsidDel="00D9187B">
        <w:rPr>
          <w:lang w:eastAsia="en-AU"/>
        </w:rPr>
        <w:t xml:space="preserve"> </w:t>
      </w:r>
      <w:r w:rsidRPr="00AD5C3B">
        <w:rPr>
          <w:lang w:eastAsia="en-AU"/>
        </w:rPr>
        <w:t>key</w:t>
      </w:r>
      <w:r w:rsidRPr="00AD5C3B" w:rsidDel="00D9187B">
        <w:rPr>
          <w:lang w:eastAsia="en-AU"/>
        </w:rPr>
        <w:t xml:space="preserve"> </w:t>
      </w:r>
      <w:r w:rsidR="00D9187B" w:rsidRPr="00AD5C3B">
        <w:rPr>
          <w:lang w:eastAsia="en-AU"/>
        </w:rPr>
        <w:t>in determining</w:t>
      </w:r>
      <w:r w:rsidRPr="00AD5C3B">
        <w:rPr>
          <w:lang w:eastAsia="en-AU"/>
        </w:rPr>
        <w:t xml:space="preserve"> an applicant’s </w:t>
      </w:r>
      <w:r w:rsidR="00D9187B" w:rsidRPr="00AD5C3B">
        <w:rPr>
          <w:lang w:eastAsia="en-AU"/>
        </w:rPr>
        <w:t xml:space="preserve">capacity </w:t>
      </w:r>
      <w:r w:rsidRPr="00AD5C3B">
        <w:rPr>
          <w:lang w:eastAsia="en-AU"/>
        </w:rPr>
        <w:t xml:space="preserve">to deliver services over the 15-year designated use period. </w:t>
      </w:r>
      <w:r w:rsidR="00942D97" w:rsidRPr="00AD5C3B">
        <w:rPr>
          <w:lang w:eastAsia="en-AU"/>
        </w:rPr>
        <w:t>Applying this criterion</w:t>
      </w:r>
      <w:r w:rsidRPr="00AD5C3B">
        <w:rPr>
          <w:lang w:eastAsia="en-AU"/>
        </w:rPr>
        <w:t xml:space="preserve"> should include </w:t>
      </w:r>
      <w:r w:rsidR="00942D97" w:rsidRPr="00AD5C3B">
        <w:rPr>
          <w:lang w:eastAsia="en-AU"/>
        </w:rPr>
        <w:t>considering</w:t>
      </w:r>
      <w:r w:rsidRPr="00AD5C3B">
        <w:rPr>
          <w:lang w:eastAsia="en-AU"/>
        </w:rPr>
        <w:t xml:space="preserve"> intake and assessment processes, risk assessments and mitigations, and harm minimisation policies and procedures.</w:t>
      </w:r>
    </w:p>
    <w:p w:rsidR="007E6B30" w:rsidRPr="009A1F50" w:rsidRDefault="007E6B30" w:rsidP="009B7686">
      <w:pPr>
        <w:pStyle w:val="Heading5"/>
        <w:numPr>
          <w:ilvl w:val="0"/>
          <w:numId w:val="0"/>
        </w:numPr>
        <w:spacing w:before="0" w:after="200"/>
        <w:ind w:left="1009" w:hanging="1009"/>
        <w:rPr>
          <w:b w:val="0"/>
          <w:i w:val="0"/>
          <w:color w:val="C00000" w:themeColor="accent2"/>
          <w:lang w:eastAsia="en-AU"/>
        </w:rPr>
      </w:pPr>
      <w:r w:rsidRPr="009A1F50">
        <w:rPr>
          <w:b w:val="0"/>
          <w:i w:val="0"/>
          <w:color w:val="C00000" w:themeColor="accent2"/>
          <w:lang w:eastAsia="en-AU"/>
        </w:rPr>
        <w:t>Connecting with a range of specialist supports</w:t>
      </w:r>
    </w:p>
    <w:p w:rsidR="00942D97" w:rsidRDefault="3894847F" w:rsidP="00F313F0">
      <w:r>
        <w:t xml:space="preserve">Stakeholders reiterated the importance of applicants demonstrating an ability to provide and link clients with a range of specialist support services. This includes immediate supports, such as counselling, psychological and mental health support, sexual violence specialist services, financial counselling, </w:t>
      </w:r>
      <w:r w:rsidR="00942D97">
        <w:t xml:space="preserve">case management services, </w:t>
      </w:r>
      <w:r>
        <w:t xml:space="preserve">translation services, and legal services and court support, including migration lawyers. </w:t>
      </w:r>
    </w:p>
    <w:p w:rsidR="00F313F0" w:rsidRDefault="3894847F" w:rsidP="00F313F0">
      <w:r>
        <w:t xml:space="preserve">Stakeholders noted the importance of cultural services, such as healing programs and spiritual and religious services, for First Nations and CALD women and children, and specialised disability supports for women and children with disability. They also highlighted the importance of </w:t>
      </w:r>
      <w:r w:rsidR="00942D97">
        <w:t xml:space="preserve">employing </w:t>
      </w:r>
      <w:r>
        <w:t>workers who have the skills and capability to support children as victim-survivors in their own right, such as appropriate counsellors and play therapists.</w:t>
      </w:r>
    </w:p>
    <w:p w:rsidR="00F313F0" w:rsidRDefault="3894847F" w:rsidP="00F313F0">
      <w:r>
        <w:t>The department also heard women and children using emergency accommodation need assistance accessing general services such as health and medical services, including general practitioners, dentists, occupational therapists and pathologists, Centrelink, alcohol and drug services, employment services, parenting support and childcare.</w:t>
      </w:r>
    </w:p>
    <w:p w:rsidR="00F313F0" w:rsidRDefault="3894847F" w:rsidP="3894847F">
      <w:pPr>
        <w:rPr>
          <w:lang w:eastAsia="en-AU"/>
        </w:rPr>
      </w:pPr>
      <w:r w:rsidRPr="3894847F">
        <w:rPr>
          <w:lang w:eastAsia="en-AU"/>
        </w:rPr>
        <w:t>The importance of proposals demonstrating service delivery scope and practice, including partnerships, linkages and referral pathways with local service providers, was emphasised, acknowledging it is not reasonable to expect a service to be capable of delivering all specialist expertise.</w:t>
      </w:r>
    </w:p>
    <w:p w:rsidR="00097657" w:rsidRDefault="00097657">
      <w:pPr>
        <w:rPr>
          <w:rFonts w:eastAsiaTheme="majorEastAsia" w:cstheme="majorBidi"/>
          <w:bCs/>
          <w:color w:val="C00000" w:themeColor="accent2"/>
          <w:lang w:eastAsia="en-AU"/>
        </w:rPr>
      </w:pPr>
      <w:r>
        <w:rPr>
          <w:b/>
          <w:i/>
          <w:color w:val="C00000" w:themeColor="accent2"/>
          <w:lang w:eastAsia="en-AU"/>
        </w:rPr>
        <w:br w:type="page"/>
      </w:r>
    </w:p>
    <w:p w:rsidR="007E6B30" w:rsidRPr="009A1F50" w:rsidRDefault="007E6B30" w:rsidP="009B7686">
      <w:pPr>
        <w:pStyle w:val="Heading5"/>
        <w:numPr>
          <w:ilvl w:val="0"/>
          <w:numId w:val="0"/>
        </w:numPr>
        <w:spacing w:before="0" w:after="200"/>
        <w:ind w:left="1009" w:hanging="1009"/>
        <w:rPr>
          <w:b w:val="0"/>
          <w:i w:val="0"/>
          <w:color w:val="C00000" w:themeColor="accent2"/>
          <w:lang w:eastAsia="en-AU"/>
        </w:rPr>
      </w:pPr>
      <w:r w:rsidRPr="009A1F50">
        <w:rPr>
          <w:b w:val="0"/>
          <w:i w:val="0"/>
          <w:color w:val="C00000" w:themeColor="accent2"/>
          <w:lang w:eastAsia="en-AU"/>
        </w:rPr>
        <w:lastRenderedPageBreak/>
        <w:t>Best practices for helping victim-survivors of FDV</w:t>
      </w:r>
    </w:p>
    <w:p w:rsidR="00D10645" w:rsidRDefault="3894847F">
      <w:r>
        <w:t>Stakeholders noted having external service providers attending emergency accommodation to deliver services on-site where possible and appropriate is preferable as it helps reduce fatigue and re-traumatisation for victim-survivors. They suggested high quality applications would incorporate a core and cluster model, or include a centralised hub where services provide wrap-around supports.</w:t>
      </w:r>
    </w:p>
    <w:p w:rsidR="00F313F0" w:rsidRDefault="00F9471C" w:rsidP="00F313F0">
      <w:r>
        <w:t>Stakeholders</w:t>
      </w:r>
      <w:r w:rsidR="3894847F">
        <w:t xml:space="preserve"> also suggested high quality applications would provide women and children with caseworkers, case management or advocate support. The department heard caseworkers play an important role in reducing the administrative burden for clients by assisting them to access and navigate services, and reduce the need to retell their story to multiple services. This included practical support, such as assistance obtaining a new Medicare card, bank account, identity card and accessing social security payments.</w:t>
      </w:r>
    </w:p>
    <w:p w:rsidR="00F313F0" w:rsidRDefault="3894847F" w:rsidP="3894847F">
      <w:pPr>
        <w:rPr>
          <w:lang w:eastAsia="en-AU"/>
        </w:rPr>
      </w:pPr>
      <w:r w:rsidRPr="3894847F">
        <w:rPr>
          <w:lang w:eastAsia="en-AU"/>
        </w:rPr>
        <w:t xml:space="preserve">Stakeholders noted the importance of applicants adopting a trauma-informed and culturally appropriate approach, providing clients with safety, trust, choice, collaboration and empowerment. This included demonstrating how they would provide clients with dignity and autonomy, such as consulting with women and children on services available to them and presenting them with options, rather than making decisions on their behalf. </w:t>
      </w:r>
    </w:p>
    <w:p w:rsidR="00F313F0" w:rsidRDefault="3894847F" w:rsidP="3894847F">
      <w:pPr>
        <w:rPr>
          <w:lang w:eastAsia="en-AU"/>
        </w:rPr>
      </w:pPr>
      <w:r w:rsidRPr="3894847F">
        <w:rPr>
          <w:lang w:eastAsia="en-AU"/>
        </w:rPr>
        <w:t>Stakeholders also emphasised the importance of specialist services aligning with relevant FDV best practice and regulatory frameworks, including risk and safe</w:t>
      </w:r>
      <w:r w:rsidR="00B620BC">
        <w:rPr>
          <w:lang w:eastAsia="en-AU"/>
        </w:rPr>
        <w:t>t</w:t>
      </w:r>
      <w:r w:rsidRPr="3894847F">
        <w:rPr>
          <w:lang w:eastAsia="en-AU"/>
        </w:rPr>
        <w:t>y planning, codes of practice or guidelines and relevant quality standards. However, it was acknowledged this assessment may be challenging as some states do not have codes of practice or guidelines specifying minimum standards for FDV service delivery. Some stakeholders indicated meeting the Australian Women Against Violence Alliance (AWAVA) Good Practice Principles</w:t>
      </w:r>
      <w:r w:rsidR="00EF2DDD">
        <w:rPr>
          <w:rStyle w:val="FootnoteReference"/>
          <w:lang w:eastAsia="en-AU"/>
        </w:rPr>
        <w:footnoteReference w:id="14"/>
      </w:r>
      <w:r w:rsidRPr="3894847F">
        <w:rPr>
          <w:lang w:eastAsia="en-AU"/>
        </w:rPr>
        <w:t xml:space="preserve"> in Addressing Sexual and Gender-Based Violence may be a strong indicator of suitability for organisations in states with no minimum requirements. </w:t>
      </w:r>
    </w:p>
    <w:p w:rsidR="007E6B30" w:rsidRPr="00AD5C3B" w:rsidRDefault="007E6B30" w:rsidP="009B7686">
      <w:pPr>
        <w:pStyle w:val="Heading5"/>
        <w:numPr>
          <w:ilvl w:val="0"/>
          <w:numId w:val="0"/>
        </w:numPr>
        <w:spacing w:before="0" w:after="200"/>
        <w:ind w:left="1009" w:hanging="1009"/>
        <w:rPr>
          <w:b w:val="0"/>
          <w:i w:val="0"/>
          <w:color w:val="C00000"/>
          <w:lang w:eastAsia="en-AU"/>
        </w:rPr>
      </w:pPr>
      <w:bookmarkStart w:id="65" w:name="_Ensuring_Inclusion_Round"/>
      <w:bookmarkEnd w:id="65"/>
      <w:r w:rsidRPr="00AD5C3B">
        <w:rPr>
          <w:b w:val="0"/>
          <w:i w:val="0"/>
          <w:color w:val="C00000"/>
          <w:lang w:eastAsia="en-AU"/>
        </w:rPr>
        <w:t xml:space="preserve">Ensuring </w:t>
      </w:r>
      <w:r w:rsidR="009B7686" w:rsidRPr="00AD5C3B">
        <w:rPr>
          <w:b w:val="0"/>
          <w:i w:val="0"/>
          <w:color w:val="C00000"/>
          <w:lang w:eastAsia="en-AU"/>
        </w:rPr>
        <w:t>suitability of specialist services</w:t>
      </w:r>
    </w:p>
    <w:p w:rsidR="00F313F0" w:rsidRPr="000659C6" w:rsidRDefault="3894847F" w:rsidP="3894847F">
      <w:pPr>
        <w:rPr>
          <w:lang w:eastAsia="en-AU"/>
        </w:rPr>
      </w:pPr>
      <w:r w:rsidRPr="3894847F">
        <w:rPr>
          <w:lang w:eastAsia="en-AU"/>
        </w:rPr>
        <w:t>The department has established arrangements with states to enable them to provide advice on applications within their jurisdiction, including the suitability of specialist services.</w:t>
      </w:r>
      <w:r w:rsidR="009B7686">
        <w:rPr>
          <w:lang w:eastAsia="en-AU"/>
        </w:rPr>
        <w:t xml:space="preserve"> </w:t>
      </w:r>
      <w:r w:rsidR="009B7686">
        <w:t>The purpose of these arrangements is to determine whether states will support projects on an ongoing basis.</w:t>
      </w:r>
    </w:p>
    <w:p w:rsidR="001A7E65" w:rsidRPr="000659C6" w:rsidRDefault="001A7E65" w:rsidP="3894847F">
      <w:pPr>
        <w:rPr>
          <w:lang w:eastAsia="en-AU"/>
        </w:rPr>
      </w:pPr>
      <w:r w:rsidRPr="000659C6">
        <w:rPr>
          <w:lang w:eastAsia="en-AU"/>
        </w:rPr>
        <w:t xml:space="preserve">The department will assess the suitability of services by requesting intake assessment and safety plan templates as well as an outline of the organisation’s service capabilities, whether that be through referral pathways, partnerships with other organisations, or in house service delivery. </w:t>
      </w:r>
    </w:p>
    <w:p w:rsidR="00823193" w:rsidRPr="000659C6" w:rsidRDefault="00823193" w:rsidP="3894847F">
      <w:pPr>
        <w:rPr>
          <w:lang w:eastAsia="en-AU"/>
        </w:rPr>
      </w:pPr>
      <w:r w:rsidRPr="000659C6">
        <w:rPr>
          <w:lang w:eastAsia="en-AU"/>
        </w:rPr>
        <w:t xml:space="preserve">Successful </w:t>
      </w:r>
      <w:r w:rsidR="00521F5F" w:rsidRPr="000659C6">
        <w:rPr>
          <w:lang w:eastAsia="en-AU"/>
        </w:rPr>
        <w:t>applicants</w:t>
      </w:r>
      <w:r w:rsidRPr="000659C6">
        <w:rPr>
          <w:lang w:eastAsia="en-AU"/>
        </w:rPr>
        <w:t xml:space="preserve"> will need to submit further documentation as evidence of their service model as part of the grant agreement. This may include, for example, </w:t>
      </w:r>
      <w:r w:rsidR="00521F5F" w:rsidRPr="000659C6">
        <w:rPr>
          <w:lang w:eastAsia="en-AU"/>
        </w:rPr>
        <w:t xml:space="preserve">policies for </w:t>
      </w:r>
      <w:r w:rsidRPr="000659C6">
        <w:rPr>
          <w:lang w:eastAsia="en-AU"/>
        </w:rPr>
        <w:t xml:space="preserve">diversity and inclusion, privacy, and rent setting. Grantees will also complete a declaration which states compliance with relevant Commonwealth and State/Territory legislation relating to </w:t>
      </w:r>
      <w:r w:rsidRPr="000659C6">
        <w:rPr>
          <w:lang w:eastAsia="en-AU"/>
        </w:rPr>
        <w:lastRenderedPageBreak/>
        <w:t xml:space="preserve">service delivery, such as background checks for working with children and vulnerable people. </w:t>
      </w:r>
    </w:p>
    <w:p w:rsidR="00F313F0" w:rsidRPr="009A1F50" w:rsidRDefault="3894847F" w:rsidP="3894847F">
      <w:pPr>
        <w:pStyle w:val="Heading4"/>
        <w:numPr>
          <w:ilvl w:val="3"/>
          <w:numId w:val="0"/>
        </w:numPr>
        <w:ind w:left="864" w:hanging="864"/>
        <w:rPr>
          <w:i w:val="0"/>
          <w:color w:val="E36C0A" w:themeColor="accent6" w:themeShade="BF"/>
          <w:lang w:eastAsia="en-AU"/>
        </w:rPr>
      </w:pPr>
      <w:r w:rsidRPr="009A1F50">
        <w:rPr>
          <w:i w:val="0"/>
          <w:color w:val="E36C0A" w:themeColor="accent6" w:themeShade="BF"/>
          <w:lang w:eastAsia="en-AU"/>
        </w:rPr>
        <w:t>Criterion 3: Value for Money</w:t>
      </w:r>
    </w:p>
    <w:p w:rsidR="00D81044" w:rsidRDefault="3894847F" w:rsidP="3894847F">
      <w:pPr>
        <w:rPr>
          <w:lang w:eastAsia="en-AU"/>
        </w:rPr>
      </w:pPr>
      <w:r w:rsidRPr="3894847F">
        <w:rPr>
          <w:lang w:eastAsia="en-AU"/>
        </w:rPr>
        <w:t>Stakeholders agreed the project cost criteria should consider:</w:t>
      </w:r>
    </w:p>
    <w:p w:rsidR="00D81044" w:rsidRDefault="00185255" w:rsidP="000B0AEF">
      <w:pPr>
        <w:pStyle w:val="ListParagraph"/>
        <w:numPr>
          <w:ilvl w:val="0"/>
          <w:numId w:val="15"/>
        </w:numPr>
        <w:rPr>
          <w:lang w:eastAsia="en-AU"/>
        </w:rPr>
      </w:pPr>
      <w:r>
        <w:rPr>
          <w:lang w:eastAsia="en-AU"/>
        </w:rPr>
        <w:t>L</w:t>
      </w:r>
      <w:r w:rsidR="3894847F" w:rsidRPr="3894847F">
        <w:rPr>
          <w:lang w:eastAsia="en-AU"/>
        </w:rPr>
        <w:t>ocal construction</w:t>
      </w:r>
      <w:r w:rsidR="3894847F" w:rsidRPr="3894847F" w:rsidDel="00185255">
        <w:rPr>
          <w:lang w:eastAsia="en-AU"/>
        </w:rPr>
        <w:t>/</w:t>
      </w:r>
      <w:r w:rsidR="3894847F" w:rsidRPr="3894847F">
        <w:rPr>
          <w:lang w:eastAsia="en-AU"/>
        </w:rPr>
        <w:t>real estate costs</w:t>
      </w:r>
      <w:r>
        <w:rPr>
          <w:lang w:eastAsia="en-AU"/>
        </w:rPr>
        <w:t>,</w:t>
      </w:r>
      <w:r w:rsidR="3894847F" w:rsidRPr="3894847F" w:rsidDel="00185255">
        <w:rPr>
          <w:lang w:eastAsia="en-AU"/>
        </w:rPr>
        <w:t xml:space="preserve"> </w:t>
      </w:r>
      <w:r w:rsidR="3894847F" w:rsidRPr="3894847F">
        <w:rPr>
          <w:lang w:eastAsia="en-AU"/>
        </w:rPr>
        <w:t>to ensure high cost locations will not be disadvantaged in the assessment process</w:t>
      </w:r>
    </w:p>
    <w:p w:rsidR="00D10645" w:rsidRDefault="00185255" w:rsidP="009B7686">
      <w:pPr>
        <w:pStyle w:val="ListParagraph"/>
        <w:numPr>
          <w:ilvl w:val="0"/>
          <w:numId w:val="15"/>
        </w:numPr>
        <w:rPr>
          <w:lang w:eastAsia="en-AU"/>
        </w:rPr>
      </w:pPr>
      <w:r>
        <w:rPr>
          <w:lang w:eastAsia="en-AU"/>
        </w:rPr>
        <w:t>Additional c</w:t>
      </w:r>
      <w:r w:rsidRPr="3894847F">
        <w:rPr>
          <w:lang w:eastAsia="en-AU"/>
        </w:rPr>
        <w:t>osts</w:t>
      </w:r>
      <w:r w:rsidR="3894847F" w:rsidRPr="3894847F">
        <w:rPr>
          <w:lang w:eastAsia="en-AU"/>
        </w:rPr>
        <w:t xml:space="preserve"> associated with higher build quality in assessing value for money, to ensure </w:t>
      </w:r>
      <w:r w:rsidR="3894847F">
        <w:t xml:space="preserve">LHA Gold- or Platinum-level </w:t>
      </w:r>
      <w:r>
        <w:t xml:space="preserve">accredited dwellings that </w:t>
      </w:r>
      <w:r w:rsidR="3894847F">
        <w:t>accommodate women and children with disability will not be disadvantaged.</w:t>
      </w:r>
    </w:p>
    <w:p w:rsidR="001C3142" w:rsidRDefault="3894847F" w:rsidP="3894847F">
      <w:pPr>
        <w:rPr>
          <w:lang w:eastAsia="en-AU"/>
        </w:rPr>
      </w:pPr>
      <w:r w:rsidRPr="3894847F">
        <w:rPr>
          <w:lang w:eastAsia="en-AU"/>
        </w:rPr>
        <w:t xml:space="preserve">Stakeholders also noted it was important to consider costs associated with additional design features, particularly those </w:t>
      </w:r>
      <w:r w:rsidR="00185255">
        <w:rPr>
          <w:lang w:eastAsia="en-AU"/>
        </w:rPr>
        <w:t>that</w:t>
      </w:r>
      <w:r w:rsidRPr="3894847F">
        <w:rPr>
          <w:lang w:eastAsia="en-AU"/>
        </w:rPr>
        <w:t xml:space="preserve"> meet the needs of the priority groups. For example, costs associated with building prayer or faith rooms, spaces for yarning circles, and/or communal areas such as gardens, recreation rooms and rooms for outreach services.</w:t>
      </w:r>
    </w:p>
    <w:p w:rsidR="00C9625A" w:rsidRPr="00C9625A" w:rsidRDefault="3894847F" w:rsidP="40C0725C">
      <w:r w:rsidRPr="3894847F">
        <w:rPr>
          <w:rFonts w:cs="Arial"/>
          <w:lang w:eastAsia="en-AU"/>
        </w:rPr>
        <w:t>The Inclusion Round grant opportunity factors in this feedback. The department has also procured</w:t>
      </w:r>
      <w:r>
        <w:t xml:space="preserve"> </w:t>
      </w:r>
      <w:r w:rsidRPr="3894847F">
        <w:rPr>
          <w:lang w:eastAsia="en-AU"/>
        </w:rPr>
        <w:t>the development of a value for money tool to inform the assessment of value for money, which will consider factors such as local construction/real estate costs, and costs associated with LHA accreditation and additional design features.</w:t>
      </w:r>
    </w:p>
    <w:p w:rsidR="0003363E" w:rsidRPr="0003363E" w:rsidRDefault="00185255" w:rsidP="00A3241B">
      <w:r>
        <w:t xml:space="preserve">The Inclusion Round is a partnership model </w:t>
      </w:r>
      <w:r w:rsidR="00057D93">
        <w:t>emphasising</w:t>
      </w:r>
      <w:r>
        <w:t xml:space="preserve"> co-investment arrangements for the capital works component of projects. However, t</w:t>
      </w:r>
      <w:r w:rsidR="3894847F">
        <w:t>he department also heard</w:t>
      </w:r>
      <w:r>
        <w:t xml:space="preserve"> </w:t>
      </w:r>
      <w:r w:rsidR="3894847F">
        <w:t xml:space="preserve">considering co-contributions from the applicant, private and philanthropic sources, </w:t>
      </w:r>
      <w:r>
        <w:t xml:space="preserve">and </w:t>
      </w:r>
      <w:r w:rsidR="3894847F">
        <w:t>state and/or local governments in assessing the project cost criteria may disadvantage smaller organisations. For example, stakeholders reiterated smaller organisations often face additional resourcing barriers</w:t>
      </w:r>
      <w:r>
        <w:t xml:space="preserve">, and </w:t>
      </w:r>
      <w:r w:rsidR="3894847F">
        <w:t>noted some</w:t>
      </w:r>
      <w:r w:rsidR="3894847F" w:rsidDel="00185255">
        <w:t xml:space="preserve"> </w:t>
      </w:r>
      <w:r w:rsidR="3894847F">
        <w:t>applicants may not be familiar with corporations such as the National Housing Finance and Investment Corporation (NHFIC).</w:t>
      </w:r>
    </w:p>
    <w:p w:rsidR="0003363E" w:rsidRPr="0003363E" w:rsidRDefault="3894847F" w:rsidP="3894847F">
      <w:pPr>
        <w:rPr>
          <w:color w:val="FF0000"/>
          <w:lang w:eastAsia="en-AU"/>
        </w:rPr>
      </w:pPr>
      <w:r>
        <w:t>To address this feedback, the</w:t>
      </w:r>
      <w:r w:rsidR="00185255">
        <w:t xml:space="preserve"> department has developed an</w:t>
      </w:r>
      <w:r>
        <w:t xml:space="preserve"> Application Pack</w:t>
      </w:r>
      <w:r w:rsidR="00185255">
        <w:t>, to be</w:t>
      </w:r>
      <w:r>
        <w:t xml:space="preserve"> released alongside the Inclusion Round</w:t>
      </w:r>
      <w:r w:rsidRPr="3894847F">
        <w:rPr>
          <w:lang w:eastAsia="en-AU"/>
        </w:rPr>
        <w:t xml:space="preserve"> grant opportunity</w:t>
      </w:r>
      <w:r w:rsidR="00185255">
        <w:rPr>
          <w:lang w:eastAsia="en-AU"/>
        </w:rPr>
        <w:t>. This pack provides guidance on other sources of potential funding, including</w:t>
      </w:r>
      <w:r w:rsidRPr="3894847F">
        <w:rPr>
          <w:lang w:eastAsia="en-AU"/>
        </w:rPr>
        <w:t xml:space="preserve"> details on known upcoming funding opportunities across states and territories, as well a</w:t>
      </w:r>
      <w:r w:rsidR="00185255">
        <w:rPr>
          <w:lang w:eastAsia="en-AU"/>
        </w:rPr>
        <w:t>s</w:t>
      </w:r>
      <w:r w:rsidRPr="3894847F">
        <w:rPr>
          <w:lang w:eastAsia="en-AU"/>
        </w:rPr>
        <w:t xml:space="preserve"> how to apply for NHFIC funding.</w:t>
      </w:r>
    </w:p>
    <w:p w:rsidR="00FC48AB" w:rsidRPr="009A1F50" w:rsidRDefault="3894847F" w:rsidP="009B7686">
      <w:pPr>
        <w:pStyle w:val="Heading5"/>
        <w:numPr>
          <w:ilvl w:val="0"/>
          <w:numId w:val="0"/>
        </w:numPr>
        <w:spacing w:before="0" w:after="200"/>
        <w:ind w:left="1009" w:hanging="1009"/>
        <w:rPr>
          <w:b w:val="0"/>
          <w:i w:val="0"/>
          <w:color w:val="E36C0A" w:themeColor="accent6" w:themeShade="BF"/>
          <w:lang w:eastAsia="en-AU"/>
        </w:rPr>
      </w:pPr>
      <w:r w:rsidRPr="009A1F50">
        <w:rPr>
          <w:b w:val="0"/>
          <w:i w:val="0"/>
          <w:color w:val="E36C0A" w:themeColor="accent6" w:themeShade="BF"/>
          <w:lang w:eastAsia="en-AU"/>
        </w:rPr>
        <w:t>Operational funding</w:t>
      </w:r>
    </w:p>
    <w:p w:rsidR="00FC48AB" w:rsidRDefault="3894847F" w:rsidP="00FC48AB">
      <w:r>
        <w:t xml:space="preserve">Some stakeholders have highlighted challenges securing operational funding from private, state or local government sources to support the delivery of services and dwelling maintenance over the 15 year designated use period. </w:t>
      </w:r>
    </w:p>
    <w:p w:rsidR="00FC48AB" w:rsidRDefault="00185255" w:rsidP="00FC48AB">
      <w:r>
        <w:t xml:space="preserve">Issues </w:t>
      </w:r>
      <w:r w:rsidR="3894847F">
        <w:t>include coordinating capital works and operational funding from multiple sources or funding opportunities, which may not align in terms of timing, eligibility criteria and reporting requirements. Stakeholders suggested this creates a barrier for organisations applying for the Inclusion Round grant opportunity, with many smaller organisations unable to fund delivery of FDV services. Some stakeholders also suggested evidence of operational funding over a shorter period, such as 3 to 5 years, is more realistic to align with state service funding models.</w:t>
      </w:r>
    </w:p>
    <w:p w:rsidR="00097657" w:rsidRDefault="00097657">
      <w:r>
        <w:br w:type="page"/>
      </w:r>
    </w:p>
    <w:p w:rsidR="00AD642A" w:rsidRPr="00097657" w:rsidRDefault="3894847F">
      <w:r>
        <w:lastRenderedPageBreak/>
        <w:t xml:space="preserve">The department heard there is a need for greater alignment between Commonwealth and state funding opportunities, and has been working in partnership with state counterparts to increase support for the Inclusion Round and grantees. </w:t>
      </w:r>
      <w:r w:rsidR="009B7686">
        <w:t>This includes establishing</w:t>
      </w:r>
      <w:r>
        <w:t xml:space="preserve"> arrangements for states to provide advice on applications within their jurisdiction</w:t>
      </w:r>
      <w:r w:rsidR="009B7686">
        <w:t xml:space="preserve"> (see </w:t>
      </w:r>
      <w:hyperlink w:anchor="_Ensuring_Inclusion_Round" w:history="1">
        <w:r w:rsidR="009B7686" w:rsidRPr="009A1F50">
          <w:rPr>
            <w:rStyle w:val="Hyperlink"/>
            <w:color w:val="186871" w:themeColor="accent5" w:themeShade="80"/>
          </w:rPr>
          <w:t>Ensuring suitability of specialist services</w:t>
        </w:r>
      </w:hyperlink>
      <w:r w:rsidR="009B7686">
        <w:t>)</w:t>
      </w:r>
      <w:r>
        <w:t>.</w:t>
      </w:r>
      <w:r w:rsidRPr="000659C6">
        <w:t xml:space="preserve"> </w:t>
      </w:r>
    </w:p>
    <w:p w:rsidR="00521F5F" w:rsidRDefault="000659C6" w:rsidP="3894847F">
      <w:pPr>
        <w:rPr>
          <w:rFonts w:cs="Arial"/>
          <w:lang w:val="en-US"/>
        </w:rPr>
      </w:pPr>
      <w:r>
        <w:rPr>
          <w:rFonts w:cs="Arial"/>
          <w:lang w:val="en-US"/>
        </w:rPr>
        <w:t>In addition, t</w:t>
      </w:r>
      <w:r w:rsidR="00521F5F" w:rsidRPr="000659C6">
        <w:rPr>
          <w:rFonts w:cs="Arial"/>
          <w:lang w:val="en-US"/>
        </w:rPr>
        <w:t>he department has been working with N</w:t>
      </w:r>
      <w:r w:rsidRPr="000659C6">
        <w:rPr>
          <w:rFonts w:cs="Arial"/>
          <w:lang w:val="en-US"/>
        </w:rPr>
        <w:t xml:space="preserve">ew </w:t>
      </w:r>
      <w:r w:rsidR="00521F5F" w:rsidRPr="000659C6">
        <w:rPr>
          <w:rFonts w:cs="Arial"/>
          <w:lang w:val="en-US"/>
        </w:rPr>
        <w:t>S</w:t>
      </w:r>
      <w:r w:rsidRPr="000659C6">
        <w:rPr>
          <w:rFonts w:cs="Arial"/>
          <w:lang w:val="en-US"/>
        </w:rPr>
        <w:t xml:space="preserve">outh </w:t>
      </w:r>
      <w:r w:rsidR="00521F5F" w:rsidRPr="000659C6">
        <w:rPr>
          <w:rFonts w:cs="Arial"/>
          <w:lang w:val="en-US"/>
        </w:rPr>
        <w:t>W</w:t>
      </w:r>
      <w:r w:rsidRPr="000659C6">
        <w:rPr>
          <w:rFonts w:cs="Arial"/>
          <w:lang w:val="en-US"/>
        </w:rPr>
        <w:t>ales</w:t>
      </w:r>
      <w:r w:rsidR="00521F5F" w:rsidRPr="000659C6">
        <w:rPr>
          <w:rFonts w:cs="Arial"/>
          <w:lang w:val="en-US"/>
        </w:rPr>
        <w:t xml:space="preserve"> state departments to align arrangements for both the Core and Cluster Tranche 3 Procurement and Safe Places Inclusion Round grant opportunity. Applicants who are invited to apply for the Request For Tender for Core and Cluster may also choose to apply for capital funding as part of the Safe Places Inclusion Round. If successful, applicants could receive capital funding from the Commonwealth Safe Places Inclusion Round and service delivery funding from the Core and Cluster Tranche 3 funding round. </w:t>
      </w:r>
    </w:p>
    <w:p w:rsidR="000D58C5" w:rsidRPr="000D58C5" w:rsidRDefault="000D58C5" w:rsidP="000D58C5">
      <w:r w:rsidRPr="000D58C5">
        <w:t>Under the National Plan, the Government is also providing $159.0 million over 2 years from 2023-24 for the National Partnership on Family, Domestic and Sexual Violence Responses (FDSV National Partnership) with states to support frontline family, domestic and sexual violence services.</w:t>
      </w:r>
    </w:p>
    <w:p w:rsidR="000D58C5" w:rsidRPr="000D58C5" w:rsidRDefault="000D58C5" w:rsidP="000D58C5">
      <w:r w:rsidRPr="000D58C5">
        <w:t>This investment builds on the builds on the $270.7 million provided over 2-years from 2021</w:t>
      </w:r>
      <w:r w:rsidRPr="000D58C5">
        <w:noBreakHyphen/>
        <w:t xml:space="preserve">22 under the FDSV National Partnership and the $169.4 million committed in the October 2022-23 Budget to generate 500 new jobs for community organisations nationally, by funding frontline service and community sector workers to support those experiencing family, domestic and sexual violence. </w:t>
      </w:r>
    </w:p>
    <w:p w:rsidR="00FC48AB" w:rsidRPr="000D58C5" w:rsidRDefault="000D58C5" w:rsidP="000D58C5">
      <w:r w:rsidRPr="000D58C5">
        <w:t xml:space="preserve">Allocation of this funding to specific services, including Safe Places, would be a matter for state and territory governments. </w:t>
      </w:r>
    </w:p>
    <w:p w:rsidR="00F313F0" w:rsidRPr="00AD5C3B" w:rsidRDefault="3894847F" w:rsidP="3894847F">
      <w:pPr>
        <w:pStyle w:val="Heading4"/>
        <w:numPr>
          <w:ilvl w:val="3"/>
          <w:numId w:val="0"/>
        </w:numPr>
        <w:ind w:left="864" w:hanging="864"/>
        <w:rPr>
          <w:i w:val="0"/>
          <w:color w:val="4A2A7A" w:themeColor="accent4"/>
          <w:lang w:eastAsia="en-AU"/>
        </w:rPr>
      </w:pPr>
      <w:r w:rsidRPr="00AD5C3B">
        <w:rPr>
          <w:i w:val="0"/>
          <w:color w:val="4A2A7A" w:themeColor="accent4"/>
          <w:lang w:eastAsia="en-AU"/>
        </w:rPr>
        <w:t>Criterion 4: Capacity and capability to deliver the accommodation</w:t>
      </w:r>
    </w:p>
    <w:p w:rsidR="00F313F0" w:rsidRDefault="3894847F" w:rsidP="3894847F">
      <w:pPr>
        <w:rPr>
          <w:lang w:eastAsia="en-AU"/>
        </w:rPr>
      </w:pPr>
      <w:r w:rsidRPr="3894847F">
        <w:rPr>
          <w:lang w:eastAsia="en-AU"/>
        </w:rPr>
        <w:t xml:space="preserve">Stakeholders were broadly supportive of proposed </w:t>
      </w:r>
      <w:r w:rsidR="00AD5C3B">
        <w:rPr>
          <w:iCs/>
          <w:lang w:eastAsia="en-AU"/>
        </w:rPr>
        <w:t>c</w:t>
      </w:r>
      <w:r w:rsidRPr="00AD5C3B">
        <w:rPr>
          <w:iCs/>
          <w:lang w:eastAsia="en-AU"/>
        </w:rPr>
        <w:t xml:space="preserve">riterion 4: </w:t>
      </w:r>
      <w:r w:rsidR="00AD5C3B">
        <w:rPr>
          <w:iCs/>
          <w:lang w:eastAsia="en-AU"/>
        </w:rPr>
        <w:t>c</w:t>
      </w:r>
      <w:r w:rsidRPr="00AD5C3B">
        <w:rPr>
          <w:iCs/>
          <w:lang w:eastAsia="en-AU"/>
        </w:rPr>
        <w:t>apacity and capability to deliver the accommodation</w:t>
      </w:r>
      <w:r w:rsidRPr="00AD5C3B">
        <w:rPr>
          <w:lang w:eastAsia="en-AU"/>
        </w:rPr>
        <w:t xml:space="preserve">. </w:t>
      </w:r>
      <w:r w:rsidR="00057D93" w:rsidRPr="00AD5C3B">
        <w:rPr>
          <w:lang w:eastAsia="en-AU"/>
        </w:rPr>
        <w:t>Stakeholders</w:t>
      </w:r>
      <w:r w:rsidRPr="00AD5C3B">
        <w:rPr>
          <w:lang w:eastAsia="en-AU"/>
        </w:rPr>
        <w:t xml:space="preserve"> emphasised</w:t>
      </w:r>
      <w:r w:rsidRPr="3894847F">
        <w:rPr>
          <w:lang w:eastAsia="en-AU"/>
        </w:rPr>
        <w:t xml:space="preserve"> the importance of applicants demonstrating experience delivering similar projects or a partnership with an organisation who has this expertise.</w:t>
      </w:r>
    </w:p>
    <w:p w:rsidR="00F313F0" w:rsidRDefault="3894847F" w:rsidP="3894847F">
      <w:pPr>
        <w:rPr>
          <w:lang w:eastAsia="en-AU"/>
        </w:rPr>
      </w:pPr>
      <w:r w:rsidRPr="3894847F">
        <w:rPr>
          <w:lang w:eastAsia="en-AU"/>
        </w:rPr>
        <w:t xml:space="preserve">Stakeholders agreed with the proposal for high quality applications to demonstrate </w:t>
      </w:r>
      <w:r w:rsidR="00C306EE">
        <w:rPr>
          <w:lang w:eastAsia="en-AU"/>
        </w:rPr>
        <w:t xml:space="preserve">ongoing </w:t>
      </w:r>
      <w:r w:rsidRPr="3894847F">
        <w:rPr>
          <w:lang w:eastAsia="en-AU"/>
        </w:rPr>
        <w:t xml:space="preserve">housing pathways, length of stay policies and experience in tenancy and asset management. In particular, </w:t>
      </w:r>
      <w:r w:rsidR="00057D93">
        <w:rPr>
          <w:lang w:eastAsia="en-AU"/>
        </w:rPr>
        <w:t>stakeholders</w:t>
      </w:r>
      <w:r w:rsidRPr="3894847F">
        <w:rPr>
          <w:lang w:eastAsia="en-AU"/>
        </w:rPr>
        <w:t xml:space="preserve"> highlighted the importance of expertise in assisting clients to secure safe, suitable and stable longer-term accommodation, including transitional accommodation, social housing or the private market. </w:t>
      </w:r>
    </w:p>
    <w:p w:rsidR="00F313F0" w:rsidRDefault="3894847F" w:rsidP="3894847F">
      <w:pPr>
        <w:rPr>
          <w:lang w:eastAsia="en-AU"/>
        </w:rPr>
      </w:pPr>
      <w:r w:rsidRPr="3894847F">
        <w:rPr>
          <w:lang w:eastAsia="en-AU"/>
        </w:rPr>
        <w:t>Some stakeholders suggested high quality applications would demonstrate specific experience and expertise providing tenancy management services to women and children experiencing FDV, as well as any groups the applicant is proposing to target. Some also suggested the lead applicant should be a Community Housing Provider, or at a minimum, demonstrate a partnership with a Community Housing Provider to support exit pathways.</w:t>
      </w:r>
    </w:p>
    <w:p w:rsidR="00F313F0" w:rsidRPr="00EF2DDD" w:rsidRDefault="00EF2DDD" w:rsidP="00CD726B">
      <w:pPr>
        <w:pStyle w:val="Heading3"/>
        <w:numPr>
          <w:ilvl w:val="0"/>
          <w:numId w:val="0"/>
        </w:numPr>
        <w:ind w:left="720" w:hanging="720"/>
        <w:rPr>
          <w:lang w:eastAsia="en-AU"/>
        </w:rPr>
      </w:pPr>
      <w:bookmarkStart w:id="66" w:name="_Consultation_with_local"/>
      <w:bookmarkStart w:id="67" w:name="_2.5.3_Consultation_with"/>
      <w:bookmarkEnd w:id="66"/>
      <w:bookmarkEnd w:id="67"/>
      <w:r w:rsidRPr="00EF2DDD">
        <w:rPr>
          <w:lang w:eastAsia="en-AU"/>
        </w:rPr>
        <w:t xml:space="preserve">2.5.3 </w:t>
      </w:r>
      <w:r w:rsidR="3BE4FEF3" w:rsidRPr="00EF2DDD">
        <w:rPr>
          <w:lang w:eastAsia="en-AU"/>
        </w:rPr>
        <w:t>Consultation with local community and priority groups</w:t>
      </w:r>
    </w:p>
    <w:p w:rsidR="00AD642A" w:rsidRDefault="3894847F">
      <w:r>
        <w:t xml:space="preserve">Stakeholders suggested amending the assessment criteria to reflect the importance of applicants demonstrating genuine, meaningful and ongoing engagement with local communities in developing proposals. This includes engagement with First Nations, CALD </w:t>
      </w:r>
      <w:r>
        <w:lastRenderedPageBreak/>
        <w:t xml:space="preserve">and disability communities. The importance of engaging with people with lived experience of FDV was also emphasised, particularly those who have experiences with emergency accommodation. </w:t>
      </w:r>
    </w:p>
    <w:p w:rsidR="00F313F0" w:rsidRDefault="3894847F" w:rsidP="00F313F0">
      <w:r>
        <w:t>Stakeholders highlighted the importance of community engagement to understand and meet the specific needs of women and children, and ensure the design of emergency accommodation is appropriate for the local area, culturally safe, accessible and trauma informed.</w:t>
      </w:r>
      <w:r w:rsidR="00C306EE">
        <w:t xml:space="preserve"> </w:t>
      </w:r>
      <w:r>
        <w:t xml:space="preserve">The department heard good community engagement should include discussing the proposed design and location of the new emergency accommodation, as well as plans for ongoing consultation throughout the project. This may include ensuring the </w:t>
      </w:r>
      <w:r w:rsidR="00513F83">
        <w:t>project is</w:t>
      </w:r>
      <w:r>
        <w:t xml:space="preserve"> not </w:t>
      </w:r>
      <w:r w:rsidR="00513F83">
        <w:t>developed</w:t>
      </w:r>
      <w:r w:rsidR="00801DF9">
        <w:t xml:space="preserve"> and/or delivered</w:t>
      </w:r>
      <w:r w:rsidR="00513F83">
        <w:t xml:space="preserve"> in a location of cultural</w:t>
      </w:r>
      <w:r>
        <w:t xml:space="preserve"> importan</w:t>
      </w:r>
      <w:r w:rsidR="00513F83">
        <w:t>ce</w:t>
      </w:r>
      <w:r>
        <w:t>, and co-designing the emergency accommodation so it is culturally sensitive and accessible, and supports recovery and healing.</w:t>
      </w:r>
    </w:p>
    <w:p w:rsidR="00F313F0" w:rsidRDefault="3894847F" w:rsidP="00F313F0">
      <w:r>
        <w:t xml:space="preserve">Suggestions on how applicants could </w:t>
      </w:r>
      <w:r w:rsidR="008A13B1">
        <w:t>demonstrat</w:t>
      </w:r>
      <w:r w:rsidR="40C0725C">
        <w:t>e</w:t>
      </w:r>
      <w:r>
        <w:t xml:space="preserve"> community engagement included a community strategy document, support from local organisations, including Aboriginal medical or legal services who work with and know communities clients may come from, and local advisory groups and committees. However, some stakeholders also acknowledged it is important to have realistic expectations on community engagement, noting it can be difficult to build deep and trusting connections with sensitive communities.</w:t>
      </w:r>
    </w:p>
    <w:p w:rsidR="001D0D5F" w:rsidRPr="000060CD" w:rsidRDefault="3894847F">
      <w:r>
        <w:t xml:space="preserve">This feedback has been incorporated into </w:t>
      </w:r>
      <w:r w:rsidR="000A6FB4">
        <w:t xml:space="preserve">the process of designing application requirements for </w:t>
      </w:r>
      <w:r>
        <w:t>the Inclusion Round grant opportunity</w:t>
      </w:r>
      <w:r w:rsidR="000A6FB4">
        <w:t>. High quality</w:t>
      </w:r>
      <w:r>
        <w:t xml:space="preserve"> responses</w:t>
      </w:r>
      <w:r w:rsidDel="000A6FB4">
        <w:t xml:space="preserve"> </w:t>
      </w:r>
      <w:r w:rsidR="000A6FB4">
        <w:t xml:space="preserve">will demonstrate </w:t>
      </w:r>
      <w:r>
        <w:t xml:space="preserve">how applicants have embedded the needs and perspectives of women and children with lived experience and </w:t>
      </w:r>
      <w:r w:rsidR="000A6FB4">
        <w:t xml:space="preserve">engagement with </w:t>
      </w:r>
      <w:r>
        <w:t xml:space="preserve">local communities into the design and location of the emergency accommodation. </w:t>
      </w:r>
      <w:r w:rsidR="000A6FB4">
        <w:t xml:space="preserve">Applicants are also encouraged to give details of their ongoing relationships with local communities through </w:t>
      </w:r>
      <w:r w:rsidR="004D4EAB">
        <w:t>the</w:t>
      </w:r>
      <w:r w:rsidR="000A6FB4">
        <w:t xml:space="preserve"> Community Engagement Plan developed by the department. This is a</w:t>
      </w:r>
      <w:r w:rsidR="004D4EAB">
        <w:t xml:space="preserve">n optional </w:t>
      </w:r>
      <w:r w:rsidR="000A6FB4">
        <w:t>template that forms part of the Application Pack, though applicants should also aim to demonstrate community engagement in other parts of their application where relevant.</w:t>
      </w:r>
      <w:bookmarkStart w:id="68" w:name="_Toc142492561"/>
      <w:bookmarkStart w:id="69" w:name="_Toc142557363"/>
    </w:p>
    <w:p w:rsidR="00F60BA0" w:rsidRPr="00AD5C3B" w:rsidRDefault="3BE4FEF3" w:rsidP="00CD726B">
      <w:pPr>
        <w:pStyle w:val="Heading2"/>
        <w:rPr>
          <w:lang w:eastAsia="en-AU"/>
        </w:rPr>
      </w:pPr>
      <w:bookmarkStart w:id="70" w:name="_Toc146118041"/>
      <w:r w:rsidRPr="00AD5C3B">
        <w:rPr>
          <w:lang w:eastAsia="en-AU"/>
        </w:rPr>
        <w:t xml:space="preserve">Support </w:t>
      </w:r>
      <w:r w:rsidRPr="00CD726B">
        <w:t>for</w:t>
      </w:r>
      <w:r w:rsidRPr="00AD5C3B">
        <w:rPr>
          <w:lang w:eastAsia="en-AU"/>
        </w:rPr>
        <w:t xml:space="preserve"> applicants</w:t>
      </w:r>
      <w:bookmarkEnd w:id="68"/>
      <w:bookmarkEnd w:id="69"/>
      <w:bookmarkEnd w:id="70"/>
    </w:p>
    <w:p w:rsidR="00B07E67" w:rsidRDefault="3894847F" w:rsidP="00AE6121">
      <w:r>
        <w:t>As part of the Inclusion Round consultation, the department invited feedback on the best ways to support applicants to develop quality proposals, particularly smaller organisations.</w:t>
      </w:r>
    </w:p>
    <w:p w:rsidR="00B07E67" w:rsidRDefault="3894847F" w:rsidP="00AE6121">
      <w:r>
        <w:t>Proposals put forward by the department as part of consultation included:</w:t>
      </w:r>
    </w:p>
    <w:p w:rsidR="00B07E67" w:rsidRDefault="3894847F" w:rsidP="000B0AEF">
      <w:pPr>
        <w:pStyle w:val="ListParagraph"/>
        <w:numPr>
          <w:ilvl w:val="0"/>
          <w:numId w:val="12"/>
        </w:numPr>
      </w:pPr>
      <w:r>
        <w:t>A development period of up to 6 months for organisations with viable proposals who may require additional time to develop a high-quality and competitive application. The proposed awarding of development periods was subject to funding availability following the assessment of fully developed grant proposals.</w:t>
      </w:r>
    </w:p>
    <w:p w:rsidR="00B07E67" w:rsidRDefault="3894847F" w:rsidP="000B0AEF">
      <w:pPr>
        <w:pStyle w:val="ListParagraph"/>
        <w:numPr>
          <w:ilvl w:val="0"/>
          <w:numId w:val="12"/>
        </w:numPr>
      </w:pPr>
      <w:r>
        <w:t>Releasing factsheets detailing priority locations to assist applicants to determine locations with high-unmet demand for emergency accommodation, with the ability for applicants to supplement this data with any additional data they may have.</w:t>
      </w:r>
    </w:p>
    <w:p w:rsidR="00B07E67" w:rsidRDefault="3894847F" w:rsidP="000B0AEF">
      <w:pPr>
        <w:pStyle w:val="ListParagraph"/>
        <w:numPr>
          <w:ilvl w:val="0"/>
          <w:numId w:val="12"/>
        </w:numPr>
      </w:pPr>
      <w:r>
        <w:t xml:space="preserve">Publishing a Forecast Opportunity </w:t>
      </w:r>
      <w:r w:rsidR="00F23EF7">
        <w:t xml:space="preserve">on </w:t>
      </w:r>
      <w:hyperlink r:id="rId22" w:history="1">
        <w:r w:rsidR="00F23EF7" w:rsidRPr="009A1F50">
          <w:rPr>
            <w:rStyle w:val="Hyperlink"/>
            <w:color w:val="186871" w:themeColor="accent5" w:themeShade="80"/>
          </w:rPr>
          <w:t>GrantConnect</w:t>
        </w:r>
      </w:hyperlink>
      <w:r w:rsidRPr="00F23EF7">
        <w:rPr>
          <w:color w:val="239CA9" w:themeColor="accent5" w:themeShade="BF"/>
        </w:rPr>
        <w:t xml:space="preserve"> </w:t>
      </w:r>
      <w:r>
        <w:t>advertising the estimated opening date</w:t>
      </w:r>
      <w:r w:rsidR="0085083D">
        <w:t xml:space="preserve"> so applicants have sufficient time to prepare in advance</w:t>
      </w:r>
      <w:r>
        <w:t>.</w:t>
      </w:r>
    </w:p>
    <w:p w:rsidR="00B07E67" w:rsidRDefault="3894847F" w:rsidP="000B0AEF">
      <w:pPr>
        <w:pStyle w:val="ListParagraph"/>
        <w:numPr>
          <w:ilvl w:val="0"/>
          <w:numId w:val="12"/>
        </w:numPr>
      </w:pPr>
      <w:r>
        <w:t>Holding information sessions ahead of the opening of the Inclusion Round grant opportunity to provide prospective applicants the opportunity to ask questions.</w:t>
      </w:r>
    </w:p>
    <w:p w:rsidR="00AD642A" w:rsidRDefault="3894847F" w:rsidP="00097657">
      <w:pPr>
        <w:pStyle w:val="ListParagraph"/>
        <w:numPr>
          <w:ilvl w:val="0"/>
          <w:numId w:val="12"/>
        </w:numPr>
      </w:pPr>
      <w:r>
        <w:lastRenderedPageBreak/>
        <w:t xml:space="preserve">Publishing an </w:t>
      </w:r>
      <w:r w:rsidR="0085083D">
        <w:t>A</w:t>
      </w:r>
      <w:r>
        <w:t xml:space="preserve">pplication </w:t>
      </w:r>
      <w:r w:rsidR="0085083D">
        <w:t>P</w:t>
      </w:r>
      <w:r>
        <w:t xml:space="preserve">ack, including </w:t>
      </w:r>
      <w:r w:rsidR="0085083D">
        <w:t>guidance documents</w:t>
      </w:r>
      <w:r>
        <w:t xml:space="preserve">, a checklist of mandatory and </w:t>
      </w:r>
      <w:r w:rsidR="00D77148">
        <w:t>desirable</w:t>
      </w:r>
      <w:r w:rsidR="00991EAA">
        <w:t xml:space="preserve"> attachments</w:t>
      </w:r>
      <w:r>
        <w:t xml:space="preserve"> for assessment purposes</w:t>
      </w:r>
      <w:r w:rsidR="0085083D">
        <w:t>,</w:t>
      </w:r>
      <w:r>
        <w:t xml:space="preserve"> and templates.</w:t>
      </w:r>
    </w:p>
    <w:p w:rsidR="00711B23" w:rsidRPr="0059289C" w:rsidRDefault="3894847F" w:rsidP="00711B23">
      <w:r>
        <w:t xml:space="preserve">During consultation, stakeholders acknowledged there are barriers for smaller organisations applying for grants, including ethnic and multicultural community organisations and ACCOs. </w:t>
      </w:r>
      <w:r w:rsidR="00057D93">
        <w:t>Stakeholders</w:t>
      </w:r>
      <w:r>
        <w:t xml:space="preserve"> agreed </w:t>
      </w:r>
      <w:r w:rsidR="00057D93">
        <w:t>t</w:t>
      </w:r>
      <w:r>
        <w:t xml:space="preserve">he importance of supporting and building the capacity and capability of smaller organisations. </w:t>
      </w:r>
      <w:r w:rsidR="00057D93">
        <w:t>Stakeholders</w:t>
      </w:r>
      <w:r>
        <w:t xml:space="preserve"> also emphasised the suitability of smaller organisations to deliver appropriate emergency accommodation, particularly specialist community organisations with expertise relating to the priority groups.</w:t>
      </w:r>
    </w:p>
    <w:p w:rsidR="00F12862" w:rsidRPr="00AD5C3B" w:rsidRDefault="3BE4FEF3" w:rsidP="00CD726B">
      <w:pPr>
        <w:pStyle w:val="Heading3"/>
        <w:rPr>
          <w:i/>
          <w:iCs/>
          <w:lang w:eastAsia="en-AU"/>
        </w:rPr>
      </w:pPr>
      <w:bookmarkStart w:id="71" w:name="_Toc142492562"/>
      <w:bookmarkStart w:id="72" w:name="_Toc142557364"/>
      <w:bookmarkStart w:id="73" w:name="_Toc146118042"/>
      <w:r w:rsidRPr="00CD726B">
        <w:t>Development</w:t>
      </w:r>
      <w:r w:rsidRPr="00AD5C3B">
        <w:rPr>
          <w:lang w:eastAsia="en-AU"/>
        </w:rPr>
        <w:t xml:space="preserve"> period</w:t>
      </w:r>
      <w:bookmarkEnd w:id="71"/>
      <w:bookmarkEnd w:id="72"/>
      <w:bookmarkEnd w:id="73"/>
    </w:p>
    <w:p w:rsidR="006C3E82" w:rsidRDefault="008F1BB9" w:rsidP="006A0F68">
      <w:r>
        <w:t xml:space="preserve">Stakeholders </w:t>
      </w:r>
      <w:r w:rsidRPr="0097515E">
        <w:t xml:space="preserve">were supportive of </w:t>
      </w:r>
      <w:r w:rsidR="00B07E67">
        <w:t xml:space="preserve">the </w:t>
      </w:r>
      <w:r w:rsidR="0085083D">
        <w:t>proposal to award</w:t>
      </w:r>
      <w:r w:rsidR="0085083D" w:rsidRPr="0097515E">
        <w:t xml:space="preserve"> </w:t>
      </w:r>
      <w:r w:rsidRPr="0097515E">
        <w:t>development period</w:t>
      </w:r>
      <w:r w:rsidR="0085083D">
        <w:t>s</w:t>
      </w:r>
      <w:r w:rsidRPr="0097515E">
        <w:t>,</w:t>
      </w:r>
      <w:r w:rsidR="0060542F" w:rsidRPr="0097515E">
        <w:t xml:space="preserve"> noting </w:t>
      </w:r>
      <w:r w:rsidR="0097515E">
        <w:t>preparing</w:t>
      </w:r>
      <w:r w:rsidR="00214DC3">
        <w:t xml:space="preserve"> a high</w:t>
      </w:r>
      <w:r w:rsidR="00B07E67">
        <w:noBreakHyphen/>
      </w:r>
      <w:r w:rsidR="0060542F" w:rsidRPr="0097515E">
        <w:t>quality c</w:t>
      </w:r>
      <w:r w:rsidR="0097515E">
        <w:t xml:space="preserve">ompetitive grant application can be </w:t>
      </w:r>
      <w:r w:rsidR="0060542F" w:rsidRPr="0097515E">
        <w:t xml:space="preserve">a significant </w:t>
      </w:r>
      <w:r w:rsidR="0085083D">
        <w:t>piece</w:t>
      </w:r>
      <w:r w:rsidR="0085083D" w:rsidRPr="0097515E">
        <w:t xml:space="preserve"> </w:t>
      </w:r>
      <w:r w:rsidR="0060542F" w:rsidRPr="0097515E">
        <w:t>of work, particularl</w:t>
      </w:r>
      <w:r w:rsidR="0097515E" w:rsidRPr="0097515E">
        <w:t>y for smaller organisations</w:t>
      </w:r>
      <w:r w:rsidR="0060542F" w:rsidRPr="0097515E">
        <w:t>.</w:t>
      </w:r>
      <w:r w:rsidR="0059289C">
        <w:t xml:space="preserve"> Stakeholders agreed some organisations might need longer than the 2-month submission period to strengthen their proposal, including </w:t>
      </w:r>
      <w:r w:rsidR="00B23CB3">
        <w:t>obtaining</w:t>
      </w:r>
      <w:r w:rsidR="0059289C">
        <w:t xml:space="preserve"> local Council approval and </w:t>
      </w:r>
      <w:r w:rsidR="00B23CB3">
        <w:t xml:space="preserve">undertaking </w:t>
      </w:r>
      <w:r w:rsidR="0059289C">
        <w:t>further planning and consultation</w:t>
      </w:r>
      <w:r w:rsidR="00B23CB3">
        <w:t xml:space="preserve"> to develop a high quality application</w:t>
      </w:r>
      <w:r w:rsidR="0085083D">
        <w:t>, compounded by difficulties in obtaining land in a competitive market</w:t>
      </w:r>
      <w:r w:rsidR="0059289C">
        <w:t>.</w:t>
      </w:r>
      <w:r w:rsidR="006C3E82">
        <w:t xml:space="preserve"> </w:t>
      </w:r>
    </w:p>
    <w:p w:rsidR="006A0F68" w:rsidRDefault="3894847F" w:rsidP="006A0F68">
      <w:r>
        <w:t xml:space="preserve">Some stakeholders considered a development period of up to 6 months would be sufficient, </w:t>
      </w:r>
      <w:r w:rsidR="0085083D">
        <w:t xml:space="preserve">particularly for applicants </w:t>
      </w:r>
      <w:r>
        <w:t>with existing partnership</w:t>
      </w:r>
      <w:r w:rsidR="0085083D">
        <w:t>s with</w:t>
      </w:r>
      <w:r>
        <w:t xml:space="preserve"> community housing organisations and specialist FDV services. Others suggested a longer development period of up to 12 months would be more realistic for smaller organisations. </w:t>
      </w:r>
    </w:p>
    <w:p w:rsidR="00493ECB" w:rsidRDefault="0085083D" w:rsidP="0059289C">
      <w:r>
        <w:t xml:space="preserve">While stakeholders noted the importance of the grant opportunity providing pathways to support projects ready to commence </w:t>
      </w:r>
      <w:r w:rsidR="00A21756">
        <w:t>as soon as possible</w:t>
      </w:r>
      <w:r>
        <w:t xml:space="preserve">, it was also seen as important to support projects from organisations requiring more time to develop competitive proposals. </w:t>
      </w:r>
      <w:r w:rsidR="3894847F">
        <w:t>Stakeholders encouraged removing the requirement for development periods to be subject to funding availability following the awarding of fully developed grant proposals. It was noted this may deter organisations with otherwise viable proposals from applying, particularly smaller organisations, as there is no guarantee funding will be available following the awarding of fully developed proposals. As an alternative, stakeholders suggested allocating a portion of funding specifically for development period recipients.</w:t>
      </w:r>
    </w:p>
    <w:p w:rsidR="003E3196" w:rsidRDefault="3894847F" w:rsidP="006A0F68">
      <w:r>
        <w:t xml:space="preserve">The department acknowledges some applicants might require more time than offered by the Inclusion Round grant opportunity to prepare high-quality capital works proposals and secure development approval. To achieve an overall mix of grants that meets the objectives of the Inclusion Round grant opportunity effectively, the decision maker may invite applicants with provisionally suitable applications </w:t>
      </w:r>
      <w:r w:rsidR="006261A8">
        <w:t>requiring</w:t>
      </w:r>
      <w:r>
        <w:t xml:space="preserve"> further development to future grant opportunities that are restricted, targeted or ad hoc. </w:t>
      </w:r>
    </w:p>
    <w:p w:rsidR="005F2625" w:rsidRDefault="3894847F" w:rsidP="006A0F68">
      <w:r>
        <w:t>Applicants invited to future grant opportunities will have up to 12 months to develop competitive proposals. Invitations to apply for future grant opportunities will not be subject to funding availability following the assessment of fully developed grant proposals, with the decision maker having flexibility to invite applicants with provisionally suitable proposals to apply for future grant opportunities as they see fit.</w:t>
      </w:r>
    </w:p>
    <w:p w:rsidR="00097657" w:rsidRDefault="00097657">
      <w:r>
        <w:br w:type="page"/>
      </w:r>
    </w:p>
    <w:p w:rsidR="005F2625" w:rsidRPr="005F2625" w:rsidRDefault="3894847F" w:rsidP="005F2625">
      <w:r>
        <w:lastRenderedPageBreak/>
        <w:t xml:space="preserve">The decision maker will only invite applicants to future grant opportunities if their applications meet the requirements listed at section 9.2 </w:t>
      </w:r>
      <w:r w:rsidR="00AD5C3B">
        <w:t>‘</w:t>
      </w:r>
      <w:r w:rsidRPr="00AD5C3B">
        <w:rPr>
          <w:iCs/>
        </w:rPr>
        <w:t>Further grant opportunities</w:t>
      </w:r>
      <w:r w:rsidR="00AD5C3B">
        <w:t>’</w:t>
      </w:r>
      <w:r w:rsidRPr="00AD5C3B">
        <w:t xml:space="preserve"> </w:t>
      </w:r>
      <w:r>
        <w:t>of the Inclusion Round Grant Opportunity Guidelines</w:t>
      </w:r>
      <w:r w:rsidR="0085083D">
        <w:t>. These requirements are</w:t>
      </w:r>
      <w:r>
        <w:t>:</w:t>
      </w:r>
    </w:p>
    <w:p w:rsidR="005F2625" w:rsidRDefault="3894847F" w:rsidP="000B0AEF">
      <w:pPr>
        <w:pStyle w:val="ListParagraph"/>
        <w:numPr>
          <w:ilvl w:val="0"/>
          <w:numId w:val="18"/>
        </w:numPr>
      </w:pPr>
      <w:r>
        <w:t>Eligible and compliant for the Inclusion Round grant opportunity</w:t>
      </w:r>
    </w:p>
    <w:p w:rsidR="005F2625" w:rsidRDefault="3894847F" w:rsidP="000B0AEF">
      <w:pPr>
        <w:pStyle w:val="ListParagraph"/>
        <w:numPr>
          <w:ilvl w:val="0"/>
          <w:numId w:val="18"/>
        </w:numPr>
      </w:pPr>
      <w:r>
        <w:t>Meets assessment criteria 1 and 2, and partially meets assessment criteria 3 and 4.</w:t>
      </w:r>
    </w:p>
    <w:p w:rsidR="005F2625" w:rsidRDefault="3894847F" w:rsidP="000B0AEF">
      <w:pPr>
        <w:pStyle w:val="ListParagraph"/>
        <w:numPr>
          <w:ilvl w:val="0"/>
          <w:numId w:val="18"/>
        </w:numPr>
      </w:pPr>
      <w:r>
        <w:t>Meets all minimum requirements for capital works proposals as listed in Table 1 at section 6.1 of the Inclusion Round Grant Opportunity Guidelines</w:t>
      </w:r>
    </w:p>
    <w:p w:rsidR="005F2625" w:rsidRPr="00AD5C3B" w:rsidRDefault="3894847F" w:rsidP="000B0AEF">
      <w:pPr>
        <w:pStyle w:val="ListParagraph"/>
        <w:numPr>
          <w:ilvl w:val="0"/>
          <w:numId w:val="18"/>
        </w:numPr>
      </w:pPr>
      <w:r>
        <w:t>Recommended by the Selection Advisory Panel as provisionally suitable for a grant, subject to further development of the capital works proposal to address areas for improvement.</w:t>
      </w:r>
    </w:p>
    <w:p w:rsidR="00142E5D" w:rsidRPr="00AD5C3B" w:rsidRDefault="3BE4FEF3" w:rsidP="00CD726B">
      <w:pPr>
        <w:pStyle w:val="Heading3"/>
        <w:rPr>
          <w:i/>
          <w:iCs/>
          <w:lang w:eastAsia="en-AU"/>
        </w:rPr>
      </w:pPr>
      <w:bookmarkStart w:id="74" w:name="_Toc142492563"/>
      <w:bookmarkStart w:id="75" w:name="_Toc142557365"/>
      <w:bookmarkStart w:id="76" w:name="_Toc146118043"/>
      <w:r w:rsidRPr="00AD5C3B">
        <w:rPr>
          <w:lang w:eastAsia="en-AU"/>
        </w:rPr>
        <w:t>‘</w:t>
      </w:r>
      <w:r w:rsidRPr="00CD726B">
        <w:t>Expression</w:t>
      </w:r>
      <w:r w:rsidRPr="00AD5C3B">
        <w:rPr>
          <w:lang w:eastAsia="en-AU"/>
        </w:rPr>
        <w:t xml:space="preserve"> of Interest’ process and length of submission period</w:t>
      </w:r>
      <w:bookmarkEnd w:id="74"/>
      <w:bookmarkEnd w:id="75"/>
      <w:bookmarkEnd w:id="76"/>
    </w:p>
    <w:p w:rsidR="00B07E67" w:rsidRDefault="3894847F" w:rsidP="00CA233A">
      <w:r>
        <w:t xml:space="preserve">Some stakeholders noted competitive grants processes discourage organisations from working with each other and create barriers to establishing partnerships. </w:t>
      </w:r>
      <w:r w:rsidR="00735DF2">
        <w:t xml:space="preserve">There were also calls </w:t>
      </w:r>
      <w:r>
        <w:t xml:space="preserve">for the grant opportunity to be open for applications for longer than 2 months to provide additional time to build relationships and develop an application. However, other stakeholders expressed a preference to proceed with the 2-month submission period to allow them to commence projects and start delivering new emergency accommodation as soon as possible. </w:t>
      </w:r>
    </w:p>
    <w:p w:rsidR="00CA233A" w:rsidRPr="00CA233A" w:rsidRDefault="3894847F" w:rsidP="00CA233A">
      <w:r>
        <w:t>One suggestion was delivering the Inclusion Round via a two-stage process that includes:</w:t>
      </w:r>
    </w:p>
    <w:p w:rsidR="00CA233A" w:rsidRDefault="3894847F" w:rsidP="000B0AEF">
      <w:pPr>
        <w:pStyle w:val="ListParagraph"/>
        <w:numPr>
          <w:ilvl w:val="0"/>
          <w:numId w:val="5"/>
        </w:numPr>
        <w:rPr>
          <w:color w:val="FF0000"/>
        </w:rPr>
      </w:pPr>
      <w:r>
        <w:t xml:space="preserve">An Expression of Interest stage, where applicants submit a high level description of their proposal, including proposed location and demand </w:t>
      </w:r>
    </w:p>
    <w:p w:rsidR="00CA233A" w:rsidRPr="00CA233A" w:rsidRDefault="3894847F" w:rsidP="000B0AEF">
      <w:pPr>
        <w:pStyle w:val="ListParagraph"/>
        <w:numPr>
          <w:ilvl w:val="0"/>
          <w:numId w:val="5"/>
        </w:numPr>
      </w:pPr>
      <w:r>
        <w:t>A Request for Tender stage, where applicants submit a finalised competitive application with full designs and approvals.</w:t>
      </w:r>
    </w:p>
    <w:p w:rsidR="00142E5D" w:rsidRDefault="3894847F" w:rsidP="3894847F">
      <w:pPr>
        <w:rPr>
          <w:rStyle w:val="ui-provider"/>
        </w:rPr>
      </w:pPr>
      <w:r w:rsidRPr="3894847F">
        <w:rPr>
          <w:rStyle w:val="ui-provider"/>
        </w:rPr>
        <w:t>The Inclusion Round grant opportunity has maintained the awarding of grants on a competitive basis to maximise the benefits of the $90.9 million available for grants. The</w:t>
      </w:r>
      <w:r w:rsidR="006261A8">
        <w:rPr>
          <w:rStyle w:val="ui-provider"/>
        </w:rPr>
        <w:t> </w:t>
      </w:r>
      <w:r w:rsidRPr="3894847F">
        <w:rPr>
          <w:rStyle w:val="ui-provider"/>
        </w:rPr>
        <w:t>2</w:t>
      </w:r>
      <w:r w:rsidR="006261A8">
        <w:rPr>
          <w:rStyle w:val="ui-provider"/>
        </w:rPr>
        <w:noBreakHyphen/>
      </w:r>
      <w:r w:rsidRPr="3894847F">
        <w:rPr>
          <w:rStyle w:val="ui-provider"/>
        </w:rPr>
        <w:t xml:space="preserve">month submission period has also been retained as a longer submission period would delay the assessment of applications and delivery of emergency accommodation, particularly for those organisations who have projects ready to commence. </w:t>
      </w:r>
    </w:p>
    <w:p w:rsidR="00132554" w:rsidRPr="00091755" w:rsidRDefault="3894847F" w:rsidP="00132554">
      <w:r>
        <w:t>The department considers inviting applicants to apply for future grant opportunities that are restricted, targeted or ad hoc is a suitable option for organisations with a viable proposal who need additional time to fully develop a competitive proposal. This allows fully developed proposals to commence and start delivering new emergency accommodation as soon as possible.</w:t>
      </w:r>
    </w:p>
    <w:p w:rsidR="00AD642A" w:rsidRDefault="3894847F" w:rsidP="3894847F">
      <w:r>
        <w:t xml:space="preserve">To provide organisations with additional time to start preparing an </w:t>
      </w:r>
      <w:r w:rsidRPr="007514BE">
        <w:t xml:space="preserve">application, on </w:t>
      </w:r>
      <w:r w:rsidR="007514BE" w:rsidRPr="007514BE">
        <w:t xml:space="preserve">16 August </w:t>
      </w:r>
      <w:r w:rsidRPr="007514BE">
        <w:t>2023 the department published a Foreca</w:t>
      </w:r>
      <w:r w:rsidR="00AD5C3B">
        <w:t xml:space="preserve">st Opportunity on GrantConnect </w:t>
      </w:r>
      <w:r w:rsidRPr="007514BE">
        <w:t>advertising the estimated opening date. The intent of th</w:t>
      </w:r>
      <w:r>
        <w:t xml:space="preserve">e Forecast Opportunity was to provide organisations with advance notice of the Inclusion Round grant opportunity and additional time to start preparing an application, including helping smaller organisations allocate resources and undertake forward planning. </w:t>
      </w:r>
    </w:p>
    <w:p w:rsidR="00097657" w:rsidRDefault="00097657">
      <w:pPr>
        <w:rPr>
          <w:rFonts w:eastAsiaTheme="majorEastAsia" w:cstheme="majorBidi"/>
          <w:b/>
          <w:bCs/>
          <w:color w:val="186871" w:themeColor="accent5" w:themeShade="80"/>
          <w:lang w:eastAsia="en-AU"/>
        </w:rPr>
      </w:pPr>
      <w:bookmarkStart w:id="77" w:name="_Toc142492564"/>
      <w:bookmarkStart w:id="78" w:name="_Toc142557366"/>
      <w:bookmarkStart w:id="79" w:name="_Toc146118044"/>
      <w:r>
        <w:rPr>
          <w:lang w:eastAsia="en-AU"/>
        </w:rPr>
        <w:br w:type="page"/>
      </w:r>
    </w:p>
    <w:p w:rsidR="00F12862" w:rsidRPr="00AD5C3B" w:rsidRDefault="3BE4FEF3" w:rsidP="00CD726B">
      <w:pPr>
        <w:pStyle w:val="Heading3"/>
        <w:rPr>
          <w:i/>
          <w:iCs/>
          <w:lang w:eastAsia="en-AU"/>
        </w:rPr>
      </w:pPr>
      <w:r w:rsidRPr="00AD5C3B">
        <w:rPr>
          <w:lang w:eastAsia="en-AU"/>
        </w:rPr>
        <w:lastRenderedPageBreak/>
        <w:t xml:space="preserve">Resources for smaller </w:t>
      </w:r>
      <w:r w:rsidRPr="00CD726B">
        <w:t>organisations</w:t>
      </w:r>
      <w:r w:rsidRPr="00AD5C3B">
        <w:rPr>
          <w:lang w:eastAsia="en-AU"/>
        </w:rPr>
        <w:t xml:space="preserve"> to develop proposals</w:t>
      </w:r>
      <w:bookmarkEnd w:id="77"/>
      <w:bookmarkEnd w:id="78"/>
      <w:bookmarkEnd w:id="79"/>
    </w:p>
    <w:p w:rsidR="00B077A2" w:rsidRDefault="3894847F" w:rsidP="3894847F">
      <w:pPr>
        <w:rPr>
          <w:rFonts w:cs="Times New Roman"/>
        </w:rPr>
      </w:pPr>
      <w:r>
        <w:t>Stakeholders also suggested establishing a process to grant smaller organisations seed funding of up to $50,000 on a case</w:t>
      </w:r>
      <w:r w:rsidR="006261A8">
        <w:t>-</w:t>
      </w:r>
      <w:r>
        <w:t>by</w:t>
      </w:r>
      <w:r w:rsidR="006261A8">
        <w:t>-</w:t>
      </w:r>
      <w:r>
        <w:t>case basis. The intent of seed funding would be to assist with capacity building and sector development, as well as support the development of high quality, competitive proposals during the development period.</w:t>
      </w:r>
      <w:r w:rsidRPr="3894847F">
        <w:rPr>
          <w:rFonts w:cs="Times New Roman"/>
        </w:rPr>
        <w:t xml:space="preserve"> </w:t>
      </w:r>
    </w:p>
    <w:p w:rsidR="00C43C60" w:rsidRDefault="3894847F" w:rsidP="3894847F">
      <w:pPr>
        <w:rPr>
          <w:rFonts w:cs="Times New Roman"/>
        </w:rPr>
      </w:pPr>
      <w:r w:rsidRPr="3894847F">
        <w:rPr>
          <w:rFonts w:cs="Times New Roman"/>
        </w:rPr>
        <w:t>Stakeholders considered this would help reduce resourcing challenges, which may limit the ability of smaller organisations to develop a competitive application and absorb upfront costs. This includes costs associated with progressing development approval applications, obtaining a quantity surveyor report or recruiting a dedicated project manager.</w:t>
      </w:r>
    </w:p>
    <w:p w:rsidR="00CA233A" w:rsidRDefault="3894847F" w:rsidP="3894847F">
      <w:pPr>
        <w:rPr>
          <w:rFonts w:cs="Times New Roman"/>
        </w:rPr>
      </w:pPr>
      <w:r w:rsidRPr="3894847F">
        <w:rPr>
          <w:rFonts w:cs="Times New Roman"/>
        </w:rPr>
        <w:t>Stakeholders noted providing resourcing support to smaller organisations would also assist with capacity building and allow recipients to engage professionals who have the expertise to develop a high-quality capital works application. This may include expertise in architectural design, engineering and building codes, and soil and other environmental analysis, as well as preparing council applications and navigating approval processes. Stakeholders also suggested seed funding may provide a pathway for smaller organisations to recruit an experienced grant writer, noting administrative staff often undertake this task.</w:t>
      </w:r>
    </w:p>
    <w:p w:rsidR="00E01D8C" w:rsidRPr="007772C7" w:rsidRDefault="3894847F" w:rsidP="3894847F">
      <w:pPr>
        <w:rPr>
          <w:rStyle w:val="ui-provider"/>
          <w:rFonts w:cs="Times New Roman"/>
        </w:rPr>
      </w:pPr>
      <w:r w:rsidRPr="3894847F">
        <w:rPr>
          <w:rFonts w:cs="Times New Roman"/>
        </w:rPr>
        <w:t>Stakeholders suggested targeting the provision of resourcing support to smaller organisations in genuine need, in particular those with expertise relating to the priority groups. Suggested criteria to determine suitability for resourcing support included community connectedness and a history of service delivery in the community.</w:t>
      </w:r>
    </w:p>
    <w:p w:rsidR="007772C7" w:rsidRPr="00A2604A" w:rsidRDefault="3894847F" w:rsidP="40C0725C">
      <w:r w:rsidRPr="3894847F">
        <w:rPr>
          <w:rFonts w:cs="Arial"/>
          <w:lang w:eastAsia="en-AU"/>
        </w:rPr>
        <w:t>The Inclusion Round grant opportunity factors in this feedback</w:t>
      </w:r>
      <w:r w:rsidRPr="3894847F">
        <w:rPr>
          <w:rFonts w:cs="Times New Roman"/>
        </w:rPr>
        <w:t>, with the decision maker having discretion to invite applicants with provisionally suitable proposals to apply for future grant opportunities. This may include inviting applicants to apply for ad hoc grant opportunities to receive funding of up to $50,000 to support further development of their proposals. The decision maker may then invite these applicants to a restricted or targeted grant opportunity to submit their fully developed applications for full grants.</w:t>
      </w:r>
    </w:p>
    <w:p w:rsidR="00493ECB" w:rsidRPr="00AD5C3B" w:rsidRDefault="3BE4FEF3" w:rsidP="00CD726B">
      <w:pPr>
        <w:pStyle w:val="Heading3"/>
        <w:rPr>
          <w:i/>
          <w:iCs/>
          <w:lang w:eastAsia="en-AU"/>
        </w:rPr>
      </w:pPr>
      <w:bookmarkStart w:id="80" w:name="_Toc142492565"/>
      <w:bookmarkStart w:id="81" w:name="_Toc142557367"/>
      <w:bookmarkStart w:id="82" w:name="_Toc146118045"/>
      <w:r w:rsidRPr="00AD5C3B">
        <w:rPr>
          <w:lang w:eastAsia="en-AU"/>
        </w:rPr>
        <w:t>Apportioning funds to Aboriginal and Torres Strait Islander organisations, particularly ACCOs, in line with Priority Reform Two (Building the community-controlled sector) of the National Agreement on Closing the Gap.</w:t>
      </w:r>
      <w:bookmarkEnd w:id="80"/>
      <w:bookmarkEnd w:id="81"/>
      <w:bookmarkEnd w:id="82"/>
    </w:p>
    <w:p w:rsidR="00563635" w:rsidRPr="001138F8" w:rsidRDefault="3894847F" w:rsidP="00563635">
      <w:r>
        <w:t>Some stakeholders also recommended quarantining a specific amount of funding for ACCOs as part of the Inclusion Round grant opportunity. Stakeholders considered this would support the National Agreement on Closing the Gap and recognise ACCOs are best placed to provide services to their communities.</w:t>
      </w:r>
    </w:p>
    <w:p w:rsidR="00AD642A" w:rsidRDefault="3894847F" w:rsidP="001138F8">
      <w:r>
        <w:t>The Inclusion Round grant opportunity assessment process gives preference to applications led by ACCOs, including those in rural and regional areas, to help build and empower the community controlled sector. This recognises the expertise of ACCOs to provide culturally safe and appropriate emergency accommodation to First Nations women and children.</w:t>
      </w:r>
    </w:p>
    <w:p w:rsidR="00097657" w:rsidRDefault="00097657">
      <w:pPr>
        <w:rPr>
          <w:rFonts w:eastAsiaTheme="majorEastAsia" w:cstheme="majorBidi"/>
          <w:b/>
          <w:bCs/>
          <w:color w:val="186871" w:themeColor="accent5" w:themeShade="80"/>
        </w:rPr>
      </w:pPr>
      <w:bookmarkStart w:id="83" w:name="_Toc142492566"/>
      <w:bookmarkStart w:id="84" w:name="_Toc142557368"/>
      <w:bookmarkStart w:id="85" w:name="_Toc146118046"/>
      <w:r>
        <w:br w:type="page"/>
      </w:r>
    </w:p>
    <w:p w:rsidR="001F2564" w:rsidRPr="00AD5C3B" w:rsidRDefault="3BE4FEF3" w:rsidP="00CD726B">
      <w:pPr>
        <w:pStyle w:val="Heading3"/>
      </w:pPr>
      <w:r w:rsidRPr="00CD726B">
        <w:lastRenderedPageBreak/>
        <w:t>Advice</w:t>
      </w:r>
      <w:r w:rsidR="00067911" w:rsidRPr="00AD5C3B">
        <w:t xml:space="preserve">, </w:t>
      </w:r>
      <w:r w:rsidRPr="00AD5C3B">
        <w:t>templates</w:t>
      </w:r>
      <w:r w:rsidR="00232B05" w:rsidRPr="00AD5C3B">
        <w:t xml:space="preserve"> </w:t>
      </w:r>
      <w:r w:rsidR="00067911" w:rsidRPr="00AD5C3B">
        <w:t xml:space="preserve">and </w:t>
      </w:r>
      <w:r w:rsidRPr="00AD5C3B">
        <w:t>checklists to assist applicants</w:t>
      </w:r>
      <w:bookmarkEnd w:id="83"/>
      <w:bookmarkEnd w:id="84"/>
      <w:bookmarkEnd w:id="85"/>
    </w:p>
    <w:p w:rsidR="001031B3" w:rsidRPr="00D77148" w:rsidRDefault="3894847F">
      <w:pPr>
        <w:rPr>
          <w:rFonts w:eastAsiaTheme="majorEastAsia" w:cstheme="majorBidi"/>
          <w:lang w:eastAsia="en-AU"/>
        </w:rPr>
      </w:pPr>
      <w:r w:rsidRPr="208439D9">
        <w:rPr>
          <w:rFonts w:eastAsiaTheme="majorEastAsia" w:cstheme="majorBidi"/>
          <w:lang w:eastAsia="en-AU"/>
        </w:rPr>
        <w:t xml:space="preserve">The department heard the following </w:t>
      </w:r>
      <w:r w:rsidR="00285242" w:rsidRPr="208439D9">
        <w:rPr>
          <w:rFonts w:eastAsiaTheme="majorEastAsia" w:cstheme="majorBidi"/>
          <w:lang w:eastAsia="en-AU"/>
        </w:rPr>
        <w:t xml:space="preserve">supports provided by the department </w:t>
      </w:r>
      <w:r w:rsidRPr="208439D9">
        <w:rPr>
          <w:rFonts w:eastAsiaTheme="majorEastAsia" w:cstheme="majorBidi"/>
          <w:lang w:eastAsia="en-AU"/>
        </w:rPr>
        <w:t>would assist applicants to develop high quality proposals:</w:t>
      </w:r>
    </w:p>
    <w:p w:rsidR="00536C3F" w:rsidRPr="00D77148" w:rsidRDefault="3894847F">
      <w:pPr>
        <w:pStyle w:val="ListParagraph"/>
        <w:numPr>
          <w:ilvl w:val="0"/>
          <w:numId w:val="6"/>
        </w:numPr>
        <w:rPr>
          <w:rFonts w:eastAsiaTheme="majorEastAsia" w:cstheme="majorBidi"/>
          <w:lang w:eastAsia="en-AU"/>
        </w:rPr>
      </w:pPr>
      <w:r w:rsidRPr="208439D9">
        <w:rPr>
          <w:rFonts w:eastAsiaTheme="majorEastAsia" w:cstheme="majorBidi"/>
          <w:lang w:eastAsia="en-AU"/>
        </w:rPr>
        <w:t>Datasets or statistical information to help applicants provide supporting evidence of unmet demand for emergency accommodation within the proposed location.</w:t>
      </w:r>
    </w:p>
    <w:p w:rsidR="00CA59AB" w:rsidRPr="00D77148" w:rsidRDefault="3894847F">
      <w:pPr>
        <w:pStyle w:val="ListParagraph"/>
        <w:numPr>
          <w:ilvl w:val="0"/>
          <w:numId w:val="6"/>
        </w:numPr>
        <w:rPr>
          <w:rFonts w:eastAsiaTheme="majorEastAsia" w:cstheme="majorBidi"/>
          <w:lang w:eastAsia="en-AU"/>
        </w:rPr>
      </w:pPr>
      <w:r w:rsidRPr="208439D9">
        <w:rPr>
          <w:rFonts w:eastAsiaTheme="majorEastAsia" w:cstheme="majorBidi"/>
          <w:lang w:eastAsia="en-AU"/>
        </w:rPr>
        <w:t>Holding information sessions shortly after the opening of the grant opportunity, rather than ahead of the grant opportunity opening, to allow prospective applicants to review the Grant Opportunity Guidelines and ask more targeted questions.</w:t>
      </w:r>
    </w:p>
    <w:p w:rsidR="00536C3F" w:rsidRPr="00D77148" w:rsidRDefault="3894847F">
      <w:pPr>
        <w:pStyle w:val="ListParagraph"/>
        <w:numPr>
          <w:ilvl w:val="0"/>
          <w:numId w:val="6"/>
        </w:numPr>
        <w:rPr>
          <w:rFonts w:eastAsiaTheme="majorEastAsia" w:cstheme="majorBidi"/>
          <w:lang w:eastAsia="en-AU"/>
        </w:rPr>
      </w:pPr>
      <w:r w:rsidRPr="208439D9">
        <w:rPr>
          <w:rFonts w:eastAsiaTheme="majorEastAsia" w:cstheme="majorBidi"/>
          <w:lang w:eastAsia="en-AU"/>
        </w:rPr>
        <w:t>Providing information in an accessible manner, including Easy Read versions and formats that are compatible with screen readers.</w:t>
      </w:r>
    </w:p>
    <w:p w:rsidR="00982066" w:rsidRPr="00D77148" w:rsidRDefault="3894847F">
      <w:pPr>
        <w:pStyle w:val="ListParagraph"/>
        <w:numPr>
          <w:ilvl w:val="0"/>
          <w:numId w:val="6"/>
        </w:numPr>
        <w:rPr>
          <w:rFonts w:eastAsiaTheme="majorEastAsia" w:cstheme="majorBidi"/>
          <w:lang w:eastAsia="en-AU"/>
        </w:rPr>
      </w:pPr>
      <w:r w:rsidRPr="208439D9">
        <w:rPr>
          <w:rFonts w:eastAsiaTheme="majorEastAsia" w:cstheme="majorBidi"/>
          <w:lang w:eastAsia="en-AU"/>
        </w:rPr>
        <w:t>Having dedicated staff available to provide information, guidance and feedback to prospective applicants without in-house capital works or grant writing expertise.</w:t>
      </w:r>
    </w:p>
    <w:p w:rsidR="00706CA2" w:rsidRPr="00D77148" w:rsidRDefault="3894847F">
      <w:pPr>
        <w:pStyle w:val="ListParagraph"/>
        <w:numPr>
          <w:ilvl w:val="0"/>
          <w:numId w:val="6"/>
        </w:numPr>
        <w:rPr>
          <w:rFonts w:eastAsiaTheme="majorEastAsia" w:cstheme="majorBidi"/>
          <w:lang w:eastAsia="en-AU"/>
        </w:rPr>
      </w:pPr>
      <w:r w:rsidRPr="208439D9">
        <w:rPr>
          <w:rFonts w:eastAsiaTheme="majorEastAsia" w:cstheme="majorBidi"/>
          <w:lang w:eastAsia="en-AU"/>
        </w:rPr>
        <w:t>Providing templates for financial information required to be submitted as part of an application, including budgets.</w:t>
      </w:r>
    </w:p>
    <w:p w:rsidR="00706CA2" w:rsidRPr="00D77148" w:rsidRDefault="3894847F">
      <w:pPr>
        <w:pStyle w:val="ListParagraph"/>
        <w:numPr>
          <w:ilvl w:val="0"/>
          <w:numId w:val="6"/>
        </w:numPr>
        <w:rPr>
          <w:rFonts w:eastAsiaTheme="majorEastAsia" w:cstheme="majorBidi"/>
          <w:lang w:eastAsia="en-AU"/>
        </w:rPr>
      </w:pPr>
      <w:r w:rsidRPr="208439D9">
        <w:rPr>
          <w:rFonts w:eastAsiaTheme="majorEastAsia" w:cstheme="majorBidi"/>
          <w:lang w:eastAsia="en-AU"/>
        </w:rPr>
        <w:t>Providing completed examples of templates that applicants are required to complete.</w:t>
      </w:r>
    </w:p>
    <w:p w:rsidR="00B50309" w:rsidRPr="00D77148" w:rsidRDefault="3894847F">
      <w:pPr>
        <w:pStyle w:val="ListParagraph"/>
        <w:numPr>
          <w:ilvl w:val="0"/>
          <w:numId w:val="6"/>
        </w:numPr>
        <w:rPr>
          <w:rFonts w:eastAsiaTheme="majorEastAsia" w:cstheme="majorBidi"/>
          <w:lang w:eastAsia="en-AU"/>
        </w:rPr>
      </w:pPr>
      <w:r w:rsidRPr="208439D9">
        <w:rPr>
          <w:rFonts w:eastAsiaTheme="majorEastAsia" w:cstheme="majorBidi"/>
          <w:lang w:eastAsia="en-AU"/>
        </w:rPr>
        <w:t>Defining key terms used in Grant Opportunity Guidelines, such as ‘client-centred’, ‘trauma-informed’, ‘culturally appropriate’ and ‘accessible’ to assist applicants to determine how best to demonstrate these criteria.</w:t>
      </w:r>
    </w:p>
    <w:p w:rsidR="003179E2" w:rsidRPr="00D77148" w:rsidRDefault="3894847F">
      <w:pPr>
        <w:pStyle w:val="ListParagraph"/>
        <w:numPr>
          <w:ilvl w:val="0"/>
          <w:numId w:val="6"/>
        </w:numPr>
        <w:rPr>
          <w:rFonts w:eastAsiaTheme="majorEastAsia" w:cstheme="majorBidi"/>
          <w:lang w:eastAsia="en-AU"/>
        </w:rPr>
      </w:pPr>
      <w:r w:rsidRPr="208439D9">
        <w:rPr>
          <w:rFonts w:eastAsiaTheme="majorEastAsia" w:cstheme="majorBidi"/>
          <w:lang w:eastAsia="en-AU"/>
        </w:rPr>
        <w:t>Establishing a register of community organisations to facilitate collaboration and partnerships, and allow the sharing of expertise, including from registered Community Housing Providers.</w:t>
      </w:r>
    </w:p>
    <w:p w:rsidR="00B07E67" w:rsidRDefault="3894847F" w:rsidP="00B07E67">
      <w:r>
        <w:t xml:space="preserve">As part of the Inclusion Round grant opportunity, the department released the proposed factsheets, which include a quantitative </w:t>
      </w:r>
      <w:r w:rsidR="00285242">
        <w:t xml:space="preserve">description </w:t>
      </w:r>
      <w:r>
        <w:t xml:space="preserve">of unmet demand for emergency accommodation for women and children experiencing FDV based on state and territory Specialist Homelessness Services data. </w:t>
      </w:r>
      <w:r w:rsidR="00285242">
        <w:t>The data used in these factsheets has been provided by the Australian Institute of Health and Welfare.</w:t>
      </w:r>
    </w:p>
    <w:p w:rsidR="006E4CC0" w:rsidRPr="00D77148" w:rsidRDefault="3894847F">
      <w:pPr>
        <w:rPr>
          <w:rFonts w:eastAsiaTheme="majorEastAsia" w:cstheme="majorBidi"/>
          <w:lang w:eastAsia="en-AU"/>
        </w:rPr>
      </w:pPr>
      <w:r w:rsidRPr="208439D9">
        <w:rPr>
          <w:rFonts w:eastAsiaTheme="majorEastAsia" w:cstheme="majorBidi"/>
          <w:lang w:eastAsia="en-AU"/>
        </w:rPr>
        <w:t>The department has also moved the information sessions to</w:t>
      </w:r>
      <w:r w:rsidR="00D77148">
        <w:rPr>
          <w:rFonts w:eastAsiaTheme="majorEastAsia" w:cstheme="majorBidi"/>
          <w:lang w:eastAsia="en-AU"/>
        </w:rPr>
        <w:t xml:space="preserve"> occur about</w:t>
      </w:r>
      <w:r w:rsidRPr="208439D9">
        <w:rPr>
          <w:rFonts w:eastAsiaTheme="majorEastAsia" w:cstheme="majorBidi"/>
          <w:lang w:eastAsia="en-AU"/>
        </w:rPr>
        <w:t xml:space="preserve"> two weeks after the opening of the Grant Opportunity. The information sessions will provide prospective applicants with guidance on the grant opportunity guidelines, specifically eligibility and assessment criteria, and an opportunity to ask questions regarding the grants process. Prospective applicants can register for an information session on the GrantConnect</w:t>
      </w:r>
      <w:r>
        <w:t>.</w:t>
      </w:r>
    </w:p>
    <w:p w:rsidR="00C03205" w:rsidRPr="00801DF9" w:rsidRDefault="3894847F">
      <w:pPr>
        <w:rPr>
          <w:rFonts w:eastAsiaTheme="majorEastAsia" w:cstheme="majorBidi"/>
          <w:lang w:eastAsia="en-AU"/>
        </w:rPr>
      </w:pPr>
      <w:r w:rsidRPr="00801DF9">
        <w:rPr>
          <w:rFonts w:eastAsiaTheme="majorEastAsia" w:cstheme="majorBidi"/>
          <w:lang w:eastAsia="en-AU"/>
        </w:rPr>
        <w:t>EasyRead versions</w:t>
      </w:r>
      <w:r w:rsidR="00C03205">
        <w:rPr>
          <w:rFonts w:eastAsiaTheme="majorEastAsia" w:cstheme="majorBidi"/>
          <w:lang w:eastAsia="en-AU"/>
        </w:rPr>
        <w:t xml:space="preserve"> of this Report, including a version</w:t>
      </w:r>
      <w:r w:rsidRPr="00801DF9">
        <w:rPr>
          <w:rFonts w:eastAsiaTheme="majorEastAsia" w:cstheme="majorBidi"/>
          <w:lang w:eastAsia="en-AU"/>
        </w:rPr>
        <w:t xml:space="preserve"> </w:t>
      </w:r>
      <w:r w:rsidR="00C03205">
        <w:rPr>
          <w:rFonts w:eastAsiaTheme="majorEastAsia" w:cstheme="majorBidi"/>
          <w:lang w:eastAsia="en-AU"/>
        </w:rPr>
        <w:t xml:space="preserve">compatible with assistive technology, </w:t>
      </w:r>
      <w:r w:rsidRPr="00801DF9">
        <w:rPr>
          <w:rFonts w:eastAsiaTheme="majorEastAsia" w:cstheme="majorBidi"/>
          <w:lang w:eastAsia="en-AU"/>
        </w:rPr>
        <w:t>were also released.</w:t>
      </w:r>
    </w:p>
    <w:p w:rsidR="009C1EBF" w:rsidRPr="00801DF9" w:rsidRDefault="3894847F">
      <w:pPr>
        <w:rPr>
          <w:rFonts w:eastAsiaTheme="majorEastAsia" w:cstheme="majorBidi"/>
          <w:lang w:eastAsia="en-AU"/>
        </w:rPr>
      </w:pPr>
      <w:r w:rsidRPr="00801DF9">
        <w:rPr>
          <w:rFonts w:eastAsiaTheme="majorEastAsia" w:cstheme="majorBidi"/>
          <w:lang w:eastAsia="en-AU"/>
        </w:rPr>
        <w:t xml:space="preserve">The department released an </w:t>
      </w:r>
      <w:r w:rsidR="00285242" w:rsidRPr="00801DF9">
        <w:rPr>
          <w:rFonts w:eastAsiaTheme="majorEastAsia" w:cstheme="majorBidi"/>
          <w:lang w:eastAsia="en-AU"/>
        </w:rPr>
        <w:t>Application Pac</w:t>
      </w:r>
      <w:r w:rsidRPr="00801DF9">
        <w:rPr>
          <w:rFonts w:eastAsiaTheme="majorEastAsia" w:cstheme="majorBidi"/>
          <w:lang w:eastAsia="en-AU"/>
        </w:rPr>
        <w:t xml:space="preserve">k, which includes </w:t>
      </w:r>
      <w:r w:rsidR="00285242" w:rsidRPr="00801DF9">
        <w:rPr>
          <w:rFonts w:eastAsiaTheme="majorEastAsia" w:cstheme="majorBidi"/>
          <w:lang w:eastAsia="en-AU"/>
        </w:rPr>
        <w:t xml:space="preserve">guidance </w:t>
      </w:r>
      <w:r w:rsidRPr="00801DF9">
        <w:rPr>
          <w:rFonts w:eastAsiaTheme="majorEastAsia" w:cstheme="majorBidi"/>
          <w:lang w:eastAsia="en-AU"/>
        </w:rPr>
        <w:t xml:space="preserve">and explanatory text to assist in the preparation of a </w:t>
      </w:r>
      <w:r w:rsidR="00285242" w:rsidRPr="00801DF9">
        <w:rPr>
          <w:rFonts w:eastAsiaTheme="majorEastAsia" w:cstheme="majorBidi"/>
          <w:lang w:eastAsia="en-AU"/>
        </w:rPr>
        <w:t xml:space="preserve">complete and high quality </w:t>
      </w:r>
      <w:r w:rsidR="006D21C5" w:rsidRPr="00801DF9">
        <w:rPr>
          <w:rFonts w:eastAsiaTheme="majorEastAsia" w:cstheme="majorBidi"/>
          <w:lang w:eastAsia="en-AU"/>
        </w:rPr>
        <w:t>application</w:t>
      </w:r>
      <w:r w:rsidR="00285242" w:rsidRPr="00801DF9">
        <w:rPr>
          <w:rFonts w:eastAsiaTheme="majorEastAsia" w:cstheme="majorBidi"/>
          <w:lang w:eastAsia="en-AU"/>
        </w:rPr>
        <w:t xml:space="preserve">. The Application Pack </w:t>
      </w:r>
      <w:r w:rsidR="006D21C5" w:rsidRPr="00801DF9">
        <w:rPr>
          <w:rFonts w:eastAsiaTheme="majorEastAsia" w:cstheme="majorBidi"/>
          <w:lang w:eastAsia="en-AU"/>
        </w:rPr>
        <w:t>includes</w:t>
      </w:r>
      <w:r w:rsidR="009C1EBF" w:rsidRPr="00801DF9">
        <w:rPr>
          <w:rFonts w:eastAsiaTheme="majorEastAsia" w:cstheme="majorBidi"/>
          <w:lang w:eastAsia="en-AU"/>
        </w:rPr>
        <w:t>:</w:t>
      </w:r>
    </w:p>
    <w:p w:rsidR="009C1EBF" w:rsidRPr="009C1EBF" w:rsidRDefault="009C1EBF" w:rsidP="009C1EBF">
      <w:pPr>
        <w:pStyle w:val="ListParagraph"/>
        <w:numPr>
          <w:ilvl w:val="0"/>
          <w:numId w:val="15"/>
        </w:numPr>
        <w:rPr>
          <w:rFonts w:eastAsiaTheme="majorEastAsia" w:cstheme="majorBidi"/>
          <w:lang w:eastAsia="en-AU"/>
        </w:rPr>
      </w:pPr>
      <w:r w:rsidRPr="009C1EBF">
        <w:rPr>
          <w:rFonts w:eastAsiaTheme="majorEastAsia" w:cstheme="majorBidi"/>
          <w:lang w:eastAsia="en-AU"/>
        </w:rPr>
        <w:t>M</w:t>
      </w:r>
      <w:r w:rsidR="00285242" w:rsidRPr="009C1EBF">
        <w:rPr>
          <w:rFonts w:eastAsiaTheme="majorEastAsia" w:cstheme="majorBidi"/>
          <w:lang w:eastAsia="en-AU"/>
        </w:rPr>
        <w:t>andatory templates, such as the Capital Works Project Plan and Budget</w:t>
      </w:r>
      <w:r w:rsidRPr="009C1EBF">
        <w:rPr>
          <w:rFonts w:eastAsiaTheme="majorEastAsia" w:cstheme="majorBidi"/>
          <w:lang w:eastAsia="en-AU"/>
        </w:rPr>
        <w:t xml:space="preserve"> document, </w:t>
      </w:r>
    </w:p>
    <w:p w:rsidR="009C1EBF" w:rsidRPr="009C1EBF" w:rsidRDefault="009C1EBF" w:rsidP="009C1EBF">
      <w:pPr>
        <w:pStyle w:val="ListParagraph"/>
        <w:numPr>
          <w:ilvl w:val="0"/>
          <w:numId w:val="15"/>
        </w:numPr>
        <w:rPr>
          <w:rFonts w:eastAsiaTheme="majorEastAsia" w:cstheme="majorBidi"/>
          <w:lang w:eastAsia="en-AU"/>
        </w:rPr>
      </w:pPr>
      <w:r w:rsidRPr="009C1EBF">
        <w:rPr>
          <w:rFonts w:eastAsiaTheme="majorEastAsia" w:cstheme="majorBidi"/>
          <w:lang w:eastAsia="en-AU"/>
        </w:rPr>
        <w:t>O</w:t>
      </w:r>
      <w:r w:rsidR="00285242" w:rsidRPr="009C1EBF">
        <w:rPr>
          <w:rFonts w:eastAsiaTheme="majorEastAsia" w:cstheme="majorBidi"/>
          <w:lang w:eastAsia="en-AU"/>
        </w:rPr>
        <w:t xml:space="preserve">ptional templates, such as the Community Engagement Plan, and </w:t>
      </w:r>
    </w:p>
    <w:p w:rsidR="009C1EBF" w:rsidRPr="009C1EBF" w:rsidRDefault="009C1EBF" w:rsidP="009C1EBF">
      <w:pPr>
        <w:pStyle w:val="ListParagraph"/>
        <w:numPr>
          <w:ilvl w:val="0"/>
          <w:numId w:val="15"/>
        </w:numPr>
        <w:rPr>
          <w:rFonts w:eastAsiaTheme="majorEastAsia" w:cstheme="majorBidi"/>
          <w:lang w:eastAsia="en-AU"/>
        </w:rPr>
      </w:pPr>
      <w:r w:rsidRPr="009C1EBF">
        <w:rPr>
          <w:rFonts w:eastAsiaTheme="majorEastAsia" w:cstheme="majorBidi"/>
          <w:lang w:eastAsia="en-AU"/>
        </w:rPr>
        <w:t>R</w:t>
      </w:r>
      <w:r w:rsidR="00285242" w:rsidRPr="009C1EBF">
        <w:rPr>
          <w:rFonts w:eastAsiaTheme="majorEastAsia" w:cstheme="majorBidi"/>
          <w:lang w:eastAsia="en-AU"/>
        </w:rPr>
        <w:t>eference documents such as the State</w:t>
      </w:r>
      <w:r w:rsidRPr="009C1EBF">
        <w:rPr>
          <w:rFonts w:eastAsiaTheme="majorEastAsia" w:cstheme="majorBidi"/>
          <w:lang w:eastAsia="en-AU"/>
        </w:rPr>
        <w:t xml:space="preserve"> and Territory</w:t>
      </w:r>
      <w:r w:rsidR="00285242" w:rsidRPr="009C1EBF">
        <w:rPr>
          <w:rFonts w:eastAsiaTheme="majorEastAsia" w:cstheme="majorBidi"/>
          <w:lang w:eastAsia="en-AU"/>
        </w:rPr>
        <w:t xml:space="preserve"> Alignment List</w:t>
      </w:r>
      <w:r w:rsidRPr="009C1EBF">
        <w:rPr>
          <w:rFonts w:eastAsiaTheme="majorEastAsia" w:cstheme="majorBidi"/>
          <w:lang w:eastAsia="en-AU"/>
        </w:rPr>
        <w:t>, which provides details on current and upcoming funding opportunities</w:t>
      </w:r>
      <w:r w:rsidR="3894847F" w:rsidRPr="009C1EBF">
        <w:rPr>
          <w:rFonts w:eastAsiaTheme="majorEastAsia" w:cstheme="majorBidi"/>
          <w:lang w:eastAsia="en-AU"/>
        </w:rPr>
        <w:t xml:space="preserve">. </w:t>
      </w:r>
    </w:p>
    <w:p w:rsidR="00706CA2" w:rsidRPr="009C1EBF" w:rsidRDefault="00285242" w:rsidP="009C1EBF">
      <w:pPr>
        <w:rPr>
          <w:rFonts w:eastAsiaTheme="majorEastAsia" w:cstheme="majorBidi"/>
          <w:lang w:eastAsia="en-AU"/>
        </w:rPr>
      </w:pPr>
      <w:r w:rsidRPr="009C1EBF">
        <w:rPr>
          <w:rFonts w:eastAsiaTheme="majorEastAsia" w:cstheme="majorBidi"/>
          <w:lang w:eastAsia="en-AU"/>
        </w:rPr>
        <w:lastRenderedPageBreak/>
        <w:t xml:space="preserve">Documents in the Application Pack also provide links to further resources that applicants may find helpful in developing their </w:t>
      </w:r>
      <w:r w:rsidR="006D21C5" w:rsidRPr="009C1EBF">
        <w:rPr>
          <w:rFonts w:eastAsiaTheme="majorEastAsia" w:cstheme="majorBidi"/>
          <w:lang w:eastAsia="en-AU"/>
        </w:rPr>
        <w:t>application</w:t>
      </w:r>
      <w:r w:rsidRPr="009C1EBF">
        <w:rPr>
          <w:rFonts w:eastAsiaTheme="majorEastAsia" w:cstheme="majorBidi"/>
          <w:lang w:eastAsia="en-AU"/>
        </w:rPr>
        <w:t xml:space="preserve">s. </w:t>
      </w:r>
      <w:r w:rsidR="3894847F" w:rsidRPr="009C1EBF">
        <w:rPr>
          <w:rFonts w:eastAsiaTheme="majorEastAsia" w:cstheme="majorBidi"/>
          <w:lang w:eastAsia="en-AU"/>
        </w:rPr>
        <w:t>The department has also included definitions for key terms used in the Grant Opportunity Guidelines.</w:t>
      </w:r>
    </w:p>
    <w:p w:rsidR="005A42C7" w:rsidRPr="00AD5C3B" w:rsidRDefault="3BE4FEF3" w:rsidP="00CD726B">
      <w:pPr>
        <w:pStyle w:val="Heading2"/>
        <w:rPr>
          <w:lang w:eastAsia="en-AU"/>
        </w:rPr>
      </w:pPr>
      <w:bookmarkStart w:id="86" w:name="_Toc142492567"/>
      <w:bookmarkStart w:id="87" w:name="_Toc142557369"/>
      <w:bookmarkStart w:id="88" w:name="_Toc146118047"/>
      <w:r w:rsidRPr="00AD5C3B">
        <w:rPr>
          <w:lang w:eastAsia="en-AU"/>
        </w:rPr>
        <w:t xml:space="preserve">Program </w:t>
      </w:r>
      <w:r w:rsidRPr="00CD726B">
        <w:t>funding</w:t>
      </w:r>
      <w:r w:rsidRPr="00AD5C3B">
        <w:rPr>
          <w:lang w:eastAsia="en-AU"/>
        </w:rPr>
        <w:t xml:space="preserve"> and funding approach</w:t>
      </w:r>
      <w:bookmarkEnd w:id="86"/>
      <w:bookmarkEnd w:id="87"/>
      <w:bookmarkEnd w:id="88"/>
    </w:p>
    <w:p w:rsidR="005C1439" w:rsidRPr="005C1439" w:rsidRDefault="3894847F" w:rsidP="00BF59DD">
      <w:r>
        <w:t xml:space="preserve">Inclusion Round consultation </w:t>
      </w:r>
      <w:r w:rsidR="00285242">
        <w:t xml:space="preserve">has </w:t>
      </w:r>
      <w:r>
        <w:t xml:space="preserve">proposed providing grant funding of between </w:t>
      </w:r>
      <w:r w:rsidRPr="3894847F">
        <w:rPr>
          <w:lang w:eastAsia="en-AU"/>
        </w:rPr>
        <w:t xml:space="preserve">$500,000 and $8 million per project to allow for both small-scale, emergency accommodation only projects, as well as mixed-use projects </w:t>
      </w:r>
      <w:r>
        <w:t>where emergency accommodation is combined with longer-term social and community housing.</w:t>
      </w:r>
    </w:p>
    <w:p w:rsidR="00C95EA8" w:rsidRDefault="3894847F" w:rsidP="3894847F">
      <w:pPr>
        <w:rPr>
          <w:lang w:eastAsia="en-AU"/>
        </w:rPr>
      </w:pPr>
      <w:r w:rsidRPr="3894847F">
        <w:rPr>
          <w:lang w:eastAsia="en-AU"/>
        </w:rPr>
        <w:t xml:space="preserve">Stakeholders broadly agreed with the </w:t>
      </w:r>
      <w:r w:rsidR="00497C93" w:rsidRPr="3894847F">
        <w:rPr>
          <w:lang w:eastAsia="en-AU"/>
        </w:rPr>
        <w:t>suitability</w:t>
      </w:r>
      <w:r w:rsidRPr="3894847F">
        <w:rPr>
          <w:lang w:eastAsia="en-AU"/>
        </w:rPr>
        <w:t xml:space="preserve"> of these funding amounts. However, some stakeholders recommended building in some flexibility in the event a high-quality and worthwhile application is received that either exceeds the upper limit or is less than the minimum funding amount.</w:t>
      </w:r>
    </w:p>
    <w:p w:rsidR="00EA3089" w:rsidRPr="0098404C" w:rsidRDefault="3894847F" w:rsidP="3894847F">
      <w:pPr>
        <w:rPr>
          <w:color w:val="FF0000"/>
          <w:lang w:eastAsia="en-AU"/>
        </w:rPr>
      </w:pPr>
      <w:r w:rsidRPr="3894847F">
        <w:rPr>
          <w:lang w:eastAsia="en-AU"/>
        </w:rPr>
        <w:t xml:space="preserve">Some stakeholders encouraged reducing or eliminating the minimum funding amount of $500,000 to ensure small-scale local projects that would have a positive impact are eligible. This included projects in regional areas where there may be limited demand or capacity for large-scale projects, or smaller building or renovation projects. </w:t>
      </w:r>
    </w:p>
    <w:p w:rsidR="00C95EA8" w:rsidRPr="0098404C" w:rsidRDefault="3894847F" w:rsidP="3894847F">
      <w:pPr>
        <w:rPr>
          <w:lang w:eastAsia="en-AU"/>
        </w:rPr>
      </w:pPr>
      <w:r w:rsidRPr="3894847F">
        <w:rPr>
          <w:lang w:eastAsia="en-AU"/>
        </w:rPr>
        <w:t>Some stakeholders also considered the maximum grant amount of $8 million insufficient for larger scale projects, noting the increasing cost of property and land in a highly competitive market.</w:t>
      </w:r>
    </w:p>
    <w:p w:rsidR="00B822DE" w:rsidRPr="00AD5C3B" w:rsidRDefault="3BE4FEF3" w:rsidP="00CD726B">
      <w:pPr>
        <w:pStyle w:val="Heading3"/>
        <w:rPr>
          <w:i/>
          <w:iCs/>
          <w:lang w:eastAsia="en-AU"/>
        </w:rPr>
      </w:pPr>
      <w:bookmarkStart w:id="89" w:name="_Toc142492568"/>
      <w:bookmarkStart w:id="90" w:name="_Toc142557370"/>
      <w:bookmarkStart w:id="91" w:name="_Toc146118048"/>
      <w:r w:rsidRPr="00AD5C3B">
        <w:rPr>
          <w:lang w:eastAsia="en-AU"/>
        </w:rPr>
        <w:t>Mixed-use proposals</w:t>
      </w:r>
      <w:bookmarkEnd w:id="89"/>
      <w:bookmarkEnd w:id="90"/>
      <w:bookmarkEnd w:id="91"/>
    </w:p>
    <w:p w:rsidR="008D007E" w:rsidRPr="008D007E" w:rsidRDefault="008D007E" w:rsidP="3894847F">
      <w:pPr>
        <w:rPr>
          <w:lang w:eastAsia="en-AU"/>
        </w:rPr>
      </w:pPr>
      <w:r w:rsidRPr="008D007E">
        <w:t>As part of the Inclusion Round consultation, the department invited views on whether applications for mixed-use proposals should be required to secure funding for the long</w:t>
      </w:r>
      <w:r>
        <w:noBreakHyphen/>
      </w:r>
      <w:r w:rsidRPr="008D007E">
        <w:t xml:space="preserve">term housing aspects </w:t>
      </w:r>
      <w:r w:rsidRPr="008D007E">
        <w:rPr>
          <w:lang w:eastAsia="en-AU"/>
        </w:rPr>
        <w:t>of their proposal prior to seeking Inclusion Round funding.</w:t>
      </w:r>
      <w:r>
        <w:rPr>
          <w:lang w:eastAsia="en-AU"/>
        </w:rPr>
        <w:t xml:space="preserve"> This may include funding or financing by </w:t>
      </w:r>
      <w:r w:rsidRPr="008D007E">
        <w:rPr>
          <w:lang w:eastAsia="en-AU"/>
        </w:rPr>
        <w:t xml:space="preserve">states, </w:t>
      </w:r>
      <w:r w:rsidRPr="008D007E">
        <w:t>NHFIC or third parties (e.g. non-government organisations, philanthropic and private sectors).</w:t>
      </w:r>
    </w:p>
    <w:p w:rsidR="00B822DE" w:rsidRDefault="3894847F" w:rsidP="3894847F">
      <w:pPr>
        <w:rPr>
          <w:lang w:eastAsia="en-AU"/>
        </w:rPr>
      </w:pPr>
      <w:r w:rsidRPr="3894847F">
        <w:rPr>
          <w:lang w:eastAsia="en-AU"/>
        </w:rPr>
        <w:t>Stakeholders had mixed views on whether this was appropriate, with most suggesting this should not be a prerequisite for mixed-use proposals as timelines may not align</w:t>
      </w:r>
      <w:r w:rsidR="00497C93">
        <w:rPr>
          <w:lang w:eastAsia="en-AU"/>
        </w:rPr>
        <w:t xml:space="preserve"> across funding opportunit</w:t>
      </w:r>
      <w:r w:rsidR="00FF1C2F">
        <w:rPr>
          <w:lang w:eastAsia="en-AU"/>
        </w:rPr>
        <w:t>i</w:t>
      </w:r>
      <w:r w:rsidR="00497C93">
        <w:rPr>
          <w:lang w:eastAsia="en-AU"/>
        </w:rPr>
        <w:t>es</w:t>
      </w:r>
      <w:r w:rsidRPr="3894847F">
        <w:rPr>
          <w:lang w:eastAsia="en-AU"/>
        </w:rPr>
        <w:t xml:space="preserve">. Stakeholders considered evidence of an application for funding, or details on how funding would be secured for the longer-term housing aspects of a proposal </w:t>
      </w:r>
      <w:r w:rsidR="00497C93">
        <w:rPr>
          <w:lang w:eastAsia="en-AU"/>
        </w:rPr>
        <w:t>to</w:t>
      </w:r>
      <w:r w:rsidR="00497C93" w:rsidRPr="3894847F">
        <w:rPr>
          <w:lang w:eastAsia="en-AU"/>
        </w:rPr>
        <w:t xml:space="preserve"> </w:t>
      </w:r>
      <w:r w:rsidRPr="3894847F">
        <w:rPr>
          <w:lang w:eastAsia="en-AU"/>
        </w:rPr>
        <w:t xml:space="preserve">be sufficient. The Inclusion Round grant opportunity </w:t>
      </w:r>
      <w:r w:rsidRPr="3894847F" w:rsidDel="00497C93">
        <w:rPr>
          <w:lang w:eastAsia="en-AU"/>
        </w:rPr>
        <w:t>factors in</w:t>
      </w:r>
      <w:r w:rsidRPr="3894847F">
        <w:rPr>
          <w:lang w:eastAsia="en-AU"/>
        </w:rPr>
        <w:t xml:space="preserve"> this feedback.</w:t>
      </w:r>
    </w:p>
    <w:p w:rsidR="00F313F0" w:rsidRPr="00AD5C3B" w:rsidRDefault="3BE4FEF3" w:rsidP="00CD726B">
      <w:pPr>
        <w:pStyle w:val="Heading3"/>
        <w:rPr>
          <w:i/>
          <w:iCs/>
          <w:lang w:eastAsia="en-AU"/>
        </w:rPr>
      </w:pPr>
      <w:bookmarkStart w:id="92" w:name="_Toc142492569"/>
      <w:bookmarkStart w:id="93" w:name="_Toc142557371"/>
      <w:bookmarkStart w:id="94" w:name="_Toc146118049"/>
      <w:r w:rsidRPr="00CD726B">
        <w:t>Milestone</w:t>
      </w:r>
      <w:r w:rsidRPr="00AD5C3B">
        <w:rPr>
          <w:lang w:eastAsia="en-AU"/>
        </w:rPr>
        <w:t xml:space="preserve"> payments</w:t>
      </w:r>
      <w:bookmarkEnd w:id="92"/>
      <w:bookmarkEnd w:id="93"/>
      <w:bookmarkEnd w:id="94"/>
    </w:p>
    <w:p w:rsidR="00F313F0" w:rsidRPr="00921314" w:rsidRDefault="3894847F" w:rsidP="00F313F0">
      <w:r>
        <w:t>The Inclusion Round grant funding will be released by milestones, with payments made on completion of key project milestones. Consultation sought feedback on a proposed milestone structure of:</w:t>
      </w:r>
    </w:p>
    <w:p w:rsidR="00F313F0" w:rsidRPr="00921314" w:rsidRDefault="3894847F" w:rsidP="000B0AEF">
      <w:pPr>
        <w:pStyle w:val="ListParagraph"/>
        <w:numPr>
          <w:ilvl w:val="0"/>
          <w:numId w:val="2"/>
        </w:numPr>
      </w:pPr>
      <w:r>
        <w:t>Signing of Grant Agreement – 20 per cent initial payment</w:t>
      </w:r>
    </w:p>
    <w:p w:rsidR="00F313F0" w:rsidRPr="00921314" w:rsidRDefault="3894847F" w:rsidP="000B0AEF">
      <w:pPr>
        <w:pStyle w:val="ListParagraph"/>
        <w:numPr>
          <w:ilvl w:val="0"/>
          <w:numId w:val="2"/>
        </w:numPr>
      </w:pPr>
      <w:r>
        <w:t>Base and Frame – 50 per cent payment</w:t>
      </w:r>
    </w:p>
    <w:p w:rsidR="00F313F0" w:rsidRPr="00921314" w:rsidRDefault="3894847F" w:rsidP="000B0AEF">
      <w:pPr>
        <w:pStyle w:val="ListParagraph"/>
        <w:numPr>
          <w:ilvl w:val="0"/>
          <w:numId w:val="2"/>
        </w:numPr>
      </w:pPr>
      <w:r>
        <w:t>Lock-up – 20 per cent payment</w:t>
      </w:r>
    </w:p>
    <w:p w:rsidR="00F313F0" w:rsidRPr="00561420" w:rsidRDefault="3894847F" w:rsidP="000B0AEF">
      <w:pPr>
        <w:pStyle w:val="ListParagraph"/>
        <w:numPr>
          <w:ilvl w:val="0"/>
          <w:numId w:val="2"/>
        </w:numPr>
      </w:pPr>
      <w:r>
        <w:t>Occupancy Permit and confirmation of FDV wrap-around service access for clients – final 10 per cent payment.</w:t>
      </w:r>
    </w:p>
    <w:p w:rsidR="00F313F0" w:rsidRDefault="3894847F" w:rsidP="00F313F0">
      <w:r>
        <w:lastRenderedPageBreak/>
        <w:t xml:space="preserve">Stakeholders largely considered the proposed milestone schedule, including the 20 per cent initial payment on signing of a Grant Agreement, was appropriate. Some stakeholders noted this would serve as a potential mitigation to some of the ongoing challenges across the building and construction sector, which pose financial risks and challenges, particularly for smaller and not-for-profit organisations. </w:t>
      </w:r>
    </w:p>
    <w:p w:rsidR="00F313F0" w:rsidRPr="00B822DE" w:rsidRDefault="3894847F" w:rsidP="00B822DE">
      <w:r>
        <w:t xml:space="preserve">The Inclusion Round grant opportunity is also open to </w:t>
      </w:r>
      <w:r w:rsidR="006261A8">
        <w:t xml:space="preserve">and may require </w:t>
      </w:r>
      <w:r>
        <w:t>tailored funding arrangements where projects require more flexibility.</w:t>
      </w:r>
    </w:p>
    <w:p w:rsidR="00835EC6" w:rsidRPr="00AD5C3B" w:rsidRDefault="3BE4FEF3" w:rsidP="00CD726B">
      <w:pPr>
        <w:pStyle w:val="Heading2"/>
        <w:rPr>
          <w:lang w:eastAsia="en-AU"/>
        </w:rPr>
      </w:pPr>
      <w:bookmarkStart w:id="95" w:name="_Toc142492570"/>
      <w:bookmarkStart w:id="96" w:name="_Toc142557372"/>
      <w:bookmarkStart w:id="97" w:name="_Toc146118050"/>
      <w:r w:rsidRPr="00CD726B">
        <w:t>Designated</w:t>
      </w:r>
      <w:r w:rsidRPr="00AD5C3B">
        <w:rPr>
          <w:lang w:eastAsia="en-AU"/>
        </w:rPr>
        <w:t xml:space="preserve"> use period</w:t>
      </w:r>
      <w:bookmarkEnd w:id="95"/>
      <w:bookmarkEnd w:id="96"/>
      <w:bookmarkEnd w:id="97"/>
    </w:p>
    <w:p w:rsidR="001A2F67" w:rsidRPr="005A42C7" w:rsidRDefault="3894847F" w:rsidP="3894847F">
      <w:pPr>
        <w:rPr>
          <w:color w:val="FF0000"/>
        </w:rPr>
      </w:pPr>
      <w:r>
        <w:t xml:space="preserve">As part of the Inclusion Round consultation, the department invited feedback on the </w:t>
      </w:r>
      <w:r w:rsidR="001D5A97">
        <w:t>suitability</w:t>
      </w:r>
      <w:r>
        <w:t xml:space="preserve"> of the </w:t>
      </w:r>
      <w:r w:rsidR="001D5A97">
        <w:t xml:space="preserve">15 year </w:t>
      </w:r>
      <w:r>
        <w:t>proposed designated use period. During the designated use period, applicants are responsible for securing funding for FDV and other specialist services for clients, funding the ongoing maintenance of dwellings, annual reporting on the use of the emergency accommodation, and providing evidence of compliance with all relevant Australian Government, state, and local government regulations on an annual basis.</w:t>
      </w:r>
    </w:p>
    <w:p w:rsidR="00580A08" w:rsidRDefault="3894847F" w:rsidP="3894847F">
      <w:pPr>
        <w:rPr>
          <w:rFonts w:cs="Arial"/>
          <w:lang w:eastAsia="en-AU"/>
        </w:rPr>
      </w:pPr>
      <w:r w:rsidRPr="3894847F">
        <w:rPr>
          <w:rFonts w:cs="Arial"/>
          <w:lang w:eastAsia="en-AU"/>
        </w:rPr>
        <w:t>Stakeholders agreed the 15 year designated use period is appropriate. Some stakeholders noted it is important for applicants to demonstrate how they will maintain the</w:t>
      </w:r>
      <w:r w:rsidR="001D5A97">
        <w:rPr>
          <w:rFonts w:cs="Arial"/>
          <w:lang w:eastAsia="en-AU"/>
        </w:rPr>
        <w:t xml:space="preserve"> adequacy of the</w:t>
      </w:r>
      <w:r w:rsidRPr="3894847F" w:rsidDel="001D5A97">
        <w:rPr>
          <w:rFonts w:cs="Arial"/>
          <w:lang w:eastAsia="en-AU"/>
        </w:rPr>
        <w:t xml:space="preserve"> </w:t>
      </w:r>
      <w:r w:rsidRPr="3894847F">
        <w:rPr>
          <w:rFonts w:cs="Arial"/>
          <w:lang w:eastAsia="en-AU"/>
        </w:rPr>
        <w:t>emergency accommodation over the designated use period. Some also encouraged the department to give preference to applications that commit to retaining the accommodation to meet social, affordable or acute housing needs beyond the 15 year designated use period.</w:t>
      </w:r>
    </w:p>
    <w:p w:rsidR="00F40C19" w:rsidRPr="000003D6" w:rsidRDefault="3894847F" w:rsidP="40C0725C">
      <w:r w:rsidRPr="3894847F">
        <w:rPr>
          <w:rFonts w:cs="Arial"/>
          <w:lang w:eastAsia="en-AU"/>
        </w:rPr>
        <w:t xml:space="preserve">Stakeholders noted it is important to have clear expectations of grantees during the designated use period so applicants are aware of what they are potentially committing to. The Inclusion Round grant opportunity </w:t>
      </w:r>
      <w:r w:rsidR="001D5A97">
        <w:rPr>
          <w:rFonts w:cs="Arial"/>
          <w:lang w:eastAsia="en-AU"/>
        </w:rPr>
        <w:t>reflects</w:t>
      </w:r>
      <w:r w:rsidRPr="3894847F">
        <w:rPr>
          <w:rFonts w:cs="Arial"/>
          <w:lang w:eastAsia="en-AU"/>
        </w:rPr>
        <w:t xml:space="preserve"> this feedback.</w:t>
      </w:r>
    </w:p>
    <w:p w:rsidR="00916921" w:rsidRPr="00B24501" w:rsidRDefault="5E158D95" w:rsidP="00CD726B">
      <w:pPr>
        <w:pStyle w:val="Heading1"/>
        <w:rPr>
          <w:rFonts w:eastAsia="Times New Roman"/>
          <w:lang w:eastAsia="en-AU"/>
        </w:rPr>
      </w:pPr>
      <w:bookmarkStart w:id="98" w:name="_Toc142492571"/>
      <w:bookmarkStart w:id="99" w:name="_Toc142557373"/>
      <w:bookmarkStart w:id="100" w:name="_Toc146118051"/>
      <w:r w:rsidRPr="00CD726B">
        <w:t>Conclusion</w:t>
      </w:r>
      <w:bookmarkEnd w:id="98"/>
      <w:bookmarkEnd w:id="99"/>
      <w:bookmarkEnd w:id="100"/>
    </w:p>
    <w:p w:rsidR="00642DE6" w:rsidRDefault="00642DE6" w:rsidP="00642DE6">
      <w:pPr>
        <w:tabs>
          <w:tab w:val="num" w:pos="720"/>
        </w:tabs>
      </w:pPr>
      <w:r>
        <w:t xml:space="preserve">Consultation on the Inclusion Round highlighted the importance of </w:t>
      </w:r>
      <w:r w:rsidR="001D5A97">
        <w:t xml:space="preserve">all </w:t>
      </w:r>
      <w:r>
        <w:t xml:space="preserve">applicants </w:t>
      </w:r>
      <w:r w:rsidDel="001D5A97">
        <w:t xml:space="preserve">demonstrating </w:t>
      </w:r>
      <w:r>
        <w:t>expertise</w:t>
      </w:r>
      <w:r w:rsidR="001D5A97">
        <w:t xml:space="preserve"> </w:t>
      </w:r>
      <w:r>
        <w:t xml:space="preserve">working with and delivering relevant services to the </w:t>
      </w:r>
      <w:r w:rsidRPr="40C0725C">
        <w:rPr>
          <w:lang w:eastAsia="en-AU"/>
        </w:rPr>
        <w:t xml:space="preserve">group(s) whose access </w:t>
      </w:r>
      <w:r>
        <w:rPr>
          <w:lang w:eastAsia="en-AU"/>
        </w:rPr>
        <w:t xml:space="preserve">to emergency accommodation </w:t>
      </w:r>
      <w:r w:rsidRPr="40C0725C">
        <w:rPr>
          <w:lang w:eastAsia="en-AU"/>
        </w:rPr>
        <w:t>they are seeking to improve.</w:t>
      </w:r>
      <w:r>
        <w:rPr>
          <w:lang w:eastAsia="en-AU"/>
        </w:rPr>
        <w:t xml:space="preserve"> This includes</w:t>
      </w:r>
      <w:r w:rsidR="001D5A97">
        <w:rPr>
          <w:lang w:eastAsia="en-AU"/>
        </w:rPr>
        <w:t xml:space="preserve"> their</w:t>
      </w:r>
      <w:r>
        <w:rPr>
          <w:lang w:eastAsia="en-AU"/>
        </w:rPr>
        <w:t xml:space="preserve"> capacity and capability to meet cultural, communication and accessibility needs, such as access to healing programs and interpreters, and designing emergency accommodation that is physically and attitudinally accessible. Stakeholders</w:t>
      </w:r>
      <w:r w:rsidDel="001D5A97">
        <w:rPr>
          <w:lang w:eastAsia="en-AU"/>
        </w:rPr>
        <w:t xml:space="preserve"> </w:t>
      </w:r>
      <w:r w:rsidR="001D5A97">
        <w:rPr>
          <w:lang w:eastAsia="en-AU"/>
        </w:rPr>
        <w:t xml:space="preserve">noted </w:t>
      </w:r>
      <w:r>
        <w:rPr>
          <w:lang w:eastAsia="en-AU"/>
        </w:rPr>
        <w:t xml:space="preserve">other indicators </w:t>
      </w:r>
      <w:r w:rsidR="001D5A97">
        <w:rPr>
          <w:lang w:eastAsia="en-AU"/>
        </w:rPr>
        <w:t>that an applicant is suited</w:t>
      </w:r>
      <w:r>
        <w:rPr>
          <w:lang w:eastAsia="en-AU"/>
        </w:rPr>
        <w:t xml:space="preserve"> to meet</w:t>
      </w:r>
      <w:r w:rsidR="001D5A97">
        <w:rPr>
          <w:lang w:eastAsia="en-AU"/>
        </w:rPr>
        <w:t>ing</w:t>
      </w:r>
      <w:r>
        <w:rPr>
          <w:lang w:eastAsia="en-AU"/>
        </w:rPr>
        <w:t xml:space="preserve"> the needs of the priority groups included d</w:t>
      </w:r>
      <w:r w:rsidRPr="006A1D67">
        <w:t>irect employment of First Nations, CALD or staff with disability</w:t>
      </w:r>
      <w:r>
        <w:t xml:space="preserve">, and the implementation of </w:t>
      </w:r>
      <w:r w:rsidRPr="006A1D67">
        <w:t>Reconciliation, Diversity and Disability Action Plans or Strategies</w:t>
      </w:r>
      <w:r>
        <w:t>, including review processes.</w:t>
      </w:r>
    </w:p>
    <w:p w:rsidR="00642DE6" w:rsidRDefault="00642DE6" w:rsidP="00642DE6">
      <w:pPr>
        <w:tabs>
          <w:tab w:val="num" w:pos="720"/>
        </w:tabs>
      </w:pPr>
      <w:r>
        <w:t>Stakeholders also</w:t>
      </w:r>
      <w:r w:rsidDel="001D5A97">
        <w:t xml:space="preserve"> </w:t>
      </w:r>
      <w:r w:rsidR="001D5A97">
        <w:t xml:space="preserve">discussed </w:t>
      </w:r>
      <w:r>
        <w:t xml:space="preserve">the importance of </w:t>
      </w:r>
      <w:r w:rsidDel="001D5A97">
        <w:t xml:space="preserve">applicants </w:t>
      </w:r>
      <w:r>
        <w:t xml:space="preserve">demonstrating genuine, meaningful and ongoing community engagement, including with the priority groups and people with lived experience of FDV. They highlighted the </w:t>
      </w:r>
      <w:r w:rsidR="001154F3">
        <w:t>significance</w:t>
      </w:r>
      <w:r>
        <w:t xml:space="preserve"> of community engagement to ensure the design and location of emergency accommodation is culturally sensitive and accessible, and provides clients with security, safety, privacy and dignity. This may include additional design features, such as a prayer or faith room, space for yarning circles, gardens, recreation rooms and rooms for outreach services.</w:t>
      </w:r>
    </w:p>
    <w:p w:rsidR="00642DE6" w:rsidRDefault="006261A8" w:rsidP="00642DE6">
      <w:pPr>
        <w:tabs>
          <w:tab w:val="num" w:pos="720"/>
        </w:tabs>
      </w:pPr>
      <w:r>
        <w:lastRenderedPageBreak/>
        <w:t>Stakeholders</w:t>
      </w:r>
      <w:r w:rsidR="00642DE6">
        <w:t xml:space="preserve"> also suggested the Inclusion Round grant opportunity should include pathways that provide smaller organisations with additional time to develop a high-quality and competitive application, and seed funding on a case-by-case basis.</w:t>
      </w:r>
    </w:p>
    <w:p w:rsidR="00B24501" w:rsidRPr="00B24501" w:rsidRDefault="00642DE6" w:rsidP="3894847F">
      <w:pPr>
        <w:rPr>
          <w:rFonts w:eastAsia="Arial" w:cs="Arial"/>
          <w:color w:val="FF0000"/>
        </w:rPr>
      </w:pPr>
      <w:r>
        <w:rPr>
          <w:rFonts w:cs="Arial"/>
          <w:lang w:eastAsia="en-AU"/>
        </w:rPr>
        <w:t>T</w:t>
      </w:r>
      <w:r w:rsidRPr="40C0725C">
        <w:rPr>
          <w:rFonts w:cs="Arial"/>
          <w:lang w:eastAsia="en-AU"/>
        </w:rPr>
        <w:t>he Inclusion Round grant opportunity</w:t>
      </w:r>
      <w:r>
        <w:rPr>
          <w:rFonts w:cs="Arial"/>
          <w:lang w:eastAsia="en-AU"/>
        </w:rPr>
        <w:t xml:space="preserve"> and assessment processes factor in this feedback, as well as the findings from specialist sector workshops and interviews with victim-survivors undertaken by CIRCA. Separate detailed reports on these consultation activities are available on the </w:t>
      </w:r>
      <w:r>
        <w:t>department’s website</w:t>
      </w:r>
      <w:r>
        <w:rPr>
          <w:rStyle w:val="FootnoteReference"/>
        </w:rPr>
        <w:footnoteReference w:id="15"/>
      </w:r>
      <w:r>
        <w:t xml:space="preserve"> and published alongside the Inclusion Round grant opportunity on Grant</w:t>
      </w:r>
      <w:r w:rsidRPr="003D5F1A">
        <w:t>Connect</w:t>
      </w:r>
      <w:r w:rsidR="00AD5C3B">
        <w:t>.</w:t>
      </w:r>
    </w:p>
    <w:p w:rsidR="00916921" w:rsidRDefault="3894847F" w:rsidP="3894847F">
      <w:pPr>
        <w:rPr>
          <w:rFonts w:eastAsia="Arial" w:cs="Arial"/>
        </w:rPr>
      </w:pPr>
      <w:r w:rsidRPr="3894847F">
        <w:rPr>
          <w:rFonts w:eastAsia="Arial" w:cs="Arial"/>
        </w:rPr>
        <w:t xml:space="preserve">If you have any further questions about this paper or the Inclusion Round grant opportunity, please contact us at </w:t>
      </w:r>
      <w:hyperlink r:id="rId23">
        <w:r w:rsidRPr="009A1F50">
          <w:rPr>
            <w:rStyle w:val="Hyperlink"/>
            <w:rFonts w:eastAsia="Arial" w:cs="Arial"/>
            <w:color w:val="186871" w:themeColor="accent5" w:themeShade="80"/>
          </w:rPr>
          <w:t>SafePlaces@dss.gov.au</w:t>
        </w:r>
      </w:hyperlink>
      <w:r w:rsidRPr="009A1F50">
        <w:rPr>
          <w:rFonts w:eastAsia="Arial" w:cs="Arial"/>
          <w:color w:val="186871" w:themeColor="accent5" w:themeShade="80"/>
        </w:rPr>
        <w:t xml:space="preserve">. </w:t>
      </w:r>
    </w:p>
    <w:sectPr w:rsidR="00916921" w:rsidSect="000718B2">
      <w:footerReference w:type="default" r:id="rId2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57B" w:rsidRDefault="00DF057B" w:rsidP="00B04ED8">
      <w:pPr>
        <w:spacing w:after="0" w:line="240" w:lineRule="auto"/>
      </w:pPr>
      <w:r>
        <w:separator/>
      </w:r>
    </w:p>
  </w:endnote>
  <w:endnote w:type="continuationSeparator" w:id="0">
    <w:p w:rsidR="00DF057B" w:rsidRDefault="00DF057B" w:rsidP="00B04ED8">
      <w:pPr>
        <w:spacing w:after="0" w:line="240" w:lineRule="auto"/>
      </w:pPr>
      <w:r>
        <w:continuationSeparator/>
      </w:r>
    </w:p>
  </w:endnote>
  <w:endnote w:type="continuationNotice" w:id="1">
    <w:p w:rsidR="00DF057B" w:rsidRDefault="00DF05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0758543"/>
      <w:docPartObj>
        <w:docPartGallery w:val="Page Numbers (Bottom of Page)"/>
        <w:docPartUnique/>
      </w:docPartObj>
    </w:sdtPr>
    <w:sdtEndPr>
      <w:rPr>
        <w:noProof/>
      </w:rPr>
    </w:sdtEndPr>
    <w:sdtContent>
      <w:p w:rsidR="00DF057B" w:rsidRDefault="00DF057B">
        <w:pPr>
          <w:pStyle w:val="Footer"/>
          <w:jc w:val="right"/>
        </w:pPr>
        <w:r>
          <w:fldChar w:fldCharType="begin"/>
        </w:r>
        <w:r>
          <w:instrText xml:space="preserve"> PAGE   \* MERGEFORMAT </w:instrText>
        </w:r>
        <w:r>
          <w:fldChar w:fldCharType="separate"/>
        </w:r>
        <w:r w:rsidR="006D73CB">
          <w:rPr>
            <w:noProof/>
          </w:rPr>
          <w:t>20</w:t>
        </w:r>
        <w:r>
          <w:rPr>
            <w:noProof/>
          </w:rPr>
          <w:fldChar w:fldCharType="end"/>
        </w:r>
      </w:p>
    </w:sdtContent>
  </w:sdt>
  <w:p w:rsidR="00DF057B" w:rsidRDefault="00DF0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57B" w:rsidRDefault="00DF057B" w:rsidP="00B04ED8">
      <w:pPr>
        <w:spacing w:after="0" w:line="240" w:lineRule="auto"/>
      </w:pPr>
      <w:r>
        <w:separator/>
      </w:r>
    </w:p>
  </w:footnote>
  <w:footnote w:type="continuationSeparator" w:id="0">
    <w:p w:rsidR="00DF057B" w:rsidRDefault="00DF057B" w:rsidP="00B04ED8">
      <w:pPr>
        <w:spacing w:after="0" w:line="240" w:lineRule="auto"/>
      </w:pPr>
      <w:r>
        <w:continuationSeparator/>
      </w:r>
    </w:p>
  </w:footnote>
  <w:footnote w:type="continuationNotice" w:id="1">
    <w:p w:rsidR="00DF057B" w:rsidRDefault="00DF057B">
      <w:pPr>
        <w:spacing w:after="0" w:line="240" w:lineRule="auto"/>
      </w:pPr>
    </w:p>
  </w:footnote>
  <w:footnote w:id="2">
    <w:p w:rsidR="00DF057B" w:rsidRPr="00883293" w:rsidRDefault="00DF057B" w:rsidP="003413D7">
      <w:pPr>
        <w:pStyle w:val="CommentText"/>
        <w:rPr>
          <w:color w:val="186871" w:themeColor="accent5" w:themeShade="80"/>
        </w:rPr>
      </w:pPr>
      <w:r w:rsidRPr="00883293">
        <w:rPr>
          <w:rStyle w:val="FootnoteReference"/>
          <w:color w:val="186871" w:themeColor="accent5" w:themeShade="80"/>
        </w:rPr>
        <w:footnoteRef/>
      </w:r>
      <w:r w:rsidRPr="00883293">
        <w:rPr>
          <w:color w:val="186871" w:themeColor="accent5" w:themeShade="80"/>
        </w:rPr>
        <w:t xml:space="preserve"> </w:t>
      </w:r>
      <w:hyperlink r:id="rId1" w:history="1">
        <w:r w:rsidRPr="00883293">
          <w:rPr>
            <w:rStyle w:val="Hyperlink"/>
            <w:color w:val="186871" w:themeColor="accent5" w:themeShade="80"/>
          </w:rPr>
          <w:t>https://www.dss.gov.au/ending-violence</w:t>
        </w:r>
      </w:hyperlink>
    </w:p>
  </w:footnote>
  <w:footnote w:id="3">
    <w:p w:rsidR="00DF057B" w:rsidRDefault="00DF057B">
      <w:pPr>
        <w:pStyle w:val="FootnoteText"/>
      </w:pPr>
      <w:r w:rsidRPr="00883293">
        <w:rPr>
          <w:rStyle w:val="FootnoteReference"/>
          <w:color w:val="186871" w:themeColor="accent5" w:themeShade="80"/>
        </w:rPr>
        <w:footnoteRef/>
      </w:r>
      <w:r w:rsidRPr="00883293">
        <w:rPr>
          <w:color w:val="186871" w:themeColor="accent5" w:themeShade="80"/>
        </w:rPr>
        <w:t xml:space="preserve"> </w:t>
      </w:r>
      <w:hyperlink r:id="rId2">
        <w:r w:rsidRPr="00883293">
          <w:rPr>
            <w:color w:val="186871" w:themeColor="accent5" w:themeShade="80"/>
            <w:u w:val="single"/>
          </w:rPr>
          <w:t>www.grants.gov.au</w:t>
        </w:r>
      </w:hyperlink>
      <w:r w:rsidRPr="00883293">
        <w:rPr>
          <w:color w:val="186871" w:themeColor="accent5" w:themeShade="80"/>
          <w:u w:val="single"/>
        </w:rPr>
        <w:t xml:space="preserve"> </w:t>
      </w:r>
    </w:p>
  </w:footnote>
  <w:footnote w:id="4">
    <w:p w:rsidR="00DF057B" w:rsidRPr="00883293" w:rsidRDefault="00DF057B">
      <w:pPr>
        <w:pStyle w:val="FootnoteText"/>
        <w:rPr>
          <w:color w:val="186871" w:themeColor="accent5" w:themeShade="80"/>
        </w:rPr>
      </w:pPr>
      <w:r w:rsidRPr="00883293">
        <w:rPr>
          <w:rStyle w:val="FootnoteReference"/>
          <w:color w:val="186871" w:themeColor="accent5" w:themeShade="80"/>
        </w:rPr>
        <w:footnoteRef/>
      </w:r>
      <w:r w:rsidRPr="00883293">
        <w:rPr>
          <w:color w:val="186871" w:themeColor="accent5" w:themeShade="80"/>
        </w:rPr>
        <w:t xml:space="preserve"> </w:t>
      </w:r>
      <w:r w:rsidRPr="00883293">
        <w:rPr>
          <w:color w:val="186871" w:themeColor="accent5" w:themeShade="80"/>
          <w:u w:val="single"/>
        </w:rPr>
        <w:t>https://</w:t>
      </w:r>
      <w:hyperlink r:id="rId3" w:history="1">
        <w:r w:rsidRPr="00883293">
          <w:rPr>
            <w:rStyle w:val="Hyperlink"/>
            <w:color w:val="186871" w:themeColor="accent5" w:themeShade="80"/>
          </w:rPr>
          <w:t>engage.dss.gov.au</w:t>
        </w:r>
      </w:hyperlink>
    </w:p>
  </w:footnote>
  <w:footnote w:id="5">
    <w:p w:rsidR="00DF057B" w:rsidRDefault="00DF057B">
      <w:pPr>
        <w:pStyle w:val="FootnoteText"/>
      </w:pPr>
      <w:r w:rsidRPr="00883293">
        <w:rPr>
          <w:rStyle w:val="FootnoteReference"/>
          <w:color w:val="186871" w:themeColor="accent5" w:themeShade="80"/>
        </w:rPr>
        <w:footnoteRef/>
      </w:r>
      <w:r w:rsidRPr="00883293">
        <w:rPr>
          <w:color w:val="186871" w:themeColor="accent5" w:themeShade="80"/>
        </w:rPr>
        <w:t xml:space="preserve"> </w:t>
      </w:r>
      <w:hyperlink r:id="rId4" w:history="1">
        <w:r w:rsidRPr="00883293">
          <w:rPr>
            <w:rStyle w:val="Hyperlink"/>
            <w:color w:val="186871" w:themeColor="accent5" w:themeShade="80"/>
          </w:rPr>
          <w:t>Safe Places Emergency Accommodation (Safe Places) Program | Department of Social Services, Australian Government (dss.gov.au)</w:t>
        </w:r>
      </w:hyperlink>
      <w:r w:rsidRPr="00883293">
        <w:rPr>
          <w:rStyle w:val="Hyperlink"/>
          <w:color w:val="186871" w:themeColor="accent5" w:themeShade="80"/>
        </w:rPr>
        <w:t>.</w:t>
      </w:r>
    </w:p>
  </w:footnote>
  <w:footnote w:id="6">
    <w:p w:rsidR="00DF057B" w:rsidRDefault="00DF057B" w:rsidP="001E0450">
      <w:pPr>
        <w:pStyle w:val="FootnoteText"/>
      </w:pPr>
      <w:r>
        <w:rPr>
          <w:rStyle w:val="FootnoteReference"/>
        </w:rPr>
        <w:footnoteRef/>
      </w:r>
      <w:r>
        <w:t xml:space="preserve"> AIHW, </w:t>
      </w:r>
      <w:hyperlink r:id="rId5" w:history="1">
        <w:r w:rsidRPr="00883293">
          <w:rPr>
            <w:rStyle w:val="Hyperlink"/>
            <w:iCs/>
            <w:color w:val="186871" w:themeColor="accent5" w:themeShade="80"/>
          </w:rPr>
          <w:t>Specialist homelessness services annual report 2021-22</w:t>
        </w:r>
      </w:hyperlink>
      <w:r w:rsidRPr="00C1707C">
        <w:t>,</w:t>
      </w:r>
      <w:r>
        <w:t xml:space="preserve"> see Technical notes; Glossary.  </w:t>
      </w:r>
    </w:p>
  </w:footnote>
  <w:footnote w:id="7">
    <w:p w:rsidR="00DF057B" w:rsidRPr="00883293" w:rsidRDefault="00DF057B" w:rsidP="00D566B3">
      <w:pPr>
        <w:pStyle w:val="FootnoteText"/>
        <w:rPr>
          <w:color w:val="186871" w:themeColor="accent5" w:themeShade="80"/>
        </w:rPr>
      </w:pPr>
      <w:r w:rsidRPr="00883293">
        <w:rPr>
          <w:rStyle w:val="FootnoteReference"/>
          <w:color w:val="186871" w:themeColor="accent5" w:themeShade="80"/>
        </w:rPr>
        <w:footnoteRef/>
      </w:r>
      <w:r w:rsidRPr="00883293">
        <w:rPr>
          <w:color w:val="186871" w:themeColor="accent5" w:themeShade="80"/>
        </w:rPr>
        <w:t xml:space="preserve"> </w:t>
      </w:r>
      <w:hyperlink r:id="rId6" w:history="1">
        <w:r w:rsidRPr="00883293">
          <w:rPr>
            <w:rStyle w:val="Hyperlink"/>
            <w:color w:val="186871" w:themeColor="accent5" w:themeShade="80"/>
          </w:rPr>
          <w:t>Canadian National Occupancy Standard (aihw.gov.au)</w:t>
        </w:r>
      </w:hyperlink>
    </w:p>
  </w:footnote>
  <w:footnote w:id="8">
    <w:p w:rsidR="00DF057B" w:rsidRDefault="00DF057B" w:rsidP="00D566B3">
      <w:pPr>
        <w:pStyle w:val="FootnoteText"/>
      </w:pPr>
      <w:r>
        <w:rPr>
          <w:rStyle w:val="FootnoteReference"/>
        </w:rPr>
        <w:footnoteRef/>
      </w:r>
      <w:r>
        <w:t xml:space="preserve"> This includes</w:t>
      </w:r>
      <w:r w:rsidRPr="000C546A">
        <w:t xml:space="preserve"> the more detailed </w:t>
      </w:r>
      <w:r>
        <w:t>parameters for overcrowding</w:t>
      </w:r>
      <w:r w:rsidRPr="000C546A">
        <w:t xml:space="preserve"> relating to the age and gender of children</w:t>
      </w:r>
      <w:r>
        <w:t xml:space="preserve"> for permanent housing</w:t>
      </w:r>
      <w:r w:rsidRPr="000C546A">
        <w:t>.</w:t>
      </w:r>
    </w:p>
  </w:footnote>
  <w:footnote w:id="9">
    <w:p w:rsidR="00DF057B" w:rsidRDefault="00DF057B">
      <w:pPr>
        <w:pStyle w:val="FootnoteText"/>
      </w:pPr>
      <w:r>
        <w:rPr>
          <w:rStyle w:val="FootnoteReference"/>
        </w:rPr>
        <w:footnoteRef/>
      </w:r>
      <w:r>
        <w:t xml:space="preserve"> </w:t>
      </w:r>
      <w:hyperlink r:id="rId7" w:history="1">
        <w:r w:rsidRPr="00883293">
          <w:rPr>
            <w:rStyle w:val="Hyperlink"/>
            <w:color w:val="186871" w:themeColor="accent5" w:themeShade="80"/>
          </w:rPr>
          <w:t>Design guide for refuge accommodation for women and children (apo.org.au)</w:t>
        </w:r>
      </w:hyperlink>
      <w:r w:rsidRPr="00883293">
        <w:rPr>
          <w:color w:val="186871" w:themeColor="accent5" w:themeShade="80"/>
        </w:rPr>
        <w:t>.</w:t>
      </w:r>
    </w:p>
  </w:footnote>
  <w:footnote w:id="10">
    <w:p w:rsidR="00DF057B" w:rsidRDefault="00DF057B">
      <w:pPr>
        <w:pStyle w:val="FootnoteText"/>
      </w:pPr>
      <w:r>
        <w:rPr>
          <w:rStyle w:val="FootnoteReference"/>
        </w:rPr>
        <w:footnoteRef/>
      </w:r>
      <w:r w:rsidRPr="00883293">
        <w:rPr>
          <w:color w:val="186871" w:themeColor="accent5" w:themeShade="80"/>
        </w:rPr>
        <w:t xml:space="preserve"> </w:t>
      </w:r>
      <w:hyperlink r:id="rId8" w:history="1">
        <w:r w:rsidRPr="00883293">
          <w:rPr>
            <w:rStyle w:val="Hyperlink"/>
            <w:color w:val="186871" w:themeColor="accent5" w:themeShade="80"/>
          </w:rPr>
          <w:t>Design guidelines (livablehousingaustralia.org.au)</w:t>
        </w:r>
      </w:hyperlink>
    </w:p>
  </w:footnote>
  <w:footnote w:id="11">
    <w:p w:rsidR="00DF057B" w:rsidRDefault="00DF057B" w:rsidP="002908FF">
      <w:pPr>
        <w:pStyle w:val="FootnoteText"/>
      </w:pPr>
      <w:r w:rsidRPr="00883293">
        <w:rPr>
          <w:rStyle w:val="FootnoteReference"/>
          <w:color w:val="186871" w:themeColor="accent5" w:themeShade="80"/>
        </w:rPr>
        <w:footnoteRef/>
      </w:r>
      <w:r w:rsidRPr="00883293">
        <w:rPr>
          <w:color w:val="186871" w:themeColor="accent5" w:themeShade="80"/>
        </w:rPr>
        <w:t xml:space="preserve"> </w:t>
      </w:r>
      <w:hyperlink r:id="rId9" w:history="1">
        <w:r w:rsidRPr="00883293">
          <w:rPr>
            <w:rStyle w:val="Hyperlink"/>
            <w:color w:val="186871" w:themeColor="accent5" w:themeShade="80"/>
          </w:rPr>
          <w:t>Safe Places Emergency Accommodation (Safe Places) Program | Department of Social Services, Australian Government (dss.gov.au)</w:t>
        </w:r>
      </w:hyperlink>
      <w:r w:rsidRPr="00883293">
        <w:rPr>
          <w:rStyle w:val="Hyperlink"/>
          <w:color w:val="186871" w:themeColor="accent5" w:themeShade="80"/>
        </w:rPr>
        <w:t>.</w:t>
      </w:r>
    </w:p>
  </w:footnote>
  <w:footnote w:id="12">
    <w:p w:rsidR="00DF057B" w:rsidRDefault="00DF057B">
      <w:pPr>
        <w:pStyle w:val="FootnoteText"/>
      </w:pPr>
      <w:r w:rsidRPr="009A1F50">
        <w:rPr>
          <w:rStyle w:val="FootnoteReference"/>
          <w:color w:val="186871" w:themeColor="accent5" w:themeShade="80"/>
        </w:rPr>
        <w:footnoteRef/>
      </w:r>
      <w:r w:rsidRPr="009A1F50">
        <w:rPr>
          <w:color w:val="186871" w:themeColor="accent5" w:themeShade="80"/>
        </w:rPr>
        <w:t xml:space="preserve"> </w:t>
      </w:r>
      <w:hyperlink r:id="rId10" w:history="1">
        <w:r w:rsidRPr="009A1F50">
          <w:rPr>
            <w:rStyle w:val="Hyperlink"/>
            <w:color w:val="186871" w:themeColor="accent5" w:themeShade="80"/>
          </w:rPr>
          <w:t>National Principles for Child Safe Organisations | National Office for Child Safety</w:t>
        </w:r>
      </w:hyperlink>
    </w:p>
  </w:footnote>
  <w:footnote w:id="13">
    <w:p w:rsidR="00DF057B" w:rsidRDefault="00DF057B">
      <w:pPr>
        <w:pStyle w:val="FootnoteText"/>
      </w:pPr>
      <w:r w:rsidRPr="009A1F50">
        <w:rPr>
          <w:rStyle w:val="FootnoteReference"/>
          <w:color w:val="186871" w:themeColor="accent5" w:themeShade="80"/>
        </w:rPr>
        <w:footnoteRef/>
      </w:r>
      <w:r w:rsidRPr="009A1F50">
        <w:rPr>
          <w:color w:val="186871" w:themeColor="accent5" w:themeShade="80"/>
        </w:rPr>
        <w:t xml:space="preserve"> </w:t>
      </w:r>
      <w:hyperlink r:id="rId11" w:history="1">
        <w:r w:rsidRPr="009A1F50">
          <w:rPr>
            <w:rStyle w:val="Hyperlink"/>
            <w:color w:val="186871" w:themeColor="accent5" w:themeShade="80"/>
          </w:rPr>
          <w:t>Keeping Women Safe in their Homes | Department of Social Services, Australian Government (dss.gov.au)</w:t>
        </w:r>
      </w:hyperlink>
    </w:p>
  </w:footnote>
  <w:footnote w:id="14">
    <w:p w:rsidR="00DF057B" w:rsidRDefault="00DF057B">
      <w:pPr>
        <w:pStyle w:val="FootnoteText"/>
      </w:pPr>
      <w:r>
        <w:rPr>
          <w:rStyle w:val="FootnoteReference"/>
        </w:rPr>
        <w:footnoteRef/>
      </w:r>
      <w:r>
        <w:t xml:space="preserve"> </w:t>
      </w:r>
      <w:hyperlink r:id="rId12" w:history="1">
        <w:r w:rsidRPr="00EF2DDD">
          <w:rPr>
            <w:rStyle w:val="Hyperlink"/>
            <w:color w:val="239CA9" w:themeColor="accent5" w:themeShade="BF"/>
          </w:rPr>
          <w:t>https://awava.org.au/2020/12/09/research-and-reports/good-practice-principles-in-addressing-sexual-and-gender-based-violence</w:t>
        </w:r>
      </w:hyperlink>
      <w:r w:rsidRPr="00EF2DDD">
        <w:rPr>
          <w:color w:val="239CA9" w:themeColor="accent5" w:themeShade="BF"/>
        </w:rPr>
        <w:t xml:space="preserve"> </w:t>
      </w:r>
    </w:p>
  </w:footnote>
  <w:footnote w:id="15">
    <w:p w:rsidR="00DF057B" w:rsidRDefault="00DF057B" w:rsidP="00642DE6">
      <w:pPr>
        <w:pStyle w:val="FootnoteText"/>
      </w:pPr>
      <w:r w:rsidRPr="009A1F50">
        <w:rPr>
          <w:rStyle w:val="FootnoteReference"/>
          <w:color w:val="186871" w:themeColor="accent5" w:themeShade="80"/>
        </w:rPr>
        <w:footnoteRef/>
      </w:r>
      <w:r w:rsidRPr="009A1F50">
        <w:rPr>
          <w:color w:val="186871" w:themeColor="accent5" w:themeShade="80"/>
        </w:rPr>
        <w:t xml:space="preserve"> </w:t>
      </w:r>
      <w:hyperlink r:id="rId13" w:history="1">
        <w:r w:rsidRPr="009A1F50">
          <w:rPr>
            <w:rStyle w:val="Hyperlink"/>
            <w:color w:val="186871" w:themeColor="accent5" w:themeShade="80"/>
          </w:rPr>
          <w:t>Safe Places Emergency Accommodation (Safe Places) Program | Department of Social Services, Australian Government (dss.gov.au)</w:t>
        </w:r>
      </w:hyperlink>
      <w:r w:rsidRPr="009A1F50">
        <w:rPr>
          <w:rStyle w:val="Hyperlink"/>
          <w:color w:val="186871" w:themeColor="accent5" w:themeShade="8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C5A67"/>
    <w:multiLevelType w:val="hybridMultilevel"/>
    <w:tmpl w:val="2B4447BA"/>
    <w:lvl w:ilvl="0" w:tplc="0D28FA2E">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D769A8"/>
    <w:multiLevelType w:val="hybridMultilevel"/>
    <w:tmpl w:val="DE6456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0C115F"/>
    <w:multiLevelType w:val="hybridMultilevel"/>
    <w:tmpl w:val="00F2C3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BA051B"/>
    <w:multiLevelType w:val="hybridMultilevel"/>
    <w:tmpl w:val="09A69E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C773D6"/>
    <w:multiLevelType w:val="multilevel"/>
    <w:tmpl w:val="4B405726"/>
    <w:styleLink w:val="CulperBulletList"/>
    <w:lvl w:ilvl="0">
      <w:start w:val="1"/>
      <w:numFmt w:val="bullet"/>
      <w:lvlText w:val=""/>
      <w:lvlJc w:val="left"/>
      <w:pPr>
        <w:ind w:left="340" w:hanging="340"/>
      </w:pPr>
      <w:rPr>
        <w:rFonts w:ascii="Wingdings 2" w:hAnsi="Wingdings 2" w:hint="default"/>
        <w:b w:val="0"/>
        <w:i w:val="0"/>
        <w:color w:val="EEECE1" w:themeColor="background2"/>
        <w:sz w:val="24"/>
      </w:rPr>
    </w:lvl>
    <w:lvl w:ilvl="1">
      <w:start w:val="1"/>
      <w:numFmt w:val="bullet"/>
      <w:lvlText w:val=""/>
      <w:lvlJc w:val="left"/>
      <w:pPr>
        <w:ind w:left="680" w:hanging="340"/>
      </w:pPr>
      <w:rPr>
        <w:rFonts w:ascii="Symbol" w:hAnsi="Symbol" w:hint="default"/>
        <w:color w:val="1F497D" w:themeColor="text2"/>
      </w:rPr>
    </w:lvl>
    <w:lvl w:ilvl="2">
      <w:start w:val="1"/>
      <w:numFmt w:val="bullet"/>
      <w:lvlText w:val=""/>
      <w:lvlJc w:val="left"/>
      <w:pPr>
        <w:ind w:left="1021" w:hanging="341"/>
      </w:pPr>
      <w:rPr>
        <w:rFonts w:ascii="Wingdings" w:hAnsi="Wingdings" w:hint="default"/>
        <w:color w:val="EEECE1" w:themeColor="background2"/>
        <w:u w:color="1F497D" w:themeColor="text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7A1473"/>
    <w:multiLevelType w:val="hybridMultilevel"/>
    <w:tmpl w:val="E750A466"/>
    <w:lvl w:ilvl="0" w:tplc="6CC41E3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BD12E7"/>
    <w:multiLevelType w:val="multilevel"/>
    <w:tmpl w:val="E61ED49C"/>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Calibri" w:hAnsi="Calibri"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CB1766D"/>
    <w:multiLevelType w:val="multilevel"/>
    <w:tmpl w:val="C714DA7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1C344B"/>
    <w:multiLevelType w:val="singleLevel"/>
    <w:tmpl w:val="50D09D28"/>
    <w:lvl w:ilvl="0">
      <w:numFmt w:val="bullet"/>
      <w:pStyle w:val="Bulletlist"/>
      <w:lvlText w:val="-"/>
      <w:lvlJc w:val="left"/>
      <w:pPr>
        <w:ind w:left="340" w:hanging="340"/>
      </w:pPr>
      <w:rPr>
        <w:rFonts w:ascii="Arial" w:eastAsiaTheme="minorHAnsi" w:hAnsi="Arial" w:cs="Arial" w:hint="default"/>
        <w:b w:val="0"/>
        <w:i w:val="0"/>
        <w:color w:val="EEECE1" w:themeColor="background2"/>
        <w:sz w:val="24"/>
      </w:rPr>
    </w:lvl>
  </w:abstractNum>
  <w:abstractNum w:abstractNumId="9" w15:restartNumberingAfterBreak="0">
    <w:nsid w:val="288D6451"/>
    <w:multiLevelType w:val="hybridMultilevel"/>
    <w:tmpl w:val="E750A466"/>
    <w:lvl w:ilvl="0" w:tplc="6CC41E3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C11127"/>
    <w:multiLevelType w:val="hybridMultilevel"/>
    <w:tmpl w:val="89E0C1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9138CC"/>
    <w:multiLevelType w:val="multilevel"/>
    <w:tmpl w:val="922C220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rPr>
        <w:b/>
        <w:i w:val="0"/>
        <w:color w:val="186871" w:themeColor="accent5" w:themeShade="80"/>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40901C7E"/>
    <w:multiLevelType w:val="hybridMultilevel"/>
    <w:tmpl w:val="A66AA29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46237A93"/>
    <w:multiLevelType w:val="hybridMultilevel"/>
    <w:tmpl w:val="67C8D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293226"/>
    <w:multiLevelType w:val="hybridMultilevel"/>
    <w:tmpl w:val="33C22B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C297A90"/>
    <w:multiLevelType w:val="hybridMultilevel"/>
    <w:tmpl w:val="73529B8E"/>
    <w:lvl w:ilvl="0" w:tplc="B5D645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EF1D10"/>
    <w:multiLevelType w:val="hybridMultilevel"/>
    <w:tmpl w:val="DE6456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D93105E"/>
    <w:multiLevelType w:val="multilevel"/>
    <w:tmpl w:val="3F3A1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0"/>
  </w:num>
  <w:num w:numId="3">
    <w:abstractNumId w:val="15"/>
  </w:num>
  <w:num w:numId="4">
    <w:abstractNumId w:val="3"/>
  </w:num>
  <w:num w:numId="5">
    <w:abstractNumId w:val="0"/>
  </w:num>
  <w:num w:numId="6">
    <w:abstractNumId w:val="2"/>
  </w:num>
  <w:num w:numId="7">
    <w:abstractNumId w:val="1"/>
  </w:num>
  <w:num w:numId="8">
    <w:abstractNumId w:val="8"/>
  </w:num>
  <w:num w:numId="9">
    <w:abstractNumId w:val="4"/>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6"/>
  </w:num>
  <w:num w:numId="14">
    <w:abstractNumId w:val="6"/>
  </w:num>
  <w:num w:numId="15">
    <w:abstractNumId w:val="17"/>
  </w:num>
  <w:num w:numId="16">
    <w:abstractNumId w:val="13"/>
  </w:num>
  <w:num w:numId="17">
    <w:abstractNumId w:val="12"/>
  </w:num>
  <w:num w:numId="18">
    <w:abstractNumId w:val="9"/>
  </w:num>
  <w:num w:numId="19">
    <w:abstractNumId w:val="11"/>
  </w:num>
  <w:num w:numId="20">
    <w:abstractNumId w:val="11"/>
  </w:num>
  <w:num w:numId="21">
    <w:abstractNumId w:val="11"/>
  </w:num>
  <w:num w:numId="22">
    <w:abstractNumId w:val="11"/>
  </w:num>
  <w:num w:numId="23">
    <w:abstractNumId w:val="11"/>
  </w:num>
  <w:num w:numId="24">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FCB"/>
    <w:rsid w:val="000003D6"/>
    <w:rsid w:val="000028C5"/>
    <w:rsid w:val="00002DEF"/>
    <w:rsid w:val="00005633"/>
    <w:rsid w:val="000060CD"/>
    <w:rsid w:val="000078FF"/>
    <w:rsid w:val="00010269"/>
    <w:rsid w:val="00016BE7"/>
    <w:rsid w:val="000178A9"/>
    <w:rsid w:val="0002202A"/>
    <w:rsid w:val="00023F79"/>
    <w:rsid w:val="0002400C"/>
    <w:rsid w:val="00027577"/>
    <w:rsid w:val="000317DE"/>
    <w:rsid w:val="00031878"/>
    <w:rsid w:val="0003363E"/>
    <w:rsid w:val="00043ABA"/>
    <w:rsid w:val="00051872"/>
    <w:rsid w:val="00056377"/>
    <w:rsid w:val="00057D93"/>
    <w:rsid w:val="00063033"/>
    <w:rsid w:val="00063832"/>
    <w:rsid w:val="000659C6"/>
    <w:rsid w:val="00067422"/>
    <w:rsid w:val="00067911"/>
    <w:rsid w:val="00070204"/>
    <w:rsid w:val="000718B2"/>
    <w:rsid w:val="00071E79"/>
    <w:rsid w:val="00073767"/>
    <w:rsid w:val="0008151A"/>
    <w:rsid w:val="000829CC"/>
    <w:rsid w:val="00086F59"/>
    <w:rsid w:val="00087559"/>
    <w:rsid w:val="000907F8"/>
    <w:rsid w:val="00091755"/>
    <w:rsid w:val="00096F75"/>
    <w:rsid w:val="00097657"/>
    <w:rsid w:val="00097D9A"/>
    <w:rsid w:val="000A6FB4"/>
    <w:rsid w:val="000B0AEF"/>
    <w:rsid w:val="000B0EB0"/>
    <w:rsid w:val="000B1A1C"/>
    <w:rsid w:val="000B324F"/>
    <w:rsid w:val="000B6E9D"/>
    <w:rsid w:val="000C191B"/>
    <w:rsid w:val="000D38DC"/>
    <w:rsid w:val="000D3CC3"/>
    <w:rsid w:val="000D58C5"/>
    <w:rsid w:val="000D5A7F"/>
    <w:rsid w:val="000E4349"/>
    <w:rsid w:val="000E6563"/>
    <w:rsid w:val="000F2902"/>
    <w:rsid w:val="000F3099"/>
    <w:rsid w:val="000F78CF"/>
    <w:rsid w:val="001031B3"/>
    <w:rsid w:val="00103218"/>
    <w:rsid w:val="00104CFE"/>
    <w:rsid w:val="0011102A"/>
    <w:rsid w:val="001138F8"/>
    <w:rsid w:val="00113B2C"/>
    <w:rsid w:val="001154F3"/>
    <w:rsid w:val="001202A5"/>
    <w:rsid w:val="00122B06"/>
    <w:rsid w:val="00122C01"/>
    <w:rsid w:val="00124093"/>
    <w:rsid w:val="00126AB6"/>
    <w:rsid w:val="00127ACA"/>
    <w:rsid w:val="0013038A"/>
    <w:rsid w:val="00131525"/>
    <w:rsid w:val="00132554"/>
    <w:rsid w:val="0013495B"/>
    <w:rsid w:val="0014071B"/>
    <w:rsid w:val="00141A34"/>
    <w:rsid w:val="00141D3B"/>
    <w:rsid w:val="001422BF"/>
    <w:rsid w:val="00142E5D"/>
    <w:rsid w:val="001539B1"/>
    <w:rsid w:val="00157D6E"/>
    <w:rsid w:val="00164F01"/>
    <w:rsid w:val="00164FA1"/>
    <w:rsid w:val="00166BAD"/>
    <w:rsid w:val="00167305"/>
    <w:rsid w:val="0017185D"/>
    <w:rsid w:val="00173109"/>
    <w:rsid w:val="00173F41"/>
    <w:rsid w:val="00177B63"/>
    <w:rsid w:val="001809AB"/>
    <w:rsid w:val="00185255"/>
    <w:rsid w:val="001877FC"/>
    <w:rsid w:val="00187D32"/>
    <w:rsid w:val="00191A9F"/>
    <w:rsid w:val="00191D14"/>
    <w:rsid w:val="00192C00"/>
    <w:rsid w:val="00192D99"/>
    <w:rsid w:val="00195694"/>
    <w:rsid w:val="00195B7F"/>
    <w:rsid w:val="0019781A"/>
    <w:rsid w:val="001A2F39"/>
    <w:rsid w:val="001A2F67"/>
    <w:rsid w:val="001A7E65"/>
    <w:rsid w:val="001B012B"/>
    <w:rsid w:val="001B2B57"/>
    <w:rsid w:val="001C16F1"/>
    <w:rsid w:val="001C3142"/>
    <w:rsid w:val="001C6A10"/>
    <w:rsid w:val="001D0C51"/>
    <w:rsid w:val="001D0D5F"/>
    <w:rsid w:val="001D5A97"/>
    <w:rsid w:val="001D78B8"/>
    <w:rsid w:val="001E0450"/>
    <w:rsid w:val="001E1372"/>
    <w:rsid w:val="001E1745"/>
    <w:rsid w:val="001E17DF"/>
    <w:rsid w:val="001E2301"/>
    <w:rsid w:val="001E3C34"/>
    <w:rsid w:val="001E630D"/>
    <w:rsid w:val="001E7A27"/>
    <w:rsid w:val="001E7CB7"/>
    <w:rsid w:val="001F2234"/>
    <w:rsid w:val="001F2564"/>
    <w:rsid w:val="001F4DB2"/>
    <w:rsid w:val="001F6B80"/>
    <w:rsid w:val="001F7938"/>
    <w:rsid w:val="0020050F"/>
    <w:rsid w:val="00201930"/>
    <w:rsid w:val="00204DF9"/>
    <w:rsid w:val="002062CC"/>
    <w:rsid w:val="00211D7F"/>
    <w:rsid w:val="00211F4F"/>
    <w:rsid w:val="00214DC3"/>
    <w:rsid w:val="0021653C"/>
    <w:rsid w:val="002170E0"/>
    <w:rsid w:val="0022240F"/>
    <w:rsid w:val="002264DD"/>
    <w:rsid w:val="00232B05"/>
    <w:rsid w:val="00235546"/>
    <w:rsid w:val="00245C30"/>
    <w:rsid w:val="00245DBF"/>
    <w:rsid w:val="002468DB"/>
    <w:rsid w:val="00247BE2"/>
    <w:rsid w:val="00263211"/>
    <w:rsid w:val="00266C57"/>
    <w:rsid w:val="00273113"/>
    <w:rsid w:val="0027485A"/>
    <w:rsid w:val="002813FD"/>
    <w:rsid w:val="00282AAF"/>
    <w:rsid w:val="00284DC9"/>
    <w:rsid w:val="00285242"/>
    <w:rsid w:val="00285650"/>
    <w:rsid w:val="002908FF"/>
    <w:rsid w:val="00296585"/>
    <w:rsid w:val="002A2677"/>
    <w:rsid w:val="002A7DB0"/>
    <w:rsid w:val="002B0451"/>
    <w:rsid w:val="002B0C8B"/>
    <w:rsid w:val="002B2227"/>
    <w:rsid w:val="002B2390"/>
    <w:rsid w:val="002B244E"/>
    <w:rsid w:val="002B51FD"/>
    <w:rsid w:val="002B5CB6"/>
    <w:rsid w:val="002C08F5"/>
    <w:rsid w:val="002C1615"/>
    <w:rsid w:val="002C2C8C"/>
    <w:rsid w:val="002C32B6"/>
    <w:rsid w:val="002D0620"/>
    <w:rsid w:val="002D290A"/>
    <w:rsid w:val="002D4119"/>
    <w:rsid w:val="002D63F7"/>
    <w:rsid w:val="002D6AF5"/>
    <w:rsid w:val="002D7B73"/>
    <w:rsid w:val="002E15B3"/>
    <w:rsid w:val="002E1678"/>
    <w:rsid w:val="003000E5"/>
    <w:rsid w:val="00302ACA"/>
    <w:rsid w:val="00302FD6"/>
    <w:rsid w:val="00305B05"/>
    <w:rsid w:val="00305D8E"/>
    <w:rsid w:val="00306FD4"/>
    <w:rsid w:val="00313BE7"/>
    <w:rsid w:val="00316AEB"/>
    <w:rsid w:val="003179E2"/>
    <w:rsid w:val="003230F1"/>
    <w:rsid w:val="003232DF"/>
    <w:rsid w:val="003271FA"/>
    <w:rsid w:val="003323A9"/>
    <w:rsid w:val="00332A8B"/>
    <w:rsid w:val="00336BA5"/>
    <w:rsid w:val="00337B9E"/>
    <w:rsid w:val="003413D7"/>
    <w:rsid w:val="00341B7B"/>
    <w:rsid w:val="0034334D"/>
    <w:rsid w:val="00343613"/>
    <w:rsid w:val="00343C52"/>
    <w:rsid w:val="003473A5"/>
    <w:rsid w:val="003525CC"/>
    <w:rsid w:val="00356D55"/>
    <w:rsid w:val="00356F20"/>
    <w:rsid w:val="00361A2C"/>
    <w:rsid w:val="003665D9"/>
    <w:rsid w:val="0036770A"/>
    <w:rsid w:val="00367E43"/>
    <w:rsid w:val="00370ACD"/>
    <w:rsid w:val="00370DEA"/>
    <w:rsid w:val="003750D2"/>
    <w:rsid w:val="00382667"/>
    <w:rsid w:val="00382715"/>
    <w:rsid w:val="00383397"/>
    <w:rsid w:val="00383DA5"/>
    <w:rsid w:val="00385870"/>
    <w:rsid w:val="0038750F"/>
    <w:rsid w:val="00390A70"/>
    <w:rsid w:val="00393A85"/>
    <w:rsid w:val="003A2600"/>
    <w:rsid w:val="003A35FA"/>
    <w:rsid w:val="003A5972"/>
    <w:rsid w:val="003A7A7C"/>
    <w:rsid w:val="003B051C"/>
    <w:rsid w:val="003B2BB8"/>
    <w:rsid w:val="003B43F9"/>
    <w:rsid w:val="003B506D"/>
    <w:rsid w:val="003B5ACD"/>
    <w:rsid w:val="003B68E7"/>
    <w:rsid w:val="003C05E0"/>
    <w:rsid w:val="003C2FC9"/>
    <w:rsid w:val="003D256D"/>
    <w:rsid w:val="003D34FF"/>
    <w:rsid w:val="003D5F1A"/>
    <w:rsid w:val="003D61DD"/>
    <w:rsid w:val="003E051F"/>
    <w:rsid w:val="003E0A36"/>
    <w:rsid w:val="003E3196"/>
    <w:rsid w:val="003E34DF"/>
    <w:rsid w:val="003E63F2"/>
    <w:rsid w:val="003E7123"/>
    <w:rsid w:val="003F161A"/>
    <w:rsid w:val="003F37D8"/>
    <w:rsid w:val="0040405E"/>
    <w:rsid w:val="00411092"/>
    <w:rsid w:val="00412F70"/>
    <w:rsid w:val="00413924"/>
    <w:rsid w:val="00416804"/>
    <w:rsid w:val="00422061"/>
    <w:rsid w:val="00423C2A"/>
    <w:rsid w:val="0042558F"/>
    <w:rsid w:val="00425A6E"/>
    <w:rsid w:val="0042614F"/>
    <w:rsid w:val="00427E9F"/>
    <w:rsid w:val="00432E86"/>
    <w:rsid w:val="00432EE9"/>
    <w:rsid w:val="00433E6F"/>
    <w:rsid w:val="0043491A"/>
    <w:rsid w:val="00437AFE"/>
    <w:rsid w:val="004430D5"/>
    <w:rsid w:val="0044318C"/>
    <w:rsid w:val="00443519"/>
    <w:rsid w:val="00446C82"/>
    <w:rsid w:val="00455E12"/>
    <w:rsid w:val="0046031E"/>
    <w:rsid w:val="00462182"/>
    <w:rsid w:val="004653B3"/>
    <w:rsid w:val="00466EAF"/>
    <w:rsid w:val="00467048"/>
    <w:rsid w:val="00467537"/>
    <w:rsid w:val="004702CF"/>
    <w:rsid w:val="00472195"/>
    <w:rsid w:val="004755B3"/>
    <w:rsid w:val="004759AF"/>
    <w:rsid w:val="00475FFA"/>
    <w:rsid w:val="00481C24"/>
    <w:rsid w:val="004853DE"/>
    <w:rsid w:val="0048747B"/>
    <w:rsid w:val="00493ECB"/>
    <w:rsid w:val="004952DB"/>
    <w:rsid w:val="00497C93"/>
    <w:rsid w:val="004A086B"/>
    <w:rsid w:val="004A0E2C"/>
    <w:rsid w:val="004A2955"/>
    <w:rsid w:val="004A3D38"/>
    <w:rsid w:val="004A482F"/>
    <w:rsid w:val="004B54CA"/>
    <w:rsid w:val="004C1BAA"/>
    <w:rsid w:val="004C2EA9"/>
    <w:rsid w:val="004C45EA"/>
    <w:rsid w:val="004C5C8A"/>
    <w:rsid w:val="004D063B"/>
    <w:rsid w:val="004D4EAB"/>
    <w:rsid w:val="004D57D5"/>
    <w:rsid w:val="004D6A9C"/>
    <w:rsid w:val="004D7E06"/>
    <w:rsid w:val="004E3232"/>
    <w:rsid w:val="004E4D4C"/>
    <w:rsid w:val="004E5CBF"/>
    <w:rsid w:val="004E6D82"/>
    <w:rsid w:val="004F004E"/>
    <w:rsid w:val="004F0E5F"/>
    <w:rsid w:val="004F34B6"/>
    <w:rsid w:val="004F3706"/>
    <w:rsid w:val="004F56D9"/>
    <w:rsid w:val="004F57F8"/>
    <w:rsid w:val="004F63FC"/>
    <w:rsid w:val="00506BB2"/>
    <w:rsid w:val="0050764C"/>
    <w:rsid w:val="00510CE1"/>
    <w:rsid w:val="0051291A"/>
    <w:rsid w:val="00513F83"/>
    <w:rsid w:val="00521F5F"/>
    <w:rsid w:val="005250BD"/>
    <w:rsid w:val="00525DC8"/>
    <w:rsid w:val="00526BBF"/>
    <w:rsid w:val="00527765"/>
    <w:rsid w:val="00530F72"/>
    <w:rsid w:val="005320E2"/>
    <w:rsid w:val="005341CB"/>
    <w:rsid w:val="005348B2"/>
    <w:rsid w:val="00536257"/>
    <w:rsid w:val="005369A0"/>
    <w:rsid w:val="00536C3F"/>
    <w:rsid w:val="00546607"/>
    <w:rsid w:val="0055070A"/>
    <w:rsid w:val="00557136"/>
    <w:rsid w:val="005610F1"/>
    <w:rsid w:val="00561420"/>
    <w:rsid w:val="00563635"/>
    <w:rsid w:val="00565544"/>
    <w:rsid w:val="00565668"/>
    <w:rsid w:val="0057373A"/>
    <w:rsid w:val="00580A08"/>
    <w:rsid w:val="005816E5"/>
    <w:rsid w:val="00582198"/>
    <w:rsid w:val="00583AA8"/>
    <w:rsid w:val="00583BF9"/>
    <w:rsid w:val="0058752B"/>
    <w:rsid w:val="00590463"/>
    <w:rsid w:val="0059289C"/>
    <w:rsid w:val="00594313"/>
    <w:rsid w:val="005A0FD1"/>
    <w:rsid w:val="005A42C7"/>
    <w:rsid w:val="005B2113"/>
    <w:rsid w:val="005C0610"/>
    <w:rsid w:val="005C1439"/>
    <w:rsid w:val="005C2284"/>
    <w:rsid w:val="005C2E3A"/>
    <w:rsid w:val="005C3AA9"/>
    <w:rsid w:val="005C4E6E"/>
    <w:rsid w:val="005D05D6"/>
    <w:rsid w:val="005D1F57"/>
    <w:rsid w:val="005D2F5F"/>
    <w:rsid w:val="005E4F03"/>
    <w:rsid w:val="005E7523"/>
    <w:rsid w:val="005F0338"/>
    <w:rsid w:val="005F1C3E"/>
    <w:rsid w:val="005F2625"/>
    <w:rsid w:val="005F453C"/>
    <w:rsid w:val="00600F31"/>
    <w:rsid w:val="0060145D"/>
    <w:rsid w:val="0060542F"/>
    <w:rsid w:val="00610058"/>
    <w:rsid w:val="00616DC5"/>
    <w:rsid w:val="00621FC5"/>
    <w:rsid w:val="006261A8"/>
    <w:rsid w:val="00631EFB"/>
    <w:rsid w:val="00637B02"/>
    <w:rsid w:val="00640B48"/>
    <w:rsid w:val="00642DE6"/>
    <w:rsid w:val="00643E6E"/>
    <w:rsid w:val="00644C0B"/>
    <w:rsid w:val="006459D9"/>
    <w:rsid w:val="0064702A"/>
    <w:rsid w:val="00655381"/>
    <w:rsid w:val="0065591F"/>
    <w:rsid w:val="00656B4D"/>
    <w:rsid w:val="00662BE7"/>
    <w:rsid w:val="0066355E"/>
    <w:rsid w:val="00667E50"/>
    <w:rsid w:val="0067332C"/>
    <w:rsid w:val="00675EBA"/>
    <w:rsid w:val="0067670F"/>
    <w:rsid w:val="00683A84"/>
    <w:rsid w:val="00685B4A"/>
    <w:rsid w:val="00690B57"/>
    <w:rsid w:val="0069455F"/>
    <w:rsid w:val="00697422"/>
    <w:rsid w:val="00697C31"/>
    <w:rsid w:val="006A0F68"/>
    <w:rsid w:val="006A216B"/>
    <w:rsid w:val="006A27A0"/>
    <w:rsid w:val="006A37A7"/>
    <w:rsid w:val="006A445F"/>
    <w:rsid w:val="006A4CE7"/>
    <w:rsid w:val="006B4579"/>
    <w:rsid w:val="006B7C63"/>
    <w:rsid w:val="006B7D89"/>
    <w:rsid w:val="006C3E82"/>
    <w:rsid w:val="006C45B0"/>
    <w:rsid w:val="006C58C3"/>
    <w:rsid w:val="006D21C5"/>
    <w:rsid w:val="006D4D2D"/>
    <w:rsid w:val="006D73CB"/>
    <w:rsid w:val="006E05D5"/>
    <w:rsid w:val="006E376A"/>
    <w:rsid w:val="006E4CC0"/>
    <w:rsid w:val="006E528A"/>
    <w:rsid w:val="006F0EBF"/>
    <w:rsid w:val="00701F2E"/>
    <w:rsid w:val="0070417E"/>
    <w:rsid w:val="0070538B"/>
    <w:rsid w:val="00705E37"/>
    <w:rsid w:val="00706CA2"/>
    <w:rsid w:val="0071161B"/>
    <w:rsid w:val="00711B23"/>
    <w:rsid w:val="00712228"/>
    <w:rsid w:val="007141B2"/>
    <w:rsid w:val="007160DD"/>
    <w:rsid w:val="007245BE"/>
    <w:rsid w:val="007245E6"/>
    <w:rsid w:val="007253CD"/>
    <w:rsid w:val="007253D0"/>
    <w:rsid w:val="00735DF2"/>
    <w:rsid w:val="00743C4B"/>
    <w:rsid w:val="007514BE"/>
    <w:rsid w:val="00752CE7"/>
    <w:rsid w:val="00756595"/>
    <w:rsid w:val="00760F2D"/>
    <w:rsid w:val="0076335B"/>
    <w:rsid w:val="0076767D"/>
    <w:rsid w:val="007720F1"/>
    <w:rsid w:val="007729F8"/>
    <w:rsid w:val="0077367F"/>
    <w:rsid w:val="00773C60"/>
    <w:rsid w:val="007743AF"/>
    <w:rsid w:val="007772C7"/>
    <w:rsid w:val="00780CC3"/>
    <w:rsid w:val="00781323"/>
    <w:rsid w:val="007835ED"/>
    <w:rsid w:val="00783BE6"/>
    <w:rsid w:val="00785261"/>
    <w:rsid w:val="00790C9B"/>
    <w:rsid w:val="00791C4E"/>
    <w:rsid w:val="0079369A"/>
    <w:rsid w:val="007A1ECC"/>
    <w:rsid w:val="007A4816"/>
    <w:rsid w:val="007B0256"/>
    <w:rsid w:val="007C1FD6"/>
    <w:rsid w:val="007C2818"/>
    <w:rsid w:val="007C2EF7"/>
    <w:rsid w:val="007C2F6B"/>
    <w:rsid w:val="007C6274"/>
    <w:rsid w:val="007D0D32"/>
    <w:rsid w:val="007D1448"/>
    <w:rsid w:val="007D28E9"/>
    <w:rsid w:val="007D409B"/>
    <w:rsid w:val="007D61A0"/>
    <w:rsid w:val="007E2401"/>
    <w:rsid w:val="007E5559"/>
    <w:rsid w:val="007E5F67"/>
    <w:rsid w:val="007E6211"/>
    <w:rsid w:val="007E6B30"/>
    <w:rsid w:val="007E73C4"/>
    <w:rsid w:val="007F3DA7"/>
    <w:rsid w:val="007F792D"/>
    <w:rsid w:val="00801DF9"/>
    <w:rsid w:val="00811C8C"/>
    <w:rsid w:val="008133C3"/>
    <w:rsid w:val="00820DA4"/>
    <w:rsid w:val="00823193"/>
    <w:rsid w:val="00825EF8"/>
    <w:rsid w:val="0082702A"/>
    <w:rsid w:val="0083177B"/>
    <w:rsid w:val="00835EC6"/>
    <w:rsid w:val="00836F44"/>
    <w:rsid w:val="00840F62"/>
    <w:rsid w:val="00841CC8"/>
    <w:rsid w:val="00843C61"/>
    <w:rsid w:val="00850365"/>
    <w:rsid w:val="00850720"/>
    <w:rsid w:val="0085083D"/>
    <w:rsid w:val="008533BD"/>
    <w:rsid w:val="00855CA1"/>
    <w:rsid w:val="0086318E"/>
    <w:rsid w:val="008634C9"/>
    <w:rsid w:val="00864031"/>
    <w:rsid w:val="008733DE"/>
    <w:rsid w:val="00875659"/>
    <w:rsid w:val="008807BA"/>
    <w:rsid w:val="00883293"/>
    <w:rsid w:val="00883DB5"/>
    <w:rsid w:val="00885A24"/>
    <w:rsid w:val="00885EA6"/>
    <w:rsid w:val="00890C15"/>
    <w:rsid w:val="008929EC"/>
    <w:rsid w:val="008933A7"/>
    <w:rsid w:val="00894DFA"/>
    <w:rsid w:val="00895867"/>
    <w:rsid w:val="00896208"/>
    <w:rsid w:val="008A13B1"/>
    <w:rsid w:val="008A51BD"/>
    <w:rsid w:val="008A7314"/>
    <w:rsid w:val="008B4E8E"/>
    <w:rsid w:val="008B58AF"/>
    <w:rsid w:val="008B5FBC"/>
    <w:rsid w:val="008B61F2"/>
    <w:rsid w:val="008B78E4"/>
    <w:rsid w:val="008C05B0"/>
    <w:rsid w:val="008C115F"/>
    <w:rsid w:val="008C2747"/>
    <w:rsid w:val="008C412E"/>
    <w:rsid w:val="008C50D2"/>
    <w:rsid w:val="008C57D6"/>
    <w:rsid w:val="008C64C8"/>
    <w:rsid w:val="008C7CCF"/>
    <w:rsid w:val="008D007E"/>
    <w:rsid w:val="008D403F"/>
    <w:rsid w:val="008D4A4B"/>
    <w:rsid w:val="008D5BC5"/>
    <w:rsid w:val="008D7310"/>
    <w:rsid w:val="008D75DE"/>
    <w:rsid w:val="008E2D97"/>
    <w:rsid w:val="008E587C"/>
    <w:rsid w:val="008F1BB9"/>
    <w:rsid w:val="008F308B"/>
    <w:rsid w:val="008F4422"/>
    <w:rsid w:val="008F4D6D"/>
    <w:rsid w:val="008F64D7"/>
    <w:rsid w:val="00900106"/>
    <w:rsid w:val="00902B7F"/>
    <w:rsid w:val="00903A13"/>
    <w:rsid w:val="00904DEA"/>
    <w:rsid w:val="0091262F"/>
    <w:rsid w:val="00916921"/>
    <w:rsid w:val="00921314"/>
    <w:rsid w:val="009225F0"/>
    <w:rsid w:val="009225F8"/>
    <w:rsid w:val="009250AC"/>
    <w:rsid w:val="00926A1E"/>
    <w:rsid w:val="00927AF5"/>
    <w:rsid w:val="00933BFC"/>
    <w:rsid w:val="0093462C"/>
    <w:rsid w:val="00942D97"/>
    <w:rsid w:val="0094374D"/>
    <w:rsid w:val="00950A40"/>
    <w:rsid w:val="00950FC2"/>
    <w:rsid w:val="00953795"/>
    <w:rsid w:val="009615FA"/>
    <w:rsid w:val="00963925"/>
    <w:rsid w:val="00967ACB"/>
    <w:rsid w:val="0097246D"/>
    <w:rsid w:val="00974189"/>
    <w:rsid w:val="0097515E"/>
    <w:rsid w:val="00975E3D"/>
    <w:rsid w:val="0098089B"/>
    <w:rsid w:val="00980D9A"/>
    <w:rsid w:val="00982066"/>
    <w:rsid w:val="009833D6"/>
    <w:rsid w:val="0098404C"/>
    <w:rsid w:val="009871D3"/>
    <w:rsid w:val="00991EAA"/>
    <w:rsid w:val="00992A58"/>
    <w:rsid w:val="00993676"/>
    <w:rsid w:val="00994F73"/>
    <w:rsid w:val="00996BF1"/>
    <w:rsid w:val="009A16C5"/>
    <w:rsid w:val="009A1F50"/>
    <w:rsid w:val="009A29EA"/>
    <w:rsid w:val="009A3CC6"/>
    <w:rsid w:val="009B2A88"/>
    <w:rsid w:val="009B363F"/>
    <w:rsid w:val="009B7686"/>
    <w:rsid w:val="009C1EBF"/>
    <w:rsid w:val="009C437E"/>
    <w:rsid w:val="009C5945"/>
    <w:rsid w:val="009C7D41"/>
    <w:rsid w:val="009D0558"/>
    <w:rsid w:val="009D44A0"/>
    <w:rsid w:val="009E4B37"/>
    <w:rsid w:val="009E5653"/>
    <w:rsid w:val="009F0BC0"/>
    <w:rsid w:val="009F10E2"/>
    <w:rsid w:val="009F1840"/>
    <w:rsid w:val="009F42AC"/>
    <w:rsid w:val="009F5C96"/>
    <w:rsid w:val="00A06B0E"/>
    <w:rsid w:val="00A06DC9"/>
    <w:rsid w:val="00A10F87"/>
    <w:rsid w:val="00A154B5"/>
    <w:rsid w:val="00A17321"/>
    <w:rsid w:val="00A20A0C"/>
    <w:rsid w:val="00A21756"/>
    <w:rsid w:val="00A22EB8"/>
    <w:rsid w:val="00A2604A"/>
    <w:rsid w:val="00A3057C"/>
    <w:rsid w:val="00A3241B"/>
    <w:rsid w:val="00A34426"/>
    <w:rsid w:val="00A34636"/>
    <w:rsid w:val="00A35DFD"/>
    <w:rsid w:val="00A3659A"/>
    <w:rsid w:val="00A41E60"/>
    <w:rsid w:val="00A429EE"/>
    <w:rsid w:val="00A4327E"/>
    <w:rsid w:val="00A432C9"/>
    <w:rsid w:val="00A5023B"/>
    <w:rsid w:val="00A514A5"/>
    <w:rsid w:val="00A54D16"/>
    <w:rsid w:val="00A654E3"/>
    <w:rsid w:val="00A7052A"/>
    <w:rsid w:val="00A70DA9"/>
    <w:rsid w:val="00A77BA1"/>
    <w:rsid w:val="00A83E82"/>
    <w:rsid w:val="00A873AD"/>
    <w:rsid w:val="00A903F4"/>
    <w:rsid w:val="00A90E3E"/>
    <w:rsid w:val="00A916B1"/>
    <w:rsid w:val="00A936CC"/>
    <w:rsid w:val="00A9561E"/>
    <w:rsid w:val="00AA36D1"/>
    <w:rsid w:val="00AA38F3"/>
    <w:rsid w:val="00AD5C1A"/>
    <w:rsid w:val="00AD5C3B"/>
    <w:rsid w:val="00AD642A"/>
    <w:rsid w:val="00AE6121"/>
    <w:rsid w:val="00AF1827"/>
    <w:rsid w:val="00AF37D2"/>
    <w:rsid w:val="00AF6C79"/>
    <w:rsid w:val="00B019BC"/>
    <w:rsid w:val="00B01CFD"/>
    <w:rsid w:val="00B0201D"/>
    <w:rsid w:val="00B04532"/>
    <w:rsid w:val="00B04ED8"/>
    <w:rsid w:val="00B06CE1"/>
    <w:rsid w:val="00B077A2"/>
    <w:rsid w:val="00B07E67"/>
    <w:rsid w:val="00B129CF"/>
    <w:rsid w:val="00B14CBE"/>
    <w:rsid w:val="00B14D14"/>
    <w:rsid w:val="00B1603B"/>
    <w:rsid w:val="00B16062"/>
    <w:rsid w:val="00B23319"/>
    <w:rsid w:val="00B23CB3"/>
    <w:rsid w:val="00B24501"/>
    <w:rsid w:val="00B25EA5"/>
    <w:rsid w:val="00B26537"/>
    <w:rsid w:val="00B50309"/>
    <w:rsid w:val="00B524D1"/>
    <w:rsid w:val="00B55D32"/>
    <w:rsid w:val="00B569E6"/>
    <w:rsid w:val="00B574F5"/>
    <w:rsid w:val="00B620BC"/>
    <w:rsid w:val="00B64D05"/>
    <w:rsid w:val="00B651F8"/>
    <w:rsid w:val="00B65607"/>
    <w:rsid w:val="00B66D06"/>
    <w:rsid w:val="00B70504"/>
    <w:rsid w:val="00B718C7"/>
    <w:rsid w:val="00B7650C"/>
    <w:rsid w:val="00B81EE6"/>
    <w:rsid w:val="00B822DE"/>
    <w:rsid w:val="00B856B4"/>
    <w:rsid w:val="00B85C9D"/>
    <w:rsid w:val="00B91B6B"/>
    <w:rsid w:val="00B91E3E"/>
    <w:rsid w:val="00B91EF2"/>
    <w:rsid w:val="00B94FF7"/>
    <w:rsid w:val="00BA21EB"/>
    <w:rsid w:val="00BA2DB9"/>
    <w:rsid w:val="00BA5347"/>
    <w:rsid w:val="00BB16D0"/>
    <w:rsid w:val="00BB1FDB"/>
    <w:rsid w:val="00BB3167"/>
    <w:rsid w:val="00BB65B0"/>
    <w:rsid w:val="00BB7C3B"/>
    <w:rsid w:val="00BC1746"/>
    <w:rsid w:val="00BC2F91"/>
    <w:rsid w:val="00BC46D6"/>
    <w:rsid w:val="00BC558A"/>
    <w:rsid w:val="00BC7122"/>
    <w:rsid w:val="00BC75DD"/>
    <w:rsid w:val="00BD257E"/>
    <w:rsid w:val="00BE1130"/>
    <w:rsid w:val="00BE2D0B"/>
    <w:rsid w:val="00BE7148"/>
    <w:rsid w:val="00BF03C6"/>
    <w:rsid w:val="00BF16D3"/>
    <w:rsid w:val="00BF277B"/>
    <w:rsid w:val="00BF37C5"/>
    <w:rsid w:val="00BF4ACB"/>
    <w:rsid w:val="00BF4C96"/>
    <w:rsid w:val="00BF59DD"/>
    <w:rsid w:val="00C01269"/>
    <w:rsid w:val="00C03205"/>
    <w:rsid w:val="00C06C24"/>
    <w:rsid w:val="00C1707C"/>
    <w:rsid w:val="00C306EE"/>
    <w:rsid w:val="00C31D81"/>
    <w:rsid w:val="00C376BA"/>
    <w:rsid w:val="00C40E57"/>
    <w:rsid w:val="00C40F17"/>
    <w:rsid w:val="00C42CB9"/>
    <w:rsid w:val="00C43C60"/>
    <w:rsid w:val="00C46B8B"/>
    <w:rsid w:val="00C50A32"/>
    <w:rsid w:val="00C51B1E"/>
    <w:rsid w:val="00C5706A"/>
    <w:rsid w:val="00C63E22"/>
    <w:rsid w:val="00C64AD5"/>
    <w:rsid w:val="00C65791"/>
    <w:rsid w:val="00C6673C"/>
    <w:rsid w:val="00C734B7"/>
    <w:rsid w:val="00C740DE"/>
    <w:rsid w:val="00C74643"/>
    <w:rsid w:val="00C76804"/>
    <w:rsid w:val="00C76F6B"/>
    <w:rsid w:val="00C8132C"/>
    <w:rsid w:val="00C846F3"/>
    <w:rsid w:val="00C84DD7"/>
    <w:rsid w:val="00C86E09"/>
    <w:rsid w:val="00C906B8"/>
    <w:rsid w:val="00C91C16"/>
    <w:rsid w:val="00C92FB5"/>
    <w:rsid w:val="00C93B07"/>
    <w:rsid w:val="00C95EA8"/>
    <w:rsid w:val="00C9625A"/>
    <w:rsid w:val="00C965A8"/>
    <w:rsid w:val="00CA1B2D"/>
    <w:rsid w:val="00CA1C01"/>
    <w:rsid w:val="00CA233A"/>
    <w:rsid w:val="00CA59AB"/>
    <w:rsid w:val="00CA6472"/>
    <w:rsid w:val="00CB04DF"/>
    <w:rsid w:val="00CB2A3A"/>
    <w:rsid w:val="00CB5863"/>
    <w:rsid w:val="00CB761E"/>
    <w:rsid w:val="00CC0DBA"/>
    <w:rsid w:val="00CC2DEC"/>
    <w:rsid w:val="00CD11A6"/>
    <w:rsid w:val="00CD4B3E"/>
    <w:rsid w:val="00CD5D6B"/>
    <w:rsid w:val="00CD726B"/>
    <w:rsid w:val="00CE065A"/>
    <w:rsid w:val="00CE216D"/>
    <w:rsid w:val="00CE24DF"/>
    <w:rsid w:val="00CE6468"/>
    <w:rsid w:val="00CE6574"/>
    <w:rsid w:val="00CE66DB"/>
    <w:rsid w:val="00CE6AAB"/>
    <w:rsid w:val="00CF483A"/>
    <w:rsid w:val="00CF70FD"/>
    <w:rsid w:val="00D0056E"/>
    <w:rsid w:val="00D017A9"/>
    <w:rsid w:val="00D0372A"/>
    <w:rsid w:val="00D07F4F"/>
    <w:rsid w:val="00D10645"/>
    <w:rsid w:val="00D12093"/>
    <w:rsid w:val="00D15AFB"/>
    <w:rsid w:val="00D16F77"/>
    <w:rsid w:val="00D262B5"/>
    <w:rsid w:val="00D2766E"/>
    <w:rsid w:val="00D356CB"/>
    <w:rsid w:val="00D4178F"/>
    <w:rsid w:val="00D470D5"/>
    <w:rsid w:val="00D477C8"/>
    <w:rsid w:val="00D5395C"/>
    <w:rsid w:val="00D566B3"/>
    <w:rsid w:val="00D60474"/>
    <w:rsid w:val="00D662C9"/>
    <w:rsid w:val="00D70EE7"/>
    <w:rsid w:val="00D71FB4"/>
    <w:rsid w:val="00D73C71"/>
    <w:rsid w:val="00D77148"/>
    <w:rsid w:val="00D81044"/>
    <w:rsid w:val="00D90FCB"/>
    <w:rsid w:val="00D9187B"/>
    <w:rsid w:val="00D93462"/>
    <w:rsid w:val="00D95F83"/>
    <w:rsid w:val="00DA243A"/>
    <w:rsid w:val="00DA2620"/>
    <w:rsid w:val="00DA7D94"/>
    <w:rsid w:val="00DB08E1"/>
    <w:rsid w:val="00DB7D32"/>
    <w:rsid w:val="00DC16B7"/>
    <w:rsid w:val="00DC17FB"/>
    <w:rsid w:val="00DC18A3"/>
    <w:rsid w:val="00DC548F"/>
    <w:rsid w:val="00DD3920"/>
    <w:rsid w:val="00DD6C5A"/>
    <w:rsid w:val="00DD712F"/>
    <w:rsid w:val="00DE3948"/>
    <w:rsid w:val="00DF057B"/>
    <w:rsid w:val="00DF0F6F"/>
    <w:rsid w:val="00DF3D39"/>
    <w:rsid w:val="00DF4153"/>
    <w:rsid w:val="00DF5519"/>
    <w:rsid w:val="00E00222"/>
    <w:rsid w:val="00E01383"/>
    <w:rsid w:val="00E01B2A"/>
    <w:rsid w:val="00E01D8C"/>
    <w:rsid w:val="00E06B34"/>
    <w:rsid w:val="00E12939"/>
    <w:rsid w:val="00E13699"/>
    <w:rsid w:val="00E15BA8"/>
    <w:rsid w:val="00E17633"/>
    <w:rsid w:val="00E2426E"/>
    <w:rsid w:val="00E24E73"/>
    <w:rsid w:val="00E273E4"/>
    <w:rsid w:val="00E30BDB"/>
    <w:rsid w:val="00E42D4B"/>
    <w:rsid w:val="00E44905"/>
    <w:rsid w:val="00E46E25"/>
    <w:rsid w:val="00E54244"/>
    <w:rsid w:val="00E606B6"/>
    <w:rsid w:val="00E61365"/>
    <w:rsid w:val="00E65D52"/>
    <w:rsid w:val="00E66AA9"/>
    <w:rsid w:val="00E66E41"/>
    <w:rsid w:val="00E7033F"/>
    <w:rsid w:val="00E70781"/>
    <w:rsid w:val="00E71181"/>
    <w:rsid w:val="00E71F87"/>
    <w:rsid w:val="00E80040"/>
    <w:rsid w:val="00E82F26"/>
    <w:rsid w:val="00E87660"/>
    <w:rsid w:val="00E90C37"/>
    <w:rsid w:val="00E916F4"/>
    <w:rsid w:val="00E91CE5"/>
    <w:rsid w:val="00EA0D42"/>
    <w:rsid w:val="00EA2FDA"/>
    <w:rsid w:val="00EA3089"/>
    <w:rsid w:val="00EA3B12"/>
    <w:rsid w:val="00EB0AE8"/>
    <w:rsid w:val="00EB5F45"/>
    <w:rsid w:val="00EB73E1"/>
    <w:rsid w:val="00EC139C"/>
    <w:rsid w:val="00EC1468"/>
    <w:rsid w:val="00EC2B0D"/>
    <w:rsid w:val="00EC6C06"/>
    <w:rsid w:val="00EC739D"/>
    <w:rsid w:val="00EC7585"/>
    <w:rsid w:val="00ED0A6E"/>
    <w:rsid w:val="00ED36D9"/>
    <w:rsid w:val="00ED56E1"/>
    <w:rsid w:val="00EE2CCC"/>
    <w:rsid w:val="00EE3407"/>
    <w:rsid w:val="00EE557E"/>
    <w:rsid w:val="00EF2DDD"/>
    <w:rsid w:val="00F00747"/>
    <w:rsid w:val="00F007B2"/>
    <w:rsid w:val="00F0247E"/>
    <w:rsid w:val="00F05D7B"/>
    <w:rsid w:val="00F06D19"/>
    <w:rsid w:val="00F12862"/>
    <w:rsid w:val="00F148DE"/>
    <w:rsid w:val="00F22013"/>
    <w:rsid w:val="00F23EF7"/>
    <w:rsid w:val="00F24C58"/>
    <w:rsid w:val="00F24FAE"/>
    <w:rsid w:val="00F253E6"/>
    <w:rsid w:val="00F25DC3"/>
    <w:rsid w:val="00F30AFE"/>
    <w:rsid w:val="00F313F0"/>
    <w:rsid w:val="00F36F9A"/>
    <w:rsid w:val="00F40C19"/>
    <w:rsid w:val="00F469ED"/>
    <w:rsid w:val="00F51736"/>
    <w:rsid w:val="00F55EF9"/>
    <w:rsid w:val="00F60372"/>
    <w:rsid w:val="00F60451"/>
    <w:rsid w:val="00F60BA0"/>
    <w:rsid w:val="00F62197"/>
    <w:rsid w:val="00F62B06"/>
    <w:rsid w:val="00F664CC"/>
    <w:rsid w:val="00F67309"/>
    <w:rsid w:val="00F67368"/>
    <w:rsid w:val="00F6778F"/>
    <w:rsid w:val="00F67D66"/>
    <w:rsid w:val="00F733BE"/>
    <w:rsid w:val="00F74292"/>
    <w:rsid w:val="00F74E2D"/>
    <w:rsid w:val="00F77401"/>
    <w:rsid w:val="00F80DDE"/>
    <w:rsid w:val="00F8380C"/>
    <w:rsid w:val="00F8396F"/>
    <w:rsid w:val="00F85245"/>
    <w:rsid w:val="00F86583"/>
    <w:rsid w:val="00F86BD7"/>
    <w:rsid w:val="00F86C16"/>
    <w:rsid w:val="00F9471C"/>
    <w:rsid w:val="00F96D85"/>
    <w:rsid w:val="00F97AA9"/>
    <w:rsid w:val="00FA0057"/>
    <w:rsid w:val="00FA165A"/>
    <w:rsid w:val="00FA46BB"/>
    <w:rsid w:val="00FA6C9C"/>
    <w:rsid w:val="00FA78F5"/>
    <w:rsid w:val="00FC43E8"/>
    <w:rsid w:val="00FC48AB"/>
    <w:rsid w:val="00FC4C7D"/>
    <w:rsid w:val="00FD0120"/>
    <w:rsid w:val="00FD597D"/>
    <w:rsid w:val="00FE22FA"/>
    <w:rsid w:val="00FE4B9A"/>
    <w:rsid w:val="00FE7CC7"/>
    <w:rsid w:val="00FF05B4"/>
    <w:rsid w:val="00FF1C2F"/>
    <w:rsid w:val="00FF63FD"/>
    <w:rsid w:val="0D1BC94F"/>
    <w:rsid w:val="208439D9"/>
    <w:rsid w:val="24B3282D"/>
    <w:rsid w:val="31B30C54"/>
    <w:rsid w:val="3894847F"/>
    <w:rsid w:val="3982989E"/>
    <w:rsid w:val="3BE4FEF3"/>
    <w:rsid w:val="40C0725C"/>
    <w:rsid w:val="41CEA8B7"/>
    <w:rsid w:val="461CEF00"/>
    <w:rsid w:val="5E158D95"/>
    <w:rsid w:val="634314E6"/>
    <w:rsid w:val="7E00CD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A2873333-196E-4544-A881-E36405889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F25DC3"/>
    <w:pPr>
      <w:numPr>
        <w:numId w:val="10"/>
      </w:numPr>
      <w:spacing w:before="480" w:after="0"/>
      <w:contextualSpacing/>
      <w:outlineLvl w:val="0"/>
    </w:pPr>
    <w:rPr>
      <w:rFonts w:eastAsiaTheme="majorEastAsia" w:cstheme="majorBidi"/>
      <w:b/>
      <w:bCs/>
      <w:color w:val="186871" w:themeColor="accent5" w:themeShade="80"/>
      <w:sz w:val="32"/>
      <w:szCs w:val="28"/>
    </w:rPr>
  </w:style>
  <w:style w:type="paragraph" w:styleId="Heading2">
    <w:name w:val="heading 2"/>
    <w:basedOn w:val="Normal"/>
    <w:next w:val="Normal"/>
    <w:link w:val="Heading2Char"/>
    <w:uiPriority w:val="9"/>
    <w:unhideWhenUsed/>
    <w:qFormat/>
    <w:rsid w:val="00F25DC3"/>
    <w:pPr>
      <w:numPr>
        <w:ilvl w:val="1"/>
        <w:numId w:val="10"/>
      </w:numPr>
      <w:spacing w:before="200" w:after="0"/>
      <w:ind w:left="576"/>
      <w:outlineLvl w:val="1"/>
    </w:pPr>
    <w:rPr>
      <w:rFonts w:eastAsiaTheme="majorEastAsia" w:cstheme="majorBidi"/>
      <w:b/>
      <w:bCs/>
      <w:i/>
      <w:color w:val="186871" w:themeColor="accent5" w:themeShade="80"/>
      <w:sz w:val="26"/>
      <w:szCs w:val="26"/>
    </w:rPr>
  </w:style>
  <w:style w:type="paragraph" w:styleId="Heading3">
    <w:name w:val="heading 3"/>
    <w:basedOn w:val="Normal"/>
    <w:next w:val="Normal"/>
    <w:link w:val="Heading3Char"/>
    <w:uiPriority w:val="9"/>
    <w:unhideWhenUsed/>
    <w:qFormat/>
    <w:rsid w:val="00F25DC3"/>
    <w:pPr>
      <w:numPr>
        <w:ilvl w:val="2"/>
        <w:numId w:val="10"/>
      </w:numPr>
      <w:spacing w:before="200" w:after="120" w:line="271" w:lineRule="auto"/>
      <w:outlineLvl w:val="2"/>
    </w:pPr>
    <w:rPr>
      <w:rFonts w:eastAsiaTheme="majorEastAsia" w:cstheme="majorBidi"/>
      <w:b/>
      <w:bCs/>
      <w:color w:val="186871" w:themeColor="accent5" w:themeShade="80"/>
      <w:u w:val="single"/>
    </w:rPr>
  </w:style>
  <w:style w:type="paragraph" w:styleId="Heading4">
    <w:name w:val="heading 4"/>
    <w:basedOn w:val="Normal"/>
    <w:next w:val="Normal"/>
    <w:link w:val="Heading4Char"/>
    <w:uiPriority w:val="9"/>
    <w:unhideWhenUsed/>
    <w:qFormat/>
    <w:rsid w:val="00F313F0"/>
    <w:pPr>
      <w:numPr>
        <w:ilvl w:val="3"/>
        <w:numId w:val="10"/>
      </w:numPr>
      <w:spacing w:before="200" w:after="0"/>
      <w:outlineLvl w:val="3"/>
    </w:pPr>
    <w:rPr>
      <w:rFonts w:eastAsiaTheme="majorEastAsia" w:cstheme="majorBidi"/>
      <w:b/>
      <w:bCs/>
      <w:i/>
      <w:iCs/>
      <w:color w:val="186871" w:themeColor="accent5" w:themeShade="80"/>
    </w:rPr>
  </w:style>
  <w:style w:type="paragraph" w:styleId="Heading5">
    <w:name w:val="heading 5"/>
    <w:basedOn w:val="Normal"/>
    <w:next w:val="Normal"/>
    <w:link w:val="Heading5Char"/>
    <w:uiPriority w:val="9"/>
    <w:unhideWhenUsed/>
    <w:qFormat/>
    <w:rsid w:val="00FC48AB"/>
    <w:pPr>
      <w:numPr>
        <w:ilvl w:val="4"/>
        <w:numId w:val="10"/>
      </w:numPr>
      <w:spacing w:before="200" w:after="0"/>
      <w:outlineLvl w:val="4"/>
    </w:pPr>
    <w:rPr>
      <w:rFonts w:eastAsiaTheme="majorEastAsia" w:cstheme="majorBidi"/>
      <w:b/>
      <w:bCs/>
      <w:i/>
      <w:color w:val="186871" w:themeColor="accent5" w:themeShade="80"/>
    </w:rPr>
  </w:style>
  <w:style w:type="paragraph" w:styleId="Heading6">
    <w:name w:val="heading 6"/>
    <w:basedOn w:val="Normal"/>
    <w:next w:val="Normal"/>
    <w:link w:val="Heading6Char"/>
    <w:uiPriority w:val="9"/>
    <w:unhideWhenUsed/>
    <w:qFormat/>
    <w:rsid w:val="004B54CA"/>
    <w:pPr>
      <w:numPr>
        <w:ilvl w:val="5"/>
        <w:numId w:val="10"/>
      </w:num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numPr>
        <w:ilvl w:val="6"/>
        <w:numId w:val="10"/>
      </w:num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numPr>
        <w:ilvl w:val="7"/>
        <w:numId w:val="10"/>
      </w:num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numPr>
        <w:ilvl w:val="8"/>
        <w:numId w:val="10"/>
      </w:num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DC3"/>
    <w:rPr>
      <w:rFonts w:ascii="Arial" w:eastAsiaTheme="majorEastAsia" w:hAnsi="Arial" w:cstheme="majorBidi"/>
      <w:b/>
      <w:bCs/>
      <w:color w:val="186871" w:themeColor="accent5" w:themeShade="80"/>
      <w:sz w:val="32"/>
      <w:szCs w:val="28"/>
    </w:rPr>
  </w:style>
  <w:style w:type="character" w:customStyle="1" w:styleId="Heading2Char">
    <w:name w:val="Heading 2 Char"/>
    <w:basedOn w:val="DefaultParagraphFont"/>
    <w:link w:val="Heading2"/>
    <w:uiPriority w:val="9"/>
    <w:rsid w:val="00F25DC3"/>
    <w:rPr>
      <w:rFonts w:ascii="Arial" w:eastAsiaTheme="majorEastAsia" w:hAnsi="Arial" w:cstheme="majorBidi"/>
      <w:b/>
      <w:bCs/>
      <w:i/>
      <w:color w:val="186871" w:themeColor="accent5" w:themeShade="80"/>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F25DC3"/>
    <w:rPr>
      <w:rFonts w:ascii="Arial" w:eastAsiaTheme="majorEastAsia" w:hAnsi="Arial" w:cstheme="majorBidi"/>
      <w:b/>
      <w:bCs/>
      <w:color w:val="186871" w:themeColor="accent5" w:themeShade="80"/>
      <w:u w:val="single"/>
    </w:rPr>
  </w:style>
  <w:style w:type="character" w:customStyle="1" w:styleId="Heading4Char">
    <w:name w:val="Heading 4 Char"/>
    <w:basedOn w:val="DefaultParagraphFont"/>
    <w:link w:val="Heading4"/>
    <w:uiPriority w:val="9"/>
    <w:rsid w:val="00F313F0"/>
    <w:rPr>
      <w:rFonts w:ascii="Arial" w:eastAsiaTheme="majorEastAsia" w:hAnsi="Arial" w:cstheme="majorBidi"/>
      <w:b/>
      <w:bCs/>
      <w:i/>
      <w:iCs/>
      <w:color w:val="186871" w:themeColor="accent5" w:themeShade="80"/>
    </w:rPr>
  </w:style>
  <w:style w:type="character" w:customStyle="1" w:styleId="Heading5Char">
    <w:name w:val="Heading 5 Char"/>
    <w:basedOn w:val="DefaultParagraphFont"/>
    <w:link w:val="Heading5"/>
    <w:uiPriority w:val="9"/>
    <w:rsid w:val="00FC48AB"/>
    <w:rPr>
      <w:rFonts w:ascii="Arial" w:eastAsiaTheme="majorEastAsia" w:hAnsi="Arial" w:cstheme="majorBidi"/>
      <w:b/>
      <w:bCs/>
      <w:i/>
      <w:color w:val="186871" w:themeColor="accent5" w:themeShade="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Bulit List -  Paragraph,CV text,Dot pt,F5 List Paragraph,FooterText,L,List Paragraph1,List Paragraph11,List Paragraph111,List Paragraph2,Main numbered paragraph,Medium Grid 1 - Accent 21,Numbered Paragraph,Recommendation,Table text,number"/>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styleId="NormalWeb">
    <w:name w:val="Normal (Web)"/>
    <w:basedOn w:val="Normal"/>
    <w:uiPriority w:val="99"/>
    <w:unhideWhenUsed/>
    <w:rsid w:val="00D90FC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D90FCB"/>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unhideWhenUsed/>
    <w:rsid w:val="00D90FCB"/>
    <w:rPr>
      <w:sz w:val="16"/>
      <w:szCs w:val="16"/>
    </w:rPr>
  </w:style>
  <w:style w:type="paragraph" w:styleId="CommentText">
    <w:name w:val="annotation text"/>
    <w:basedOn w:val="Normal"/>
    <w:link w:val="CommentTextChar"/>
    <w:uiPriority w:val="99"/>
    <w:unhideWhenUsed/>
    <w:rsid w:val="00D90FCB"/>
    <w:pPr>
      <w:spacing w:line="240" w:lineRule="auto"/>
    </w:pPr>
    <w:rPr>
      <w:sz w:val="20"/>
      <w:szCs w:val="20"/>
    </w:rPr>
  </w:style>
  <w:style w:type="character" w:customStyle="1" w:styleId="CommentTextChar">
    <w:name w:val="Comment Text Char"/>
    <w:basedOn w:val="DefaultParagraphFont"/>
    <w:link w:val="CommentText"/>
    <w:uiPriority w:val="99"/>
    <w:rsid w:val="00D90FC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90FCB"/>
    <w:rPr>
      <w:b/>
      <w:bCs/>
    </w:rPr>
  </w:style>
  <w:style w:type="character" w:customStyle="1" w:styleId="CommentSubjectChar">
    <w:name w:val="Comment Subject Char"/>
    <w:basedOn w:val="CommentTextChar"/>
    <w:link w:val="CommentSubject"/>
    <w:uiPriority w:val="99"/>
    <w:semiHidden/>
    <w:rsid w:val="00D90FCB"/>
    <w:rPr>
      <w:rFonts w:ascii="Arial" w:hAnsi="Arial"/>
      <w:b/>
      <w:bCs/>
      <w:sz w:val="20"/>
      <w:szCs w:val="20"/>
    </w:rPr>
  </w:style>
  <w:style w:type="paragraph" w:styleId="BalloonText">
    <w:name w:val="Balloon Text"/>
    <w:basedOn w:val="Normal"/>
    <w:link w:val="BalloonTextChar"/>
    <w:uiPriority w:val="99"/>
    <w:semiHidden/>
    <w:unhideWhenUsed/>
    <w:rsid w:val="00D90F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FCB"/>
    <w:rPr>
      <w:rFonts w:ascii="Segoe UI" w:hAnsi="Segoe UI" w:cs="Segoe UI"/>
      <w:sz w:val="18"/>
      <w:szCs w:val="18"/>
    </w:rPr>
  </w:style>
  <w:style w:type="character" w:customStyle="1" w:styleId="ListParagraphChar">
    <w:name w:val="List Paragraph Char"/>
    <w:aliases w:val="Bulit List -  Paragraph Char,CV text Char,Dot pt Char,F5 List Paragraph Char,FooterText Char,L Char,List Paragraph1 Char,List Paragraph11 Char,List Paragraph111 Char,List Paragraph2 Char,Main numbered paragraph Char,Table text Char"/>
    <w:basedOn w:val="DefaultParagraphFont"/>
    <w:link w:val="ListParagraph"/>
    <w:uiPriority w:val="34"/>
    <w:qFormat/>
    <w:locked/>
    <w:rsid w:val="00933BFC"/>
    <w:rPr>
      <w:rFonts w:ascii="Arial" w:hAnsi="Arial"/>
    </w:rPr>
  </w:style>
  <w:style w:type="character" w:customStyle="1" w:styleId="ui-provider">
    <w:name w:val="ui-provider"/>
    <w:basedOn w:val="DefaultParagraphFont"/>
    <w:rsid w:val="00F60BA0"/>
  </w:style>
  <w:style w:type="character" w:styleId="Hyperlink">
    <w:name w:val="Hyperlink"/>
    <w:basedOn w:val="DefaultParagraphFont"/>
    <w:uiPriority w:val="99"/>
    <w:unhideWhenUsed/>
    <w:rsid w:val="004D6A9C"/>
    <w:rPr>
      <w:color w:val="2077B2" w:themeColor="hyperlink"/>
      <w:u w:val="single"/>
    </w:rPr>
  </w:style>
  <w:style w:type="table" w:styleId="TableGrid">
    <w:name w:val="Table Grid"/>
    <w:basedOn w:val="TableNormal"/>
    <w:uiPriority w:val="59"/>
    <w:rsid w:val="003E7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Normal"/>
    <w:link w:val="BulletlistChar"/>
    <w:qFormat/>
    <w:rsid w:val="000D3CC3"/>
    <w:pPr>
      <w:numPr>
        <w:numId w:val="8"/>
      </w:numPr>
      <w:spacing w:after="240" w:line="312" w:lineRule="auto"/>
    </w:pPr>
    <w:rPr>
      <w:rFonts w:asciiTheme="minorHAnsi" w:eastAsia="Calibri" w:hAnsiTheme="minorHAnsi" w:cs="Times New Roman"/>
      <w:color w:val="000000" w:themeColor="text1"/>
    </w:rPr>
  </w:style>
  <w:style w:type="character" w:customStyle="1" w:styleId="BulletlistChar">
    <w:name w:val="Bullet list Char"/>
    <w:basedOn w:val="DefaultParagraphFont"/>
    <w:link w:val="Bulletlist"/>
    <w:rsid w:val="000D3CC3"/>
    <w:rPr>
      <w:rFonts w:eastAsia="Calibri" w:cs="Times New Roman"/>
      <w:color w:val="000000" w:themeColor="text1"/>
    </w:rPr>
  </w:style>
  <w:style w:type="numbering" w:customStyle="1" w:styleId="CulperBulletList">
    <w:name w:val="Culper Bullet List"/>
    <w:uiPriority w:val="99"/>
    <w:rsid w:val="000D3CC3"/>
    <w:pPr>
      <w:numPr>
        <w:numId w:val="9"/>
      </w:numPr>
    </w:pPr>
  </w:style>
  <w:style w:type="paragraph" w:styleId="FootnoteText">
    <w:name w:val="footnote text"/>
    <w:basedOn w:val="Normal"/>
    <w:link w:val="FootnoteTextChar"/>
    <w:uiPriority w:val="97"/>
    <w:unhideWhenUsed/>
    <w:qFormat/>
    <w:rsid w:val="00DC17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17FB"/>
    <w:rPr>
      <w:rFonts w:ascii="Arial" w:hAnsi="Arial"/>
      <w:sz w:val="20"/>
      <w:szCs w:val="20"/>
    </w:rPr>
  </w:style>
  <w:style w:type="character" w:styleId="FootnoteReference">
    <w:name w:val="footnote reference"/>
    <w:basedOn w:val="DefaultParagraphFont"/>
    <w:uiPriority w:val="99"/>
    <w:unhideWhenUsed/>
    <w:rsid w:val="00DC17FB"/>
    <w:rPr>
      <w:vertAlign w:val="superscript"/>
    </w:rPr>
  </w:style>
  <w:style w:type="character" w:styleId="FollowedHyperlink">
    <w:name w:val="FollowedHyperlink"/>
    <w:basedOn w:val="DefaultParagraphFont"/>
    <w:uiPriority w:val="99"/>
    <w:semiHidden/>
    <w:unhideWhenUsed/>
    <w:rsid w:val="007E5559"/>
    <w:rPr>
      <w:color w:val="7030A0" w:themeColor="followedHyperlink"/>
      <w:u w:val="single"/>
    </w:rPr>
  </w:style>
  <w:style w:type="paragraph" w:styleId="ListBullet">
    <w:name w:val="List Bullet"/>
    <w:basedOn w:val="Normal"/>
    <w:uiPriority w:val="99"/>
    <w:rsid w:val="0017185D"/>
    <w:pPr>
      <w:numPr>
        <w:numId w:val="14"/>
      </w:numPr>
      <w:spacing w:before="40" w:after="80" w:line="280" w:lineRule="atLeast"/>
    </w:pPr>
    <w:rPr>
      <w:rFonts w:eastAsia="Times New Roman" w:cs="Times New Roman"/>
      <w:iCs/>
      <w:sz w:val="20"/>
      <w:szCs w:val="20"/>
    </w:rPr>
  </w:style>
  <w:style w:type="character" w:customStyle="1" w:styleId="normaltextrun">
    <w:name w:val="normaltextrun"/>
    <w:basedOn w:val="DefaultParagraphFont"/>
    <w:rsid w:val="00D566B3"/>
  </w:style>
  <w:style w:type="character" w:customStyle="1" w:styleId="FootnoteTextChar1">
    <w:name w:val="Footnote Text Char1"/>
    <w:basedOn w:val="DefaultParagraphFont"/>
    <w:uiPriority w:val="97"/>
    <w:rsid w:val="00D566B3"/>
    <w:rPr>
      <w:sz w:val="16"/>
    </w:rPr>
  </w:style>
  <w:style w:type="paragraph" w:styleId="TOC2">
    <w:name w:val="toc 2"/>
    <w:basedOn w:val="Normal"/>
    <w:next w:val="Normal"/>
    <w:autoRedefine/>
    <w:uiPriority w:val="39"/>
    <w:unhideWhenUsed/>
    <w:rsid w:val="003D5F1A"/>
    <w:pPr>
      <w:spacing w:after="100"/>
      <w:ind w:left="220"/>
    </w:pPr>
  </w:style>
  <w:style w:type="paragraph" w:styleId="TOC1">
    <w:name w:val="toc 1"/>
    <w:basedOn w:val="Normal"/>
    <w:next w:val="Normal"/>
    <w:autoRedefine/>
    <w:uiPriority w:val="39"/>
    <w:unhideWhenUsed/>
    <w:rsid w:val="003D5F1A"/>
    <w:pPr>
      <w:tabs>
        <w:tab w:val="left" w:pos="440"/>
        <w:tab w:val="right" w:leader="dot" w:pos="9016"/>
      </w:tabs>
      <w:spacing w:after="100"/>
    </w:pPr>
    <w:rPr>
      <w:rFonts w:eastAsia="Times New Roman"/>
      <w:b/>
      <w:noProof/>
      <w:lang w:eastAsia="en-AU"/>
    </w:rPr>
  </w:style>
  <w:style w:type="paragraph" w:styleId="TOC3">
    <w:name w:val="toc 3"/>
    <w:basedOn w:val="Normal"/>
    <w:next w:val="Normal"/>
    <w:autoRedefine/>
    <w:uiPriority w:val="39"/>
    <w:unhideWhenUsed/>
    <w:rsid w:val="003D5F1A"/>
    <w:pPr>
      <w:spacing w:after="100"/>
      <w:ind w:left="440"/>
    </w:pPr>
  </w:style>
  <w:style w:type="paragraph" w:styleId="Revision">
    <w:name w:val="Revision"/>
    <w:hidden/>
    <w:uiPriority w:val="99"/>
    <w:semiHidden/>
    <w:rsid w:val="00E13699"/>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112">
      <w:bodyDiv w:val="1"/>
      <w:marLeft w:val="0"/>
      <w:marRight w:val="0"/>
      <w:marTop w:val="0"/>
      <w:marBottom w:val="0"/>
      <w:divBdr>
        <w:top w:val="none" w:sz="0" w:space="0" w:color="auto"/>
        <w:left w:val="none" w:sz="0" w:space="0" w:color="auto"/>
        <w:bottom w:val="none" w:sz="0" w:space="0" w:color="auto"/>
        <w:right w:val="none" w:sz="0" w:space="0" w:color="auto"/>
      </w:divBdr>
    </w:div>
    <w:div w:id="61830872">
      <w:bodyDiv w:val="1"/>
      <w:marLeft w:val="0"/>
      <w:marRight w:val="0"/>
      <w:marTop w:val="0"/>
      <w:marBottom w:val="0"/>
      <w:divBdr>
        <w:top w:val="none" w:sz="0" w:space="0" w:color="auto"/>
        <w:left w:val="none" w:sz="0" w:space="0" w:color="auto"/>
        <w:bottom w:val="none" w:sz="0" w:space="0" w:color="auto"/>
        <w:right w:val="none" w:sz="0" w:space="0" w:color="auto"/>
      </w:divBdr>
    </w:div>
    <w:div w:id="78020390">
      <w:bodyDiv w:val="1"/>
      <w:marLeft w:val="0"/>
      <w:marRight w:val="0"/>
      <w:marTop w:val="0"/>
      <w:marBottom w:val="0"/>
      <w:divBdr>
        <w:top w:val="none" w:sz="0" w:space="0" w:color="auto"/>
        <w:left w:val="none" w:sz="0" w:space="0" w:color="auto"/>
        <w:bottom w:val="none" w:sz="0" w:space="0" w:color="auto"/>
        <w:right w:val="none" w:sz="0" w:space="0" w:color="auto"/>
      </w:divBdr>
    </w:div>
    <w:div w:id="280890411">
      <w:bodyDiv w:val="1"/>
      <w:marLeft w:val="0"/>
      <w:marRight w:val="0"/>
      <w:marTop w:val="0"/>
      <w:marBottom w:val="0"/>
      <w:divBdr>
        <w:top w:val="none" w:sz="0" w:space="0" w:color="auto"/>
        <w:left w:val="none" w:sz="0" w:space="0" w:color="auto"/>
        <w:bottom w:val="none" w:sz="0" w:space="0" w:color="auto"/>
        <w:right w:val="none" w:sz="0" w:space="0" w:color="auto"/>
      </w:divBdr>
    </w:div>
    <w:div w:id="290094456">
      <w:bodyDiv w:val="1"/>
      <w:marLeft w:val="0"/>
      <w:marRight w:val="0"/>
      <w:marTop w:val="0"/>
      <w:marBottom w:val="0"/>
      <w:divBdr>
        <w:top w:val="none" w:sz="0" w:space="0" w:color="auto"/>
        <w:left w:val="none" w:sz="0" w:space="0" w:color="auto"/>
        <w:bottom w:val="none" w:sz="0" w:space="0" w:color="auto"/>
        <w:right w:val="none" w:sz="0" w:space="0" w:color="auto"/>
      </w:divBdr>
    </w:div>
    <w:div w:id="344134249">
      <w:bodyDiv w:val="1"/>
      <w:marLeft w:val="0"/>
      <w:marRight w:val="0"/>
      <w:marTop w:val="0"/>
      <w:marBottom w:val="0"/>
      <w:divBdr>
        <w:top w:val="none" w:sz="0" w:space="0" w:color="auto"/>
        <w:left w:val="none" w:sz="0" w:space="0" w:color="auto"/>
        <w:bottom w:val="none" w:sz="0" w:space="0" w:color="auto"/>
        <w:right w:val="none" w:sz="0" w:space="0" w:color="auto"/>
      </w:divBdr>
    </w:div>
    <w:div w:id="363869595">
      <w:bodyDiv w:val="1"/>
      <w:marLeft w:val="0"/>
      <w:marRight w:val="0"/>
      <w:marTop w:val="0"/>
      <w:marBottom w:val="0"/>
      <w:divBdr>
        <w:top w:val="none" w:sz="0" w:space="0" w:color="auto"/>
        <w:left w:val="none" w:sz="0" w:space="0" w:color="auto"/>
        <w:bottom w:val="none" w:sz="0" w:space="0" w:color="auto"/>
        <w:right w:val="none" w:sz="0" w:space="0" w:color="auto"/>
      </w:divBdr>
      <w:divsChild>
        <w:div w:id="1516578442">
          <w:marLeft w:val="0"/>
          <w:marRight w:val="0"/>
          <w:marTop w:val="0"/>
          <w:marBottom w:val="0"/>
          <w:divBdr>
            <w:top w:val="none" w:sz="0" w:space="0" w:color="auto"/>
            <w:left w:val="none" w:sz="0" w:space="0" w:color="auto"/>
            <w:bottom w:val="none" w:sz="0" w:space="0" w:color="auto"/>
            <w:right w:val="none" w:sz="0" w:space="0" w:color="auto"/>
          </w:divBdr>
          <w:divsChild>
            <w:div w:id="73108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71565">
      <w:bodyDiv w:val="1"/>
      <w:marLeft w:val="0"/>
      <w:marRight w:val="0"/>
      <w:marTop w:val="0"/>
      <w:marBottom w:val="0"/>
      <w:divBdr>
        <w:top w:val="none" w:sz="0" w:space="0" w:color="auto"/>
        <w:left w:val="none" w:sz="0" w:space="0" w:color="auto"/>
        <w:bottom w:val="none" w:sz="0" w:space="0" w:color="auto"/>
        <w:right w:val="none" w:sz="0" w:space="0" w:color="auto"/>
      </w:divBdr>
    </w:div>
    <w:div w:id="548299483">
      <w:bodyDiv w:val="1"/>
      <w:marLeft w:val="0"/>
      <w:marRight w:val="0"/>
      <w:marTop w:val="0"/>
      <w:marBottom w:val="0"/>
      <w:divBdr>
        <w:top w:val="none" w:sz="0" w:space="0" w:color="auto"/>
        <w:left w:val="none" w:sz="0" w:space="0" w:color="auto"/>
        <w:bottom w:val="none" w:sz="0" w:space="0" w:color="auto"/>
        <w:right w:val="none" w:sz="0" w:space="0" w:color="auto"/>
      </w:divBdr>
    </w:div>
    <w:div w:id="559050562">
      <w:bodyDiv w:val="1"/>
      <w:marLeft w:val="0"/>
      <w:marRight w:val="0"/>
      <w:marTop w:val="0"/>
      <w:marBottom w:val="0"/>
      <w:divBdr>
        <w:top w:val="none" w:sz="0" w:space="0" w:color="auto"/>
        <w:left w:val="none" w:sz="0" w:space="0" w:color="auto"/>
        <w:bottom w:val="none" w:sz="0" w:space="0" w:color="auto"/>
        <w:right w:val="none" w:sz="0" w:space="0" w:color="auto"/>
      </w:divBdr>
    </w:div>
    <w:div w:id="787240589">
      <w:bodyDiv w:val="1"/>
      <w:marLeft w:val="0"/>
      <w:marRight w:val="0"/>
      <w:marTop w:val="0"/>
      <w:marBottom w:val="0"/>
      <w:divBdr>
        <w:top w:val="none" w:sz="0" w:space="0" w:color="auto"/>
        <w:left w:val="none" w:sz="0" w:space="0" w:color="auto"/>
        <w:bottom w:val="none" w:sz="0" w:space="0" w:color="auto"/>
        <w:right w:val="none" w:sz="0" w:space="0" w:color="auto"/>
      </w:divBdr>
    </w:div>
    <w:div w:id="793525784">
      <w:bodyDiv w:val="1"/>
      <w:marLeft w:val="0"/>
      <w:marRight w:val="0"/>
      <w:marTop w:val="0"/>
      <w:marBottom w:val="0"/>
      <w:divBdr>
        <w:top w:val="none" w:sz="0" w:space="0" w:color="auto"/>
        <w:left w:val="none" w:sz="0" w:space="0" w:color="auto"/>
        <w:bottom w:val="none" w:sz="0" w:space="0" w:color="auto"/>
        <w:right w:val="none" w:sz="0" w:space="0" w:color="auto"/>
      </w:divBdr>
    </w:div>
    <w:div w:id="801652153">
      <w:bodyDiv w:val="1"/>
      <w:marLeft w:val="0"/>
      <w:marRight w:val="0"/>
      <w:marTop w:val="0"/>
      <w:marBottom w:val="0"/>
      <w:divBdr>
        <w:top w:val="none" w:sz="0" w:space="0" w:color="auto"/>
        <w:left w:val="none" w:sz="0" w:space="0" w:color="auto"/>
        <w:bottom w:val="none" w:sz="0" w:space="0" w:color="auto"/>
        <w:right w:val="none" w:sz="0" w:space="0" w:color="auto"/>
      </w:divBdr>
    </w:div>
    <w:div w:id="845747403">
      <w:bodyDiv w:val="1"/>
      <w:marLeft w:val="0"/>
      <w:marRight w:val="0"/>
      <w:marTop w:val="0"/>
      <w:marBottom w:val="0"/>
      <w:divBdr>
        <w:top w:val="none" w:sz="0" w:space="0" w:color="auto"/>
        <w:left w:val="none" w:sz="0" w:space="0" w:color="auto"/>
        <w:bottom w:val="none" w:sz="0" w:space="0" w:color="auto"/>
        <w:right w:val="none" w:sz="0" w:space="0" w:color="auto"/>
      </w:divBdr>
    </w:div>
    <w:div w:id="864253367">
      <w:bodyDiv w:val="1"/>
      <w:marLeft w:val="0"/>
      <w:marRight w:val="0"/>
      <w:marTop w:val="0"/>
      <w:marBottom w:val="0"/>
      <w:divBdr>
        <w:top w:val="none" w:sz="0" w:space="0" w:color="auto"/>
        <w:left w:val="none" w:sz="0" w:space="0" w:color="auto"/>
        <w:bottom w:val="none" w:sz="0" w:space="0" w:color="auto"/>
        <w:right w:val="none" w:sz="0" w:space="0" w:color="auto"/>
      </w:divBdr>
    </w:div>
    <w:div w:id="875462173">
      <w:bodyDiv w:val="1"/>
      <w:marLeft w:val="0"/>
      <w:marRight w:val="0"/>
      <w:marTop w:val="0"/>
      <w:marBottom w:val="0"/>
      <w:divBdr>
        <w:top w:val="none" w:sz="0" w:space="0" w:color="auto"/>
        <w:left w:val="none" w:sz="0" w:space="0" w:color="auto"/>
        <w:bottom w:val="none" w:sz="0" w:space="0" w:color="auto"/>
        <w:right w:val="none" w:sz="0" w:space="0" w:color="auto"/>
      </w:divBdr>
    </w:div>
    <w:div w:id="897712130">
      <w:bodyDiv w:val="1"/>
      <w:marLeft w:val="0"/>
      <w:marRight w:val="0"/>
      <w:marTop w:val="0"/>
      <w:marBottom w:val="0"/>
      <w:divBdr>
        <w:top w:val="none" w:sz="0" w:space="0" w:color="auto"/>
        <w:left w:val="none" w:sz="0" w:space="0" w:color="auto"/>
        <w:bottom w:val="none" w:sz="0" w:space="0" w:color="auto"/>
        <w:right w:val="none" w:sz="0" w:space="0" w:color="auto"/>
      </w:divBdr>
    </w:div>
    <w:div w:id="925768629">
      <w:bodyDiv w:val="1"/>
      <w:marLeft w:val="0"/>
      <w:marRight w:val="0"/>
      <w:marTop w:val="0"/>
      <w:marBottom w:val="0"/>
      <w:divBdr>
        <w:top w:val="none" w:sz="0" w:space="0" w:color="auto"/>
        <w:left w:val="none" w:sz="0" w:space="0" w:color="auto"/>
        <w:bottom w:val="none" w:sz="0" w:space="0" w:color="auto"/>
        <w:right w:val="none" w:sz="0" w:space="0" w:color="auto"/>
      </w:divBdr>
    </w:div>
    <w:div w:id="951791048">
      <w:bodyDiv w:val="1"/>
      <w:marLeft w:val="0"/>
      <w:marRight w:val="0"/>
      <w:marTop w:val="0"/>
      <w:marBottom w:val="0"/>
      <w:divBdr>
        <w:top w:val="none" w:sz="0" w:space="0" w:color="auto"/>
        <w:left w:val="none" w:sz="0" w:space="0" w:color="auto"/>
        <w:bottom w:val="none" w:sz="0" w:space="0" w:color="auto"/>
        <w:right w:val="none" w:sz="0" w:space="0" w:color="auto"/>
      </w:divBdr>
    </w:div>
    <w:div w:id="1025600720">
      <w:bodyDiv w:val="1"/>
      <w:marLeft w:val="0"/>
      <w:marRight w:val="0"/>
      <w:marTop w:val="0"/>
      <w:marBottom w:val="0"/>
      <w:divBdr>
        <w:top w:val="none" w:sz="0" w:space="0" w:color="auto"/>
        <w:left w:val="none" w:sz="0" w:space="0" w:color="auto"/>
        <w:bottom w:val="none" w:sz="0" w:space="0" w:color="auto"/>
        <w:right w:val="none" w:sz="0" w:space="0" w:color="auto"/>
      </w:divBdr>
    </w:div>
    <w:div w:id="1056002463">
      <w:bodyDiv w:val="1"/>
      <w:marLeft w:val="0"/>
      <w:marRight w:val="0"/>
      <w:marTop w:val="0"/>
      <w:marBottom w:val="0"/>
      <w:divBdr>
        <w:top w:val="none" w:sz="0" w:space="0" w:color="auto"/>
        <w:left w:val="none" w:sz="0" w:space="0" w:color="auto"/>
        <w:bottom w:val="none" w:sz="0" w:space="0" w:color="auto"/>
        <w:right w:val="none" w:sz="0" w:space="0" w:color="auto"/>
      </w:divBdr>
    </w:div>
    <w:div w:id="1109738300">
      <w:bodyDiv w:val="1"/>
      <w:marLeft w:val="0"/>
      <w:marRight w:val="0"/>
      <w:marTop w:val="0"/>
      <w:marBottom w:val="0"/>
      <w:divBdr>
        <w:top w:val="none" w:sz="0" w:space="0" w:color="auto"/>
        <w:left w:val="none" w:sz="0" w:space="0" w:color="auto"/>
        <w:bottom w:val="none" w:sz="0" w:space="0" w:color="auto"/>
        <w:right w:val="none" w:sz="0" w:space="0" w:color="auto"/>
      </w:divBdr>
    </w:div>
    <w:div w:id="1147435707">
      <w:bodyDiv w:val="1"/>
      <w:marLeft w:val="0"/>
      <w:marRight w:val="0"/>
      <w:marTop w:val="0"/>
      <w:marBottom w:val="0"/>
      <w:divBdr>
        <w:top w:val="none" w:sz="0" w:space="0" w:color="auto"/>
        <w:left w:val="none" w:sz="0" w:space="0" w:color="auto"/>
        <w:bottom w:val="none" w:sz="0" w:space="0" w:color="auto"/>
        <w:right w:val="none" w:sz="0" w:space="0" w:color="auto"/>
      </w:divBdr>
    </w:div>
    <w:div w:id="1151488051">
      <w:bodyDiv w:val="1"/>
      <w:marLeft w:val="0"/>
      <w:marRight w:val="0"/>
      <w:marTop w:val="0"/>
      <w:marBottom w:val="0"/>
      <w:divBdr>
        <w:top w:val="none" w:sz="0" w:space="0" w:color="auto"/>
        <w:left w:val="none" w:sz="0" w:space="0" w:color="auto"/>
        <w:bottom w:val="none" w:sz="0" w:space="0" w:color="auto"/>
        <w:right w:val="none" w:sz="0" w:space="0" w:color="auto"/>
      </w:divBdr>
    </w:div>
    <w:div w:id="1172917469">
      <w:bodyDiv w:val="1"/>
      <w:marLeft w:val="0"/>
      <w:marRight w:val="0"/>
      <w:marTop w:val="0"/>
      <w:marBottom w:val="0"/>
      <w:divBdr>
        <w:top w:val="none" w:sz="0" w:space="0" w:color="auto"/>
        <w:left w:val="none" w:sz="0" w:space="0" w:color="auto"/>
        <w:bottom w:val="none" w:sz="0" w:space="0" w:color="auto"/>
        <w:right w:val="none" w:sz="0" w:space="0" w:color="auto"/>
      </w:divBdr>
    </w:div>
    <w:div w:id="1182233500">
      <w:bodyDiv w:val="1"/>
      <w:marLeft w:val="0"/>
      <w:marRight w:val="0"/>
      <w:marTop w:val="0"/>
      <w:marBottom w:val="0"/>
      <w:divBdr>
        <w:top w:val="none" w:sz="0" w:space="0" w:color="auto"/>
        <w:left w:val="none" w:sz="0" w:space="0" w:color="auto"/>
        <w:bottom w:val="none" w:sz="0" w:space="0" w:color="auto"/>
        <w:right w:val="none" w:sz="0" w:space="0" w:color="auto"/>
      </w:divBdr>
    </w:div>
    <w:div w:id="1284918469">
      <w:bodyDiv w:val="1"/>
      <w:marLeft w:val="0"/>
      <w:marRight w:val="0"/>
      <w:marTop w:val="0"/>
      <w:marBottom w:val="0"/>
      <w:divBdr>
        <w:top w:val="none" w:sz="0" w:space="0" w:color="auto"/>
        <w:left w:val="none" w:sz="0" w:space="0" w:color="auto"/>
        <w:bottom w:val="none" w:sz="0" w:space="0" w:color="auto"/>
        <w:right w:val="none" w:sz="0" w:space="0" w:color="auto"/>
      </w:divBdr>
    </w:div>
    <w:div w:id="1342274410">
      <w:bodyDiv w:val="1"/>
      <w:marLeft w:val="0"/>
      <w:marRight w:val="0"/>
      <w:marTop w:val="0"/>
      <w:marBottom w:val="0"/>
      <w:divBdr>
        <w:top w:val="none" w:sz="0" w:space="0" w:color="auto"/>
        <w:left w:val="none" w:sz="0" w:space="0" w:color="auto"/>
        <w:bottom w:val="none" w:sz="0" w:space="0" w:color="auto"/>
        <w:right w:val="none" w:sz="0" w:space="0" w:color="auto"/>
      </w:divBdr>
    </w:div>
    <w:div w:id="1402212546">
      <w:bodyDiv w:val="1"/>
      <w:marLeft w:val="0"/>
      <w:marRight w:val="0"/>
      <w:marTop w:val="0"/>
      <w:marBottom w:val="0"/>
      <w:divBdr>
        <w:top w:val="none" w:sz="0" w:space="0" w:color="auto"/>
        <w:left w:val="none" w:sz="0" w:space="0" w:color="auto"/>
        <w:bottom w:val="none" w:sz="0" w:space="0" w:color="auto"/>
        <w:right w:val="none" w:sz="0" w:space="0" w:color="auto"/>
      </w:divBdr>
    </w:div>
    <w:div w:id="1461150449">
      <w:bodyDiv w:val="1"/>
      <w:marLeft w:val="0"/>
      <w:marRight w:val="0"/>
      <w:marTop w:val="0"/>
      <w:marBottom w:val="0"/>
      <w:divBdr>
        <w:top w:val="none" w:sz="0" w:space="0" w:color="auto"/>
        <w:left w:val="none" w:sz="0" w:space="0" w:color="auto"/>
        <w:bottom w:val="none" w:sz="0" w:space="0" w:color="auto"/>
        <w:right w:val="none" w:sz="0" w:space="0" w:color="auto"/>
      </w:divBdr>
    </w:div>
    <w:div w:id="1506745285">
      <w:bodyDiv w:val="1"/>
      <w:marLeft w:val="0"/>
      <w:marRight w:val="0"/>
      <w:marTop w:val="0"/>
      <w:marBottom w:val="0"/>
      <w:divBdr>
        <w:top w:val="none" w:sz="0" w:space="0" w:color="auto"/>
        <w:left w:val="none" w:sz="0" w:space="0" w:color="auto"/>
        <w:bottom w:val="none" w:sz="0" w:space="0" w:color="auto"/>
        <w:right w:val="none" w:sz="0" w:space="0" w:color="auto"/>
      </w:divBdr>
    </w:div>
    <w:div w:id="1530685387">
      <w:bodyDiv w:val="1"/>
      <w:marLeft w:val="0"/>
      <w:marRight w:val="0"/>
      <w:marTop w:val="0"/>
      <w:marBottom w:val="0"/>
      <w:divBdr>
        <w:top w:val="none" w:sz="0" w:space="0" w:color="auto"/>
        <w:left w:val="none" w:sz="0" w:space="0" w:color="auto"/>
        <w:bottom w:val="none" w:sz="0" w:space="0" w:color="auto"/>
        <w:right w:val="none" w:sz="0" w:space="0" w:color="auto"/>
      </w:divBdr>
    </w:div>
    <w:div w:id="1543595321">
      <w:bodyDiv w:val="1"/>
      <w:marLeft w:val="0"/>
      <w:marRight w:val="0"/>
      <w:marTop w:val="0"/>
      <w:marBottom w:val="0"/>
      <w:divBdr>
        <w:top w:val="none" w:sz="0" w:space="0" w:color="auto"/>
        <w:left w:val="none" w:sz="0" w:space="0" w:color="auto"/>
        <w:bottom w:val="none" w:sz="0" w:space="0" w:color="auto"/>
        <w:right w:val="none" w:sz="0" w:space="0" w:color="auto"/>
      </w:divBdr>
    </w:div>
    <w:div w:id="1547108999">
      <w:bodyDiv w:val="1"/>
      <w:marLeft w:val="0"/>
      <w:marRight w:val="0"/>
      <w:marTop w:val="0"/>
      <w:marBottom w:val="0"/>
      <w:divBdr>
        <w:top w:val="none" w:sz="0" w:space="0" w:color="auto"/>
        <w:left w:val="none" w:sz="0" w:space="0" w:color="auto"/>
        <w:bottom w:val="none" w:sz="0" w:space="0" w:color="auto"/>
        <w:right w:val="none" w:sz="0" w:space="0" w:color="auto"/>
      </w:divBdr>
    </w:div>
    <w:div w:id="1627274004">
      <w:bodyDiv w:val="1"/>
      <w:marLeft w:val="0"/>
      <w:marRight w:val="0"/>
      <w:marTop w:val="0"/>
      <w:marBottom w:val="0"/>
      <w:divBdr>
        <w:top w:val="none" w:sz="0" w:space="0" w:color="auto"/>
        <w:left w:val="none" w:sz="0" w:space="0" w:color="auto"/>
        <w:bottom w:val="none" w:sz="0" w:space="0" w:color="auto"/>
        <w:right w:val="none" w:sz="0" w:space="0" w:color="auto"/>
      </w:divBdr>
    </w:div>
    <w:div w:id="1808354373">
      <w:bodyDiv w:val="1"/>
      <w:marLeft w:val="0"/>
      <w:marRight w:val="0"/>
      <w:marTop w:val="0"/>
      <w:marBottom w:val="0"/>
      <w:divBdr>
        <w:top w:val="none" w:sz="0" w:space="0" w:color="auto"/>
        <w:left w:val="none" w:sz="0" w:space="0" w:color="auto"/>
        <w:bottom w:val="none" w:sz="0" w:space="0" w:color="auto"/>
        <w:right w:val="none" w:sz="0" w:space="0" w:color="auto"/>
      </w:divBdr>
    </w:div>
    <w:div w:id="1855150799">
      <w:bodyDiv w:val="1"/>
      <w:marLeft w:val="0"/>
      <w:marRight w:val="0"/>
      <w:marTop w:val="0"/>
      <w:marBottom w:val="0"/>
      <w:divBdr>
        <w:top w:val="none" w:sz="0" w:space="0" w:color="auto"/>
        <w:left w:val="none" w:sz="0" w:space="0" w:color="auto"/>
        <w:bottom w:val="none" w:sz="0" w:space="0" w:color="auto"/>
        <w:right w:val="none" w:sz="0" w:space="0" w:color="auto"/>
      </w:divBdr>
    </w:div>
    <w:div w:id="1916671739">
      <w:bodyDiv w:val="1"/>
      <w:marLeft w:val="0"/>
      <w:marRight w:val="0"/>
      <w:marTop w:val="0"/>
      <w:marBottom w:val="0"/>
      <w:divBdr>
        <w:top w:val="none" w:sz="0" w:space="0" w:color="auto"/>
        <w:left w:val="none" w:sz="0" w:space="0" w:color="auto"/>
        <w:bottom w:val="none" w:sz="0" w:space="0" w:color="auto"/>
        <w:right w:val="none" w:sz="0" w:space="0" w:color="auto"/>
      </w:divBdr>
    </w:div>
    <w:div w:id="1956061690">
      <w:bodyDiv w:val="1"/>
      <w:marLeft w:val="0"/>
      <w:marRight w:val="0"/>
      <w:marTop w:val="0"/>
      <w:marBottom w:val="0"/>
      <w:divBdr>
        <w:top w:val="none" w:sz="0" w:space="0" w:color="auto"/>
        <w:left w:val="none" w:sz="0" w:space="0" w:color="auto"/>
        <w:bottom w:val="none" w:sz="0" w:space="0" w:color="auto"/>
        <w:right w:val="none" w:sz="0" w:space="0" w:color="auto"/>
      </w:divBdr>
    </w:div>
    <w:div w:id="1975595286">
      <w:bodyDiv w:val="1"/>
      <w:marLeft w:val="0"/>
      <w:marRight w:val="0"/>
      <w:marTop w:val="0"/>
      <w:marBottom w:val="0"/>
      <w:divBdr>
        <w:top w:val="none" w:sz="0" w:space="0" w:color="auto"/>
        <w:left w:val="none" w:sz="0" w:space="0" w:color="auto"/>
        <w:bottom w:val="none" w:sz="0" w:space="0" w:color="auto"/>
        <w:right w:val="none" w:sz="0" w:space="0" w:color="auto"/>
      </w:divBdr>
    </w:div>
    <w:div w:id="2036225755">
      <w:bodyDiv w:val="1"/>
      <w:marLeft w:val="0"/>
      <w:marRight w:val="0"/>
      <w:marTop w:val="0"/>
      <w:marBottom w:val="0"/>
      <w:divBdr>
        <w:top w:val="none" w:sz="0" w:space="0" w:color="auto"/>
        <w:left w:val="none" w:sz="0" w:space="0" w:color="auto"/>
        <w:bottom w:val="none" w:sz="0" w:space="0" w:color="auto"/>
        <w:right w:val="none" w:sz="0" w:space="0" w:color="auto"/>
      </w:divBdr>
    </w:div>
    <w:div w:id="204547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rants.gov.au" TargetMode="Externa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mailto:SafePlaces@dss.gov.au" TargetMode="Externa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www.grants.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livablehousingaustralia.org.au/design-guidelines/" TargetMode="External"/><Relationship Id="rId13" Type="http://schemas.openxmlformats.org/officeDocument/2006/relationships/hyperlink" Target="https://www.dss.gov.au/housing-support/programmes-services/homelessness/domestic-and-family-violence" TargetMode="External"/><Relationship Id="rId3" Type="http://schemas.openxmlformats.org/officeDocument/2006/relationships/hyperlink" Target="https://engage.dss.gov.au/" TargetMode="External"/><Relationship Id="rId7" Type="http://schemas.openxmlformats.org/officeDocument/2006/relationships/hyperlink" Target="https://apo.org.au/node/313257" TargetMode="External"/><Relationship Id="rId12" Type="http://schemas.openxmlformats.org/officeDocument/2006/relationships/hyperlink" Target="https://awava.org.au/2020/12/09/research-and-reports/good-practice-principles-in-addressing-sexual-and-gender-based-violence" TargetMode="External"/><Relationship Id="rId2" Type="http://schemas.openxmlformats.org/officeDocument/2006/relationships/hyperlink" Target="http://www.grants.gov.au" TargetMode="External"/><Relationship Id="rId1" Type="http://schemas.openxmlformats.org/officeDocument/2006/relationships/hyperlink" Target="https://www.dss.gov.au/ending-violence" TargetMode="External"/><Relationship Id="rId6" Type="http://schemas.openxmlformats.org/officeDocument/2006/relationships/hyperlink" Target="https://meteor.aihw.gov.au/content/386254" TargetMode="External"/><Relationship Id="rId11" Type="http://schemas.openxmlformats.org/officeDocument/2006/relationships/hyperlink" Target="https://www.dss.gov.au/women-programs-services-reducing-violence/keeping-women-safe-in-their-homes" TargetMode="External"/><Relationship Id="rId5" Type="http://schemas.openxmlformats.org/officeDocument/2006/relationships/hyperlink" Target="https://www.aihw.gov.au/reports/homelessness-services/specialist-homelessness-services-annual-report/contents/clients-services-and-outcomes" TargetMode="External"/><Relationship Id="rId10" Type="http://schemas.openxmlformats.org/officeDocument/2006/relationships/hyperlink" Target="https://www.childsafety.gov.au/resources/national-principles-child-safe-organisations" TargetMode="External"/><Relationship Id="rId4" Type="http://schemas.openxmlformats.org/officeDocument/2006/relationships/hyperlink" Target="https://www.dss.gov.au/housing-support/programmes-services/homelessness/domestic-and-family-violence" TargetMode="External"/><Relationship Id="rId9" Type="http://schemas.openxmlformats.org/officeDocument/2006/relationships/hyperlink" Target="https://www.dss.gov.au/housing-support/programmes-services/homelessness/domestic-and-family-violence" TargetMode="External"/></Relationships>
</file>

<file path=word/theme/theme1.xml><?xml version="1.0" encoding="utf-8"?>
<a:theme xmlns:a="http://schemas.openxmlformats.org/drawingml/2006/main" name="Office Theme">
  <a:themeElements>
    <a:clrScheme name="Custom 8">
      <a:dk1>
        <a:sysClr val="windowText" lastClr="000000"/>
      </a:dk1>
      <a:lt1>
        <a:sysClr val="window" lastClr="FFFFFF"/>
      </a:lt1>
      <a:dk2>
        <a:srgbClr val="1F497D"/>
      </a:dk2>
      <a:lt2>
        <a:srgbClr val="EEECE1"/>
      </a:lt2>
      <a:accent1>
        <a:srgbClr val="0C4198"/>
      </a:accent1>
      <a:accent2>
        <a:srgbClr val="C00000"/>
      </a:accent2>
      <a:accent3>
        <a:srgbClr val="E67A7A"/>
      </a:accent3>
      <a:accent4>
        <a:srgbClr val="4A2A7A"/>
      </a:accent4>
      <a:accent5>
        <a:srgbClr val="3CC7D6"/>
      </a:accent5>
      <a:accent6>
        <a:srgbClr val="F79646"/>
      </a:accent6>
      <a:hlink>
        <a:srgbClr val="2077B2"/>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C448144A633C940BB39A129AC7045CA" ma:contentTypeVersion="2" ma:contentTypeDescription="Create a new document." ma:contentTypeScope="" ma:versionID="b347594513771d0e102bffc12e3e8d03">
  <xsd:schema xmlns:xsd="http://www.w3.org/2001/XMLSchema" xmlns:xs="http://www.w3.org/2001/XMLSchema" xmlns:p="http://schemas.microsoft.com/office/2006/metadata/properties" xmlns:ns1="http://schemas.microsoft.com/sharepoint/v3" xmlns:ns2="da13057a-72c5-49de-bee4-ff261e81e83e" xmlns:ns3="906c5a57-8f5c-4de1-a895-399cda7859bc" targetNamespace="http://schemas.microsoft.com/office/2006/metadata/properties" ma:root="true" ma:fieldsID="b89191b118b87722a4d30ef9aa3c1c09" ns1:_="" ns2:_="" ns3:_="">
    <xsd:import namespace="http://schemas.microsoft.com/sharepoint/v3"/>
    <xsd:import namespace="da13057a-72c5-49de-bee4-ff261e81e83e"/>
    <xsd:import namespace="906c5a57-8f5c-4de1-a895-399cda7859b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13057a-72c5-49de-bee4-ff261e81e8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06c5a57-8f5c-4de1-a895-399cda7859b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D6B1B-D6D9-4F52-9A5F-D5B9AAFA15F4}">
  <ds:schemaRefs>
    <ds:schemaRef ds:uri="http://schemas.microsoft.com/sharepoint/events"/>
  </ds:schemaRefs>
</ds:datastoreItem>
</file>

<file path=customXml/itemProps2.xml><?xml version="1.0" encoding="utf-8"?>
<ds:datastoreItem xmlns:ds="http://schemas.openxmlformats.org/officeDocument/2006/customXml" ds:itemID="{F73C15E0-CE41-48C8-A5D0-933CEA61C768}">
  <ds:schemaRefs>
    <ds:schemaRef ds:uri="http://schemas.microsoft.com/sharepoint/v3/contenttype/forms"/>
  </ds:schemaRefs>
</ds:datastoreItem>
</file>

<file path=customXml/itemProps3.xml><?xml version="1.0" encoding="utf-8"?>
<ds:datastoreItem xmlns:ds="http://schemas.openxmlformats.org/officeDocument/2006/customXml" ds:itemID="{768FA1B0-1A59-4D63-B359-E41823D2FFF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da13057a-72c5-49de-bee4-ff261e81e83e"/>
    <ds:schemaRef ds:uri="http://schemas.microsoft.com/sharepoint/v3"/>
    <ds:schemaRef ds:uri="http://purl.org/dc/terms/"/>
    <ds:schemaRef ds:uri="http://schemas.openxmlformats.org/package/2006/metadata/core-properties"/>
    <ds:schemaRef ds:uri="906c5a57-8f5c-4de1-a895-399cda7859bc"/>
    <ds:schemaRef ds:uri="http://www.w3.org/XML/1998/namespace"/>
    <ds:schemaRef ds:uri="http://purl.org/dc/dcmitype/"/>
  </ds:schemaRefs>
</ds:datastoreItem>
</file>

<file path=customXml/itemProps4.xml><?xml version="1.0" encoding="utf-8"?>
<ds:datastoreItem xmlns:ds="http://schemas.openxmlformats.org/officeDocument/2006/customXml" ds:itemID="{76FBD9AB-1076-4132-8C3B-2D146300B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13057a-72c5-49de-bee4-ff261e81e83e"/>
    <ds:schemaRef ds:uri="906c5a57-8f5c-4de1-a895-399cda785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5ABD4A-32CD-48F3-AF03-893BB378F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33</Pages>
  <Words>10526</Words>
  <Characters>63793</Characters>
  <Application>Microsoft Office Word</Application>
  <DocSecurity>0</DocSecurity>
  <Lines>1031</Lines>
  <Paragraphs>315</Paragraphs>
  <ScaleCrop>false</ScaleCrop>
  <HeadingPairs>
    <vt:vector size="2" baseType="variant">
      <vt:variant>
        <vt:lpstr>Title</vt:lpstr>
      </vt:variant>
      <vt:variant>
        <vt:i4>1</vt:i4>
      </vt:variant>
    </vt:vector>
  </HeadingPairs>
  <TitlesOfParts>
    <vt:vector size="1" baseType="lpstr">
      <vt:lpstr>Safe Places Consultation Findings report</vt:lpstr>
    </vt:vector>
  </TitlesOfParts>
  <Company>Australian Government</Company>
  <LinksUpToDate>false</LinksUpToDate>
  <CharactersWithSpaces>74101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Places Consultation Findings report</dc:title>
  <dc:subject/>
  <dc:creator/>
  <cp:keywords>[SEC=OFFICIAL]</cp:keywords>
  <dc:description/>
  <cp:lastModifiedBy>MILLER, Vicky</cp:lastModifiedBy>
  <cp:revision>5</cp:revision>
  <cp:lastPrinted>2023-09-25T06:02:00Z</cp:lastPrinted>
  <dcterms:created xsi:type="dcterms:W3CDTF">2023-09-25T06:01:00Z</dcterms:created>
  <dcterms:modified xsi:type="dcterms:W3CDTF">2023-09-26T02:42:00Z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B9B80B501C684B168C83B94F74F24421</vt:lpwstr>
  </property>
  <property fmtid="{D5CDD505-2E9C-101B-9397-08002B2CF9AE}" pid="9" name="PM_ProtectiveMarkingValue_Footer">
    <vt:lpwstr>OFFICIAL</vt:lpwstr>
  </property>
  <property fmtid="{D5CDD505-2E9C-101B-9397-08002B2CF9AE}" pid="10" name="PM_OriginationTimeStamp">
    <vt:lpwstr>2023-09-26T02:42:00Z</vt:lpwstr>
  </property>
  <property fmtid="{D5CDD505-2E9C-101B-9397-08002B2CF9AE}" pid="11" name="PM_ProtectiveMarkingValue_Header">
    <vt:lpwstr>OFFICIAL</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OFFICIAL</vt:lpwstr>
  </property>
  <property fmtid="{D5CDD505-2E9C-101B-9397-08002B2CF9AE}" pid="18" name="PM_Hash_Version">
    <vt:lpwstr>2018.0</vt:lpwstr>
  </property>
  <property fmtid="{D5CDD505-2E9C-101B-9397-08002B2CF9AE}" pid="19" name="PM_Hash_Salt_Prev">
    <vt:lpwstr>183CDA0B24279477B1E1F39410BD756A</vt:lpwstr>
  </property>
  <property fmtid="{D5CDD505-2E9C-101B-9397-08002B2CF9AE}" pid="20" name="PM_Hash_Salt">
    <vt:lpwstr>95C8B4BDB02D0C589961F9AC1C8D546C</vt:lpwstr>
  </property>
  <property fmtid="{D5CDD505-2E9C-101B-9397-08002B2CF9AE}" pid="21" name="PM_Hash_SHA1">
    <vt:lpwstr>87ECA80A8047A2E45317475ABA639C7AA57FC26F</vt:lpwstr>
  </property>
  <property fmtid="{D5CDD505-2E9C-101B-9397-08002B2CF9AE}" pid="22" name="PM_OriginatorDomainName_SHA256">
    <vt:lpwstr>E83A2A66C4061446A7E3732E8D44762184B6B377D962B96C83DC624302585857</vt:lpwstr>
  </property>
  <property fmtid="{D5CDD505-2E9C-101B-9397-08002B2CF9AE}" pid="23" name="PM_MinimumSecurityClassification">
    <vt:lpwstr/>
  </property>
  <property fmtid="{D5CDD505-2E9C-101B-9397-08002B2CF9AE}" pid="24" name="PM_SecurityClassification_Prev">
    <vt:lpwstr>OFFICIAL</vt:lpwstr>
  </property>
  <property fmtid="{D5CDD505-2E9C-101B-9397-08002B2CF9AE}" pid="25" name="PM_Qualifier_Prev">
    <vt:lpwstr/>
  </property>
  <property fmtid="{D5CDD505-2E9C-101B-9397-08002B2CF9AE}" pid="26" name="ContentTypeId">
    <vt:lpwstr>0x0101000C448144A633C940BB39A129AC7045CA</vt:lpwstr>
  </property>
  <property fmtid="{D5CDD505-2E9C-101B-9397-08002B2CF9AE}" pid="27" name="PM_Originator_Hash_SHA1">
    <vt:lpwstr>DAACB08450204C0F46DD78BFF6F8049364488490</vt:lpwstr>
  </property>
  <property fmtid="{D5CDD505-2E9C-101B-9397-08002B2CF9AE}" pid="28" name="PM_OriginatorUserAccountName_SHA256">
    <vt:lpwstr>9871F6CFFBF84B5DD096BCB24488EABDE9250CEAA716568F68B24D42DED533FD</vt:lpwstr>
  </property>
</Properties>
</file>