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35007" w14:textId="77777777" w:rsidR="000A5845" w:rsidRDefault="000A5845" w:rsidP="000A5845">
      <w:pPr>
        <w:pStyle w:val="Smalltext"/>
        <w:spacing w:after="0"/>
        <w:ind w:left="7342" w:right="-427" w:firstLine="578"/>
        <w:jc w:val="center"/>
      </w:pPr>
    </w:p>
    <w:p w14:paraId="3BA1DCAF" w14:textId="7EC39ED7" w:rsidR="00C80192" w:rsidRDefault="0044440D" w:rsidP="00DE2826">
      <w:pPr>
        <w:pStyle w:val="Title"/>
        <w:spacing w:before="0"/>
      </w:pPr>
      <w:r>
        <w:t xml:space="preserve">Return of </w:t>
      </w:r>
      <w:r w:rsidR="00970DB9">
        <w:t>unused</w:t>
      </w:r>
      <w:r>
        <w:t xml:space="preserve"> </w:t>
      </w:r>
      <w:r w:rsidR="006D5ED6">
        <w:t xml:space="preserve">TILA </w:t>
      </w:r>
      <w:r>
        <w:t xml:space="preserve">funds </w:t>
      </w:r>
      <w:r w:rsidR="00B445E3">
        <w:t xml:space="preserve">and reissuing </w:t>
      </w:r>
      <w:r w:rsidR="008271D7">
        <w:t xml:space="preserve">of </w:t>
      </w:r>
      <w:r w:rsidR="009C48D2">
        <w:t xml:space="preserve">returned </w:t>
      </w:r>
      <w:r w:rsidR="008271D7">
        <w:t xml:space="preserve">funds </w:t>
      </w:r>
      <w:r>
        <w:t>process</w:t>
      </w:r>
    </w:p>
    <w:p w14:paraId="57F859A8" w14:textId="77777777" w:rsidR="00270DF7" w:rsidRDefault="00270DF7" w:rsidP="00B445E3">
      <w:pPr>
        <w:pStyle w:val="Subtitle"/>
        <w:spacing w:before="240" w:after="0"/>
        <w:rPr>
          <w:szCs w:val="32"/>
        </w:rPr>
      </w:pPr>
      <w:r w:rsidRPr="00057C65">
        <w:rPr>
          <w:szCs w:val="32"/>
        </w:rPr>
        <w:t>Transition to Independent Living Allowance (TILA)</w:t>
      </w:r>
    </w:p>
    <w:p w14:paraId="4886E743" w14:textId="77777777" w:rsidR="00270DF7" w:rsidRDefault="00270DF7" w:rsidP="00D57C6E">
      <w:pPr>
        <w:pStyle w:val="Subtitle"/>
        <w:spacing w:after="0"/>
        <w:rPr>
          <w:szCs w:val="32"/>
        </w:rPr>
      </w:pPr>
      <w:bookmarkStart w:id="0" w:name="_Toc391890680"/>
    </w:p>
    <w:p w14:paraId="762C06E6" w14:textId="50739554" w:rsidR="001E3FA2" w:rsidRDefault="00960235" w:rsidP="00D57C6E">
      <w:pPr>
        <w:pStyle w:val="Subtitle"/>
        <w:spacing w:after="0"/>
        <w:rPr>
          <w:szCs w:val="32"/>
        </w:rPr>
      </w:pPr>
      <w:r>
        <w:rPr>
          <w:noProof/>
          <w:lang w:eastAsia="en-AU"/>
        </w:rPr>
        <mc:AlternateContent>
          <mc:Choice Requires="wps">
            <w:drawing>
              <wp:inline distT="0" distB="0" distL="0" distR="0" wp14:anchorId="3A76CA6E" wp14:editId="5B27D108">
                <wp:extent cx="6474460" cy="838200"/>
                <wp:effectExtent l="0" t="0" r="21590" b="19050"/>
                <wp:docPr id="2" name="Text Box 2" descr="This is a box with the following message: This guide is to assist you in the return of unused TILA funds and process.&#10;If you require further information on TILA, please contact the TILA team at tila@dss.gov.a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83820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18F1FDD7" w14:textId="0AC2BFE3" w:rsidR="00960235" w:rsidRPr="006D5ED6" w:rsidRDefault="00960235" w:rsidP="00960235">
                            <w:pPr>
                              <w:spacing w:before="240"/>
                              <w:rPr>
                                <w:rFonts w:cs="Arial"/>
                              </w:rPr>
                            </w:pPr>
                            <w:r w:rsidRPr="006D5ED6">
                              <w:rPr>
                                <w:rFonts w:cs="Arial"/>
                              </w:rPr>
                              <w:t xml:space="preserve">This guide </w:t>
                            </w:r>
                            <w:r w:rsidR="009531E7" w:rsidRPr="006D5ED6">
                              <w:rPr>
                                <w:rFonts w:cs="Arial"/>
                              </w:rPr>
                              <w:t>is</w:t>
                            </w:r>
                            <w:r w:rsidRPr="006D5ED6">
                              <w:rPr>
                                <w:rFonts w:cs="Arial"/>
                              </w:rPr>
                              <w:t xml:space="preserve"> to assist you </w:t>
                            </w:r>
                            <w:r w:rsidR="00587462" w:rsidRPr="006D5ED6">
                              <w:rPr>
                                <w:rFonts w:cs="Arial"/>
                              </w:rPr>
                              <w:t xml:space="preserve">in the return of </w:t>
                            </w:r>
                            <w:r w:rsidR="00970DB9">
                              <w:rPr>
                                <w:rFonts w:cs="Arial"/>
                              </w:rPr>
                              <w:t>unused</w:t>
                            </w:r>
                            <w:r w:rsidR="00587462" w:rsidRPr="006D5ED6">
                              <w:rPr>
                                <w:rFonts w:cs="Arial"/>
                              </w:rPr>
                              <w:t xml:space="preserve"> TILA funds </w:t>
                            </w:r>
                            <w:r w:rsidR="00B445E3">
                              <w:rPr>
                                <w:rFonts w:cs="Arial"/>
                              </w:rPr>
                              <w:t xml:space="preserve">and </w:t>
                            </w:r>
                            <w:r w:rsidR="00587462" w:rsidRPr="006D5ED6">
                              <w:rPr>
                                <w:rFonts w:cs="Arial"/>
                              </w:rPr>
                              <w:t>process.</w:t>
                            </w:r>
                          </w:p>
                          <w:p w14:paraId="651834D1" w14:textId="39D8DB41" w:rsidR="004B1074" w:rsidRDefault="004B1074" w:rsidP="00960235">
                            <w:pPr>
                              <w:spacing w:before="240"/>
                            </w:pPr>
                            <w:r w:rsidRPr="006D5ED6">
                              <w:rPr>
                                <w:rFonts w:cs="Arial"/>
                              </w:rPr>
                              <w:t>If you</w:t>
                            </w:r>
                            <w:r w:rsidRPr="00C97DEC">
                              <w:rPr>
                                <w:szCs w:val="22"/>
                              </w:rPr>
                              <w:t xml:space="preserve"> require further information on TILA, </w:t>
                            </w:r>
                            <w:r>
                              <w:rPr>
                                <w:szCs w:val="22"/>
                              </w:rPr>
                              <w:t>please</w:t>
                            </w:r>
                            <w:r w:rsidRPr="00C97DEC">
                              <w:rPr>
                                <w:szCs w:val="22"/>
                              </w:rPr>
                              <w:t xml:space="preserve"> contact the TILA team at </w:t>
                            </w:r>
                            <w:hyperlink r:id="rId8" w:history="1">
                              <w:r w:rsidRPr="00C97DEC">
                                <w:rPr>
                                  <w:rStyle w:val="Hyperlink"/>
                                  <w:szCs w:val="22"/>
                                </w:rPr>
                                <w:t>tila@dss.gov.au</w:t>
                              </w:r>
                            </w:hyperlink>
                          </w:p>
                        </w:txbxContent>
                      </wps:txbx>
                      <wps:bodyPr rot="0" vert="horz" wrap="square" lIns="91440" tIns="45720" rIns="91440" bIns="45720" anchor="t" anchorCtr="0">
                        <a:noAutofit/>
                      </wps:bodyPr>
                    </wps:wsp>
                  </a:graphicData>
                </a:graphic>
              </wp:inline>
            </w:drawing>
          </mc:Choice>
          <mc:Fallback>
            <w:pict>
              <v:shapetype w14:anchorId="3A76CA6E" id="_x0000_t202" coordsize="21600,21600" o:spt="202" path="m,l,21600r21600,l21600,xe">
                <v:stroke joinstyle="miter"/>
                <v:path gradientshapeok="t" o:connecttype="rect"/>
              </v:shapetype>
              <v:shape id="Text Box 2" o:spid="_x0000_s1026" type="#_x0000_t202" alt="This is a box with the following message: This guide is to assist you in the return of unused TILA funds and process.&#10;If you require further information on TILA, please contact the TILA team at tila@dss.gov.au&#10;" style="width:509.8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" fillcolor="white [3201]" strokecolor="#00b0b9 [3208]" strokeweight=".73403mm">
                <v:textbox>
                  <w:txbxContent>
                    <w:p w14:paraId="18F1FDD7" w14:textId="0AC2BFE3" w:rsidR="00960235" w:rsidRPr="006D5ED6" w:rsidRDefault="00960235" w:rsidP="00960235">
                      <w:pPr>
                        <w:spacing w:before="240"/>
                        <w:rPr>
                          <w:rFonts w:cs="Arial"/>
                        </w:rPr>
                      </w:pPr>
                      <w:r w:rsidRPr="006D5ED6">
                        <w:rPr>
                          <w:rFonts w:cs="Arial"/>
                        </w:rPr>
                        <w:t xml:space="preserve">This guide </w:t>
                      </w:r>
                      <w:r w:rsidR="009531E7" w:rsidRPr="006D5ED6">
                        <w:rPr>
                          <w:rFonts w:cs="Arial"/>
                        </w:rPr>
                        <w:t>is</w:t>
                      </w:r>
                      <w:r w:rsidRPr="006D5ED6">
                        <w:rPr>
                          <w:rFonts w:cs="Arial"/>
                        </w:rPr>
                        <w:t xml:space="preserve"> to assist you </w:t>
                      </w:r>
                      <w:r w:rsidR="00587462" w:rsidRPr="006D5ED6">
                        <w:rPr>
                          <w:rFonts w:cs="Arial"/>
                        </w:rPr>
                        <w:t xml:space="preserve">in the return of </w:t>
                      </w:r>
                      <w:r w:rsidR="00970DB9">
                        <w:rPr>
                          <w:rFonts w:cs="Arial"/>
                        </w:rPr>
                        <w:t>unused</w:t>
                      </w:r>
                      <w:r w:rsidR="00587462" w:rsidRPr="006D5ED6">
                        <w:rPr>
                          <w:rFonts w:cs="Arial"/>
                        </w:rPr>
                        <w:t xml:space="preserve"> TILA funds </w:t>
                      </w:r>
                      <w:r w:rsidR="00B445E3">
                        <w:rPr>
                          <w:rFonts w:cs="Arial"/>
                        </w:rPr>
                        <w:t xml:space="preserve">and </w:t>
                      </w:r>
                      <w:r w:rsidR="00587462" w:rsidRPr="006D5ED6">
                        <w:rPr>
                          <w:rFonts w:cs="Arial"/>
                        </w:rPr>
                        <w:t>process.</w:t>
                      </w:r>
                    </w:p>
                    <w:p w14:paraId="651834D1" w14:textId="39D8DB41" w:rsidR="004B1074" w:rsidRDefault="004B1074" w:rsidP="00960235">
                      <w:pPr>
                        <w:spacing w:before="240"/>
                      </w:pPr>
                      <w:r w:rsidRPr="006D5ED6">
                        <w:rPr>
                          <w:rFonts w:cs="Arial"/>
                        </w:rPr>
                        <w:t>If you</w:t>
                      </w:r>
                      <w:r w:rsidRPr="00C97DEC">
                        <w:rPr>
                          <w:szCs w:val="22"/>
                        </w:rPr>
                        <w:t xml:space="preserve"> require further information on TILA, </w:t>
                      </w:r>
                      <w:r>
                        <w:rPr>
                          <w:szCs w:val="22"/>
                        </w:rPr>
                        <w:t>please</w:t>
                      </w:r>
                      <w:r w:rsidRPr="00C97DEC">
                        <w:rPr>
                          <w:szCs w:val="22"/>
                        </w:rPr>
                        <w:t xml:space="preserve"> contact the TILA team at </w:t>
                      </w:r>
                      <w:hyperlink r:id="rId9" w:history="1">
                        <w:r w:rsidRPr="00C97DEC">
                          <w:rPr>
                            <w:rStyle w:val="Hyperlink"/>
                            <w:szCs w:val="22"/>
                          </w:rPr>
                          <w:t>tila@dss.gov.au</w:t>
                        </w:r>
                      </w:hyperlink>
                    </w:p>
                  </w:txbxContent>
                </v:textbox>
                <w10:anchorlock/>
              </v:shape>
            </w:pict>
          </mc:Fallback>
        </mc:AlternateContent>
      </w:r>
    </w:p>
    <w:p w14:paraId="54AE066B" w14:textId="47BF8528" w:rsidR="00D2571C" w:rsidRDefault="00D2571C" w:rsidP="00D2571C"/>
    <w:p w14:paraId="1964228E" w14:textId="7700081B" w:rsidR="00D2571C" w:rsidRDefault="00D2571C" w:rsidP="00D2571C">
      <w:r>
        <w:rPr>
          <w:noProof/>
          <w:lang w:eastAsia="en-AU"/>
        </w:rPr>
        <mc:AlternateContent>
          <mc:Choice Requires="wps">
            <w:drawing>
              <wp:inline distT="0" distB="0" distL="0" distR="0" wp14:anchorId="5743F8CE" wp14:editId="78A10F2A">
                <wp:extent cx="6455121" cy="600075"/>
                <wp:effectExtent l="0" t="0" r="3175" b="9525"/>
                <wp:docPr id="4" name="Text Box 4" descr="This is a highlighted box with the following message:&#10;This guide should be read in conjunction with the TILA Operational Guidelines, Section 2.7 Surplus TILA funds held by the registered organisation and Section 2.8 Manual payment reques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121" cy="600075"/>
                        </a:xfrm>
                        <a:prstGeom prst="rect">
                          <a:avLst/>
                        </a:prstGeom>
                        <a:solidFill>
                          <a:schemeClr val="accent6">
                            <a:lumMod val="20000"/>
                            <a:lumOff val="80000"/>
                          </a:schemeClr>
                        </a:solidFill>
                        <a:ln>
                          <a:noFill/>
                          <a:headEnd/>
                          <a:tailEnd/>
                        </a:ln>
                      </wps:spPr>
                      <wps:style>
                        <a:lnRef idx="2">
                          <a:schemeClr val="accent5"/>
                        </a:lnRef>
                        <a:fillRef idx="1">
                          <a:schemeClr val="lt1"/>
                        </a:fillRef>
                        <a:effectRef idx="0">
                          <a:schemeClr val="accent5"/>
                        </a:effectRef>
                        <a:fontRef idx="minor">
                          <a:schemeClr val="dk1"/>
                        </a:fontRef>
                      </wps:style>
                      <wps:txbx>
                        <w:txbxContent>
                          <w:p w14:paraId="5936D068" w14:textId="77777777" w:rsidR="007247B8" w:rsidRPr="00D2571C" w:rsidRDefault="00FD5759" w:rsidP="007247B8">
                            <w:pPr>
                              <w:spacing w:line="276" w:lineRule="auto"/>
                              <w:rPr>
                                <w:sz w:val="28"/>
                              </w:rPr>
                            </w:pPr>
                            <w:r w:rsidRPr="00FD5759">
                              <w:rPr>
                                <w:szCs w:val="22"/>
                              </w:rPr>
                              <w:t>This</w:t>
                            </w:r>
                            <w:r w:rsidR="00D2571C" w:rsidRPr="006C20DD">
                              <w:rPr>
                                <w:szCs w:val="22"/>
                              </w:rPr>
                              <w:t xml:space="preserve"> guide should be read in conjunction with the </w:t>
                            </w:r>
                            <w:hyperlink r:id="rId10" w:history="1">
                              <w:r w:rsidR="006C20DD" w:rsidRPr="006C20DD">
                                <w:rPr>
                                  <w:rStyle w:val="Hyperlink"/>
                                  <w:szCs w:val="22"/>
                                </w:rPr>
                                <w:t>TILA Operational Guidelines</w:t>
                              </w:r>
                            </w:hyperlink>
                            <w:r w:rsidR="00864F02">
                              <w:rPr>
                                <w:rStyle w:val="Hyperlink"/>
                                <w:szCs w:val="22"/>
                              </w:rPr>
                              <w:t xml:space="preserve">, Section 2.7 </w:t>
                            </w:r>
                            <w:r w:rsidR="00515B30">
                              <w:rPr>
                                <w:rStyle w:val="Hyperlink"/>
                                <w:szCs w:val="22"/>
                              </w:rPr>
                              <w:t>Surplus TILA funds held by the registered organisation</w:t>
                            </w:r>
                            <w:r w:rsidR="007247B8">
                              <w:rPr>
                                <w:rStyle w:val="Hyperlink"/>
                                <w:szCs w:val="22"/>
                              </w:rPr>
                              <w:t xml:space="preserve"> and Section 2.8 Manual payment request</w:t>
                            </w:r>
                          </w:p>
                          <w:p w14:paraId="7B58953F" w14:textId="26E5FEF3" w:rsidR="00D2571C" w:rsidRPr="00D2571C" w:rsidRDefault="00D2571C" w:rsidP="006C20DD">
                            <w:pPr>
                              <w:rPr>
                                <w:sz w:val="28"/>
                                <w:szCs w:val="22"/>
                              </w:rPr>
                            </w:pPr>
                            <w:r w:rsidRPr="006C20DD">
                              <w:rPr>
                                <w:rStyle w:val="Hyperlink"/>
                                <w:sz w:val="36"/>
                                <w:szCs w:val="22"/>
                              </w:rPr>
                              <w:t>.</w:t>
                            </w:r>
                            <w:r w:rsidRPr="00D2571C">
                              <w:rPr>
                                <w:sz w:val="28"/>
                                <w:szCs w:val="22"/>
                              </w:rPr>
                              <w:t xml:space="preserve"> </w:t>
                            </w:r>
                          </w:p>
                          <w:p w14:paraId="486A9381" w14:textId="48BFA638" w:rsidR="00D2571C" w:rsidRPr="00D2571C" w:rsidRDefault="00D2571C" w:rsidP="00D2571C">
                            <w:pPr>
                              <w:spacing w:before="240"/>
                              <w:rPr>
                                <w:sz w:val="28"/>
                              </w:rPr>
                            </w:pPr>
                            <w:r w:rsidRPr="00D2571C">
                              <w:rPr>
                                <w:sz w:val="28"/>
                              </w:rPr>
                              <w:t>.</w:t>
                            </w:r>
                          </w:p>
                        </w:txbxContent>
                      </wps:txbx>
                      <wps:bodyPr rot="0" vert="horz" wrap="square" lIns="91440" tIns="45720" rIns="91440" bIns="45720" anchor="ctr" anchorCtr="0">
                        <a:noAutofit/>
                      </wps:bodyPr>
                    </wps:wsp>
                  </a:graphicData>
                </a:graphic>
              </wp:inline>
            </w:drawing>
          </mc:Choice>
          <mc:Fallback>
            <w:pict>
              <v:shape w14:anchorId="5743F8CE" id="Text Box 4" o:spid="_x0000_s1027" type="#_x0000_t202" alt="This is a highlighted box with the following message:&#10;This guide should be read in conjunction with the TILA Operational Guidelines, Section 2.7 Surplus TILA funds held by the registered organisation and Section 2.8 Manual payment request" style="width:508.3pt;height:4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" fillcolor="#eff9f9 [665]" stroked="f" strokeweight=".73403mm">
                <v:textbox>
                  <w:txbxContent>
                    <w:p w14:paraId="5936D068" w14:textId="77777777" w:rsidR="007247B8" w:rsidRPr="00D2571C" w:rsidRDefault="00FD5759" w:rsidP="007247B8">
                      <w:pPr>
                        <w:spacing w:line="276" w:lineRule="auto"/>
                        <w:rPr>
                          <w:sz w:val="28"/>
                        </w:rPr>
                      </w:pPr>
                      <w:r w:rsidRPr="00FD5759">
                        <w:rPr>
                          <w:szCs w:val="22"/>
                        </w:rPr>
                        <w:t>This</w:t>
                      </w:r>
                      <w:r w:rsidR="00D2571C" w:rsidRPr="006C20DD">
                        <w:rPr>
                          <w:szCs w:val="22"/>
                        </w:rPr>
                        <w:t xml:space="preserve"> guide should be read in conjunction with the </w:t>
                      </w:r>
                      <w:hyperlink r:id="rId11" w:history="1">
                        <w:r w:rsidR="006C20DD" w:rsidRPr="006C20DD">
                          <w:rPr>
                            <w:rStyle w:val="Hyperlink"/>
                            <w:szCs w:val="22"/>
                          </w:rPr>
                          <w:t>TILA Operational Guidelines</w:t>
                        </w:r>
                      </w:hyperlink>
                      <w:r w:rsidR="00864F02">
                        <w:rPr>
                          <w:rStyle w:val="Hyperlink"/>
                          <w:szCs w:val="22"/>
                        </w:rPr>
                        <w:t xml:space="preserve">, Section 2.7 </w:t>
                      </w:r>
                      <w:r w:rsidR="00515B30">
                        <w:rPr>
                          <w:rStyle w:val="Hyperlink"/>
                          <w:szCs w:val="22"/>
                        </w:rPr>
                        <w:t>Surplus TILA funds held by the registered organisation</w:t>
                      </w:r>
                      <w:r w:rsidR="007247B8">
                        <w:rPr>
                          <w:rStyle w:val="Hyperlink"/>
                          <w:szCs w:val="22"/>
                        </w:rPr>
                        <w:t xml:space="preserve"> and Section 2.8 Manual payment request</w:t>
                      </w:r>
                    </w:p>
                    <w:p w14:paraId="7B58953F" w14:textId="26E5FEF3" w:rsidR="00D2571C" w:rsidRPr="00D2571C" w:rsidRDefault="00D2571C" w:rsidP="006C20DD">
                      <w:pPr>
                        <w:rPr>
                          <w:sz w:val="28"/>
                          <w:szCs w:val="22"/>
                        </w:rPr>
                      </w:pPr>
                      <w:r w:rsidRPr="006C20DD">
                        <w:rPr>
                          <w:rStyle w:val="Hyperlink"/>
                          <w:sz w:val="36"/>
                          <w:szCs w:val="22"/>
                        </w:rPr>
                        <w:t>.</w:t>
                      </w:r>
                      <w:r w:rsidRPr="00D2571C">
                        <w:rPr>
                          <w:sz w:val="28"/>
                          <w:szCs w:val="22"/>
                        </w:rPr>
                        <w:t xml:space="preserve"> </w:t>
                      </w:r>
                    </w:p>
                    <w:p w14:paraId="486A9381" w14:textId="48BFA638" w:rsidR="00D2571C" w:rsidRPr="00D2571C" w:rsidRDefault="00D2571C" w:rsidP="00D2571C">
                      <w:pPr>
                        <w:spacing w:before="240"/>
                        <w:rPr>
                          <w:sz w:val="28"/>
                        </w:rPr>
                      </w:pPr>
                      <w:r w:rsidRPr="00D2571C">
                        <w:rPr>
                          <w:sz w:val="28"/>
                        </w:rPr>
                        <w:t>.</w:t>
                      </w:r>
                    </w:p>
                  </w:txbxContent>
                </v:textbox>
                <w10:anchorlock/>
              </v:shape>
            </w:pict>
          </mc:Fallback>
        </mc:AlternateContent>
      </w:r>
    </w:p>
    <w:p w14:paraId="745213A9" w14:textId="049A7F51" w:rsidR="00196DB4" w:rsidRDefault="00196DB4" w:rsidP="009531E7">
      <w:pPr>
        <w:pStyle w:val="Heading2"/>
      </w:pPr>
      <w:r>
        <w:t xml:space="preserve">Return of </w:t>
      </w:r>
      <w:r w:rsidR="00970DB9">
        <w:t>unused</w:t>
      </w:r>
      <w:r>
        <w:t xml:space="preserve"> TILA funds</w:t>
      </w:r>
    </w:p>
    <w:p w14:paraId="37AB7953" w14:textId="5CB70545" w:rsidR="009531E7" w:rsidRDefault="00812DA2" w:rsidP="00196DB4">
      <w:pPr>
        <w:pStyle w:val="Heading3"/>
      </w:pPr>
      <w:r>
        <w:t>Overview</w:t>
      </w:r>
    </w:p>
    <w:bookmarkEnd w:id="0"/>
    <w:p w14:paraId="229BFA8D" w14:textId="103D3DF4" w:rsidR="00364976" w:rsidRDefault="009768A4" w:rsidP="00C3291A">
      <w:pPr>
        <w:pStyle w:val="Header"/>
        <w:spacing w:before="120" w:after="180" w:line="280" w:lineRule="atLeast"/>
        <w:contextualSpacing/>
        <w:rPr>
          <w:rFonts w:cs="Arial"/>
        </w:rPr>
      </w:pPr>
      <w:r>
        <w:rPr>
          <w:rFonts w:cs="Arial"/>
        </w:rPr>
        <w:t xml:space="preserve">Organisations are encouraged to spend TILA funding </w:t>
      </w:r>
      <w:r w:rsidR="00C671DF">
        <w:rPr>
          <w:rFonts w:cs="Arial"/>
        </w:rPr>
        <w:t xml:space="preserve">on goods and services in line with </w:t>
      </w:r>
      <w:r w:rsidR="006C2B43">
        <w:rPr>
          <w:rFonts w:cs="Arial"/>
        </w:rPr>
        <w:t>a young person’s</w:t>
      </w:r>
      <w:r w:rsidR="00C671DF">
        <w:rPr>
          <w:rFonts w:cs="Arial"/>
        </w:rPr>
        <w:t xml:space="preserve"> leaving care plan. At times young people may no longer require the TILA funding at that time</w:t>
      </w:r>
      <w:r w:rsidR="005A0220">
        <w:rPr>
          <w:rFonts w:cs="Arial"/>
        </w:rPr>
        <w:t xml:space="preserve"> or they may have disengaged from the organisations service.</w:t>
      </w:r>
      <w:r w:rsidR="0029541E">
        <w:rPr>
          <w:rFonts w:cs="Arial"/>
        </w:rPr>
        <w:t xml:space="preserve"> </w:t>
      </w:r>
      <w:r w:rsidR="005A0220">
        <w:rPr>
          <w:rFonts w:cs="Arial"/>
        </w:rPr>
        <w:t>If this occurs, s</w:t>
      </w:r>
      <w:r w:rsidR="00364976">
        <w:rPr>
          <w:rFonts w:cs="Arial"/>
        </w:rPr>
        <w:t xml:space="preserve">urplus TILA funding should not be carried over to the next financial year or held over several financial years. </w:t>
      </w:r>
    </w:p>
    <w:p w14:paraId="1B081BE3" w14:textId="11630095" w:rsidR="0029541E" w:rsidRDefault="0029541E" w:rsidP="0029541E">
      <w:r w:rsidRPr="004D5BCB">
        <w:t>Where</w:t>
      </w:r>
      <w:r w:rsidRPr="0029541E">
        <w:t xml:space="preserve"> </w:t>
      </w:r>
      <w:r w:rsidR="00970DB9">
        <w:t>unused</w:t>
      </w:r>
      <w:r w:rsidR="00465FD2">
        <w:t xml:space="preserve"> TILA </w:t>
      </w:r>
      <w:r w:rsidRPr="0029541E">
        <w:t>funds are unlikely to be expended soon into the new financial year</w:t>
      </w:r>
      <w:r w:rsidR="00D04F3C">
        <w:t xml:space="preserve">, </w:t>
      </w:r>
      <w:r w:rsidRPr="0029541E">
        <w:t>these funds need to be returned</w:t>
      </w:r>
      <w:r w:rsidR="006208E3">
        <w:t xml:space="preserve"> to the Department of Social Services (DSS)</w:t>
      </w:r>
      <w:r w:rsidRPr="0029541E">
        <w:t>, to ensure Commonwealth funds are used for their intended purpose.</w:t>
      </w:r>
    </w:p>
    <w:p w14:paraId="68E30AA9" w14:textId="77777777" w:rsidR="006D3861" w:rsidRDefault="006D3861" w:rsidP="00196DB4">
      <w:pPr>
        <w:pStyle w:val="Heading3"/>
      </w:pPr>
      <w:r>
        <w:t>Reminders</w:t>
      </w:r>
    </w:p>
    <w:p w14:paraId="5CBFC647" w14:textId="77777777" w:rsidR="00465FD2" w:rsidRPr="00465FD2" w:rsidRDefault="00465FD2" w:rsidP="00465FD2"/>
    <w:tbl>
      <w:tblPr>
        <w:tblStyle w:val="GridTable4-Accent3"/>
        <w:tblW w:w="0" w:type="auto"/>
        <w:tblLook w:val="04A0" w:firstRow="1" w:lastRow="0" w:firstColumn="1" w:lastColumn="0" w:noHBand="0" w:noVBand="1"/>
        <w:tblCaption w:val="Reminders table"/>
        <w:tblDescription w:val="This table discusses key reminders when returning unused TILA funds - record keeping - It is important for organisations to keep accurate records detailing any unused TILA funds they have returned to DSS, as the amounts returned are not displayed in the Services Australia payment system. &#10;For example, if $1,500 was paid to an organisation for a young person but $200 was not spent or no longer required and was returned to DSS, the amount of $1,500 will still show as being expended in Services Australia payment system. &#10;Amounts applied for - Organisations should only request the amount of funding required. TILA funding payment amounts are available in 6 x $250 amounts, and applying for funding in these amount block can make it easier in ensuring that high amounts of unused funds are not needed to be returned to DSS. Age TILA funding should be used by - It is important the young person use all their TILA funding before they turn 26 years of age. They cannot use TILA funding after their 26th birthday, even if some of their TILA funding is remaining. Who surplus TILA funding should be used for - TILA funding should only be used fo rthe young person it was applied/received for. Surplus TILA funding should not be used for another young person."/>
      </w:tblPr>
      <w:tblGrid>
        <w:gridCol w:w="1838"/>
        <w:gridCol w:w="8073"/>
      </w:tblGrid>
      <w:tr w:rsidR="00465FD2" w14:paraId="55E0F8E7" w14:textId="77777777" w:rsidTr="009A0D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99C04FC" w14:textId="7C767830" w:rsidR="00465FD2" w:rsidRPr="002F6908" w:rsidRDefault="002F6908" w:rsidP="009A0DFC">
            <w:pPr>
              <w:rPr>
                <w:color w:val="auto"/>
              </w:rPr>
            </w:pPr>
            <w:r w:rsidRPr="002F6908">
              <w:rPr>
                <w:color w:val="auto"/>
              </w:rPr>
              <w:t>Item</w:t>
            </w:r>
          </w:p>
        </w:tc>
        <w:tc>
          <w:tcPr>
            <w:tcW w:w="8073" w:type="dxa"/>
          </w:tcPr>
          <w:p w14:paraId="61780EE9" w14:textId="22BB00C9" w:rsidR="00465FD2" w:rsidRPr="002F6908" w:rsidRDefault="002F6908" w:rsidP="009A0DFC">
            <w:pPr>
              <w:cnfStyle w:val="100000000000" w:firstRow="1" w:lastRow="0" w:firstColumn="0" w:lastColumn="0" w:oddVBand="0" w:evenVBand="0" w:oddHBand="0" w:evenHBand="0" w:firstRowFirstColumn="0" w:firstRowLastColumn="0" w:lastRowFirstColumn="0" w:lastRowLastColumn="0"/>
              <w:rPr>
                <w:color w:val="auto"/>
              </w:rPr>
            </w:pPr>
            <w:r w:rsidRPr="002F6908">
              <w:rPr>
                <w:color w:val="auto"/>
              </w:rPr>
              <w:t>Reminder</w:t>
            </w:r>
          </w:p>
        </w:tc>
      </w:tr>
      <w:tr w:rsidR="00465FD2" w14:paraId="4D6F65D1" w14:textId="77777777" w:rsidTr="009A0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2B9A437" w14:textId="77777777" w:rsidR="00465FD2" w:rsidRPr="00B24EC0" w:rsidRDefault="00465FD2" w:rsidP="009A0DFC">
            <w:pPr>
              <w:rPr>
                <w:b w:val="0"/>
                <w:bCs w:val="0"/>
              </w:rPr>
            </w:pPr>
            <w:r>
              <w:rPr>
                <w:b w:val="0"/>
                <w:bCs w:val="0"/>
              </w:rPr>
              <w:t>Record keeping</w:t>
            </w:r>
          </w:p>
        </w:tc>
        <w:tc>
          <w:tcPr>
            <w:tcW w:w="8073" w:type="dxa"/>
          </w:tcPr>
          <w:p w14:paraId="16DD93D8" w14:textId="6B6B4B65" w:rsidR="00465FD2" w:rsidRDefault="00465FD2" w:rsidP="009A0DFC">
            <w:pPr>
              <w:cnfStyle w:val="000000100000" w:firstRow="0" w:lastRow="0" w:firstColumn="0" w:lastColumn="0" w:oddVBand="0" w:evenVBand="0" w:oddHBand="1" w:evenHBand="0" w:firstRowFirstColumn="0" w:firstRowLastColumn="0" w:lastRowFirstColumn="0" w:lastRowLastColumn="0"/>
            </w:pPr>
            <w:r>
              <w:t xml:space="preserve">It is important for organisations to keep accurate records detailing any </w:t>
            </w:r>
            <w:r w:rsidR="00970DB9">
              <w:t>unused</w:t>
            </w:r>
            <w:r>
              <w:t xml:space="preserve"> TILA funds they have returned to DSS, as the amounts returned are </w:t>
            </w:r>
            <w:r w:rsidRPr="00B24EC0">
              <w:rPr>
                <w:b/>
                <w:bCs/>
              </w:rPr>
              <w:t xml:space="preserve">not </w:t>
            </w:r>
            <w:r>
              <w:t>displayed</w:t>
            </w:r>
            <w:r w:rsidRPr="00717F85">
              <w:t xml:space="preserve"> in the Services Australia payment system. </w:t>
            </w:r>
          </w:p>
          <w:p w14:paraId="170884B4" w14:textId="28320E77" w:rsidR="008F55D2" w:rsidRPr="00B24EC0" w:rsidRDefault="008F55D2" w:rsidP="008F55D2">
            <w:pPr>
              <w:spacing w:before="240"/>
              <w:cnfStyle w:val="000000100000" w:firstRow="0" w:lastRow="0" w:firstColumn="0" w:lastColumn="0" w:oddVBand="0" w:evenVBand="0" w:oddHBand="1" w:evenHBand="0" w:firstRowFirstColumn="0" w:firstRowLastColumn="0" w:lastRowFirstColumn="0" w:lastRowLastColumn="0"/>
              <w:rPr>
                <w:szCs w:val="22"/>
              </w:rPr>
            </w:pPr>
            <w:r w:rsidRPr="00B24EC0">
              <w:rPr>
                <w:szCs w:val="22"/>
              </w:rPr>
              <w:t xml:space="preserve">For example, if $1,500 was paid to an organisation for a young person but $200 was not spent or no longer required and was returned to DSS, the amount of $1,500 will still show as being expended in Services Australia payment system. </w:t>
            </w:r>
          </w:p>
          <w:p w14:paraId="656421BE" w14:textId="2E8934DB" w:rsidR="00465FD2" w:rsidRDefault="00465FD2" w:rsidP="00B943BA">
            <w:pPr>
              <w:cnfStyle w:val="000000100000" w:firstRow="0" w:lastRow="0" w:firstColumn="0" w:lastColumn="0" w:oddVBand="0" w:evenVBand="0" w:oddHBand="1" w:evenHBand="0" w:firstRowFirstColumn="0" w:firstRowLastColumn="0" w:lastRowFirstColumn="0" w:lastRowLastColumn="0"/>
            </w:pPr>
          </w:p>
        </w:tc>
      </w:tr>
      <w:tr w:rsidR="00465FD2" w14:paraId="598CEC50" w14:textId="77777777" w:rsidTr="009A0DFC">
        <w:tc>
          <w:tcPr>
            <w:cnfStyle w:val="001000000000" w:firstRow="0" w:lastRow="0" w:firstColumn="1" w:lastColumn="0" w:oddVBand="0" w:evenVBand="0" w:oddHBand="0" w:evenHBand="0" w:firstRowFirstColumn="0" w:firstRowLastColumn="0" w:lastRowFirstColumn="0" w:lastRowLastColumn="0"/>
            <w:tcW w:w="1838" w:type="dxa"/>
          </w:tcPr>
          <w:p w14:paraId="45A1DD11" w14:textId="77777777" w:rsidR="00465FD2" w:rsidRPr="00B24EC0" w:rsidRDefault="00465FD2" w:rsidP="009A0DFC">
            <w:pPr>
              <w:rPr>
                <w:b w:val="0"/>
                <w:bCs w:val="0"/>
              </w:rPr>
            </w:pPr>
            <w:r>
              <w:rPr>
                <w:b w:val="0"/>
                <w:bCs w:val="0"/>
              </w:rPr>
              <w:t>Amounts applied for</w:t>
            </w:r>
          </w:p>
        </w:tc>
        <w:tc>
          <w:tcPr>
            <w:tcW w:w="8073" w:type="dxa"/>
          </w:tcPr>
          <w:p w14:paraId="453D3E54" w14:textId="2F69D95C" w:rsidR="00465FD2" w:rsidRDefault="00465FD2" w:rsidP="002F6908">
            <w:pPr>
              <w:cnfStyle w:val="000000000000" w:firstRow="0" w:lastRow="0" w:firstColumn="0" w:lastColumn="0" w:oddVBand="0" w:evenVBand="0" w:oddHBand="0" w:evenHBand="0" w:firstRowFirstColumn="0" w:firstRowLastColumn="0" w:lastRowFirstColumn="0" w:lastRowLastColumn="0"/>
            </w:pPr>
            <w:r w:rsidRPr="00934615">
              <w:t xml:space="preserve">Organisations </w:t>
            </w:r>
            <w:r w:rsidR="008F55D2">
              <w:t>should only request the amount of funding required</w:t>
            </w:r>
            <w:r w:rsidR="00196DB4">
              <w:t>.</w:t>
            </w:r>
            <w:r w:rsidRPr="00934615">
              <w:t xml:space="preserve"> TILA funding payment amounts are available in 6 x $250 </w:t>
            </w:r>
            <w:r>
              <w:t>amounts</w:t>
            </w:r>
            <w:r w:rsidRPr="00934615">
              <w:t>, and</w:t>
            </w:r>
            <w:r>
              <w:t xml:space="preserve"> applying for funding in these amount block</w:t>
            </w:r>
            <w:r w:rsidRPr="00934615">
              <w:t xml:space="preserve"> can make it easier in ensuring that high amounts of </w:t>
            </w:r>
            <w:r w:rsidR="00970DB9">
              <w:t>unused</w:t>
            </w:r>
            <w:r w:rsidRPr="00934615">
              <w:t xml:space="preserve"> funds are not needed to be returned</w:t>
            </w:r>
            <w:r>
              <w:t xml:space="preserve"> to DSS</w:t>
            </w:r>
            <w:r w:rsidRPr="00934615">
              <w:t>.</w:t>
            </w:r>
          </w:p>
        </w:tc>
      </w:tr>
      <w:tr w:rsidR="00465FD2" w14:paraId="7C37508B" w14:textId="77777777" w:rsidTr="009A0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E52A410" w14:textId="77777777" w:rsidR="00465FD2" w:rsidRPr="00B24EC0" w:rsidRDefault="00465FD2" w:rsidP="009A0DFC">
            <w:pPr>
              <w:rPr>
                <w:b w:val="0"/>
                <w:bCs w:val="0"/>
              </w:rPr>
            </w:pPr>
            <w:r>
              <w:rPr>
                <w:b w:val="0"/>
                <w:bCs w:val="0"/>
              </w:rPr>
              <w:lastRenderedPageBreak/>
              <w:t>Age TILA funding should be used by</w:t>
            </w:r>
          </w:p>
        </w:tc>
        <w:tc>
          <w:tcPr>
            <w:tcW w:w="8073" w:type="dxa"/>
          </w:tcPr>
          <w:p w14:paraId="136CBBFA" w14:textId="77777777" w:rsidR="00465FD2" w:rsidRPr="00934615" w:rsidRDefault="00465FD2" w:rsidP="009A0DFC">
            <w:pPr>
              <w:cnfStyle w:val="000000100000" w:firstRow="0" w:lastRow="0" w:firstColumn="0" w:lastColumn="0" w:oddVBand="0" w:evenVBand="0" w:oddHBand="1" w:evenHBand="0" w:firstRowFirstColumn="0" w:firstRowLastColumn="0" w:lastRowFirstColumn="0" w:lastRowLastColumn="0"/>
            </w:pPr>
            <w:r>
              <w:t>It is important the young person use all their TILA funding before they turn 26 years of age. They cannot use TILA funding after their 26</w:t>
            </w:r>
            <w:r w:rsidRPr="00901173">
              <w:rPr>
                <w:vertAlign w:val="superscript"/>
              </w:rPr>
              <w:t>th</w:t>
            </w:r>
            <w:r>
              <w:t xml:space="preserve"> birthday, even if some of their TILA funding is remaining.</w:t>
            </w:r>
          </w:p>
          <w:p w14:paraId="4D742835" w14:textId="77777777" w:rsidR="00465FD2" w:rsidRDefault="00465FD2" w:rsidP="009A0DFC">
            <w:pPr>
              <w:cnfStyle w:val="000000100000" w:firstRow="0" w:lastRow="0" w:firstColumn="0" w:lastColumn="0" w:oddVBand="0" w:evenVBand="0" w:oddHBand="1" w:evenHBand="0" w:firstRowFirstColumn="0" w:firstRowLastColumn="0" w:lastRowFirstColumn="0" w:lastRowLastColumn="0"/>
            </w:pPr>
          </w:p>
        </w:tc>
      </w:tr>
      <w:tr w:rsidR="00196DB4" w14:paraId="334BE535" w14:textId="77777777" w:rsidTr="009A0DFC">
        <w:tc>
          <w:tcPr>
            <w:cnfStyle w:val="001000000000" w:firstRow="0" w:lastRow="0" w:firstColumn="1" w:lastColumn="0" w:oddVBand="0" w:evenVBand="0" w:oddHBand="0" w:evenHBand="0" w:firstRowFirstColumn="0" w:firstRowLastColumn="0" w:lastRowFirstColumn="0" w:lastRowLastColumn="0"/>
            <w:tcW w:w="1838" w:type="dxa"/>
          </w:tcPr>
          <w:p w14:paraId="211E4CA9" w14:textId="0AB61F9B" w:rsidR="00196DB4" w:rsidRPr="00196DB4" w:rsidRDefault="00196DB4" w:rsidP="009A0DFC">
            <w:pPr>
              <w:rPr>
                <w:b w:val="0"/>
                <w:bCs w:val="0"/>
              </w:rPr>
            </w:pPr>
            <w:r w:rsidRPr="00196DB4">
              <w:rPr>
                <w:b w:val="0"/>
                <w:bCs w:val="0"/>
              </w:rPr>
              <w:t xml:space="preserve">Who </w:t>
            </w:r>
            <w:r>
              <w:rPr>
                <w:b w:val="0"/>
                <w:bCs w:val="0"/>
              </w:rPr>
              <w:t xml:space="preserve">surplus </w:t>
            </w:r>
            <w:r w:rsidRPr="00196DB4">
              <w:rPr>
                <w:b w:val="0"/>
                <w:bCs w:val="0"/>
              </w:rPr>
              <w:t>TILA funding should be used for</w:t>
            </w:r>
          </w:p>
        </w:tc>
        <w:tc>
          <w:tcPr>
            <w:tcW w:w="8073" w:type="dxa"/>
          </w:tcPr>
          <w:p w14:paraId="187E6DDE" w14:textId="1DFB557B" w:rsidR="00196DB4" w:rsidRDefault="00196DB4" w:rsidP="00196DB4">
            <w:pPr>
              <w:pStyle w:val="Header"/>
              <w:spacing w:before="120" w:after="180" w:line="280" w:lineRule="atLeast"/>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TILA funding should only be used for the young person it was applied/received for. Surplus TILA funding should not be used for another young person. </w:t>
            </w:r>
          </w:p>
          <w:p w14:paraId="226FBA54" w14:textId="77777777" w:rsidR="00196DB4" w:rsidRDefault="00196DB4" w:rsidP="009A0DFC">
            <w:pPr>
              <w:cnfStyle w:val="000000000000" w:firstRow="0" w:lastRow="0" w:firstColumn="0" w:lastColumn="0" w:oddVBand="0" w:evenVBand="0" w:oddHBand="0" w:evenHBand="0" w:firstRowFirstColumn="0" w:firstRowLastColumn="0" w:lastRowFirstColumn="0" w:lastRowLastColumn="0"/>
            </w:pPr>
          </w:p>
        </w:tc>
      </w:tr>
    </w:tbl>
    <w:p w14:paraId="623BC25B" w14:textId="77777777" w:rsidR="00465FD2" w:rsidRPr="00465FD2" w:rsidRDefault="00465FD2" w:rsidP="00465FD2"/>
    <w:p w14:paraId="5212BFE0" w14:textId="4C7F3D88" w:rsidR="00246F43" w:rsidRDefault="00246F43" w:rsidP="00692C12">
      <w:pPr>
        <w:pStyle w:val="Heading3"/>
        <w:rPr>
          <w:rFonts w:asciiTheme="minorHAnsi" w:hAnsiTheme="minorHAnsi" w:cstheme="minorHAnsi"/>
          <w:sz w:val="26"/>
          <w:lang w:eastAsia="en-AU"/>
        </w:rPr>
      </w:pPr>
      <w:r>
        <w:t>Information required</w:t>
      </w:r>
    </w:p>
    <w:p w14:paraId="120368DF" w14:textId="77777777" w:rsidR="00246F43" w:rsidRDefault="00246F43" w:rsidP="0029541E"/>
    <w:p w14:paraId="03BDA4DB" w14:textId="0A8FBAC2" w:rsidR="00246F43" w:rsidRDefault="004774BE" w:rsidP="0029541E">
      <w:r>
        <w:t>It is important for an organisat</w:t>
      </w:r>
      <w:r w:rsidR="00AB285C">
        <w:t>i</w:t>
      </w:r>
      <w:r>
        <w:t xml:space="preserve">on to provide the following information </w:t>
      </w:r>
      <w:r w:rsidR="00AB285C">
        <w:t xml:space="preserve">to DSS to progress the return of </w:t>
      </w:r>
      <w:r w:rsidR="00970DB9">
        <w:t>unused</w:t>
      </w:r>
      <w:r w:rsidR="00AB285C">
        <w:t xml:space="preserve"> TILA funds.</w:t>
      </w:r>
    </w:p>
    <w:p w14:paraId="1BC45C5B" w14:textId="77777777" w:rsidR="00246F43" w:rsidRDefault="00246F43" w:rsidP="0029541E"/>
    <w:p w14:paraId="5C33FDE4" w14:textId="77777777" w:rsidR="008B1B6F" w:rsidRPr="005F7BD7" w:rsidRDefault="008B1B6F" w:rsidP="005C281B">
      <w:pPr>
        <w:rPr>
          <w:b/>
          <w:bCs/>
        </w:rPr>
      </w:pPr>
      <w:r w:rsidRPr="005F7BD7">
        <w:rPr>
          <w:b/>
          <w:bCs/>
        </w:rPr>
        <w:t>Your organisation</w:t>
      </w:r>
      <w:r w:rsidR="005C281B">
        <w:rPr>
          <w:b/>
          <w:bCs/>
        </w:rPr>
        <w:t>s</w:t>
      </w:r>
      <w:r w:rsidRPr="005F7BD7">
        <w:rPr>
          <w:b/>
          <w:bCs/>
        </w:rPr>
        <w:t xml:space="preserve"> details</w:t>
      </w:r>
    </w:p>
    <w:p w14:paraId="51A00605" w14:textId="77777777" w:rsidR="005C281B" w:rsidRPr="005F7BD7" w:rsidRDefault="005C281B" w:rsidP="005C281B">
      <w:pPr>
        <w:pStyle w:val="ListParagraph"/>
        <w:numPr>
          <w:ilvl w:val="0"/>
          <w:numId w:val="14"/>
        </w:numPr>
      </w:pPr>
      <w:r w:rsidRPr="005F7BD7">
        <w:t xml:space="preserve">Full name of your organisation/department </w:t>
      </w:r>
    </w:p>
    <w:p w14:paraId="0313C0C4" w14:textId="77777777" w:rsidR="005C281B" w:rsidRPr="005F7BD7" w:rsidRDefault="005C281B" w:rsidP="005C281B">
      <w:pPr>
        <w:pStyle w:val="ListParagraph"/>
        <w:numPr>
          <w:ilvl w:val="0"/>
          <w:numId w:val="14"/>
        </w:numPr>
      </w:pPr>
      <w:r w:rsidRPr="005F7BD7">
        <w:t>Address of your organisation</w:t>
      </w:r>
    </w:p>
    <w:p w14:paraId="27D6D59A" w14:textId="77777777" w:rsidR="005C281B" w:rsidRPr="005F7BD7" w:rsidRDefault="005C281B" w:rsidP="005C281B">
      <w:pPr>
        <w:pStyle w:val="ListParagraph"/>
        <w:numPr>
          <w:ilvl w:val="0"/>
          <w:numId w:val="14"/>
        </w:numPr>
      </w:pPr>
      <w:r w:rsidRPr="005F7BD7">
        <w:t xml:space="preserve">Organisation ABN </w:t>
      </w:r>
    </w:p>
    <w:p w14:paraId="77CD49D7" w14:textId="77777777" w:rsidR="005C281B" w:rsidRPr="005F7BD7" w:rsidRDefault="005C281B" w:rsidP="005C281B">
      <w:pPr>
        <w:pStyle w:val="ListParagraph"/>
        <w:numPr>
          <w:ilvl w:val="0"/>
          <w:numId w:val="14"/>
        </w:numPr>
      </w:pPr>
      <w:r w:rsidRPr="005F7BD7">
        <w:t xml:space="preserve">Contact name </w:t>
      </w:r>
    </w:p>
    <w:p w14:paraId="1996A63C" w14:textId="77777777" w:rsidR="005C281B" w:rsidRPr="005F7BD7" w:rsidRDefault="005C281B" w:rsidP="005C281B">
      <w:pPr>
        <w:pStyle w:val="ListParagraph"/>
        <w:numPr>
          <w:ilvl w:val="0"/>
          <w:numId w:val="14"/>
        </w:numPr>
      </w:pPr>
      <w:r w:rsidRPr="005F7BD7">
        <w:t xml:space="preserve">Contact phone number </w:t>
      </w:r>
    </w:p>
    <w:p w14:paraId="4373F947" w14:textId="77777777" w:rsidR="005C281B" w:rsidRPr="005F7BD7" w:rsidRDefault="005C281B" w:rsidP="005C281B">
      <w:pPr>
        <w:pStyle w:val="ListParagraph"/>
        <w:numPr>
          <w:ilvl w:val="0"/>
          <w:numId w:val="14"/>
        </w:numPr>
      </w:pPr>
      <w:r w:rsidRPr="005F7BD7">
        <w:t>Contact email.</w:t>
      </w:r>
    </w:p>
    <w:p w14:paraId="532EFC72" w14:textId="77777777" w:rsidR="005C281B" w:rsidRDefault="005C281B" w:rsidP="005C281B"/>
    <w:p w14:paraId="4C979195" w14:textId="77777777" w:rsidR="008B1B6F" w:rsidRPr="005F7BD7" w:rsidRDefault="008B1B6F" w:rsidP="005C281B">
      <w:pPr>
        <w:rPr>
          <w:b/>
          <w:bCs/>
        </w:rPr>
      </w:pPr>
      <w:r w:rsidRPr="005F7BD7">
        <w:rPr>
          <w:b/>
          <w:bCs/>
        </w:rPr>
        <w:t>Details for each young person</w:t>
      </w:r>
    </w:p>
    <w:p w14:paraId="6DB8D7BE" w14:textId="77777777" w:rsidR="005C281B" w:rsidRPr="005F7BD7" w:rsidRDefault="005C281B" w:rsidP="005C281B">
      <w:pPr>
        <w:pStyle w:val="ListParagraph"/>
        <w:numPr>
          <w:ilvl w:val="0"/>
          <w:numId w:val="15"/>
        </w:numPr>
      </w:pPr>
      <w:r w:rsidRPr="005F7BD7">
        <w:t>Name</w:t>
      </w:r>
    </w:p>
    <w:p w14:paraId="67399353" w14:textId="77777777" w:rsidR="005C281B" w:rsidRDefault="005C281B" w:rsidP="005C281B">
      <w:pPr>
        <w:pStyle w:val="ListParagraph"/>
        <w:numPr>
          <w:ilvl w:val="0"/>
          <w:numId w:val="15"/>
        </w:numPr>
      </w:pPr>
      <w:r w:rsidRPr="005F7BD7">
        <w:t>D</w:t>
      </w:r>
      <w:r>
        <w:t>ate of Birth</w:t>
      </w:r>
    </w:p>
    <w:p w14:paraId="26D5C85F" w14:textId="77777777" w:rsidR="005C281B" w:rsidRPr="005F7BD7" w:rsidRDefault="005C281B" w:rsidP="005C281B">
      <w:pPr>
        <w:pStyle w:val="ListParagraph"/>
        <w:numPr>
          <w:ilvl w:val="0"/>
          <w:numId w:val="15"/>
        </w:numPr>
      </w:pPr>
      <w:r w:rsidRPr="005F7BD7">
        <w:t>C</w:t>
      </w:r>
      <w:r>
        <w:t>entrelink Customer Reference Number (CRN)</w:t>
      </w:r>
    </w:p>
    <w:p w14:paraId="7274A998" w14:textId="77777777" w:rsidR="005C281B" w:rsidRDefault="005C281B" w:rsidP="005C281B">
      <w:pPr>
        <w:pStyle w:val="ListParagraph"/>
        <w:numPr>
          <w:ilvl w:val="0"/>
          <w:numId w:val="15"/>
        </w:numPr>
      </w:pPr>
      <w:r w:rsidRPr="005F7BD7">
        <w:t>Amount to be returned</w:t>
      </w:r>
    </w:p>
    <w:p w14:paraId="009B1832" w14:textId="77777777" w:rsidR="005C281B" w:rsidRPr="005F7BD7" w:rsidRDefault="005C281B" w:rsidP="005C281B">
      <w:pPr>
        <w:pStyle w:val="ListParagraph"/>
        <w:numPr>
          <w:ilvl w:val="0"/>
          <w:numId w:val="15"/>
        </w:numPr>
      </w:pPr>
      <w:r w:rsidRPr="005F7BD7">
        <w:t>Financial Year funds were applied for</w:t>
      </w:r>
    </w:p>
    <w:p w14:paraId="58FBDFE6" w14:textId="77777777" w:rsidR="005C281B" w:rsidRDefault="005C281B" w:rsidP="005C281B">
      <w:pPr>
        <w:pStyle w:val="ListParagraph"/>
        <w:numPr>
          <w:ilvl w:val="0"/>
          <w:numId w:val="15"/>
        </w:numPr>
      </w:pPr>
      <w:r w:rsidRPr="005F7BD7">
        <w:t>Financial Year funds were received</w:t>
      </w:r>
    </w:p>
    <w:p w14:paraId="47D73942" w14:textId="294DAADB" w:rsidR="00692C12" w:rsidRPr="005F7BD7" w:rsidRDefault="00692C12" w:rsidP="005C281B">
      <w:pPr>
        <w:pStyle w:val="ListParagraph"/>
        <w:numPr>
          <w:ilvl w:val="0"/>
          <w:numId w:val="15"/>
        </w:numPr>
      </w:pPr>
      <w:r>
        <w:t xml:space="preserve">Reason why received funding </w:t>
      </w:r>
      <w:r w:rsidR="00DB0D79">
        <w:t xml:space="preserve">was </w:t>
      </w:r>
      <w:r>
        <w:t>not used</w:t>
      </w:r>
    </w:p>
    <w:p w14:paraId="51C95B10" w14:textId="7F519135" w:rsidR="005C281B" w:rsidRPr="005F7BD7" w:rsidRDefault="005C281B" w:rsidP="005C281B">
      <w:pPr>
        <w:pStyle w:val="ListParagraph"/>
        <w:numPr>
          <w:ilvl w:val="0"/>
          <w:numId w:val="15"/>
        </w:numPr>
      </w:pPr>
      <w:r w:rsidRPr="005F7BD7">
        <w:t xml:space="preserve">Details on the contact attempts </w:t>
      </w:r>
      <w:r w:rsidR="00692C12">
        <w:t xml:space="preserve">and </w:t>
      </w:r>
      <w:r w:rsidR="00A4017B">
        <w:t xml:space="preserve">different methods used to </w:t>
      </w:r>
      <w:r w:rsidRPr="005F7BD7">
        <w:t>expend the</w:t>
      </w:r>
      <w:r w:rsidR="00A4017B">
        <w:t xml:space="preserve"> young person</w:t>
      </w:r>
      <w:r w:rsidR="006D0C70">
        <w:t>’</w:t>
      </w:r>
      <w:r w:rsidR="00A4017B">
        <w:t>s</w:t>
      </w:r>
      <w:r w:rsidRPr="005F7BD7">
        <w:t xml:space="preserve"> f</w:t>
      </w:r>
      <w:r>
        <w:t>unds in line with their leaving care plan.</w:t>
      </w:r>
    </w:p>
    <w:p w14:paraId="34B75851" w14:textId="77777777" w:rsidR="005C281B" w:rsidRPr="005F7BD7" w:rsidRDefault="005C281B" w:rsidP="005C281B"/>
    <w:p w14:paraId="3ECB26A5" w14:textId="77777777" w:rsidR="001F3EE2" w:rsidRDefault="005C281B" w:rsidP="005C281B">
      <w:r>
        <w:t xml:space="preserve">Once these details have been provided, DSS will </w:t>
      </w:r>
      <w:r w:rsidR="00A4017B">
        <w:t xml:space="preserve">consider </w:t>
      </w:r>
      <w:r w:rsidR="006D0C70">
        <w:t>the information and may wish to meet with an organisation to disc</w:t>
      </w:r>
      <w:r w:rsidR="001F3EE2">
        <w:t>uss the details provided further.</w:t>
      </w:r>
    </w:p>
    <w:p w14:paraId="2ED02037" w14:textId="77777777" w:rsidR="001F3EE2" w:rsidRDefault="001F3EE2" w:rsidP="005C281B"/>
    <w:p w14:paraId="6CF80CFF" w14:textId="77777777" w:rsidR="00211CED" w:rsidRDefault="001F3EE2" w:rsidP="00211CED">
      <w:r>
        <w:t xml:space="preserve">After this, DSS will </w:t>
      </w:r>
      <w:r w:rsidR="005C281B">
        <w:t>issue an invoice for the repayment of these funds</w:t>
      </w:r>
      <w:r>
        <w:t xml:space="preserve"> back to the department</w:t>
      </w:r>
      <w:r w:rsidR="005C281B">
        <w:t xml:space="preserve">. </w:t>
      </w:r>
    </w:p>
    <w:p w14:paraId="37CB5210" w14:textId="77777777" w:rsidR="00211CED" w:rsidRDefault="00211CED" w:rsidP="00211CED"/>
    <w:p w14:paraId="6BAC57EE" w14:textId="03178163" w:rsidR="00465FD2" w:rsidRDefault="00465FD2" w:rsidP="00211CED">
      <w:r>
        <w:t>At times DSS will request further information be provided from the organisation to ensure that every effort has been made to ensure the young person receives their TILA funding.</w:t>
      </w:r>
    </w:p>
    <w:p w14:paraId="4E46720E" w14:textId="07F25109" w:rsidR="000D0F67" w:rsidRDefault="000D0F67" w:rsidP="000D0F67">
      <w:pPr>
        <w:pStyle w:val="Heading2"/>
      </w:pPr>
      <w:r>
        <w:t>Request for re-issuing of un</w:t>
      </w:r>
      <w:r w:rsidR="00970DB9">
        <w:t xml:space="preserve">used </w:t>
      </w:r>
      <w:r>
        <w:t>TILA funds</w:t>
      </w:r>
    </w:p>
    <w:p w14:paraId="26226753" w14:textId="77777777" w:rsidR="00155733" w:rsidRDefault="000D0F67" w:rsidP="00155733">
      <w:pPr>
        <w:pStyle w:val="Heading3"/>
      </w:pPr>
      <w:r>
        <w:t>Overview</w:t>
      </w:r>
    </w:p>
    <w:p w14:paraId="78AAFE40" w14:textId="57CFF3F2" w:rsidR="008E42D7" w:rsidRPr="00970DB9" w:rsidRDefault="008A7DD9" w:rsidP="00155733">
      <w:pPr>
        <w:spacing w:before="240"/>
      </w:pPr>
      <w:r w:rsidRPr="00970DB9">
        <w:t>At times a</w:t>
      </w:r>
      <w:r w:rsidR="00C80AE0" w:rsidRPr="00970DB9">
        <w:t xml:space="preserve"> young person may advise an </w:t>
      </w:r>
      <w:r w:rsidRPr="00970DB9">
        <w:t xml:space="preserve">organisation </w:t>
      </w:r>
      <w:r w:rsidR="00C80AE0" w:rsidRPr="00970DB9">
        <w:t>they would like to use the</w:t>
      </w:r>
      <w:r w:rsidR="006C6CAA" w:rsidRPr="00970DB9">
        <w:t>ir</w:t>
      </w:r>
      <w:r w:rsidR="00C80AE0" w:rsidRPr="00970DB9">
        <w:t xml:space="preserve"> </w:t>
      </w:r>
      <w:r w:rsidR="00970DB9" w:rsidRPr="00970DB9">
        <w:t>unused</w:t>
      </w:r>
      <w:r w:rsidR="00C80AE0" w:rsidRPr="00970DB9">
        <w:t xml:space="preserve"> TILA funds that have been returned to DSS</w:t>
      </w:r>
      <w:r w:rsidR="00D46945" w:rsidRPr="00970DB9">
        <w:t xml:space="preserve"> and request a reissue of this funding</w:t>
      </w:r>
      <w:r w:rsidR="00C80AE0" w:rsidRPr="00970DB9">
        <w:t xml:space="preserve">. </w:t>
      </w:r>
    </w:p>
    <w:p w14:paraId="5860E40C" w14:textId="77777777" w:rsidR="00D46945" w:rsidRDefault="008E42D7" w:rsidP="00155733">
      <w:pPr>
        <w:spacing w:before="240"/>
      </w:pPr>
      <w:r w:rsidRPr="00970DB9">
        <w:t xml:space="preserve">In these instances, </w:t>
      </w:r>
      <w:r w:rsidR="00DE3782" w:rsidRPr="00970DB9">
        <w:t xml:space="preserve">DSS </w:t>
      </w:r>
      <w:r w:rsidRPr="00970DB9">
        <w:t>makes a request to Services Australia for this to occur. This is called a manual payment</w:t>
      </w:r>
      <w:r w:rsidR="00D46945" w:rsidRPr="00970DB9">
        <w:t>.</w:t>
      </w:r>
    </w:p>
    <w:p w14:paraId="08A3CE2C" w14:textId="1D44A9B1" w:rsidR="002717AE" w:rsidRDefault="00D46945" w:rsidP="002717AE">
      <w:pPr>
        <w:pStyle w:val="Heading3"/>
      </w:pPr>
      <w:r>
        <w:lastRenderedPageBreak/>
        <w:t>R</w:t>
      </w:r>
      <w:r w:rsidR="002717AE">
        <w:t>eminders</w:t>
      </w:r>
    </w:p>
    <w:p w14:paraId="28EF366B" w14:textId="5A794B6B" w:rsidR="002717AE" w:rsidRDefault="002717AE" w:rsidP="00155733">
      <w:pPr>
        <w:spacing w:before="240"/>
      </w:pPr>
      <w:r>
        <w:t xml:space="preserve">Refer to the reminders </w:t>
      </w:r>
      <w:r w:rsidR="009A40C0">
        <w:t>section in this taskcard.</w:t>
      </w:r>
    </w:p>
    <w:p w14:paraId="4A34649F" w14:textId="77777777" w:rsidR="009A40C0" w:rsidRDefault="009A40C0" w:rsidP="002717AE"/>
    <w:p w14:paraId="3C1EFD9A" w14:textId="77777777" w:rsidR="007E7DC1" w:rsidRDefault="007E7DC1" w:rsidP="00155733">
      <w:pPr>
        <w:pStyle w:val="Heading3"/>
        <w:rPr>
          <w:rFonts w:asciiTheme="minorHAnsi" w:hAnsiTheme="minorHAnsi" w:cstheme="minorHAnsi"/>
          <w:sz w:val="26"/>
          <w:lang w:eastAsia="en-AU"/>
        </w:rPr>
      </w:pPr>
      <w:r>
        <w:t>Information required</w:t>
      </w:r>
    </w:p>
    <w:p w14:paraId="0BF3D1FE" w14:textId="77777777" w:rsidR="007E7DC1" w:rsidRDefault="007E7DC1" w:rsidP="007E7DC1"/>
    <w:p w14:paraId="23CBB6F8" w14:textId="77777777" w:rsidR="007E7DC1" w:rsidRDefault="007E7DC1" w:rsidP="007E7DC1">
      <w:r>
        <w:t>It is important for an organisation to provide the following information to DSS to progress a request for manual payment.</w:t>
      </w:r>
    </w:p>
    <w:p w14:paraId="59371CB0" w14:textId="77777777" w:rsidR="007E7DC1" w:rsidRDefault="007E7DC1" w:rsidP="007E7DC1"/>
    <w:p w14:paraId="3254688D" w14:textId="77777777" w:rsidR="007E7DC1" w:rsidRPr="005F7BD7" w:rsidRDefault="007E7DC1" w:rsidP="007E7DC1">
      <w:pPr>
        <w:rPr>
          <w:b/>
          <w:bCs/>
        </w:rPr>
      </w:pPr>
      <w:r w:rsidRPr="005F7BD7">
        <w:rPr>
          <w:b/>
          <w:bCs/>
        </w:rPr>
        <w:t>Your organisation</w:t>
      </w:r>
      <w:r>
        <w:rPr>
          <w:b/>
          <w:bCs/>
        </w:rPr>
        <w:t>s</w:t>
      </w:r>
      <w:r w:rsidRPr="005F7BD7">
        <w:rPr>
          <w:b/>
          <w:bCs/>
        </w:rPr>
        <w:t xml:space="preserve"> details</w:t>
      </w:r>
    </w:p>
    <w:p w14:paraId="6B3BB02D" w14:textId="77777777" w:rsidR="007E7DC1" w:rsidRPr="005F7BD7" w:rsidRDefault="007E7DC1" w:rsidP="007E7DC1">
      <w:pPr>
        <w:pStyle w:val="ListParagraph"/>
        <w:numPr>
          <w:ilvl w:val="0"/>
          <w:numId w:val="14"/>
        </w:numPr>
      </w:pPr>
      <w:r w:rsidRPr="005F7BD7">
        <w:t xml:space="preserve">Full name of your organisation/department </w:t>
      </w:r>
    </w:p>
    <w:p w14:paraId="6BE2AF12" w14:textId="77777777" w:rsidR="007E7DC1" w:rsidRPr="005F7BD7" w:rsidRDefault="007E7DC1" w:rsidP="007E7DC1">
      <w:pPr>
        <w:pStyle w:val="ListParagraph"/>
        <w:numPr>
          <w:ilvl w:val="0"/>
          <w:numId w:val="14"/>
        </w:numPr>
      </w:pPr>
      <w:r w:rsidRPr="005F7BD7">
        <w:t>Address of your organisation</w:t>
      </w:r>
    </w:p>
    <w:p w14:paraId="72634823" w14:textId="77777777" w:rsidR="007E7DC1" w:rsidRPr="005F7BD7" w:rsidRDefault="007E7DC1" w:rsidP="007E7DC1">
      <w:pPr>
        <w:pStyle w:val="ListParagraph"/>
        <w:numPr>
          <w:ilvl w:val="0"/>
          <w:numId w:val="14"/>
        </w:numPr>
      </w:pPr>
      <w:r w:rsidRPr="005F7BD7">
        <w:t xml:space="preserve">Organisation ABN </w:t>
      </w:r>
    </w:p>
    <w:p w14:paraId="65D357A1" w14:textId="77777777" w:rsidR="007E7DC1" w:rsidRPr="005F7BD7" w:rsidRDefault="007E7DC1" w:rsidP="007E7DC1">
      <w:pPr>
        <w:pStyle w:val="ListParagraph"/>
        <w:numPr>
          <w:ilvl w:val="0"/>
          <w:numId w:val="14"/>
        </w:numPr>
      </w:pPr>
      <w:r w:rsidRPr="005F7BD7">
        <w:t xml:space="preserve">Contact name </w:t>
      </w:r>
    </w:p>
    <w:p w14:paraId="77D5B17F" w14:textId="77777777" w:rsidR="007E7DC1" w:rsidRPr="005F7BD7" w:rsidRDefault="007E7DC1" w:rsidP="007E7DC1">
      <w:pPr>
        <w:pStyle w:val="ListParagraph"/>
        <w:numPr>
          <w:ilvl w:val="0"/>
          <w:numId w:val="14"/>
        </w:numPr>
      </w:pPr>
      <w:r w:rsidRPr="005F7BD7">
        <w:t xml:space="preserve">Contact phone number </w:t>
      </w:r>
    </w:p>
    <w:p w14:paraId="5C07588F" w14:textId="77777777" w:rsidR="007E7DC1" w:rsidRPr="005F7BD7" w:rsidRDefault="007E7DC1" w:rsidP="007E7DC1">
      <w:pPr>
        <w:pStyle w:val="ListParagraph"/>
        <w:numPr>
          <w:ilvl w:val="0"/>
          <w:numId w:val="14"/>
        </w:numPr>
      </w:pPr>
      <w:r w:rsidRPr="005F7BD7">
        <w:t>Contact email.</w:t>
      </w:r>
    </w:p>
    <w:p w14:paraId="20DD56DE" w14:textId="77777777" w:rsidR="007E7DC1" w:rsidRDefault="007E7DC1" w:rsidP="007E7DC1"/>
    <w:p w14:paraId="665A5238" w14:textId="77777777" w:rsidR="007E7DC1" w:rsidRPr="005F7BD7" w:rsidRDefault="007E7DC1" w:rsidP="007E7DC1">
      <w:pPr>
        <w:rPr>
          <w:b/>
          <w:bCs/>
        </w:rPr>
      </w:pPr>
      <w:r>
        <w:rPr>
          <w:b/>
          <w:bCs/>
        </w:rPr>
        <w:t>Young person’s details</w:t>
      </w:r>
    </w:p>
    <w:p w14:paraId="32112ACD" w14:textId="77777777" w:rsidR="007E7DC1" w:rsidRPr="005F7BD7" w:rsidRDefault="007E7DC1" w:rsidP="007E7DC1">
      <w:pPr>
        <w:pStyle w:val="ListParagraph"/>
        <w:numPr>
          <w:ilvl w:val="0"/>
          <w:numId w:val="15"/>
        </w:numPr>
      </w:pPr>
      <w:r w:rsidRPr="005F7BD7">
        <w:t>Name</w:t>
      </w:r>
    </w:p>
    <w:p w14:paraId="57A3C8FF" w14:textId="77777777" w:rsidR="007E7DC1" w:rsidRDefault="007E7DC1" w:rsidP="007E7DC1">
      <w:pPr>
        <w:pStyle w:val="ListParagraph"/>
        <w:numPr>
          <w:ilvl w:val="0"/>
          <w:numId w:val="15"/>
        </w:numPr>
      </w:pPr>
      <w:r w:rsidRPr="005F7BD7">
        <w:t>D</w:t>
      </w:r>
      <w:r>
        <w:t>ate of Birth</w:t>
      </w:r>
    </w:p>
    <w:p w14:paraId="4162C643" w14:textId="77777777" w:rsidR="007E7DC1" w:rsidRPr="005F7BD7" w:rsidRDefault="007E7DC1" w:rsidP="007E7DC1">
      <w:pPr>
        <w:pStyle w:val="ListParagraph"/>
        <w:numPr>
          <w:ilvl w:val="0"/>
          <w:numId w:val="15"/>
        </w:numPr>
      </w:pPr>
      <w:r w:rsidRPr="005F7BD7">
        <w:t>C</w:t>
      </w:r>
      <w:r>
        <w:t>entrelink Customer Reference Number (CRN)</w:t>
      </w:r>
    </w:p>
    <w:p w14:paraId="055CDA33" w14:textId="77777777" w:rsidR="007E7DC1" w:rsidRDefault="007E7DC1" w:rsidP="007E7DC1">
      <w:pPr>
        <w:pStyle w:val="ListParagraph"/>
        <w:numPr>
          <w:ilvl w:val="0"/>
          <w:numId w:val="15"/>
        </w:numPr>
      </w:pPr>
      <w:r w:rsidRPr="005F7BD7">
        <w:t>Amount to be returned</w:t>
      </w:r>
    </w:p>
    <w:p w14:paraId="562B928B" w14:textId="77777777" w:rsidR="007E7DC1" w:rsidRDefault="007E7DC1" w:rsidP="007E7DC1">
      <w:pPr>
        <w:pStyle w:val="ListParagraph"/>
        <w:numPr>
          <w:ilvl w:val="0"/>
          <w:numId w:val="15"/>
        </w:numPr>
        <w:spacing w:after="200" w:line="276" w:lineRule="auto"/>
      </w:pPr>
      <w:r>
        <w:t>Financial year payment was made</w:t>
      </w:r>
    </w:p>
    <w:p w14:paraId="60A1CB4A" w14:textId="77777777" w:rsidR="007E7DC1" w:rsidRDefault="007E7DC1" w:rsidP="007E7DC1">
      <w:pPr>
        <w:pStyle w:val="ListParagraph"/>
        <w:numPr>
          <w:ilvl w:val="0"/>
          <w:numId w:val="15"/>
        </w:numPr>
        <w:spacing w:after="200" w:line="276" w:lineRule="auto"/>
      </w:pPr>
      <w:r>
        <w:t>Financial year the funds relate to i.e. were the funds paid in 2022-2023 financial year or earlier or later</w:t>
      </w:r>
    </w:p>
    <w:p w14:paraId="3A00CC32" w14:textId="6D9EC4A9" w:rsidR="007E7DC1" w:rsidRPr="0021163B" w:rsidRDefault="007E7DC1" w:rsidP="007E7DC1">
      <w:pPr>
        <w:pStyle w:val="ListParagraph"/>
        <w:numPr>
          <w:ilvl w:val="0"/>
          <w:numId w:val="15"/>
        </w:numPr>
        <w:spacing w:after="200" w:line="276" w:lineRule="auto"/>
      </w:pPr>
      <w:r>
        <w:t xml:space="preserve">Date the </w:t>
      </w:r>
      <w:r w:rsidR="00970DB9">
        <w:t>unused</w:t>
      </w:r>
      <w:r>
        <w:t xml:space="preserve"> TILA funding amount was returned to DSS</w:t>
      </w:r>
      <w:r w:rsidR="00033E3D">
        <w:t xml:space="preserve"> and attach the original email returning </w:t>
      </w:r>
      <w:r w:rsidR="00970DB9">
        <w:t>unused</w:t>
      </w:r>
      <w:r w:rsidR="00033E3D">
        <w:t xml:space="preserve"> TILA funds if known.</w:t>
      </w:r>
    </w:p>
    <w:p w14:paraId="6B476672" w14:textId="2809A5B1" w:rsidR="00CA680C" w:rsidRPr="00970DB9" w:rsidRDefault="007E7DC1" w:rsidP="007E7DC1">
      <w:r w:rsidRPr="00970DB9">
        <w:t xml:space="preserve">Once these details have been provided, DSS will review </w:t>
      </w:r>
      <w:r w:rsidR="00CA680C" w:rsidRPr="00970DB9">
        <w:t>the request and may wish to speak further with the organisation</w:t>
      </w:r>
      <w:r w:rsidR="001A18A2" w:rsidRPr="00970DB9">
        <w:t xml:space="preserve"> regarding the request to ensure it is in line with TILA eligibility guidelines</w:t>
      </w:r>
      <w:r w:rsidR="00CA680C" w:rsidRPr="00970DB9">
        <w:t>.</w:t>
      </w:r>
    </w:p>
    <w:p w14:paraId="72BEED7E" w14:textId="77777777" w:rsidR="00CA680C" w:rsidRPr="00970DB9" w:rsidRDefault="00CA680C" w:rsidP="007E7DC1"/>
    <w:p w14:paraId="4BA66CBC" w14:textId="7A2E5F4D" w:rsidR="007E7DC1" w:rsidRPr="00827E26" w:rsidRDefault="00745556" w:rsidP="007E7DC1">
      <w:r w:rsidRPr="00970DB9">
        <w:t xml:space="preserve">After this, </w:t>
      </w:r>
      <w:r w:rsidR="00D57C97" w:rsidRPr="00970DB9">
        <w:t xml:space="preserve">DSS will send the </w:t>
      </w:r>
      <w:r w:rsidR="007E7DC1" w:rsidRPr="00970DB9">
        <w:t xml:space="preserve">request to Services Australia for the </w:t>
      </w:r>
      <w:r w:rsidR="00D57C97" w:rsidRPr="00970DB9">
        <w:t xml:space="preserve">manual </w:t>
      </w:r>
      <w:r w:rsidR="007E7DC1" w:rsidRPr="00970DB9">
        <w:t xml:space="preserve">payment to </w:t>
      </w:r>
      <w:r w:rsidR="008844A7" w:rsidRPr="00970DB9">
        <w:t xml:space="preserve">be made to </w:t>
      </w:r>
      <w:r w:rsidR="00D57C97" w:rsidRPr="00970DB9">
        <w:t>the organisation</w:t>
      </w:r>
      <w:r w:rsidR="008844A7" w:rsidRPr="00970DB9">
        <w:t xml:space="preserve"> for use on the young person as agreed to in the young person’s leaving care plan</w:t>
      </w:r>
      <w:r w:rsidR="007E7DC1" w:rsidRPr="00970DB9">
        <w:t>.</w:t>
      </w:r>
      <w:r w:rsidR="007E7DC1">
        <w:t xml:space="preserve"> </w:t>
      </w:r>
    </w:p>
    <w:p w14:paraId="79571D5E" w14:textId="77777777" w:rsidR="009A40C0" w:rsidRPr="002717AE" w:rsidRDefault="009A40C0" w:rsidP="002717AE"/>
    <w:p w14:paraId="4728F09F" w14:textId="77777777" w:rsidR="002717AE" w:rsidRDefault="002717AE" w:rsidP="008A7DD9">
      <w:pPr>
        <w:spacing w:before="240"/>
      </w:pPr>
    </w:p>
    <w:p w14:paraId="21C4C2B4" w14:textId="77777777" w:rsidR="00FD3ACC" w:rsidRPr="00D57C6E" w:rsidRDefault="00FD3ACC" w:rsidP="007A1BB4">
      <w:pPr>
        <w:spacing w:after="180" w:line="280" w:lineRule="atLeast"/>
      </w:pPr>
    </w:p>
    <w:sectPr w:rsidR="00FD3ACC" w:rsidRPr="00D57C6E" w:rsidSect="00772EB2">
      <w:footerReference w:type="even" r:id="rId12"/>
      <w:footerReference w:type="default" r:id="rId13"/>
      <w:headerReference w:type="first" r:id="rId14"/>
      <w:footerReference w:type="first" r:id="rId15"/>
      <w:pgSz w:w="11906" w:h="16838" w:code="9"/>
      <w:pgMar w:top="1416" w:right="1134"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47D64" w14:textId="77777777" w:rsidR="00BE780B" w:rsidRDefault="00BE780B">
      <w:r>
        <w:separator/>
      </w:r>
    </w:p>
  </w:endnote>
  <w:endnote w:type="continuationSeparator" w:id="0">
    <w:p w14:paraId="6F602736" w14:textId="77777777" w:rsidR="00BE780B" w:rsidRDefault="00BE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8CFC7" w14:textId="77777777" w:rsidR="00772EB2" w:rsidRPr="000A5845" w:rsidRDefault="00772EB2" w:rsidP="00772EB2">
    <w:pPr>
      <w:pStyle w:val="Header"/>
    </w:pPr>
  </w:p>
  <w:p w14:paraId="2507D206" w14:textId="77777777" w:rsidR="00772EB2" w:rsidRDefault="00772EB2" w:rsidP="00772EB2"/>
  <w:p w14:paraId="3810E3A8" w14:textId="16C80763" w:rsidR="00772EB2" w:rsidRDefault="00B401EE" w:rsidP="00772EB2">
    <w:pPr>
      <w:pStyle w:val="Footer"/>
    </w:pPr>
    <w:r>
      <w:t xml:space="preserve">Return of </w:t>
    </w:r>
    <w:r w:rsidR="00970DB9">
      <w:t>unused</w:t>
    </w:r>
    <w:r>
      <w:t xml:space="preserve"> TILA</w:t>
    </w:r>
    <w:r w:rsidR="009C48D2">
      <w:t xml:space="preserve"> </w:t>
    </w:r>
    <w:r>
      <w:t>funds process</w:t>
    </w:r>
    <w:r w:rsidR="008271D7">
      <w:t xml:space="preserve"> and the reissuing of</w:t>
    </w:r>
    <w:r w:rsidR="009C48D2">
      <w:t xml:space="preserve"> returned</w:t>
    </w:r>
    <w:r w:rsidR="008271D7">
      <w:t xml:space="preserve"> funds process</w:t>
    </w:r>
    <w:r>
      <w:t xml:space="preserve"> - Transition to Independent Living Allowance – </w:t>
    </w:r>
    <w:r w:rsidR="000A29FE">
      <w:t xml:space="preserve">November </w:t>
    </w:r>
    <w:r>
      <w:t>2024</w:t>
    </w:r>
    <w:r w:rsidR="00772EB2">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253C7" w14:textId="2B74FEEA" w:rsidR="00772EB2" w:rsidRDefault="00272277" w:rsidP="00772EB2">
    <w:pPr>
      <w:pStyle w:val="Footer"/>
    </w:pPr>
    <w:r>
      <w:t xml:space="preserve">Return of </w:t>
    </w:r>
    <w:r w:rsidR="00970DB9">
      <w:t>unused</w:t>
    </w:r>
    <w:r>
      <w:t xml:space="preserve"> TILA funds process and the reissuing of</w:t>
    </w:r>
    <w:r w:rsidR="009C48D2">
      <w:t xml:space="preserve"> returned</w:t>
    </w:r>
    <w:r>
      <w:t xml:space="preserve"> funds process - Transition to Independent Living Allowance – </w:t>
    </w:r>
    <w:r w:rsidR="000A29FE">
      <w:t>November</w:t>
    </w:r>
    <w:r w:rsidR="00544FC1">
      <w:t xml:space="preserve"> </w:t>
    </w:r>
    <w:r>
      <w:t>2024</w:t>
    </w:r>
    <w:r w:rsidR="00772EB2">
      <w:tab/>
    </w:r>
    <w:r w:rsidR="00812DA2">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AB4D" w14:textId="3D638B9E" w:rsidR="004F662F" w:rsidRDefault="000D2FA2" w:rsidP="004F662F">
    <w:pPr>
      <w:pStyle w:val="Footer"/>
    </w:pPr>
    <w:r>
      <w:t>Return of unused TILA funds process and the reissuing of returned funds process - Transition to Independent Living Allowance – November 2024</w:t>
    </w:r>
    <w:r w:rsidR="004F662F">
      <w:tab/>
    </w:r>
    <w:sdt>
      <w:sdtPr>
        <w:id w:val="494990996"/>
        <w:docPartObj>
          <w:docPartGallery w:val="Page Numbers (Bottom of Page)"/>
          <w:docPartUnique/>
        </w:docPartObj>
      </w:sdtPr>
      <w:sdtEndPr>
        <w:rPr>
          <w:noProof/>
        </w:rPr>
      </w:sdtEndPr>
      <w:sdtContent>
        <w:r w:rsidR="004F662F">
          <w:fldChar w:fldCharType="begin"/>
        </w:r>
        <w:r w:rsidR="004F662F">
          <w:instrText xml:space="preserve"> PAGE   \* MERGEFORMAT </w:instrText>
        </w:r>
        <w:r w:rsidR="004F662F">
          <w:fldChar w:fldCharType="separate"/>
        </w:r>
        <w:r w:rsidR="005F2B68">
          <w:rPr>
            <w:noProof/>
          </w:rPr>
          <w:t>1</w:t>
        </w:r>
        <w:r w:rsidR="004F662F">
          <w:rPr>
            <w:noProof/>
          </w:rPr>
          <w:fldChar w:fldCharType="end"/>
        </w:r>
      </w:sdtContent>
    </w:sdt>
  </w:p>
  <w:p w14:paraId="35858A9B" w14:textId="77777777" w:rsidR="004F662F" w:rsidRDefault="004F6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1631D" w14:textId="77777777" w:rsidR="00BE780B" w:rsidRDefault="00BE780B">
      <w:r>
        <w:separator/>
      </w:r>
    </w:p>
  </w:footnote>
  <w:footnote w:type="continuationSeparator" w:id="0">
    <w:p w14:paraId="31199F20" w14:textId="77777777" w:rsidR="00BE780B" w:rsidRDefault="00BE7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A2CD" w14:textId="77777777" w:rsidR="004F662F" w:rsidRDefault="004F662F" w:rsidP="000A5845">
    <w:pPr>
      <w:pStyle w:val="Header"/>
    </w:pPr>
  </w:p>
  <w:p w14:paraId="7EA7614B" w14:textId="68F16289" w:rsidR="004F662F" w:rsidRDefault="00C82369" w:rsidP="000A5845">
    <w:pPr>
      <w:pStyle w:val="Header"/>
    </w:pPr>
    <w:r>
      <w:t xml:space="preserve">   </w:t>
    </w:r>
    <w:r>
      <w:tab/>
    </w:r>
    <w:r>
      <w:tab/>
    </w:r>
  </w:p>
  <w:p w14:paraId="764C7DBE" w14:textId="77777777" w:rsidR="00CA31A3" w:rsidRPr="000A5845" w:rsidRDefault="000A5845" w:rsidP="000A5845">
    <w:pPr>
      <w:pStyle w:val="Header"/>
    </w:pPr>
    <w:r>
      <w:rPr>
        <w:noProof/>
        <w:lang w:eastAsia="en-AU"/>
      </w:rPr>
      <w:drawing>
        <wp:inline distT="0" distB="0" distL="0" distR="0" wp14:anchorId="186BDEC1" wp14:editId="629EBBE8">
          <wp:extent cx="6493510" cy="874395"/>
          <wp:effectExtent l="0" t="0" r="254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93510" cy="874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82050C"/>
    <w:multiLevelType w:val="hybridMultilevel"/>
    <w:tmpl w:val="6DE0CA7A"/>
    <w:lvl w:ilvl="0" w:tplc="EE025612">
      <w:start w:val="202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7D605F"/>
    <w:multiLevelType w:val="hybridMultilevel"/>
    <w:tmpl w:val="ABBE49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E244FF5"/>
    <w:multiLevelType w:val="hybridMultilevel"/>
    <w:tmpl w:val="82A8D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60B0A3A"/>
    <w:multiLevelType w:val="hybridMultilevel"/>
    <w:tmpl w:val="2E142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9E71A76"/>
    <w:multiLevelType w:val="hybridMultilevel"/>
    <w:tmpl w:val="90D02200"/>
    <w:lvl w:ilvl="0" w:tplc="D194BF5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4A2947"/>
    <w:multiLevelType w:val="hybridMultilevel"/>
    <w:tmpl w:val="139C8496"/>
    <w:lvl w:ilvl="0" w:tplc="D9065A0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8936D4E"/>
    <w:multiLevelType w:val="hybridMultilevel"/>
    <w:tmpl w:val="2826BD8C"/>
    <w:lvl w:ilvl="0" w:tplc="D194BF5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E92261"/>
    <w:multiLevelType w:val="hybridMultilevel"/>
    <w:tmpl w:val="1D92E65E"/>
    <w:lvl w:ilvl="0" w:tplc="C032D16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5E8B3FAA"/>
    <w:multiLevelType w:val="hybridMultilevel"/>
    <w:tmpl w:val="B91CFEF6"/>
    <w:lvl w:ilvl="0" w:tplc="D194BF5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97336C3"/>
    <w:multiLevelType w:val="hybridMultilevel"/>
    <w:tmpl w:val="301270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747D2E8E"/>
    <w:multiLevelType w:val="hybridMultilevel"/>
    <w:tmpl w:val="90720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C1517B"/>
    <w:multiLevelType w:val="hybridMultilevel"/>
    <w:tmpl w:val="2BDE4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3084065">
    <w:abstractNumId w:val="8"/>
  </w:num>
  <w:num w:numId="2" w16cid:durableId="1971785747">
    <w:abstractNumId w:val="0"/>
  </w:num>
  <w:num w:numId="3" w16cid:durableId="732390300">
    <w:abstractNumId w:val="10"/>
  </w:num>
  <w:num w:numId="4" w16cid:durableId="1780564940">
    <w:abstractNumId w:val="2"/>
  </w:num>
  <w:num w:numId="5" w16cid:durableId="1341085450">
    <w:abstractNumId w:val="6"/>
  </w:num>
  <w:num w:numId="6" w16cid:durableId="1513300689">
    <w:abstractNumId w:val="11"/>
  </w:num>
  <w:num w:numId="7" w16cid:durableId="11522166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4357919">
    <w:abstractNumId w:val="9"/>
  </w:num>
  <w:num w:numId="9" w16cid:durableId="163017510">
    <w:abstractNumId w:val="5"/>
  </w:num>
  <w:num w:numId="10" w16cid:durableId="1550917091">
    <w:abstractNumId w:val="7"/>
  </w:num>
  <w:num w:numId="11" w16cid:durableId="672032155">
    <w:abstractNumId w:val="1"/>
  </w:num>
  <w:num w:numId="12" w16cid:durableId="1578857784">
    <w:abstractNumId w:val="3"/>
  </w:num>
  <w:num w:numId="13" w16cid:durableId="591553072">
    <w:abstractNumId w:val="4"/>
  </w:num>
  <w:num w:numId="14" w16cid:durableId="269121359">
    <w:abstractNumId w:val="13"/>
  </w:num>
  <w:num w:numId="15" w16cid:durableId="113378715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65"/>
    <w:rsid w:val="00002C18"/>
    <w:rsid w:val="00010549"/>
    <w:rsid w:val="00010BCC"/>
    <w:rsid w:val="00012F84"/>
    <w:rsid w:val="00013F99"/>
    <w:rsid w:val="00025376"/>
    <w:rsid w:val="00027B26"/>
    <w:rsid w:val="0003104E"/>
    <w:rsid w:val="00031195"/>
    <w:rsid w:val="00032861"/>
    <w:rsid w:val="00033E3D"/>
    <w:rsid w:val="00035CA1"/>
    <w:rsid w:val="00036132"/>
    <w:rsid w:val="0003679F"/>
    <w:rsid w:val="00036DEF"/>
    <w:rsid w:val="000435BB"/>
    <w:rsid w:val="00045CCD"/>
    <w:rsid w:val="00047524"/>
    <w:rsid w:val="00047ACD"/>
    <w:rsid w:val="000505B2"/>
    <w:rsid w:val="00050E5B"/>
    <w:rsid w:val="00053B2E"/>
    <w:rsid w:val="000547EF"/>
    <w:rsid w:val="00054B89"/>
    <w:rsid w:val="00057C65"/>
    <w:rsid w:val="00067CD0"/>
    <w:rsid w:val="00080F2E"/>
    <w:rsid w:val="00081CEB"/>
    <w:rsid w:val="00083791"/>
    <w:rsid w:val="00083D6F"/>
    <w:rsid w:val="00086E3C"/>
    <w:rsid w:val="00087B2C"/>
    <w:rsid w:val="00087DBD"/>
    <w:rsid w:val="00090570"/>
    <w:rsid w:val="00090753"/>
    <w:rsid w:val="0009612B"/>
    <w:rsid w:val="00096F54"/>
    <w:rsid w:val="00097BFF"/>
    <w:rsid w:val="000A29FE"/>
    <w:rsid w:val="000A5845"/>
    <w:rsid w:val="000A669D"/>
    <w:rsid w:val="000A66A8"/>
    <w:rsid w:val="000B1789"/>
    <w:rsid w:val="000C014D"/>
    <w:rsid w:val="000D0178"/>
    <w:rsid w:val="000D0F67"/>
    <w:rsid w:val="000D2FA2"/>
    <w:rsid w:val="000D4703"/>
    <w:rsid w:val="000D693C"/>
    <w:rsid w:val="000E12D4"/>
    <w:rsid w:val="00104669"/>
    <w:rsid w:val="00110028"/>
    <w:rsid w:val="00114BB1"/>
    <w:rsid w:val="00116EDF"/>
    <w:rsid w:val="00124B26"/>
    <w:rsid w:val="00130C4E"/>
    <w:rsid w:val="00131B54"/>
    <w:rsid w:val="001354B7"/>
    <w:rsid w:val="001404FA"/>
    <w:rsid w:val="001413C5"/>
    <w:rsid w:val="00142956"/>
    <w:rsid w:val="00143502"/>
    <w:rsid w:val="00144494"/>
    <w:rsid w:val="00144868"/>
    <w:rsid w:val="00155733"/>
    <w:rsid w:val="00157709"/>
    <w:rsid w:val="00161C49"/>
    <w:rsid w:val="00162822"/>
    <w:rsid w:val="00167330"/>
    <w:rsid w:val="00167CF4"/>
    <w:rsid w:val="00172005"/>
    <w:rsid w:val="00185F6A"/>
    <w:rsid w:val="001943DD"/>
    <w:rsid w:val="00195374"/>
    <w:rsid w:val="00196DB4"/>
    <w:rsid w:val="001A127F"/>
    <w:rsid w:val="001A18A2"/>
    <w:rsid w:val="001A1F53"/>
    <w:rsid w:val="001A2ECF"/>
    <w:rsid w:val="001A3301"/>
    <w:rsid w:val="001A3CA4"/>
    <w:rsid w:val="001A3EA4"/>
    <w:rsid w:val="001A5BA5"/>
    <w:rsid w:val="001A6C67"/>
    <w:rsid w:val="001A78D9"/>
    <w:rsid w:val="001B3AEC"/>
    <w:rsid w:val="001B5000"/>
    <w:rsid w:val="001B6F28"/>
    <w:rsid w:val="001D32FB"/>
    <w:rsid w:val="001D4585"/>
    <w:rsid w:val="001D51F1"/>
    <w:rsid w:val="001D5D54"/>
    <w:rsid w:val="001E3FA2"/>
    <w:rsid w:val="001E41C8"/>
    <w:rsid w:val="001F3AD7"/>
    <w:rsid w:val="001F3EE2"/>
    <w:rsid w:val="001F45EB"/>
    <w:rsid w:val="00207630"/>
    <w:rsid w:val="00210931"/>
    <w:rsid w:val="00211CED"/>
    <w:rsid w:val="00213082"/>
    <w:rsid w:val="0021714E"/>
    <w:rsid w:val="00222187"/>
    <w:rsid w:val="00222C8D"/>
    <w:rsid w:val="00222E33"/>
    <w:rsid w:val="00227B95"/>
    <w:rsid w:val="0023523A"/>
    <w:rsid w:val="002353DF"/>
    <w:rsid w:val="00235F71"/>
    <w:rsid w:val="00246F43"/>
    <w:rsid w:val="00251FBE"/>
    <w:rsid w:val="0025272A"/>
    <w:rsid w:val="002665C0"/>
    <w:rsid w:val="00270DF7"/>
    <w:rsid w:val="002717AE"/>
    <w:rsid w:val="00271922"/>
    <w:rsid w:val="0027204E"/>
    <w:rsid w:val="00272277"/>
    <w:rsid w:val="00273412"/>
    <w:rsid w:val="00274ACF"/>
    <w:rsid w:val="00283B16"/>
    <w:rsid w:val="00285084"/>
    <w:rsid w:val="00285BEC"/>
    <w:rsid w:val="00285F1B"/>
    <w:rsid w:val="00294CC2"/>
    <w:rsid w:val="0029541E"/>
    <w:rsid w:val="00295831"/>
    <w:rsid w:val="00296F1B"/>
    <w:rsid w:val="002A6DF5"/>
    <w:rsid w:val="002B2361"/>
    <w:rsid w:val="002B24B8"/>
    <w:rsid w:val="002C1933"/>
    <w:rsid w:val="002C2E91"/>
    <w:rsid w:val="002D00B0"/>
    <w:rsid w:val="002D2E16"/>
    <w:rsid w:val="002F19EF"/>
    <w:rsid w:val="002F2E6C"/>
    <w:rsid w:val="002F6908"/>
    <w:rsid w:val="00302415"/>
    <w:rsid w:val="003035F6"/>
    <w:rsid w:val="0030693C"/>
    <w:rsid w:val="00306CA2"/>
    <w:rsid w:val="003102F6"/>
    <w:rsid w:val="00313304"/>
    <w:rsid w:val="00313C48"/>
    <w:rsid w:val="00314D15"/>
    <w:rsid w:val="003162AD"/>
    <w:rsid w:val="00321148"/>
    <w:rsid w:val="00321798"/>
    <w:rsid w:val="00325F44"/>
    <w:rsid w:val="00326976"/>
    <w:rsid w:val="003311D7"/>
    <w:rsid w:val="0033137A"/>
    <w:rsid w:val="00332B8B"/>
    <w:rsid w:val="00342476"/>
    <w:rsid w:val="00347104"/>
    <w:rsid w:val="00350B93"/>
    <w:rsid w:val="0035213F"/>
    <w:rsid w:val="003555D2"/>
    <w:rsid w:val="00363DF3"/>
    <w:rsid w:val="00364976"/>
    <w:rsid w:val="003656B1"/>
    <w:rsid w:val="0037056B"/>
    <w:rsid w:val="0037117D"/>
    <w:rsid w:val="0037507C"/>
    <w:rsid w:val="00377173"/>
    <w:rsid w:val="003774DA"/>
    <w:rsid w:val="003827AB"/>
    <w:rsid w:val="00392557"/>
    <w:rsid w:val="003945C0"/>
    <w:rsid w:val="00394866"/>
    <w:rsid w:val="003A06C2"/>
    <w:rsid w:val="003B1D40"/>
    <w:rsid w:val="003B6D2E"/>
    <w:rsid w:val="003C430D"/>
    <w:rsid w:val="003C7404"/>
    <w:rsid w:val="003D3C5A"/>
    <w:rsid w:val="003D404A"/>
    <w:rsid w:val="003E60B0"/>
    <w:rsid w:val="003E6FDA"/>
    <w:rsid w:val="003F082F"/>
    <w:rsid w:val="003F3072"/>
    <w:rsid w:val="00401A2A"/>
    <w:rsid w:val="004103D7"/>
    <w:rsid w:val="00411D90"/>
    <w:rsid w:val="0041307C"/>
    <w:rsid w:val="004167B4"/>
    <w:rsid w:val="00430D7E"/>
    <w:rsid w:val="00433B04"/>
    <w:rsid w:val="00440BD3"/>
    <w:rsid w:val="0044440D"/>
    <w:rsid w:val="00446F93"/>
    <w:rsid w:val="00462F0F"/>
    <w:rsid w:val="004649E2"/>
    <w:rsid w:val="00464E8C"/>
    <w:rsid w:val="00465FD2"/>
    <w:rsid w:val="00466D36"/>
    <w:rsid w:val="00467185"/>
    <w:rsid w:val="0047050C"/>
    <w:rsid w:val="00470EA9"/>
    <w:rsid w:val="00475504"/>
    <w:rsid w:val="004774BE"/>
    <w:rsid w:val="00480F21"/>
    <w:rsid w:val="00484FED"/>
    <w:rsid w:val="00495AF1"/>
    <w:rsid w:val="004B1074"/>
    <w:rsid w:val="004B16E4"/>
    <w:rsid w:val="004D44E8"/>
    <w:rsid w:val="004E2B9B"/>
    <w:rsid w:val="004F662F"/>
    <w:rsid w:val="004F775C"/>
    <w:rsid w:val="004F77BF"/>
    <w:rsid w:val="005015E4"/>
    <w:rsid w:val="0050291D"/>
    <w:rsid w:val="00505712"/>
    <w:rsid w:val="0050697E"/>
    <w:rsid w:val="005135E6"/>
    <w:rsid w:val="00515B30"/>
    <w:rsid w:val="00517DC4"/>
    <w:rsid w:val="00524B3C"/>
    <w:rsid w:val="005300B9"/>
    <w:rsid w:val="005315A9"/>
    <w:rsid w:val="005316BE"/>
    <w:rsid w:val="00532B56"/>
    <w:rsid w:val="00537B50"/>
    <w:rsid w:val="00540AD0"/>
    <w:rsid w:val="0054322A"/>
    <w:rsid w:val="00543923"/>
    <w:rsid w:val="00544FC1"/>
    <w:rsid w:val="0054674D"/>
    <w:rsid w:val="005519C9"/>
    <w:rsid w:val="005523D1"/>
    <w:rsid w:val="00554A9C"/>
    <w:rsid w:val="00557624"/>
    <w:rsid w:val="0056023E"/>
    <w:rsid w:val="005658EF"/>
    <w:rsid w:val="005822A3"/>
    <w:rsid w:val="00587462"/>
    <w:rsid w:val="0059070B"/>
    <w:rsid w:val="00590F26"/>
    <w:rsid w:val="00594445"/>
    <w:rsid w:val="005A0077"/>
    <w:rsid w:val="005A0220"/>
    <w:rsid w:val="005A215C"/>
    <w:rsid w:val="005A652A"/>
    <w:rsid w:val="005B0159"/>
    <w:rsid w:val="005B1225"/>
    <w:rsid w:val="005B7DB9"/>
    <w:rsid w:val="005C09F4"/>
    <w:rsid w:val="005C0C98"/>
    <w:rsid w:val="005C281B"/>
    <w:rsid w:val="005C561A"/>
    <w:rsid w:val="005C5B93"/>
    <w:rsid w:val="005C66FF"/>
    <w:rsid w:val="005C785A"/>
    <w:rsid w:val="005D03CA"/>
    <w:rsid w:val="005D45AB"/>
    <w:rsid w:val="005E4662"/>
    <w:rsid w:val="005F093F"/>
    <w:rsid w:val="005F214A"/>
    <w:rsid w:val="005F2B68"/>
    <w:rsid w:val="005F4842"/>
    <w:rsid w:val="005F6BD6"/>
    <w:rsid w:val="00601C99"/>
    <w:rsid w:val="00607597"/>
    <w:rsid w:val="0060759A"/>
    <w:rsid w:val="006208E3"/>
    <w:rsid w:val="006255E4"/>
    <w:rsid w:val="006325E2"/>
    <w:rsid w:val="00641020"/>
    <w:rsid w:val="006410C1"/>
    <w:rsid w:val="006462C1"/>
    <w:rsid w:val="00647F05"/>
    <w:rsid w:val="006530EF"/>
    <w:rsid w:val="00654D06"/>
    <w:rsid w:val="00661536"/>
    <w:rsid w:val="00663114"/>
    <w:rsid w:val="006678ED"/>
    <w:rsid w:val="0067233D"/>
    <w:rsid w:val="006745AE"/>
    <w:rsid w:val="00675BEF"/>
    <w:rsid w:val="00676AF3"/>
    <w:rsid w:val="00676D10"/>
    <w:rsid w:val="00680F71"/>
    <w:rsid w:val="00681732"/>
    <w:rsid w:val="00682A53"/>
    <w:rsid w:val="0069174B"/>
    <w:rsid w:val="00692C12"/>
    <w:rsid w:val="00693FA1"/>
    <w:rsid w:val="006A0C86"/>
    <w:rsid w:val="006A7992"/>
    <w:rsid w:val="006B05E3"/>
    <w:rsid w:val="006B09BC"/>
    <w:rsid w:val="006B42A0"/>
    <w:rsid w:val="006B4E59"/>
    <w:rsid w:val="006C20DD"/>
    <w:rsid w:val="006C2B43"/>
    <w:rsid w:val="006C3402"/>
    <w:rsid w:val="006C3622"/>
    <w:rsid w:val="006C395C"/>
    <w:rsid w:val="006C45D4"/>
    <w:rsid w:val="006C6CAA"/>
    <w:rsid w:val="006D0248"/>
    <w:rsid w:val="006D0C70"/>
    <w:rsid w:val="006D3861"/>
    <w:rsid w:val="006D57B5"/>
    <w:rsid w:val="006D5ED6"/>
    <w:rsid w:val="006E1F3C"/>
    <w:rsid w:val="006E3D7A"/>
    <w:rsid w:val="006E6073"/>
    <w:rsid w:val="006F7300"/>
    <w:rsid w:val="00703C09"/>
    <w:rsid w:val="007067BF"/>
    <w:rsid w:val="00710902"/>
    <w:rsid w:val="00712300"/>
    <w:rsid w:val="00717F85"/>
    <w:rsid w:val="00720739"/>
    <w:rsid w:val="00721695"/>
    <w:rsid w:val="007242B4"/>
    <w:rsid w:val="007244BF"/>
    <w:rsid w:val="007247B8"/>
    <w:rsid w:val="00725FB2"/>
    <w:rsid w:val="00730C64"/>
    <w:rsid w:val="007322AF"/>
    <w:rsid w:val="00735477"/>
    <w:rsid w:val="00736DCA"/>
    <w:rsid w:val="00742399"/>
    <w:rsid w:val="00745556"/>
    <w:rsid w:val="007457E8"/>
    <w:rsid w:val="0074640C"/>
    <w:rsid w:val="0075003D"/>
    <w:rsid w:val="00751B37"/>
    <w:rsid w:val="00754D44"/>
    <w:rsid w:val="00761308"/>
    <w:rsid w:val="007626B0"/>
    <w:rsid w:val="00767B7E"/>
    <w:rsid w:val="00772EB2"/>
    <w:rsid w:val="007746A9"/>
    <w:rsid w:val="0078247B"/>
    <w:rsid w:val="00785465"/>
    <w:rsid w:val="00787656"/>
    <w:rsid w:val="007A1BB4"/>
    <w:rsid w:val="007A67EA"/>
    <w:rsid w:val="007B15AF"/>
    <w:rsid w:val="007B7E83"/>
    <w:rsid w:val="007C1631"/>
    <w:rsid w:val="007C636F"/>
    <w:rsid w:val="007D0EF8"/>
    <w:rsid w:val="007D39EB"/>
    <w:rsid w:val="007E5D0A"/>
    <w:rsid w:val="007E7DC1"/>
    <w:rsid w:val="007F7606"/>
    <w:rsid w:val="00800A4D"/>
    <w:rsid w:val="00802CB9"/>
    <w:rsid w:val="00812DA2"/>
    <w:rsid w:val="008131E7"/>
    <w:rsid w:val="00813711"/>
    <w:rsid w:val="00814279"/>
    <w:rsid w:val="00824B45"/>
    <w:rsid w:val="008263C2"/>
    <w:rsid w:val="008271D7"/>
    <w:rsid w:val="00842959"/>
    <w:rsid w:val="008451DC"/>
    <w:rsid w:val="008451FE"/>
    <w:rsid w:val="008466A1"/>
    <w:rsid w:val="00846C1D"/>
    <w:rsid w:val="00851758"/>
    <w:rsid w:val="00856D5A"/>
    <w:rsid w:val="008609EB"/>
    <w:rsid w:val="00862D6D"/>
    <w:rsid w:val="00864F02"/>
    <w:rsid w:val="008653E0"/>
    <w:rsid w:val="008657FB"/>
    <w:rsid w:val="00871D4F"/>
    <w:rsid w:val="00874FB3"/>
    <w:rsid w:val="00880BE3"/>
    <w:rsid w:val="00882588"/>
    <w:rsid w:val="008844A7"/>
    <w:rsid w:val="008876AD"/>
    <w:rsid w:val="00887CA9"/>
    <w:rsid w:val="00895792"/>
    <w:rsid w:val="008A3738"/>
    <w:rsid w:val="008A384C"/>
    <w:rsid w:val="008A6981"/>
    <w:rsid w:val="008A7DD9"/>
    <w:rsid w:val="008B1B6F"/>
    <w:rsid w:val="008B298F"/>
    <w:rsid w:val="008B645B"/>
    <w:rsid w:val="008B67B8"/>
    <w:rsid w:val="008B774D"/>
    <w:rsid w:val="008C123E"/>
    <w:rsid w:val="008C3ED0"/>
    <w:rsid w:val="008C5585"/>
    <w:rsid w:val="008C5E94"/>
    <w:rsid w:val="008D0DEC"/>
    <w:rsid w:val="008D4E4B"/>
    <w:rsid w:val="008E4065"/>
    <w:rsid w:val="008E42D7"/>
    <w:rsid w:val="008E6E9D"/>
    <w:rsid w:val="008F1897"/>
    <w:rsid w:val="008F31AF"/>
    <w:rsid w:val="008F4774"/>
    <w:rsid w:val="008F55D2"/>
    <w:rsid w:val="008F6571"/>
    <w:rsid w:val="008F68F7"/>
    <w:rsid w:val="008F6DA9"/>
    <w:rsid w:val="008F7480"/>
    <w:rsid w:val="00901944"/>
    <w:rsid w:val="009037B6"/>
    <w:rsid w:val="00904576"/>
    <w:rsid w:val="00906CBE"/>
    <w:rsid w:val="00906FFA"/>
    <w:rsid w:val="009100EA"/>
    <w:rsid w:val="00910384"/>
    <w:rsid w:val="00913652"/>
    <w:rsid w:val="009139C0"/>
    <w:rsid w:val="009155AD"/>
    <w:rsid w:val="009161C8"/>
    <w:rsid w:val="009164AD"/>
    <w:rsid w:val="00922289"/>
    <w:rsid w:val="00934615"/>
    <w:rsid w:val="00936F46"/>
    <w:rsid w:val="0094271E"/>
    <w:rsid w:val="00943142"/>
    <w:rsid w:val="00943A29"/>
    <w:rsid w:val="0095197E"/>
    <w:rsid w:val="00952AB2"/>
    <w:rsid w:val="009531E7"/>
    <w:rsid w:val="0095417D"/>
    <w:rsid w:val="009551E0"/>
    <w:rsid w:val="00955801"/>
    <w:rsid w:val="0095654E"/>
    <w:rsid w:val="00956F3C"/>
    <w:rsid w:val="0095779B"/>
    <w:rsid w:val="00960235"/>
    <w:rsid w:val="0096485D"/>
    <w:rsid w:val="00964EA1"/>
    <w:rsid w:val="00967F22"/>
    <w:rsid w:val="00970DB9"/>
    <w:rsid w:val="00973FE6"/>
    <w:rsid w:val="009768A4"/>
    <w:rsid w:val="009878D1"/>
    <w:rsid w:val="009900F0"/>
    <w:rsid w:val="00991769"/>
    <w:rsid w:val="00993DF8"/>
    <w:rsid w:val="00994E9F"/>
    <w:rsid w:val="00996931"/>
    <w:rsid w:val="009A0F18"/>
    <w:rsid w:val="009A40C0"/>
    <w:rsid w:val="009A4CD8"/>
    <w:rsid w:val="009A6AFA"/>
    <w:rsid w:val="009B3ED1"/>
    <w:rsid w:val="009C206F"/>
    <w:rsid w:val="009C433C"/>
    <w:rsid w:val="009C48D2"/>
    <w:rsid w:val="009C76CF"/>
    <w:rsid w:val="009C7834"/>
    <w:rsid w:val="009D28B7"/>
    <w:rsid w:val="009D7E1A"/>
    <w:rsid w:val="009E2162"/>
    <w:rsid w:val="009F2F95"/>
    <w:rsid w:val="00A006EB"/>
    <w:rsid w:val="00A00C81"/>
    <w:rsid w:val="00A03709"/>
    <w:rsid w:val="00A06C77"/>
    <w:rsid w:val="00A10147"/>
    <w:rsid w:val="00A13D26"/>
    <w:rsid w:val="00A146A5"/>
    <w:rsid w:val="00A17411"/>
    <w:rsid w:val="00A2223D"/>
    <w:rsid w:val="00A223EF"/>
    <w:rsid w:val="00A258C9"/>
    <w:rsid w:val="00A34A74"/>
    <w:rsid w:val="00A35351"/>
    <w:rsid w:val="00A4017B"/>
    <w:rsid w:val="00A42ADE"/>
    <w:rsid w:val="00A60693"/>
    <w:rsid w:val="00A67728"/>
    <w:rsid w:val="00A740DE"/>
    <w:rsid w:val="00A81A4F"/>
    <w:rsid w:val="00A82E14"/>
    <w:rsid w:val="00A901E9"/>
    <w:rsid w:val="00A9762C"/>
    <w:rsid w:val="00AA4067"/>
    <w:rsid w:val="00AB1A5B"/>
    <w:rsid w:val="00AB285C"/>
    <w:rsid w:val="00AB4B96"/>
    <w:rsid w:val="00AB54EC"/>
    <w:rsid w:val="00AC0A54"/>
    <w:rsid w:val="00AC125E"/>
    <w:rsid w:val="00AC45DF"/>
    <w:rsid w:val="00AC474D"/>
    <w:rsid w:val="00AC4DFD"/>
    <w:rsid w:val="00AC5398"/>
    <w:rsid w:val="00AC58FD"/>
    <w:rsid w:val="00AC60CD"/>
    <w:rsid w:val="00AD60E6"/>
    <w:rsid w:val="00AD793A"/>
    <w:rsid w:val="00AE219B"/>
    <w:rsid w:val="00AE24E0"/>
    <w:rsid w:val="00AE420F"/>
    <w:rsid w:val="00AE457D"/>
    <w:rsid w:val="00AE52DD"/>
    <w:rsid w:val="00AE5956"/>
    <w:rsid w:val="00AE619F"/>
    <w:rsid w:val="00AF373A"/>
    <w:rsid w:val="00AF669E"/>
    <w:rsid w:val="00AF7EFE"/>
    <w:rsid w:val="00B03BEE"/>
    <w:rsid w:val="00B03F61"/>
    <w:rsid w:val="00B049AA"/>
    <w:rsid w:val="00B0517E"/>
    <w:rsid w:val="00B056E2"/>
    <w:rsid w:val="00B10703"/>
    <w:rsid w:val="00B11314"/>
    <w:rsid w:val="00B1192C"/>
    <w:rsid w:val="00B12DAD"/>
    <w:rsid w:val="00B138E3"/>
    <w:rsid w:val="00B23267"/>
    <w:rsid w:val="00B25891"/>
    <w:rsid w:val="00B27149"/>
    <w:rsid w:val="00B318DF"/>
    <w:rsid w:val="00B401EE"/>
    <w:rsid w:val="00B40D26"/>
    <w:rsid w:val="00B40D60"/>
    <w:rsid w:val="00B4451B"/>
    <w:rsid w:val="00B445E3"/>
    <w:rsid w:val="00B51316"/>
    <w:rsid w:val="00B61744"/>
    <w:rsid w:val="00B70A75"/>
    <w:rsid w:val="00B72D62"/>
    <w:rsid w:val="00B754EE"/>
    <w:rsid w:val="00B843C8"/>
    <w:rsid w:val="00B943BA"/>
    <w:rsid w:val="00B94EE5"/>
    <w:rsid w:val="00B951E2"/>
    <w:rsid w:val="00B96F37"/>
    <w:rsid w:val="00BA28CB"/>
    <w:rsid w:val="00BA607C"/>
    <w:rsid w:val="00BB3E2A"/>
    <w:rsid w:val="00BB490E"/>
    <w:rsid w:val="00BC0DA1"/>
    <w:rsid w:val="00BC16F5"/>
    <w:rsid w:val="00BC287D"/>
    <w:rsid w:val="00BC4A76"/>
    <w:rsid w:val="00BD32E5"/>
    <w:rsid w:val="00BD7ADD"/>
    <w:rsid w:val="00BE2473"/>
    <w:rsid w:val="00BE41C3"/>
    <w:rsid w:val="00BE6767"/>
    <w:rsid w:val="00BE68D7"/>
    <w:rsid w:val="00BE780B"/>
    <w:rsid w:val="00BF0784"/>
    <w:rsid w:val="00BF7763"/>
    <w:rsid w:val="00C04D5E"/>
    <w:rsid w:val="00C06B53"/>
    <w:rsid w:val="00C23C13"/>
    <w:rsid w:val="00C24EA2"/>
    <w:rsid w:val="00C24F70"/>
    <w:rsid w:val="00C25D5B"/>
    <w:rsid w:val="00C325C4"/>
    <w:rsid w:val="00C3291A"/>
    <w:rsid w:val="00C33479"/>
    <w:rsid w:val="00C47BA2"/>
    <w:rsid w:val="00C60533"/>
    <w:rsid w:val="00C612DC"/>
    <w:rsid w:val="00C622CB"/>
    <w:rsid w:val="00C64D15"/>
    <w:rsid w:val="00C671DF"/>
    <w:rsid w:val="00C74F74"/>
    <w:rsid w:val="00C7554B"/>
    <w:rsid w:val="00C80192"/>
    <w:rsid w:val="00C80AE0"/>
    <w:rsid w:val="00C82369"/>
    <w:rsid w:val="00C83E31"/>
    <w:rsid w:val="00C900AB"/>
    <w:rsid w:val="00C90A13"/>
    <w:rsid w:val="00C916A4"/>
    <w:rsid w:val="00CA2A52"/>
    <w:rsid w:val="00CA2B15"/>
    <w:rsid w:val="00CA31A3"/>
    <w:rsid w:val="00CA3227"/>
    <w:rsid w:val="00CA5A81"/>
    <w:rsid w:val="00CA6490"/>
    <w:rsid w:val="00CA680C"/>
    <w:rsid w:val="00CB05BE"/>
    <w:rsid w:val="00CB5744"/>
    <w:rsid w:val="00CB7022"/>
    <w:rsid w:val="00CC6B1A"/>
    <w:rsid w:val="00CD1937"/>
    <w:rsid w:val="00CE214C"/>
    <w:rsid w:val="00CE6858"/>
    <w:rsid w:val="00CF50BE"/>
    <w:rsid w:val="00CF553B"/>
    <w:rsid w:val="00CF6A52"/>
    <w:rsid w:val="00D02F40"/>
    <w:rsid w:val="00D03583"/>
    <w:rsid w:val="00D04F3C"/>
    <w:rsid w:val="00D117B4"/>
    <w:rsid w:val="00D1231F"/>
    <w:rsid w:val="00D1497A"/>
    <w:rsid w:val="00D169F7"/>
    <w:rsid w:val="00D21382"/>
    <w:rsid w:val="00D2571C"/>
    <w:rsid w:val="00D26D01"/>
    <w:rsid w:val="00D33DA3"/>
    <w:rsid w:val="00D3638A"/>
    <w:rsid w:val="00D45D9D"/>
    <w:rsid w:val="00D46945"/>
    <w:rsid w:val="00D4723B"/>
    <w:rsid w:val="00D55EE8"/>
    <w:rsid w:val="00D577D6"/>
    <w:rsid w:val="00D5785A"/>
    <w:rsid w:val="00D57C6E"/>
    <w:rsid w:val="00D57C97"/>
    <w:rsid w:val="00D64C48"/>
    <w:rsid w:val="00D731C4"/>
    <w:rsid w:val="00D76BB8"/>
    <w:rsid w:val="00D777D6"/>
    <w:rsid w:val="00D81BAA"/>
    <w:rsid w:val="00D8206C"/>
    <w:rsid w:val="00D85BE0"/>
    <w:rsid w:val="00D863A4"/>
    <w:rsid w:val="00D87C1A"/>
    <w:rsid w:val="00D87F42"/>
    <w:rsid w:val="00D87FD7"/>
    <w:rsid w:val="00D92167"/>
    <w:rsid w:val="00D9502B"/>
    <w:rsid w:val="00D97047"/>
    <w:rsid w:val="00D97108"/>
    <w:rsid w:val="00DA1700"/>
    <w:rsid w:val="00DB0499"/>
    <w:rsid w:val="00DB0D79"/>
    <w:rsid w:val="00DC5665"/>
    <w:rsid w:val="00DC6557"/>
    <w:rsid w:val="00DD46FC"/>
    <w:rsid w:val="00DD4F44"/>
    <w:rsid w:val="00DD5D8B"/>
    <w:rsid w:val="00DE0F9E"/>
    <w:rsid w:val="00DE2826"/>
    <w:rsid w:val="00DE3180"/>
    <w:rsid w:val="00DE3782"/>
    <w:rsid w:val="00DE5D76"/>
    <w:rsid w:val="00DF4A18"/>
    <w:rsid w:val="00DF5180"/>
    <w:rsid w:val="00E01C2C"/>
    <w:rsid w:val="00E04C8D"/>
    <w:rsid w:val="00E128D8"/>
    <w:rsid w:val="00E30D45"/>
    <w:rsid w:val="00E37217"/>
    <w:rsid w:val="00E42FE4"/>
    <w:rsid w:val="00E4609D"/>
    <w:rsid w:val="00E46FAA"/>
    <w:rsid w:val="00E50CA9"/>
    <w:rsid w:val="00E50FB5"/>
    <w:rsid w:val="00E521D6"/>
    <w:rsid w:val="00E5750B"/>
    <w:rsid w:val="00E60E2E"/>
    <w:rsid w:val="00E63A24"/>
    <w:rsid w:val="00E64E3B"/>
    <w:rsid w:val="00E67913"/>
    <w:rsid w:val="00E704B0"/>
    <w:rsid w:val="00E71A2D"/>
    <w:rsid w:val="00E8698A"/>
    <w:rsid w:val="00E923F2"/>
    <w:rsid w:val="00EA1AC3"/>
    <w:rsid w:val="00EA31CC"/>
    <w:rsid w:val="00EB14DF"/>
    <w:rsid w:val="00EB2B64"/>
    <w:rsid w:val="00EB3A07"/>
    <w:rsid w:val="00EB4143"/>
    <w:rsid w:val="00EB4728"/>
    <w:rsid w:val="00EB4E7F"/>
    <w:rsid w:val="00EC207A"/>
    <w:rsid w:val="00EC3F31"/>
    <w:rsid w:val="00ED3C91"/>
    <w:rsid w:val="00ED4112"/>
    <w:rsid w:val="00ED4D5F"/>
    <w:rsid w:val="00EE0C46"/>
    <w:rsid w:val="00EF1347"/>
    <w:rsid w:val="00EF2BEB"/>
    <w:rsid w:val="00F00AED"/>
    <w:rsid w:val="00F01129"/>
    <w:rsid w:val="00F02312"/>
    <w:rsid w:val="00F030AC"/>
    <w:rsid w:val="00F03D93"/>
    <w:rsid w:val="00F03D9E"/>
    <w:rsid w:val="00F15E74"/>
    <w:rsid w:val="00F227BF"/>
    <w:rsid w:val="00F374B2"/>
    <w:rsid w:val="00F40AFC"/>
    <w:rsid w:val="00F4730E"/>
    <w:rsid w:val="00F50A92"/>
    <w:rsid w:val="00F53F24"/>
    <w:rsid w:val="00F63341"/>
    <w:rsid w:val="00F644A6"/>
    <w:rsid w:val="00F7536E"/>
    <w:rsid w:val="00F81F93"/>
    <w:rsid w:val="00F839A8"/>
    <w:rsid w:val="00F845D8"/>
    <w:rsid w:val="00F86F1B"/>
    <w:rsid w:val="00F92A21"/>
    <w:rsid w:val="00F92E9B"/>
    <w:rsid w:val="00F95814"/>
    <w:rsid w:val="00F962BC"/>
    <w:rsid w:val="00FA01D9"/>
    <w:rsid w:val="00FA031C"/>
    <w:rsid w:val="00FB13C1"/>
    <w:rsid w:val="00FB2EF7"/>
    <w:rsid w:val="00FB420B"/>
    <w:rsid w:val="00FC1C5F"/>
    <w:rsid w:val="00FC3BBE"/>
    <w:rsid w:val="00FC5A4D"/>
    <w:rsid w:val="00FC5C0C"/>
    <w:rsid w:val="00FC64EF"/>
    <w:rsid w:val="00FD2673"/>
    <w:rsid w:val="00FD3ACC"/>
    <w:rsid w:val="00FD5759"/>
    <w:rsid w:val="00FE22FA"/>
    <w:rsid w:val="00FE26C9"/>
    <w:rsid w:val="00FE27B9"/>
    <w:rsid w:val="00FE2A29"/>
    <w:rsid w:val="00FF3801"/>
    <w:rsid w:val="00FF45A8"/>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40BB"/>
  <w15:docId w15:val="{FECB12ED-D765-4C4B-9E36-9A7431E1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CA9"/>
    <w:rPr>
      <w:rFonts w:ascii="Arial" w:hAnsi="Arial"/>
      <w:sz w:val="22"/>
      <w:lang w:eastAsia="en-US"/>
    </w:rPr>
  </w:style>
  <w:style w:type="paragraph" w:styleId="Heading1">
    <w:name w:val="heading 1"/>
    <w:basedOn w:val="Normal"/>
    <w:next w:val="Normal"/>
    <w:link w:val="Heading1Char"/>
    <w:uiPriority w:val="2"/>
    <w:qFormat/>
    <w:rsid w:val="008D4E4B"/>
    <w:pPr>
      <w:keepNext/>
      <w:keepLines/>
      <w:spacing w:before="240"/>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44E8"/>
    <w:pPr>
      <w:tabs>
        <w:tab w:val="center" w:pos="4513"/>
        <w:tab w:val="right" w:pos="9026"/>
      </w:tabs>
    </w:pPr>
  </w:style>
  <w:style w:type="paragraph" w:styleId="Title">
    <w:name w:val="Title"/>
    <w:basedOn w:val="Normal"/>
    <w:link w:val="TitleChar"/>
    <w:uiPriority w:val="99"/>
    <w:qFormat/>
    <w:rsid w:val="004F77BF"/>
    <w:pPr>
      <w:spacing w:before="240"/>
      <w:contextualSpacing/>
      <w:outlineLvl w:val="0"/>
    </w:pPr>
    <w:rPr>
      <w:rFonts w:ascii="Georgia" w:hAnsi="Georgia" w:cs="Arial"/>
      <w:bCs/>
      <w:color w:val="005A7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pPr>
    <w:rPr>
      <w:sz w:val="18"/>
    </w:rPr>
  </w:style>
  <w:style w:type="paragraph" w:customStyle="1" w:styleId="Smalltext">
    <w:name w:val="Small text"/>
    <w:basedOn w:val="Normal"/>
    <w:rsid w:val="004D44E8"/>
    <w:pPr>
      <w:spacing w:after="240"/>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rPr>
      <w:sz w:val="16"/>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after="600"/>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link w:val="ListParagraphChar"/>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StyleArial10ptItalic">
    <w:name w:val="Style Arial 10 pt Italic"/>
    <w:basedOn w:val="Normal"/>
    <w:autoRedefine/>
    <w:rsid w:val="00057C65"/>
    <w:rPr>
      <w:rFonts w:cs="Arial"/>
      <w:iCs/>
    </w:rPr>
  </w:style>
  <w:style w:type="table" w:styleId="TableGridLight">
    <w:name w:val="Grid Table Light"/>
    <w:basedOn w:val="TableNormal"/>
    <w:uiPriority w:val="40"/>
    <w:rsid w:val="00CA31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CA31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B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B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B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B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B9" w:themeFill="accent5"/>
      </w:tcPr>
    </w:tblStylePr>
    <w:tblStylePr w:type="band1Vert">
      <w:tblPr/>
      <w:tcPr>
        <w:shd w:val="clear" w:color="auto" w:fill="7DF8FF" w:themeFill="accent5" w:themeFillTint="66"/>
      </w:tcPr>
    </w:tblStylePr>
    <w:tblStylePr w:type="band1Horz">
      <w:tblPr/>
      <w:tcPr>
        <w:shd w:val="clear" w:color="auto" w:fill="7DF8FF" w:themeFill="accent5" w:themeFillTint="66"/>
      </w:tcPr>
    </w:tblStylePr>
  </w:style>
  <w:style w:type="character" w:styleId="FollowedHyperlink">
    <w:name w:val="FollowedHyperlink"/>
    <w:basedOn w:val="DefaultParagraphFont"/>
    <w:uiPriority w:val="99"/>
    <w:semiHidden/>
    <w:unhideWhenUsed/>
    <w:rsid w:val="003035F6"/>
    <w:rPr>
      <w:color w:val="000000" w:themeColor="followedHyperlink"/>
      <w:u w:val="single"/>
    </w:rPr>
  </w:style>
  <w:style w:type="character" w:customStyle="1" w:styleId="PGNormalChar">
    <w:name w:val="PG Normal Char"/>
    <w:basedOn w:val="DefaultParagraphFont"/>
    <w:link w:val="PGNormal"/>
    <w:locked/>
    <w:rsid w:val="00887CA9"/>
    <w:rPr>
      <w:rFonts w:ascii="Arial" w:hAnsi="Arial"/>
    </w:rPr>
  </w:style>
  <w:style w:type="paragraph" w:customStyle="1" w:styleId="PGNormal">
    <w:name w:val="PG Normal"/>
    <w:basedOn w:val="Normal"/>
    <w:link w:val="PGNormalChar"/>
    <w:qFormat/>
    <w:rsid w:val="00887CA9"/>
    <w:rPr>
      <w:sz w:val="20"/>
      <w:lang w:eastAsia="en-AU"/>
    </w:rPr>
  </w:style>
  <w:style w:type="paragraph" w:styleId="Caption">
    <w:name w:val="caption"/>
    <w:basedOn w:val="Normal"/>
    <w:next w:val="Normal"/>
    <w:unhideWhenUsed/>
    <w:qFormat/>
    <w:rsid w:val="00F02312"/>
    <w:pPr>
      <w:spacing w:after="200"/>
    </w:pPr>
    <w:rPr>
      <w:i/>
      <w:iCs/>
      <w:color w:val="000000" w:themeColor="text2"/>
      <w:sz w:val="18"/>
      <w:szCs w:val="18"/>
    </w:rPr>
  </w:style>
  <w:style w:type="character" w:styleId="CommentReference">
    <w:name w:val="annotation reference"/>
    <w:basedOn w:val="DefaultParagraphFont"/>
    <w:semiHidden/>
    <w:unhideWhenUsed/>
    <w:rsid w:val="00710902"/>
    <w:rPr>
      <w:sz w:val="16"/>
      <w:szCs w:val="16"/>
    </w:rPr>
  </w:style>
  <w:style w:type="paragraph" w:styleId="CommentText">
    <w:name w:val="annotation text"/>
    <w:basedOn w:val="Normal"/>
    <w:link w:val="CommentTextChar"/>
    <w:unhideWhenUsed/>
    <w:rsid w:val="00710902"/>
    <w:rPr>
      <w:sz w:val="20"/>
    </w:rPr>
  </w:style>
  <w:style w:type="character" w:customStyle="1" w:styleId="CommentTextChar">
    <w:name w:val="Comment Text Char"/>
    <w:basedOn w:val="DefaultParagraphFont"/>
    <w:link w:val="CommentText"/>
    <w:rsid w:val="00710902"/>
    <w:rPr>
      <w:rFonts w:ascii="Arial" w:hAnsi="Arial"/>
      <w:lang w:eastAsia="en-US"/>
    </w:rPr>
  </w:style>
  <w:style w:type="paragraph" w:styleId="CommentSubject">
    <w:name w:val="annotation subject"/>
    <w:basedOn w:val="CommentText"/>
    <w:next w:val="CommentText"/>
    <w:link w:val="CommentSubjectChar"/>
    <w:semiHidden/>
    <w:unhideWhenUsed/>
    <w:rsid w:val="00710902"/>
    <w:rPr>
      <w:b/>
      <w:bCs/>
    </w:rPr>
  </w:style>
  <w:style w:type="character" w:customStyle="1" w:styleId="CommentSubjectChar">
    <w:name w:val="Comment Subject Char"/>
    <w:basedOn w:val="CommentTextChar"/>
    <w:link w:val="CommentSubject"/>
    <w:semiHidden/>
    <w:rsid w:val="00710902"/>
    <w:rPr>
      <w:rFonts w:ascii="Arial" w:hAnsi="Arial"/>
      <w:b/>
      <w:bCs/>
      <w:lang w:eastAsia="en-US"/>
    </w:rPr>
  </w:style>
  <w:style w:type="paragraph" w:styleId="Revision">
    <w:name w:val="Revision"/>
    <w:hidden/>
    <w:uiPriority w:val="99"/>
    <w:semiHidden/>
    <w:rsid w:val="00B03F61"/>
    <w:rPr>
      <w:rFonts w:ascii="Arial" w:hAnsi="Arial"/>
      <w:sz w:val="22"/>
      <w:lang w:eastAsia="en-US"/>
    </w:rPr>
  </w:style>
  <w:style w:type="character" w:styleId="UnresolvedMention">
    <w:name w:val="Unresolved Mention"/>
    <w:basedOn w:val="DefaultParagraphFont"/>
    <w:uiPriority w:val="99"/>
    <w:semiHidden/>
    <w:unhideWhenUsed/>
    <w:rsid w:val="002665C0"/>
    <w:rPr>
      <w:color w:val="605E5C"/>
      <w:shd w:val="clear" w:color="auto" w:fill="E1DFDD"/>
    </w:rPr>
  </w:style>
  <w:style w:type="table" w:styleId="GridTable4-Accent3">
    <w:name w:val="Grid Table 4 Accent 3"/>
    <w:basedOn w:val="TableNormal"/>
    <w:uiPriority w:val="49"/>
    <w:rsid w:val="00465FD2"/>
    <w:tblPr>
      <w:tblStyleRowBandSize w:val="1"/>
      <w:tblStyleColBandSize w:val="1"/>
      <w:tblBorders>
        <w:top w:val="single" w:sz="4" w:space="0" w:color="D0EEEE" w:themeColor="accent3" w:themeTint="99"/>
        <w:left w:val="single" w:sz="4" w:space="0" w:color="D0EEEE" w:themeColor="accent3" w:themeTint="99"/>
        <w:bottom w:val="single" w:sz="4" w:space="0" w:color="D0EEEE" w:themeColor="accent3" w:themeTint="99"/>
        <w:right w:val="single" w:sz="4" w:space="0" w:color="D0EEEE" w:themeColor="accent3" w:themeTint="99"/>
        <w:insideH w:val="single" w:sz="4" w:space="0" w:color="D0EEEE" w:themeColor="accent3" w:themeTint="99"/>
        <w:insideV w:val="single" w:sz="4" w:space="0" w:color="D0EEEE" w:themeColor="accent3" w:themeTint="99"/>
      </w:tblBorders>
    </w:tblPr>
    <w:tblStylePr w:type="firstRow">
      <w:rPr>
        <w:b/>
        <w:bCs/>
        <w:color w:val="FFFFFF" w:themeColor="background1"/>
      </w:rPr>
      <w:tblPr/>
      <w:tcPr>
        <w:tcBorders>
          <w:top w:val="single" w:sz="4" w:space="0" w:color="B1E4E3" w:themeColor="accent3"/>
          <w:left w:val="single" w:sz="4" w:space="0" w:color="B1E4E3" w:themeColor="accent3"/>
          <w:bottom w:val="single" w:sz="4" w:space="0" w:color="B1E4E3" w:themeColor="accent3"/>
          <w:right w:val="single" w:sz="4" w:space="0" w:color="B1E4E3" w:themeColor="accent3"/>
          <w:insideH w:val="nil"/>
          <w:insideV w:val="nil"/>
        </w:tcBorders>
        <w:shd w:val="clear" w:color="auto" w:fill="B1E4E3" w:themeFill="accent3"/>
      </w:tcPr>
    </w:tblStylePr>
    <w:tblStylePr w:type="lastRow">
      <w:rPr>
        <w:b/>
        <w:bCs/>
      </w:rPr>
      <w:tblPr/>
      <w:tcPr>
        <w:tcBorders>
          <w:top w:val="double" w:sz="4" w:space="0" w:color="B1E4E3" w:themeColor="accent3"/>
        </w:tcBorders>
      </w:tcPr>
    </w:tblStylePr>
    <w:tblStylePr w:type="firstCol">
      <w:rPr>
        <w:b/>
        <w:bCs/>
      </w:rPr>
    </w:tblStylePr>
    <w:tblStylePr w:type="lastCol">
      <w:rPr>
        <w:b/>
        <w:bCs/>
      </w:rPr>
    </w:tblStylePr>
    <w:tblStylePr w:type="band1Vert">
      <w:tblPr/>
      <w:tcPr>
        <w:shd w:val="clear" w:color="auto" w:fill="EFF9F9" w:themeFill="accent3" w:themeFillTint="33"/>
      </w:tcPr>
    </w:tblStylePr>
    <w:tblStylePr w:type="band1Horz">
      <w:tblPr/>
      <w:tcPr>
        <w:shd w:val="clear" w:color="auto" w:fill="EFF9F9" w:themeFill="accent3" w:themeFillTint="33"/>
      </w:tcPr>
    </w:tblStylePr>
  </w:style>
  <w:style w:type="character" w:customStyle="1" w:styleId="ListParagraphChar">
    <w:name w:val="List Paragraph Char"/>
    <w:basedOn w:val="DefaultParagraphFont"/>
    <w:link w:val="ListParagraph"/>
    <w:uiPriority w:val="34"/>
    <w:rsid w:val="007E7DC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5732">
      <w:bodyDiv w:val="1"/>
      <w:marLeft w:val="0"/>
      <w:marRight w:val="0"/>
      <w:marTop w:val="0"/>
      <w:marBottom w:val="0"/>
      <w:divBdr>
        <w:top w:val="none" w:sz="0" w:space="0" w:color="auto"/>
        <w:left w:val="none" w:sz="0" w:space="0" w:color="auto"/>
        <w:bottom w:val="none" w:sz="0" w:space="0" w:color="auto"/>
        <w:right w:val="none" w:sz="0" w:space="0" w:color="auto"/>
      </w:divBdr>
    </w:div>
    <w:div w:id="164517992">
      <w:bodyDiv w:val="1"/>
      <w:marLeft w:val="0"/>
      <w:marRight w:val="0"/>
      <w:marTop w:val="0"/>
      <w:marBottom w:val="0"/>
      <w:divBdr>
        <w:top w:val="none" w:sz="0" w:space="0" w:color="auto"/>
        <w:left w:val="none" w:sz="0" w:space="0" w:color="auto"/>
        <w:bottom w:val="none" w:sz="0" w:space="0" w:color="auto"/>
        <w:right w:val="none" w:sz="0" w:space="0" w:color="auto"/>
      </w:divBdr>
    </w:div>
    <w:div w:id="211962043">
      <w:bodyDiv w:val="1"/>
      <w:marLeft w:val="0"/>
      <w:marRight w:val="0"/>
      <w:marTop w:val="0"/>
      <w:marBottom w:val="0"/>
      <w:divBdr>
        <w:top w:val="none" w:sz="0" w:space="0" w:color="auto"/>
        <w:left w:val="none" w:sz="0" w:space="0" w:color="auto"/>
        <w:bottom w:val="none" w:sz="0" w:space="0" w:color="auto"/>
        <w:right w:val="none" w:sz="0" w:space="0" w:color="auto"/>
      </w:divBdr>
    </w:div>
    <w:div w:id="450560786">
      <w:bodyDiv w:val="1"/>
      <w:marLeft w:val="0"/>
      <w:marRight w:val="0"/>
      <w:marTop w:val="0"/>
      <w:marBottom w:val="0"/>
      <w:divBdr>
        <w:top w:val="none" w:sz="0" w:space="0" w:color="auto"/>
        <w:left w:val="none" w:sz="0" w:space="0" w:color="auto"/>
        <w:bottom w:val="none" w:sz="0" w:space="0" w:color="auto"/>
        <w:right w:val="none" w:sz="0" w:space="0" w:color="auto"/>
      </w:divBdr>
    </w:div>
    <w:div w:id="483396455">
      <w:bodyDiv w:val="1"/>
      <w:marLeft w:val="0"/>
      <w:marRight w:val="0"/>
      <w:marTop w:val="0"/>
      <w:marBottom w:val="0"/>
      <w:divBdr>
        <w:top w:val="none" w:sz="0" w:space="0" w:color="auto"/>
        <w:left w:val="none" w:sz="0" w:space="0" w:color="auto"/>
        <w:bottom w:val="none" w:sz="0" w:space="0" w:color="auto"/>
        <w:right w:val="none" w:sz="0" w:space="0" w:color="auto"/>
      </w:divBdr>
    </w:div>
    <w:div w:id="619452596">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502500134">
      <w:bodyDiv w:val="1"/>
      <w:marLeft w:val="0"/>
      <w:marRight w:val="0"/>
      <w:marTop w:val="0"/>
      <w:marBottom w:val="0"/>
      <w:divBdr>
        <w:top w:val="none" w:sz="0" w:space="0" w:color="auto"/>
        <w:left w:val="none" w:sz="0" w:space="0" w:color="auto"/>
        <w:bottom w:val="none" w:sz="0" w:space="0" w:color="auto"/>
        <w:right w:val="none" w:sz="0" w:space="0" w:color="auto"/>
      </w:divBdr>
    </w:div>
    <w:div w:id="1767119360">
      <w:bodyDiv w:val="1"/>
      <w:marLeft w:val="0"/>
      <w:marRight w:val="0"/>
      <w:marTop w:val="0"/>
      <w:marBottom w:val="0"/>
      <w:divBdr>
        <w:top w:val="none" w:sz="0" w:space="0" w:color="auto"/>
        <w:left w:val="none" w:sz="0" w:space="0" w:color="auto"/>
        <w:bottom w:val="none" w:sz="0" w:space="0" w:color="auto"/>
        <w:right w:val="none" w:sz="0" w:space="0" w:color="auto"/>
      </w:divBdr>
    </w:div>
    <w:div w:id="1868247927">
      <w:bodyDiv w:val="1"/>
      <w:marLeft w:val="0"/>
      <w:marRight w:val="0"/>
      <w:marTop w:val="0"/>
      <w:marBottom w:val="0"/>
      <w:divBdr>
        <w:top w:val="none" w:sz="0" w:space="0" w:color="auto"/>
        <w:left w:val="none" w:sz="0" w:space="0" w:color="auto"/>
        <w:bottom w:val="none" w:sz="0" w:space="0" w:color="auto"/>
        <w:right w:val="none" w:sz="0" w:space="0" w:color="auto"/>
      </w:divBdr>
    </w:div>
    <w:div w:id="2005010985">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la@dss.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our-responsibilities/families-and-children/benefits-payments/transition-to-independent-living-allowance-tila/tila-operational-guideline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ss.gov.au/our-responsibilities/families-and-children/benefits-payments/transition-to-independent-living-allowance-tila/tila-operational-guidelines" TargetMode="External"/><Relationship Id="rId4" Type="http://schemas.openxmlformats.org/officeDocument/2006/relationships/settings" Target="settings.xml"/><Relationship Id="rId9" Type="http://schemas.openxmlformats.org/officeDocument/2006/relationships/hyperlink" Target="mailto:tila@dss.gov.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x"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40B37-1B0C-4AE6-A872-1C77319E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9</TotalTime>
  <Pages>3</Pages>
  <Words>746</Words>
  <Characters>3816</Characters>
  <Application>Microsoft Office Word</Application>
  <DocSecurity>0</DocSecurity>
  <Lines>121</Lines>
  <Paragraphs>64</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of unused TILA funds and reissuing of returned funds process</dc:title>
  <dc:creator>PEARSON, Rose</dc:creator>
  <cp:keywords>[SEC=OFFICIAL]</cp:keywords>
  <cp:lastModifiedBy>MCKELL, Karen</cp:lastModifiedBy>
  <cp:revision>7</cp:revision>
  <cp:lastPrinted>2024-11-17T22:05:00Z</cp:lastPrinted>
  <dcterms:created xsi:type="dcterms:W3CDTF">2024-11-17T22:05:00Z</dcterms:created>
  <dcterms:modified xsi:type="dcterms:W3CDTF">2024-11-18T02:28:00Z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251383B528F843EB90EE54AF5461F53F</vt:lpwstr>
  </property>
  <property fmtid="{D5CDD505-2E9C-101B-9397-08002B2CF9AE}" pid="9" name="PM_ProtectiveMarkingValue_Footer">
    <vt:lpwstr>OFFICIAL</vt:lpwstr>
  </property>
  <property fmtid="{D5CDD505-2E9C-101B-9397-08002B2CF9AE}" pid="10" name="PM_Originator_Hash_SHA1">
    <vt:lpwstr>89AA178AA5BE17FD93B0F4D11B751F0B9B7B6A78</vt:lpwstr>
  </property>
  <property fmtid="{D5CDD505-2E9C-101B-9397-08002B2CF9AE}" pid="11" name="PM_OriginationTimeStamp">
    <vt:lpwstr>2024-01-29T05:52:34Z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10F01753F60928E92AEB309BF5EE9B14</vt:lpwstr>
  </property>
  <property fmtid="{D5CDD505-2E9C-101B-9397-08002B2CF9AE}" pid="20" name="PM_Hash_Salt">
    <vt:lpwstr>62E57B8105A50AB3C7D90A5638B99B49</vt:lpwstr>
  </property>
  <property fmtid="{D5CDD505-2E9C-101B-9397-08002B2CF9AE}" pid="21" name="PM_Hash_SHA1">
    <vt:lpwstr>F5A667AA9BA2A3DA858E9CC361695ADEC74DA09E</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73AC4EAD9CE44ABE0D3975CCC32C94FA28991B0DAEA075717C6B657D5C5BAB9F</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v=2022.1;a=SHA256;h=376DB99BEAA5C6FDFB0043419041CBEBD959A29AD3E24EABF395DFAA79C818CF</vt:lpwstr>
  </property>
  <property fmtid="{D5CDD505-2E9C-101B-9397-08002B2CF9AE}" pid="28" name="MSIP_Label_eb34d90b-fc41-464d-af60-f74d721d0790_SetDate">
    <vt:lpwstr>2024-01-29T05:52:34Z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13456e8bd7374fe68fd941cc2662bc1e</vt:lpwstr>
  </property>
  <property fmtid="{D5CDD505-2E9C-101B-9397-08002B2CF9AE}" pid="35" name="PMUuid">
    <vt:lpwstr>v=2022.2;d=gov.au;g=46DD6D7C-8107-577B-BC6E-F348953B2E44</vt:lpwstr>
  </property>
</Properties>
</file>