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7A88" w14:textId="77777777" w:rsidR="00CE2FDA" w:rsidRDefault="00CE2FDA" w:rsidP="00CE2FDA">
      <w:pPr>
        <w:pStyle w:val="Title"/>
        <w:jc w:val="right"/>
        <w:rPr>
          <w:b/>
          <w:color w:val="767171" w:themeColor="background2" w:themeShade="80"/>
          <w:sz w:val="32"/>
          <w:szCs w:val="32"/>
        </w:rPr>
      </w:pPr>
    </w:p>
    <w:p w14:paraId="45027485" w14:textId="77777777" w:rsidR="00801507" w:rsidRPr="00D46290" w:rsidRDefault="00801507" w:rsidP="00801507">
      <w:pPr>
        <w:spacing w:after="1440"/>
        <w:jc w:val="center"/>
      </w:pPr>
      <w:bookmarkStart w:id="0" w:name="Example"/>
      <w:r>
        <w:rPr>
          <w:noProof/>
          <w:lang w:eastAsia="en-AU"/>
        </w:rPr>
        <w:drawing>
          <wp:inline distT="0" distB="0" distL="0" distR="0" wp14:anchorId="488702DB" wp14:editId="7E85720F">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8"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0A3CE63D" w14:textId="714B2CC7" w:rsidR="00801507" w:rsidRPr="00B659B6" w:rsidRDefault="00AC2602" w:rsidP="00B659B6">
      <w:pPr>
        <w:pStyle w:val="Heading1"/>
        <w:keepNext w:val="0"/>
        <w:keepLines w:val="0"/>
        <w:pBdr>
          <w:top w:val="none" w:sz="0" w:space="0" w:color="auto"/>
        </w:pBdr>
        <w:spacing w:before="1320"/>
        <w:jc w:val="center"/>
        <w:rPr>
          <w:rFonts w:ascii="Calibri" w:eastAsia="Times New Roman" w:hAnsi="Calibri" w:cs="Times New Roman"/>
          <w:b/>
          <w:sz w:val="52"/>
          <w:szCs w:val="36"/>
          <w:lang w:eastAsia="en-AU"/>
        </w:rPr>
      </w:pPr>
      <w:bookmarkStart w:id="1" w:name="_Toc177576646"/>
      <w:bookmarkStart w:id="2" w:name="_Toc495402559"/>
      <w:bookmarkStart w:id="3" w:name="_Toc509998600"/>
      <w:bookmarkStart w:id="4" w:name="_Toc509998874"/>
      <w:bookmarkEnd w:id="0"/>
      <w:r w:rsidRPr="00B659B6">
        <w:rPr>
          <w:rFonts w:ascii="Calibri" w:eastAsia="Times New Roman" w:hAnsi="Calibri" w:cs="Times New Roman"/>
          <w:b/>
          <w:color w:val="auto"/>
          <w:sz w:val="52"/>
          <w:szCs w:val="36"/>
          <w:lang w:eastAsia="en-AU"/>
        </w:rPr>
        <w:t xml:space="preserve">Targeted Compliance Framework: </w:t>
      </w:r>
      <w:r w:rsidRPr="00B659B6">
        <w:rPr>
          <w:rFonts w:ascii="Calibri" w:eastAsia="Times New Roman" w:hAnsi="Calibri" w:cs="Times New Roman"/>
          <w:b/>
          <w:color w:val="auto"/>
          <w:sz w:val="52"/>
          <w:szCs w:val="36"/>
          <w:lang w:eastAsia="en-AU"/>
        </w:rPr>
        <w:br/>
        <w:t xml:space="preserve">Work Refusal </w:t>
      </w:r>
      <w:r w:rsidR="00BC4572" w:rsidRPr="00B659B6">
        <w:rPr>
          <w:rFonts w:ascii="Calibri" w:eastAsia="Times New Roman" w:hAnsi="Calibri" w:cs="Times New Roman"/>
          <w:b/>
          <w:color w:val="auto"/>
          <w:sz w:val="52"/>
          <w:szCs w:val="36"/>
          <w:lang w:eastAsia="en-AU"/>
        </w:rPr>
        <w:t xml:space="preserve">Failures </w:t>
      </w:r>
      <w:r w:rsidRPr="00B659B6">
        <w:rPr>
          <w:rFonts w:ascii="Calibri" w:eastAsia="Times New Roman" w:hAnsi="Calibri" w:cs="Times New Roman"/>
          <w:b/>
          <w:color w:val="auto"/>
          <w:sz w:val="52"/>
          <w:szCs w:val="36"/>
          <w:lang w:eastAsia="en-AU"/>
        </w:rPr>
        <w:t>and Unemployment Failures</w:t>
      </w:r>
      <w:r w:rsidR="00801507" w:rsidRPr="00B659B6">
        <w:rPr>
          <w:rFonts w:ascii="Calibri" w:eastAsia="Times New Roman" w:hAnsi="Calibri" w:cs="Times New Roman"/>
          <w:b/>
          <w:color w:val="auto"/>
          <w:sz w:val="52"/>
          <w:szCs w:val="36"/>
          <w:lang w:eastAsia="en-AU"/>
        </w:rPr>
        <w:t xml:space="preserve"> Guidelines</w:t>
      </w:r>
      <w:bookmarkEnd w:id="1"/>
    </w:p>
    <w:p w14:paraId="5D59766B" w14:textId="17AD7CE0" w:rsidR="00801507" w:rsidRPr="00B659B6" w:rsidRDefault="00801507" w:rsidP="00B659B6">
      <w:pPr>
        <w:spacing w:after="120"/>
        <w:jc w:val="center"/>
        <w:rPr>
          <w:rFonts w:ascii="Calibri" w:eastAsia="Times New Roman" w:hAnsi="Calibri" w:cs="Times New Roman"/>
          <w:b/>
          <w:sz w:val="36"/>
          <w:szCs w:val="36"/>
          <w:lang w:eastAsia="en-AU"/>
        </w:rPr>
      </w:pPr>
      <w:r w:rsidRPr="00B659B6">
        <w:rPr>
          <w:rFonts w:ascii="Calibri" w:eastAsia="Times New Roman" w:hAnsi="Calibri" w:cs="Times New Roman"/>
          <w:b/>
          <w:sz w:val="36"/>
          <w:szCs w:val="36"/>
          <w:lang w:eastAsia="en-AU"/>
        </w:rPr>
        <w:t>V 1.</w:t>
      </w:r>
      <w:bookmarkEnd w:id="2"/>
      <w:bookmarkEnd w:id="3"/>
      <w:bookmarkEnd w:id="4"/>
      <w:r w:rsidR="00E11891">
        <w:rPr>
          <w:rFonts w:ascii="Calibri" w:eastAsia="Times New Roman" w:hAnsi="Calibri" w:cs="Times New Roman"/>
          <w:b/>
          <w:sz w:val="36"/>
          <w:szCs w:val="36"/>
          <w:lang w:eastAsia="en-AU"/>
        </w:rPr>
        <w:t>5</w:t>
      </w:r>
    </w:p>
    <w:p w14:paraId="4C20D2EB" w14:textId="77777777" w:rsidR="00801507" w:rsidRPr="00AC50E9" w:rsidRDefault="00801507" w:rsidP="00AC2602">
      <w:pPr>
        <w:pStyle w:val="Disclaimer"/>
        <w:spacing w:before="3600"/>
        <w:rPr>
          <w:sz w:val="20"/>
        </w:rPr>
      </w:pPr>
      <w:r w:rsidRPr="00427E22">
        <w:rPr>
          <w:b/>
          <w:sz w:val="20"/>
        </w:rPr>
        <w:t>Disclaimer</w:t>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Pr="00C07F22">
        <w:br w:type="page"/>
      </w:r>
      <w:bookmarkStart w:id="5" w:name="_Toc316553386"/>
      <w:bookmarkStart w:id="6" w:name="_Toc316553411"/>
      <w:bookmarkStart w:id="7" w:name="_Toc425412073"/>
      <w:bookmarkStart w:id="8" w:name="_Toc486510119"/>
      <w:bookmarkStart w:id="9" w:name="_Toc487730649"/>
      <w:bookmarkStart w:id="10" w:name="_Toc495666001"/>
    </w:p>
    <w:p w14:paraId="2248585D" w14:textId="77777777" w:rsidR="006F3A90" w:rsidRDefault="006F3A90" w:rsidP="006F3A90">
      <w:pPr>
        <w:pStyle w:val="Heading2"/>
        <w:rPr>
          <w:color w:val="000000" w:themeColor="text1"/>
        </w:rPr>
      </w:pPr>
      <w:bookmarkStart w:id="11" w:name="_Toc509840998"/>
      <w:bookmarkStart w:id="12" w:name="_Toc510110438"/>
      <w:bookmarkStart w:id="13" w:name="_Toc514992215"/>
      <w:bookmarkStart w:id="14" w:name="_Toc514998103"/>
      <w:bookmarkStart w:id="15" w:name="_Toc177576647"/>
      <w:bookmarkEnd w:id="5"/>
      <w:bookmarkEnd w:id="6"/>
      <w:bookmarkEnd w:id="7"/>
      <w:bookmarkEnd w:id="8"/>
      <w:bookmarkEnd w:id="9"/>
      <w:bookmarkEnd w:id="10"/>
      <w:r w:rsidRPr="006F3A90">
        <w:rPr>
          <w:color w:val="000000" w:themeColor="text1"/>
        </w:rPr>
        <w:lastRenderedPageBreak/>
        <w:t>Table of Contents</w:t>
      </w:r>
      <w:bookmarkEnd w:id="11"/>
      <w:bookmarkEnd w:id="12"/>
      <w:bookmarkEnd w:id="13"/>
      <w:bookmarkEnd w:id="14"/>
      <w:bookmarkEnd w:id="15"/>
    </w:p>
    <w:p w14:paraId="4C72BD34" w14:textId="77777777" w:rsidR="00517271" w:rsidRPr="00517271" w:rsidRDefault="00517271" w:rsidP="00517271"/>
    <w:p w14:paraId="1EB1C652" w14:textId="76A56397" w:rsidR="007E788C" w:rsidRDefault="006E01E7">
      <w:pPr>
        <w:pStyle w:val="TOC1"/>
        <w:tabs>
          <w:tab w:val="right" w:leader="dot" w:pos="9016"/>
        </w:tabs>
        <w:rPr>
          <w:rFonts w:eastAsiaTheme="minorEastAsia" w:cstheme="minorBidi"/>
          <w:b w:val="0"/>
          <w:bCs w:val="0"/>
          <w:noProof/>
          <w:kern w:val="2"/>
          <w:sz w:val="24"/>
          <w:szCs w:val="24"/>
          <w:lang w:eastAsia="en-AU"/>
          <w14:ligatures w14:val="standardContextual"/>
        </w:rPr>
      </w:pPr>
      <w:r>
        <w:rPr>
          <w:iCs/>
          <w:color w:val="767171" w:themeColor="background2" w:themeShade="80"/>
          <w:sz w:val="32"/>
          <w:szCs w:val="32"/>
        </w:rPr>
        <w:fldChar w:fldCharType="begin"/>
      </w:r>
      <w:r>
        <w:rPr>
          <w:iCs/>
          <w:color w:val="767171" w:themeColor="background2" w:themeShade="80"/>
          <w:sz w:val="32"/>
          <w:szCs w:val="32"/>
        </w:rPr>
        <w:instrText xml:space="preserve"> TOC \o "1-4" \h \z \u </w:instrText>
      </w:r>
      <w:r>
        <w:rPr>
          <w:iCs/>
          <w:color w:val="767171" w:themeColor="background2" w:themeShade="80"/>
          <w:sz w:val="32"/>
          <w:szCs w:val="32"/>
        </w:rPr>
        <w:fldChar w:fldCharType="separate"/>
      </w:r>
      <w:hyperlink w:anchor="_Toc177576646" w:history="1">
        <w:r w:rsidR="007E788C" w:rsidRPr="00DA1E75">
          <w:rPr>
            <w:rStyle w:val="Hyperlink"/>
            <w:rFonts w:ascii="Calibri" w:eastAsia="Times New Roman" w:hAnsi="Calibri" w:cs="Times New Roman"/>
            <w:noProof/>
            <w:lang w:eastAsia="en-AU"/>
          </w:rPr>
          <w:t>Targeted Compliance Framework:  Work Refusal Failures and Unemployment Failures Guidelines</w:t>
        </w:r>
        <w:r w:rsidR="007E788C">
          <w:rPr>
            <w:noProof/>
            <w:webHidden/>
          </w:rPr>
          <w:tab/>
        </w:r>
        <w:r w:rsidR="007E788C">
          <w:rPr>
            <w:noProof/>
            <w:webHidden/>
          </w:rPr>
          <w:fldChar w:fldCharType="begin"/>
        </w:r>
        <w:r w:rsidR="007E788C">
          <w:rPr>
            <w:noProof/>
            <w:webHidden/>
          </w:rPr>
          <w:instrText xml:space="preserve"> PAGEREF _Toc177576646 \h </w:instrText>
        </w:r>
        <w:r w:rsidR="007E788C">
          <w:rPr>
            <w:noProof/>
            <w:webHidden/>
          </w:rPr>
        </w:r>
        <w:r w:rsidR="007E788C">
          <w:rPr>
            <w:noProof/>
            <w:webHidden/>
          </w:rPr>
          <w:fldChar w:fldCharType="separate"/>
        </w:r>
        <w:r w:rsidR="00137281">
          <w:rPr>
            <w:noProof/>
            <w:webHidden/>
          </w:rPr>
          <w:t>1</w:t>
        </w:r>
        <w:r w:rsidR="007E788C">
          <w:rPr>
            <w:noProof/>
            <w:webHidden/>
          </w:rPr>
          <w:fldChar w:fldCharType="end"/>
        </w:r>
      </w:hyperlink>
    </w:p>
    <w:p w14:paraId="2511FCF3" w14:textId="13272FCE" w:rsidR="007E788C" w:rsidRDefault="007E788C">
      <w:pPr>
        <w:pStyle w:val="TOC2"/>
        <w:tabs>
          <w:tab w:val="right" w:leader="dot" w:pos="9016"/>
        </w:tabs>
        <w:rPr>
          <w:rFonts w:eastAsiaTheme="minorEastAsia" w:cstheme="minorBidi"/>
          <w:b w:val="0"/>
          <w:iCs w:val="0"/>
          <w:noProof/>
          <w:kern w:val="2"/>
          <w:sz w:val="24"/>
          <w:szCs w:val="24"/>
          <w:lang w:eastAsia="en-AU"/>
          <w14:ligatures w14:val="standardContextual"/>
        </w:rPr>
      </w:pPr>
      <w:hyperlink w:anchor="_Toc177576647" w:history="1">
        <w:r w:rsidRPr="00DA1E75">
          <w:rPr>
            <w:rStyle w:val="Hyperlink"/>
            <w:noProof/>
          </w:rPr>
          <w:t>Table of Contents</w:t>
        </w:r>
        <w:r>
          <w:rPr>
            <w:noProof/>
            <w:webHidden/>
          </w:rPr>
          <w:tab/>
        </w:r>
        <w:r>
          <w:rPr>
            <w:noProof/>
            <w:webHidden/>
          </w:rPr>
          <w:fldChar w:fldCharType="begin"/>
        </w:r>
        <w:r>
          <w:rPr>
            <w:noProof/>
            <w:webHidden/>
          </w:rPr>
          <w:instrText xml:space="preserve"> PAGEREF _Toc177576647 \h </w:instrText>
        </w:r>
        <w:r>
          <w:rPr>
            <w:noProof/>
            <w:webHidden/>
          </w:rPr>
        </w:r>
        <w:r>
          <w:rPr>
            <w:noProof/>
            <w:webHidden/>
          </w:rPr>
          <w:fldChar w:fldCharType="separate"/>
        </w:r>
        <w:r w:rsidR="00137281">
          <w:rPr>
            <w:noProof/>
            <w:webHidden/>
          </w:rPr>
          <w:t>2</w:t>
        </w:r>
        <w:r>
          <w:rPr>
            <w:noProof/>
            <w:webHidden/>
          </w:rPr>
          <w:fldChar w:fldCharType="end"/>
        </w:r>
      </w:hyperlink>
    </w:p>
    <w:p w14:paraId="3E21C2DB" w14:textId="7AF5B563"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48" w:history="1">
        <w:r w:rsidRPr="00DA1E75">
          <w:rPr>
            <w:rStyle w:val="Hyperlink"/>
            <w:noProof/>
          </w:rPr>
          <w:t>Document change history</w:t>
        </w:r>
        <w:r>
          <w:rPr>
            <w:noProof/>
            <w:webHidden/>
          </w:rPr>
          <w:tab/>
        </w:r>
        <w:r>
          <w:rPr>
            <w:noProof/>
            <w:webHidden/>
          </w:rPr>
          <w:fldChar w:fldCharType="begin"/>
        </w:r>
        <w:r>
          <w:rPr>
            <w:noProof/>
            <w:webHidden/>
          </w:rPr>
          <w:instrText xml:space="preserve"> PAGEREF _Toc177576648 \h </w:instrText>
        </w:r>
        <w:r>
          <w:rPr>
            <w:noProof/>
            <w:webHidden/>
          </w:rPr>
        </w:r>
        <w:r>
          <w:rPr>
            <w:noProof/>
            <w:webHidden/>
          </w:rPr>
          <w:fldChar w:fldCharType="separate"/>
        </w:r>
        <w:r w:rsidR="00137281">
          <w:rPr>
            <w:noProof/>
            <w:webHidden/>
          </w:rPr>
          <w:t>3</w:t>
        </w:r>
        <w:r>
          <w:rPr>
            <w:noProof/>
            <w:webHidden/>
          </w:rPr>
          <w:fldChar w:fldCharType="end"/>
        </w:r>
      </w:hyperlink>
    </w:p>
    <w:p w14:paraId="303D1776" w14:textId="0F050676"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49" w:history="1">
        <w:r w:rsidRPr="00DA1E75">
          <w:rPr>
            <w:rStyle w:val="Hyperlink"/>
            <w:bCs/>
            <w:noProof/>
            <w:lang w:eastAsia="en-AU"/>
          </w:rPr>
          <w:t>Background</w:t>
        </w:r>
        <w:r>
          <w:rPr>
            <w:noProof/>
            <w:webHidden/>
          </w:rPr>
          <w:tab/>
        </w:r>
        <w:r>
          <w:rPr>
            <w:noProof/>
            <w:webHidden/>
          </w:rPr>
          <w:fldChar w:fldCharType="begin"/>
        </w:r>
        <w:r>
          <w:rPr>
            <w:noProof/>
            <w:webHidden/>
          </w:rPr>
          <w:instrText xml:space="preserve"> PAGEREF _Toc177576649 \h </w:instrText>
        </w:r>
        <w:r>
          <w:rPr>
            <w:noProof/>
            <w:webHidden/>
          </w:rPr>
        </w:r>
        <w:r>
          <w:rPr>
            <w:noProof/>
            <w:webHidden/>
          </w:rPr>
          <w:fldChar w:fldCharType="separate"/>
        </w:r>
        <w:r w:rsidR="00137281">
          <w:rPr>
            <w:noProof/>
            <w:webHidden/>
          </w:rPr>
          <w:t>3</w:t>
        </w:r>
        <w:r>
          <w:rPr>
            <w:noProof/>
            <w:webHidden/>
          </w:rPr>
          <w:fldChar w:fldCharType="end"/>
        </w:r>
      </w:hyperlink>
    </w:p>
    <w:p w14:paraId="32B9E3C8" w14:textId="74C41278" w:rsidR="007E788C" w:rsidRDefault="007E788C">
      <w:pPr>
        <w:pStyle w:val="TOC2"/>
        <w:tabs>
          <w:tab w:val="left" w:pos="660"/>
          <w:tab w:val="right" w:leader="dot" w:pos="9016"/>
        </w:tabs>
        <w:rPr>
          <w:rFonts w:eastAsiaTheme="minorEastAsia" w:cstheme="minorBidi"/>
          <w:b w:val="0"/>
          <w:iCs w:val="0"/>
          <w:noProof/>
          <w:kern w:val="2"/>
          <w:sz w:val="24"/>
          <w:szCs w:val="24"/>
          <w:lang w:eastAsia="en-AU"/>
          <w14:ligatures w14:val="standardContextual"/>
        </w:rPr>
      </w:pPr>
      <w:hyperlink w:anchor="_Toc177576650" w:history="1">
        <w:r w:rsidRPr="00DA1E75">
          <w:rPr>
            <w:rStyle w:val="Hyperlink"/>
            <w:rFonts w:eastAsia="Times New Roman" w:cs="Times New Roman"/>
            <w:noProof/>
            <w:lang w:eastAsia="en-AU"/>
          </w:rPr>
          <w:t>1.</w:t>
        </w:r>
        <w:r>
          <w:rPr>
            <w:rFonts w:eastAsiaTheme="minorEastAsia" w:cstheme="minorBidi"/>
            <w:b w:val="0"/>
            <w:iCs w:val="0"/>
            <w:noProof/>
            <w:kern w:val="2"/>
            <w:sz w:val="24"/>
            <w:szCs w:val="24"/>
            <w:lang w:eastAsia="en-AU"/>
            <w14:ligatures w14:val="standardContextual"/>
          </w:rPr>
          <w:tab/>
        </w:r>
        <w:r w:rsidRPr="00DA1E75">
          <w:rPr>
            <w:rStyle w:val="Hyperlink"/>
            <w:rFonts w:eastAsia="Times New Roman" w:cs="Times New Roman"/>
            <w:noProof/>
            <w:lang w:eastAsia="en-AU"/>
          </w:rPr>
          <w:t>Work Refusal Failures</w:t>
        </w:r>
        <w:r>
          <w:rPr>
            <w:noProof/>
            <w:webHidden/>
          </w:rPr>
          <w:tab/>
        </w:r>
        <w:r>
          <w:rPr>
            <w:noProof/>
            <w:webHidden/>
          </w:rPr>
          <w:fldChar w:fldCharType="begin"/>
        </w:r>
        <w:r>
          <w:rPr>
            <w:noProof/>
            <w:webHidden/>
          </w:rPr>
          <w:instrText xml:space="preserve"> PAGEREF _Toc177576650 \h </w:instrText>
        </w:r>
        <w:r>
          <w:rPr>
            <w:noProof/>
            <w:webHidden/>
          </w:rPr>
        </w:r>
        <w:r>
          <w:rPr>
            <w:noProof/>
            <w:webHidden/>
          </w:rPr>
          <w:fldChar w:fldCharType="separate"/>
        </w:r>
        <w:r w:rsidR="00137281">
          <w:rPr>
            <w:noProof/>
            <w:webHidden/>
          </w:rPr>
          <w:t>5</w:t>
        </w:r>
        <w:r>
          <w:rPr>
            <w:noProof/>
            <w:webHidden/>
          </w:rPr>
          <w:fldChar w:fldCharType="end"/>
        </w:r>
      </w:hyperlink>
    </w:p>
    <w:p w14:paraId="2064484C" w14:textId="6C7D4E55"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51" w:history="1">
        <w:r w:rsidRPr="00DA1E75">
          <w:rPr>
            <w:rStyle w:val="Hyperlink"/>
            <w:bCs/>
            <w:noProof/>
            <w:lang w:eastAsia="en-AU"/>
          </w:rPr>
          <w:t>Identifying a Work Refusal Failure</w:t>
        </w:r>
        <w:r>
          <w:rPr>
            <w:noProof/>
            <w:webHidden/>
          </w:rPr>
          <w:tab/>
        </w:r>
        <w:r>
          <w:rPr>
            <w:noProof/>
            <w:webHidden/>
          </w:rPr>
          <w:fldChar w:fldCharType="begin"/>
        </w:r>
        <w:r>
          <w:rPr>
            <w:noProof/>
            <w:webHidden/>
          </w:rPr>
          <w:instrText xml:space="preserve"> PAGEREF _Toc177576651 \h </w:instrText>
        </w:r>
        <w:r>
          <w:rPr>
            <w:noProof/>
            <w:webHidden/>
          </w:rPr>
        </w:r>
        <w:r>
          <w:rPr>
            <w:noProof/>
            <w:webHidden/>
          </w:rPr>
          <w:fldChar w:fldCharType="separate"/>
        </w:r>
        <w:r w:rsidR="00137281">
          <w:rPr>
            <w:noProof/>
            <w:webHidden/>
          </w:rPr>
          <w:t>5</w:t>
        </w:r>
        <w:r>
          <w:rPr>
            <w:noProof/>
            <w:webHidden/>
          </w:rPr>
          <w:fldChar w:fldCharType="end"/>
        </w:r>
      </w:hyperlink>
    </w:p>
    <w:p w14:paraId="423660E1" w14:textId="27B506DC"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52" w:history="1">
        <w:r w:rsidRPr="00DA1E75">
          <w:rPr>
            <w:rStyle w:val="Hyperlink"/>
            <w:bCs/>
            <w:noProof/>
            <w:lang w:eastAsia="en-AU"/>
          </w:rPr>
          <w:t>Reporting a Work Refusal Failure</w:t>
        </w:r>
        <w:r>
          <w:rPr>
            <w:noProof/>
            <w:webHidden/>
          </w:rPr>
          <w:tab/>
        </w:r>
        <w:r>
          <w:rPr>
            <w:noProof/>
            <w:webHidden/>
          </w:rPr>
          <w:fldChar w:fldCharType="begin"/>
        </w:r>
        <w:r>
          <w:rPr>
            <w:noProof/>
            <w:webHidden/>
          </w:rPr>
          <w:instrText xml:space="preserve"> PAGEREF _Toc177576652 \h </w:instrText>
        </w:r>
        <w:r>
          <w:rPr>
            <w:noProof/>
            <w:webHidden/>
          </w:rPr>
        </w:r>
        <w:r>
          <w:rPr>
            <w:noProof/>
            <w:webHidden/>
          </w:rPr>
          <w:fldChar w:fldCharType="separate"/>
        </w:r>
        <w:r w:rsidR="00137281">
          <w:rPr>
            <w:noProof/>
            <w:webHidden/>
          </w:rPr>
          <w:t>6</w:t>
        </w:r>
        <w:r>
          <w:rPr>
            <w:noProof/>
            <w:webHidden/>
          </w:rPr>
          <w:fldChar w:fldCharType="end"/>
        </w:r>
      </w:hyperlink>
    </w:p>
    <w:p w14:paraId="3B2F6657" w14:textId="1090799D" w:rsidR="007E788C" w:rsidRDefault="007E788C">
      <w:pPr>
        <w:pStyle w:val="TOC4"/>
        <w:tabs>
          <w:tab w:val="right" w:leader="dot" w:pos="9016"/>
        </w:tabs>
        <w:rPr>
          <w:rFonts w:eastAsiaTheme="minorEastAsia" w:cstheme="minorBidi"/>
          <w:i w:val="0"/>
          <w:noProof/>
          <w:kern w:val="2"/>
          <w:sz w:val="24"/>
          <w:szCs w:val="24"/>
          <w:lang w:eastAsia="en-AU"/>
          <w14:ligatures w14:val="standardContextual"/>
        </w:rPr>
      </w:pPr>
      <w:hyperlink w:anchor="_Toc177576653" w:history="1">
        <w:r w:rsidRPr="00DA1E75">
          <w:rPr>
            <w:rStyle w:val="Hyperlink"/>
            <w:noProof/>
          </w:rPr>
          <w:t>Contact attempt is successful on the same Business Day</w:t>
        </w:r>
        <w:r>
          <w:rPr>
            <w:noProof/>
            <w:webHidden/>
          </w:rPr>
          <w:tab/>
        </w:r>
        <w:r>
          <w:rPr>
            <w:noProof/>
            <w:webHidden/>
          </w:rPr>
          <w:fldChar w:fldCharType="begin"/>
        </w:r>
        <w:r>
          <w:rPr>
            <w:noProof/>
            <w:webHidden/>
          </w:rPr>
          <w:instrText xml:space="preserve"> PAGEREF _Toc177576653 \h </w:instrText>
        </w:r>
        <w:r>
          <w:rPr>
            <w:noProof/>
            <w:webHidden/>
          </w:rPr>
        </w:r>
        <w:r>
          <w:rPr>
            <w:noProof/>
            <w:webHidden/>
          </w:rPr>
          <w:fldChar w:fldCharType="separate"/>
        </w:r>
        <w:r w:rsidR="00137281">
          <w:rPr>
            <w:noProof/>
            <w:webHidden/>
          </w:rPr>
          <w:t>7</w:t>
        </w:r>
        <w:r>
          <w:rPr>
            <w:noProof/>
            <w:webHidden/>
          </w:rPr>
          <w:fldChar w:fldCharType="end"/>
        </w:r>
      </w:hyperlink>
    </w:p>
    <w:p w14:paraId="2475DFD7" w14:textId="4D38BD44" w:rsidR="007E788C" w:rsidRDefault="007E788C">
      <w:pPr>
        <w:pStyle w:val="TOC4"/>
        <w:tabs>
          <w:tab w:val="right" w:leader="dot" w:pos="9016"/>
        </w:tabs>
        <w:rPr>
          <w:rFonts w:eastAsiaTheme="minorEastAsia" w:cstheme="minorBidi"/>
          <w:i w:val="0"/>
          <w:noProof/>
          <w:kern w:val="2"/>
          <w:sz w:val="24"/>
          <w:szCs w:val="24"/>
          <w:lang w:eastAsia="en-AU"/>
          <w14:ligatures w14:val="standardContextual"/>
        </w:rPr>
      </w:pPr>
      <w:hyperlink w:anchor="_Toc177576654" w:history="1">
        <w:r w:rsidRPr="00DA1E75">
          <w:rPr>
            <w:rStyle w:val="Hyperlink"/>
            <w:noProof/>
          </w:rPr>
          <w:t>Contact attempt is not successful on the same Business Day</w:t>
        </w:r>
        <w:r>
          <w:rPr>
            <w:noProof/>
            <w:webHidden/>
          </w:rPr>
          <w:tab/>
        </w:r>
        <w:r>
          <w:rPr>
            <w:noProof/>
            <w:webHidden/>
          </w:rPr>
          <w:fldChar w:fldCharType="begin"/>
        </w:r>
        <w:r>
          <w:rPr>
            <w:noProof/>
            <w:webHidden/>
          </w:rPr>
          <w:instrText xml:space="preserve"> PAGEREF _Toc177576654 \h </w:instrText>
        </w:r>
        <w:r>
          <w:rPr>
            <w:noProof/>
            <w:webHidden/>
          </w:rPr>
        </w:r>
        <w:r>
          <w:rPr>
            <w:noProof/>
            <w:webHidden/>
          </w:rPr>
          <w:fldChar w:fldCharType="separate"/>
        </w:r>
        <w:r w:rsidR="00137281">
          <w:rPr>
            <w:noProof/>
            <w:webHidden/>
          </w:rPr>
          <w:t>8</w:t>
        </w:r>
        <w:r>
          <w:rPr>
            <w:noProof/>
            <w:webHidden/>
          </w:rPr>
          <w:fldChar w:fldCharType="end"/>
        </w:r>
      </w:hyperlink>
    </w:p>
    <w:p w14:paraId="5918F27A" w14:textId="65B2D16F" w:rsidR="007E788C" w:rsidRDefault="007E788C">
      <w:pPr>
        <w:pStyle w:val="TOC2"/>
        <w:tabs>
          <w:tab w:val="left" w:pos="660"/>
          <w:tab w:val="right" w:leader="dot" w:pos="9016"/>
        </w:tabs>
        <w:rPr>
          <w:rFonts w:eastAsiaTheme="minorEastAsia" w:cstheme="minorBidi"/>
          <w:b w:val="0"/>
          <w:iCs w:val="0"/>
          <w:noProof/>
          <w:kern w:val="2"/>
          <w:sz w:val="24"/>
          <w:szCs w:val="24"/>
          <w:lang w:eastAsia="en-AU"/>
          <w14:ligatures w14:val="standardContextual"/>
        </w:rPr>
      </w:pPr>
      <w:hyperlink w:anchor="_Toc177576655" w:history="1">
        <w:r w:rsidRPr="00DA1E75">
          <w:rPr>
            <w:rStyle w:val="Hyperlink"/>
            <w:rFonts w:eastAsia="Times New Roman" w:cs="Times New Roman"/>
            <w:noProof/>
            <w:lang w:eastAsia="en-AU"/>
          </w:rPr>
          <w:t>2.</w:t>
        </w:r>
        <w:r>
          <w:rPr>
            <w:rFonts w:eastAsiaTheme="minorEastAsia" w:cstheme="minorBidi"/>
            <w:b w:val="0"/>
            <w:iCs w:val="0"/>
            <w:noProof/>
            <w:kern w:val="2"/>
            <w:sz w:val="24"/>
            <w:szCs w:val="24"/>
            <w:lang w:eastAsia="en-AU"/>
            <w14:ligatures w14:val="standardContextual"/>
          </w:rPr>
          <w:tab/>
        </w:r>
        <w:r w:rsidRPr="00DA1E75">
          <w:rPr>
            <w:rStyle w:val="Hyperlink"/>
            <w:rFonts w:eastAsia="Times New Roman" w:cs="Times New Roman"/>
            <w:noProof/>
            <w:lang w:eastAsia="en-AU"/>
          </w:rPr>
          <w:t>Unemployment Failures</w:t>
        </w:r>
        <w:r>
          <w:rPr>
            <w:noProof/>
            <w:webHidden/>
          </w:rPr>
          <w:tab/>
        </w:r>
        <w:r>
          <w:rPr>
            <w:noProof/>
            <w:webHidden/>
          </w:rPr>
          <w:fldChar w:fldCharType="begin"/>
        </w:r>
        <w:r>
          <w:rPr>
            <w:noProof/>
            <w:webHidden/>
          </w:rPr>
          <w:instrText xml:space="preserve"> PAGEREF _Toc177576655 \h </w:instrText>
        </w:r>
        <w:r>
          <w:rPr>
            <w:noProof/>
            <w:webHidden/>
          </w:rPr>
        </w:r>
        <w:r>
          <w:rPr>
            <w:noProof/>
            <w:webHidden/>
          </w:rPr>
          <w:fldChar w:fldCharType="separate"/>
        </w:r>
        <w:r w:rsidR="00137281">
          <w:rPr>
            <w:noProof/>
            <w:webHidden/>
          </w:rPr>
          <w:t>11</w:t>
        </w:r>
        <w:r>
          <w:rPr>
            <w:noProof/>
            <w:webHidden/>
          </w:rPr>
          <w:fldChar w:fldCharType="end"/>
        </w:r>
      </w:hyperlink>
    </w:p>
    <w:p w14:paraId="2D1B1514" w14:textId="24F4FEA0"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56" w:history="1">
        <w:r w:rsidRPr="00DA1E75">
          <w:rPr>
            <w:rStyle w:val="Hyperlink"/>
            <w:bCs/>
            <w:noProof/>
            <w:lang w:eastAsia="en-AU"/>
          </w:rPr>
          <w:t>Identifying an apparent Unemployment Failure</w:t>
        </w:r>
        <w:r>
          <w:rPr>
            <w:noProof/>
            <w:webHidden/>
          </w:rPr>
          <w:tab/>
        </w:r>
        <w:r>
          <w:rPr>
            <w:noProof/>
            <w:webHidden/>
          </w:rPr>
          <w:fldChar w:fldCharType="begin"/>
        </w:r>
        <w:r>
          <w:rPr>
            <w:noProof/>
            <w:webHidden/>
          </w:rPr>
          <w:instrText xml:space="preserve"> PAGEREF _Toc177576656 \h </w:instrText>
        </w:r>
        <w:r>
          <w:rPr>
            <w:noProof/>
            <w:webHidden/>
          </w:rPr>
        </w:r>
        <w:r>
          <w:rPr>
            <w:noProof/>
            <w:webHidden/>
          </w:rPr>
          <w:fldChar w:fldCharType="separate"/>
        </w:r>
        <w:r w:rsidR="00137281">
          <w:rPr>
            <w:noProof/>
            <w:webHidden/>
          </w:rPr>
          <w:t>11</w:t>
        </w:r>
        <w:r>
          <w:rPr>
            <w:noProof/>
            <w:webHidden/>
          </w:rPr>
          <w:fldChar w:fldCharType="end"/>
        </w:r>
      </w:hyperlink>
    </w:p>
    <w:p w14:paraId="0304632E" w14:textId="52D4A0C6"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57" w:history="1">
        <w:r w:rsidRPr="00DA1E75">
          <w:rPr>
            <w:rStyle w:val="Hyperlink"/>
            <w:bCs/>
            <w:noProof/>
            <w:lang w:eastAsia="en-AU"/>
          </w:rPr>
          <w:t>Reporting an apparent Unemployment Failure</w:t>
        </w:r>
        <w:r>
          <w:rPr>
            <w:noProof/>
            <w:webHidden/>
          </w:rPr>
          <w:tab/>
        </w:r>
        <w:r>
          <w:rPr>
            <w:noProof/>
            <w:webHidden/>
          </w:rPr>
          <w:fldChar w:fldCharType="begin"/>
        </w:r>
        <w:r>
          <w:rPr>
            <w:noProof/>
            <w:webHidden/>
          </w:rPr>
          <w:instrText xml:space="preserve"> PAGEREF _Toc177576657 \h </w:instrText>
        </w:r>
        <w:r>
          <w:rPr>
            <w:noProof/>
            <w:webHidden/>
          </w:rPr>
        </w:r>
        <w:r>
          <w:rPr>
            <w:noProof/>
            <w:webHidden/>
          </w:rPr>
          <w:fldChar w:fldCharType="separate"/>
        </w:r>
        <w:r w:rsidR="00137281">
          <w:rPr>
            <w:noProof/>
            <w:webHidden/>
          </w:rPr>
          <w:t>12</w:t>
        </w:r>
        <w:r>
          <w:rPr>
            <w:noProof/>
            <w:webHidden/>
          </w:rPr>
          <w:fldChar w:fldCharType="end"/>
        </w:r>
      </w:hyperlink>
    </w:p>
    <w:p w14:paraId="5A5D970E" w14:textId="2FB68259" w:rsidR="007E788C" w:rsidRDefault="007E788C">
      <w:pPr>
        <w:pStyle w:val="TOC4"/>
        <w:tabs>
          <w:tab w:val="right" w:leader="dot" w:pos="9016"/>
        </w:tabs>
        <w:rPr>
          <w:rFonts w:eastAsiaTheme="minorEastAsia" w:cstheme="minorBidi"/>
          <w:i w:val="0"/>
          <w:noProof/>
          <w:kern w:val="2"/>
          <w:sz w:val="24"/>
          <w:szCs w:val="24"/>
          <w:lang w:eastAsia="en-AU"/>
          <w14:ligatures w14:val="standardContextual"/>
        </w:rPr>
      </w:pPr>
      <w:hyperlink w:anchor="_Toc177576658" w:history="1">
        <w:r w:rsidRPr="00DA1E75">
          <w:rPr>
            <w:rStyle w:val="Hyperlink"/>
            <w:noProof/>
          </w:rPr>
          <w:t>Contact attempt is successful on the same Business Day</w:t>
        </w:r>
        <w:r>
          <w:rPr>
            <w:noProof/>
            <w:webHidden/>
          </w:rPr>
          <w:tab/>
        </w:r>
        <w:r>
          <w:rPr>
            <w:noProof/>
            <w:webHidden/>
          </w:rPr>
          <w:fldChar w:fldCharType="begin"/>
        </w:r>
        <w:r>
          <w:rPr>
            <w:noProof/>
            <w:webHidden/>
          </w:rPr>
          <w:instrText xml:space="preserve"> PAGEREF _Toc177576658 \h </w:instrText>
        </w:r>
        <w:r>
          <w:rPr>
            <w:noProof/>
            <w:webHidden/>
          </w:rPr>
        </w:r>
        <w:r>
          <w:rPr>
            <w:noProof/>
            <w:webHidden/>
          </w:rPr>
          <w:fldChar w:fldCharType="separate"/>
        </w:r>
        <w:r w:rsidR="00137281">
          <w:rPr>
            <w:noProof/>
            <w:webHidden/>
          </w:rPr>
          <w:t>12</w:t>
        </w:r>
        <w:r>
          <w:rPr>
            <w:noProof/>
            <w:webHidden/>
          </w:rPr>
          <w:fldChar w:fldCharType="end"/>
        </w:r>
      </w:hyperlink>
    </w:p>
    <w:p w14:paraId="5378C888" w14:textId="06312BDD" w:rsidR="007E788C" w:rsidRDefault="007E788C">
      <w:pPr>
        <w:pStyle w:val="TOC4"/>
        <w:tabs>
          <w:tab w:val="right" w:leader="dot" w:pos="9016"/>
        </w:tabs>
        <w:rPr>
          <w:rFonts w:eastAsiaTheme="minorEastAsia" w:cstheme="minorBidi"/>
          <w:i w:val="0"/>
          <w:noProof/>
          <w:kern w:val="2"/>
          <w:sz w:val="24"/>
          <w:szCs w:val="24"/>
          <w:lang w:eastAsia="en-AU"/>
          <w14:ligatures w14:val="standardContextual"/>
        </w:rPr>
      </w:pPr>
      <w:hyperlink w:anchor="_Toc177576659" w:history="1">
        <w:r w:rsidRPr="00DA1E75">
          <w:rPr>
            <w:rStyle w:val="Hyperlink"/>
            <w:noProof/>
          </w:rPr>
          <w:t>Contact attempt is not successful on the same Business Day</w:t>
        </w:r>
        <w:r>
          <w:rPr>
            <w:noProof/>
            <w:webHidden/>
          </w:rPr>
          <w:tab/>
        </w:r>
        <w:r>
          <w:rPr>
            <w:noProof/>
            <w:webHidden/>
          </w:rPr>
          <w:fldChar w:fldCharType="begin"/>
        </w:r>
        <w:r>
          <w:rPr>
            <w:noProof/>
            <w:webHidden/>
          </w:rPr>
          <w:instrText xml:space="preserve"> PAGEREF _Toc177576659 \h </w:instrText>
        </w:r>
        <w:r>
          <w:rPr>
            <w:noProof/>
            <w:webHidden/>
          </w:rPr>
        </w:r>
        <w:r>
          <w:rPr>
            <w:noProof/>
            <w:webHidden/>
          </w:rPr>
          <w:fldChar w:fldCharType="separate"/>
        </w:r>
        <w:r w:rsidR="00137281">
          <w:rPr>
            <w:noProof/>
            <w:webHidden/>
          </w:rPr>
          <w:t>13</w:t>
        </w:r>
        <w:r>
          <w:rPr>
            <w:noProof/>
            <w:webHidden/>
          </w:rPr>
          <w:fldChar w:fldCharType="end"/>
        </w:r>
      </w:hyperlink>
    </w:p>
    <w:p w14:paraId="5BB1EF15" w14:textId="04AAABFA" w:rsidR="007E788C" w:rsidRDefault="007E788C">
      <w:pPr>
        <w:pStyle w:val="TOC3"/>
        <w:tabs>
          <w:tab w:val="right" w:leader="dot" w:pos="9016"/>
        </w:tabs>
        <w:rPr>
          <w:rFonts w:eastAsiaTheme="minorEastAsia" w:cstheme="minorBidi"/>
          <w:noProof/>
          <w:kern w:val="2"/>
          <w:sz w:val="24"/>
          <w:szCs w:val="24"/>
          <w:lang w:eastAsia="en-AU"/>
          <w14:ligatures w14:val="standardContextual"/>
        </w:rPr>
      </w:pPr>
      <w:hyperlink w:anchor="_Toc177576660" w:history="1">
        <w:r w:rsidRPr="00DA1E75">
          <w:rPr>
            <w:rStyle w:val="Hyperlink"/>
            <w:bCs/>
            <w:noProof/>
            <w:lang w:eastAsia="en-AU"/>
          </w:rPr>
          <w:t>Summary of required Documentary Evidence</w:t>
        </w:r>
        <w:r>
          <w:rPr>
            <w:noProof/>
            <w:webHidden/>
          </w:rPr>
          <w:tab/>
        </w:r>
        <w:r>
          <w:rPr>
            <w:noProof/>
            <w:webHidden/>
          </w:rPr>
          <w:fldChar w:fldCharType="begin"/>
        </w:r>
        <w:r>
          <w:rPr>
            <w:noProof/>
            <w:webHidden/>
          </w:rPr>
          <w:instrText xml:space="preserve"> PAGEREF _Toc177576660 \h </w:instrText>
        </w:r>
        <w:r>
          <w:rPr>
            <w:noProof/>
            <w:webHidden/>
          </w:rPr>
        </w:r>
        <w:r>
          <w:rPr>
            <w:noProof/>
            <w:webHidden/>
          </w:rPr>
          <w:fldChar w:fldCharType="separate"/>
        </w:r>
        <w:r w:rsidR="00137281">
          <w:rPr>
            <w:noProof/>
            <w:webHidden/>
          </w:rPr>
          <w:t>15</w:t>
        </w:r>
        <w:r>
          <w:rPr>
            <w:noProof/>
            <w:webHidden/>
          </w:rPr>
          <w:fldChar w:fldCharType="end"/>
        </w:r>
      </w:hyperlink>
    </w:p>
    <w:p w14:paraId="542DE520" w14:textId="2ADE7C09" w:rsidR="007E788C" w:rsidRDefault="007E788C">
      <w:pPr>
        <w:pStyle w:val="TOC2"/>
        <w:tabs>
          <w:tab w:val="right" w:leader="dot" w:pos="9016"/>
        </w:tabs>
        <w:rPr>
          <w:rFonts w:eastAsiaTheme="minorEastAsia" w:cstheme="minorBidi"/>
          <w:b w:val="0"/>
          <w:iCs w:val="0"/>
          <w:noProof/>
          <w:kern w:val="2"/>
          <w:sz w:val="24"/>
          <w:szCs w:val="24"/>
          <w:lang w:eastAsia="en-AU"/>
          <w14:ligatures w14:val="standardContextual"/>
        </w:rPr>
      </w:pPr>
      <w:hyperlink w:anchor="_Toc177576661" w:history="1">
        <w:r w:rsidRPr="00DA1E75">
          <w:rPr>
            <w:rStyle w:val="Hyperlink"/>
            <w:rFonts w:eastAsia="Times New Roman" w:cs="Times New Roman"/>
            <w:noProof/>
            <w:lang w:eastAsia="en-AU"/>
          </w:rPr>
          <w:t>Attachment A - Work Refusal Failure reason options</w:t>
        </w:r>
        <w:r>
          <w:rPr>
            <w:noProof/>
            <w:webHidden/>
          </w:rPr>
          <w:tab/>
        </w:r>
        <w:r>
          <w:rPr>
            <w:noProof/>
            <w:webHidden/>
          </w:rPr>
          <w:fldChar w:fldCharType="begin"/>
        </w:r>
        <w:r>
          <w:rPr>
            <w:noProof/>
            <w:webHidden/>
          </w:rPr>
          <w:instrText xml:space="preserve"> PAGEREF _Toc177576661 \h </w:instrText>
        </w:r>
        <w:r>
          <w:rPr>
            <w:noProof/>
            <w:webHidden/>
          </w:rPr>
        </w:r>
        <w:r>
          <w:rPr>
            <w:noProof/>
            <w:webHidden/>
          </w:rPr>
          <w:fldChar w:fldCharType="separate"/>
        </w:r>
        <w:r w:rsidR="00137281">
          <w:rPr>
            <w:noProof/>
            <w:webHidden/>
          </w:rPr>
          <w:t>17</w:t>
        </w:r>
        <w:r>
          <w:rPr>
            <w:noProof/>
            <w:webHidden/>
          </w:rPr>
          <w:fldChar w:fldCharType="end"/>
        </w:r>
      </w:hyperlink>
    </w:p>
    <w:p w14:paraId="7FBBD70F" w14:textId="792C4529" w:rsidR="007E788C" w:rsidRDefault="007E788C">
      <w:pPr>
        <w:pStyle w:val="TOC2"/>
        <w:tabs>
          <w:tab w:val="right" w:leader="dot" w:pos="9016"/>
        </w:tabs>
        <w:rPr>
          <w:rFonts w:eastAsiaTheme="minorEastAsia" w:cstheme="minorBidi"/>
          <w:b w:val="0"/>
          <w:iCs w:val="0"/>
          <w:noProof/>
          <w:kern w:val="2"/>
          <w:sz w:val="24"/>
          <w:szCs w:val="24"/>
          <w:lang w:eastAsia="en-AU"/>
          <w14:ligatures w14:val="standardContextual"/>
        </w:rPr>
      </w:pPr>
      <w:hyperlink w:anchor="_Toc177576662" w:history="1">
        <w:r w:rsidRPr="00DA1E75">
          <w:rPr>
            <w:rStyle w:val="Hyperlink"/>
            <w:rFonts w:eastAsia="Times New Roman" w:cs="Times New Roman"/>
            <w:noProof/>
            <w:lang w:eastAsia="en-AU"/>
          </w:rPr>
          <w:t>Attachment B—Unemployment Failure reason options</w:t>
        </w:r>
        <w:r>
          <w:rPr>
            <w:noProof/>
            <w:webHidden/>
          </w:rPr>
          <w:tab/>
        </w:r>
        <w:r>
          <w:rPr>
            <w:noProof/>
            <w:webHidden/>
          </w:rPr>
          <w:fldChar w:fldCharType="begin"/>
        </w:r>
        <w:r>
          <w:rPr>
            <w:noProof/>
            <w:webHidden/>
          </w:rPr>
          <w:instrText xml:space="preserve"> PAGEREF _Toc177576662 \h </w:instrText>
        </w:r>
        <w:r>
          <w:rPr>
            <w:noProof/>
            <w:webHidden/>
          </w:rPr>
        </w:r>
        <w:r>
          <w:rPr>
            <w:noProof/>
            <w:webHidden/>
          </w:rPr>
          <w:fldChar w:fldCharType="separate"/>
        </w:r>
        <w:r w:rsidR="00137281">
          <w:rPr>
            <w:noProof/>
            <w:webHidden/>
          </w:rPr>
          <w:t>19</w:t>
        </w:r>
        <w:r>
          <w:rPr>
            <w:noProof/>
            <w:webHidden/>
          </w:rPr>
          <w:fldChar w:fldCharType="end"/>
        </w:r>
      </w:hyperlink>
    </w:p>
    <w:p w14:paraId="41DB7AC7" w14:textId="643663DE" w:rsidR="00801507" w:rsidRDefault="006E01E7">
      <w:pPr>
        <w:rPr>
          <w:rFonts w:asciiTheme="majorHAnsi" w:eastAsiaTheme="majorEastAsia" w:hAnsiTheme="majorHAnsi" w:cstheme="majorBidi"/>
          <w:b/>
          <w:color w:val="767171" w:themeColor="background2" w:themeShade="80"/>
          <w:spacing w:val="-10"/>
          <w:kern w:val="28"/>
          <w:sz w:val="32"/>
          <w:szCs w:val="32"/>
        </w:rPr>
      </w:pPr>
      <w:r>
        <w:rPr>
          <w:rFonts w:cstheme="minorHAnsi"/>
          <w:iCs/>
          <w:color w:val="767171" w:themeColor="background2" w:themeShade="80"/>
          <w:sz w:val="32"/>
          <w:szCs w:val="32"/>
        </w:rPr>
        <w:fldChar w:fldCharType="end"/>
      </w:r>
      <w:r w:rsidR="00801507">
        <w:rPr>
          <w:b/>
          <w:color w:val="767171" w:themeColor="background2" w:themeShade="80"/>
          <w:sz w:val="32"/>
          <w:szCs w:val="32"/>
        </w:rPr>
        <w:br w:type="page"/>
      </w:r>
    </w:p>
    <w:p w14:paraId="1C01F5F8" w14:textId="77777777" w:rsidR="006F3A90" w:rsidRDefault="006F3A90" w:rsidP="00146FF3">
      <w:pPr>
        <w:pStyle w:val="Title"/>
        <w:rPr>
          <w:b/>
          <w:color w:val="767171" w:themeColor="background2" w:themeShade="80"/>
          <w:sz w:val="32"/>
          <w:szCs w:val="32"/>
        </w:rPr>
      </w:pPr>
    </w:p>
    <w:p w14:paraId="1245DE1F" w14:textId="77777777" w:rsidR="006F3A90" w:rsidRPr="0012026A" w:rsidRDefault="00985FC9" w:rsidP="006F3A90">
      <w:pPr>
        <w:spacing w:before="240" w:after="120"/>
        <w:rPr>
          <w:b/>
          <w:sz w:val="20"/>
          <w:szCs w:val="20"/>
        </w:rPr>
      </w:pPr>
      <w:bookmarkStart w:id="16" w:name="_Toc416831262"/>
      <w:bookmarkStart w:id="17" w:name="_Toc492471062"/>
      <w:bookmarkStart w:id="18" w:name="_Toc492529466"/>
      <w:bookmarkStart w:id="19" w:name="_Toc492532695"/>
      <w:bookmarkStart w:id="20" w:name="_Toc492532797"/>
      <w:bookmarkStart w:id="21" w:name="_Toc492533120"/>
      <w:bookmarkStart w:id="22" w:name="_Toc492533498"/>
      <w:bookmarkStart w:id="23" w:name="_Toc492533676"/>
      <w:bookmarkStart w:id="24" w:name="_Toc492543891"/>
      <w:bookmarkStart w:id="25" w:name="_Toc492544324"/>
      <w:bookmarkStart w:id="26" w:name="_Toc492545436"/>
      <w:bookmarkStart w:id="27" w:name="_Toc492545897"/>
      <w:bookmarkStart w:id="28" w:name="_Toc492546433"/>
      <w:bookmarkStart w:id="29" w:name="_Toc492546484"/>
      <w:bookmarkStart w:id="30" w:name="_Toc492546572"/>
      <w:bookmarkStart w:id="31" w:name="_Toc492546698"/>
      <w:r>
        <w:rPr>
          <w:b/>
          <w:sz w:val="20"/>
          <w:szCs w:val="20"/>
        </w:rPr>
        <w:t>Work Refusal and Unemployment Failures Guideline</w:t>
      </w:r>
      <w:r w:rsidR="006F3A90" w:rsidRPr="0012026A">
        <w:rPr>
          <w:b/>
          <w:sz w:val="20"/>
          <w:szCs w:val="20"/>
        </w:rPr>
        <w:t>s</w:t>
      </w:r>
    </w:p>
    <w:p w14:paraId="1D67197D" w14:textId="77777777" w:rsidR="006F3A90" w:rsidRPr="004910A7" w:rsidRDefault="006F3A90" w:rsidP="006F3A90">
      <w:pPr>
        <w:pStyle w:val="Heading3"/>
        <w:ind w:left="0"/>
        <w:jc w:val="both"/>
      </w:pPr>
      <w:bookmarkStart w:id="32" w:name="_Toc510110439"/>
      <w:bookmarkStart w:id="33" w:name="_Toc514992216"/>
      <w:bookmarkStart w:id="34" w:name="_Toc514998104"/>
      <w:bookmarkStart w:id="35" w:name="_Toc177576648"/>
      <w:r w:rsidRPr="004910A7">
        <w:t>Document change history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Caption w:val="Document change history"/>
        <w:tblDescription w:val="This is the document change history table."/>
      </w:tblPr>
      <w:tblGrid>
        <w:gridCol w:w="966"/>
        <w:gridCol w:w="1014"/>
        <w:gridCol w:w="992"/>
        <w:gridCol w:w="6044"/>
      </w:tblGrid>
      <w:tr w:rsidR="006F3A90" w14:paraId="50DCC372" w14:textId="77777777" w:rsidTr="007178E1">
        <w:trPr>
          <w:tblHeader/>
        </w:trPr>
        <w:tc>
          <w:tcPr>
            <w:tcW w:w="966" w:type="dxa"/>
          </w:tcPr>
          <w:p w14:paraId="17499C2A" w14:textId="77777777" w:rsidR="006F3A90" w:rsidRPr="00D10699" w:rsidRDefault="006F3A90" w:rsidP="006F3A90">
            <w:pPr>
              <w:spacing w:after="240"/>
              <w:rPr>
                <w:b/>
              </w:rPr>
            </w:pPr>
            <w:r w:rsidRPr="00D10699">
              <w:rPr>
                <w:b/>
              </w:rPr>
              <w:t>Version</w:t>
            </w:r>
          </w:p>
        </w:tc>
        <w:tc>
          <w:tcPr>
            <w:tcW w:w="1014" w:type="dxa"/>
          </w:tcPr>
          <w:p w14:paraId="7DF8C33B" w14:textId="77777777" w:rsidR="006F3A90" w:rsidRPr="00D10699" w:rsidRDefault="006F3A90" w:rsidP="006F3A90">
            <w:pPr>
              <w:spacing w:after="240"/>
              <w:rPr>
                <w:b/>
              </w:rPr>
            </w:pPr>
            <w:r w:rsidRPr="00D10699">
              <w:rPr>
                <w:b/>
              </w:rPr>
              <w:t>Effective Date</w:t>
            </w:r>
          </w:p>
        </w:tc>
        <w:tc>
          <w:tcPr>
            <w:tcW w:w="992" w:type="dxa"/>
          </w:tcPr>
          <w:p w14:paraId="4B66B5AE" w14:textId="77777777" w:rsidR="006F3A90" w:rsidRPr="00D10699" w:rsidRDefault="006F3A90" w:rsidP="006F3A90">
            <w:pPr>
              <w:spacing w:after="240"/>
              <w:rPr>
                <w:b/>
              </w:rPr>
            </w:pPr>
            <w:r w:rsidRPr="00D10699">
              <w:rPr>
                <w:b/>
              </w:rPr>
              <w:t>End Date</w:t>
            </w:r>
          </w:p>
        </w:tc>
        <w:tc>
          <w:tcPr>
            <w:tcW w:w="6044" w:type="dxa"/>
          </w:tcPr>
          <w:p w14:paraId="3E54A8CE" w14:textId="77777777" w:rsidR="006F3A90" w:rsidRPr="00D10699" w:rsidRDefault="006F3A90" w:rsidP="006F3A90">
            <w:pPr>
              <w:spacing w:after="240"/>
              <w:rPr>
                <w:b/>
              </w:rPr>
            </w:pPr>
            <w:r w:rsidRPr="00D10699">
              <w:rPr>
                <w:b/>
              </w:rPr>
              <w:t>Change and location</w:t>
            </w:r>
          </w:p>
        </w:tc>
      </w:tr>
      <w:tr w:rsidR="00ED6074" w14:paraId="38F60B33" w14:textId="77777777" w:rsidTr="007178E1">
        <w:trPr>
          <w:tblHeader/>
        </w:trPr>
        <w:tc>
          <w:tcPr>
            <w:tcW w:w="966" w:type="dxa"/>
          </w:tcPr>
          <w:p w14:paraId="5E340E5D" w14:textId="489024BC" w:rsidR="00ED6074" w:rsidRPr="00D10699" w:rsidRDefault="00ED6074" w:rsidP="00ED6074">
            <w:pPr>
              <w:spacing w:after="240"/>
              <w:rPr>
                <w:b/>
              </w:rPr>
            </w:pPr>
            <w:r>
              <w:rPr>
                <w:sz w:val="20"/>
                <w:szCs w:val="20"/>
              </w:rPr>
              <w:t>1.5</w:t>
            </w:r>
          </w:p>
        </w:tc>
        <w:tc>
          <w:tcPr>
            <w:tcW w:w="1014" w:type="dxa"/>
          </w:tcPr>
          <w:p w14:paraId="0E17F1E9" w14:textId="5CDE1590" w:rsidR="00ED6074" w:rsidRPr="00D10699" w:rsidRDefault="00ED6074" w:rsidP="00ED6074">
            <w:pPr>
              <w:spacing w:after="240"/>
              <w:rPr>
                <w:b/>
              </w:rPr>
            </w:pPr>
            <w:r>
              <w:rPr>
                <w:sz w:val="20"/>
                <w:szCs w:val="20"/>
              </w:rPr>
              <w:t>1 Oct 2024</w:t>
            </w:r>
          </w:p>
        </w:tc>
        <w:tc>
          <w:tcPr>
            <w:tcW w:w="992" w:type="dxa"/>
          </w:tcPr>
          <w:p w14:paraId="47A82F3E" w14:textId="77777777" w:rsidR="00ED6074" w:rsidRPr="00D10699" w:rsidRDefault="00ED6074" w:rsidP="00ED6074">
            <w:pPr>
              <w:spacing w:after="240"/>
              <w:rPr>
                <w:b/>
              </w:rPr>
            </w:pPr>
          </w:p>
        </w:tc>
        <w:tc>
          <w:tcPr>
            <w:tcW w:w="6044" w:type="dxa"/>
          </w:tcPr>
          <w:p w14:paraId="1A292ED3" w14:textId="4EEE2A46" w:rsidR="00ED6074" w:rsidRPr="00D10699" w:rsidRDefault="00ED6074" w:rsidP="00ED6074">
            <w:pPr>
              <w:spacing w:after="240"/>
              <w:rPr>
                <w:b/>
              </w:rPr>
            </w:pPr>
            <w:r>
              <w:rPr>
                <w:sz w:val="20"/>
                <w:szCs w:val="20"/>
              </w:rPr>
              <w:t>Added advice about the extension of Resolution Time to 5 business days.</w:t>
            </w:r>
          </w:p>
        </w:tc>
      </w:tr>
      <w:tr w:rsidR="00ED6074" w14:paraId="2E10A685" w14:textId="77777777" w:rsidTr="007178E1">
        <w:trPr>
          <w:tblHeader/>
        </w:trPr>
        <w:tc>
          <w:tcPr>
            <w:tcW w:w="966" w:type="dxa"/>
          </w:tcPr>
          <w:p w14:paraId="03584562" w14:textId="05257D58" w:rsidR="00ED6074" w:rsidRPr="00D10699" w:rsidRDefault="00ED6074" w:rsidP="00ED6074">
            <w:pPr>
              <w:spacing w:after="240"/>
              <w:rPr>
                <w:b/>
              </w:rPr>
            </w:pPr>
            <w:r w:rsidRPr="007178E1">
              <w:rPr>
                <w:sz w:val="20"/>
                <w:szCs w:val="20"/>
              </w:rPr>
              <w:t>1.4</w:t>
            </w:r>
          </w:p>
        </w:tc>
        <w:tc>
          <w:tcPr>
            <w:tcW w:w="1014" w:type="dxa"/>
          </w:tcPr>
          <w:p w14:paraId="6C6A8250" w14:textId="0A4648DA" w:rsidR="00ED6074" w:rsidRPr="00D10699" w:rsidRDefault="00ED6074" w:rsidP="00ED6074">
            <w:pPr>
              <w:spacing w:after="240"/>
              <w:rPr>
                <w:b/>
              </w:rPr>
            </w:pPr>
            <w:r>
              <w:rPr>
                <w:sz w:val="20"/>
                <w:szCs w:val="20"/>
              </w:rPr>
              <w:t>8 Aug</w:t>
            </w:r>
            <w:r w:rsidRPr="007178E1">
              <w:rPr>
                <w:sz w:val="20"/>
                <w:szCs w:val="20"/>
              </w:rPr>
              <w:t xml:space="preserve"> 22</w:t>
            </w:r>
          </w:p>
        </w:tc>
        <w:tc>
          <w:tcPr>
            <w:tcW w:w="992" w:type="dxa"/>
          </w:tcPr>
          <w:p w14:paraId="4D161C5D" w14:textId="4565894B" w:rsidR="00ED6074" w:rsidRPr="00D10699" w:rsidRDefault="00ED6074" w:rsidP="00ED6074">
            <w:pPr>
              <w:spacing w:after="240"/>
              <w:rPr>
                <w:b/>
              </w:rPr>
            </w:pPr>
            <w:r>
              <w:rPr>
                <w:sz w:val="20"/>
                <w:szCs w:val="20"/>
              </w:rPr>
              <w:t>30 Sep 2024</w:t>
            </w:r>
          </w:p>
        </w:tc>
        <w:tc>
          <w:tcPr>
            <w:tcW w:w="6044" w:type="dxa"/>
          </w:tcPr>
          <w:p w14:paraId="6350E1A1" w14:textId="77777777" w:rsidR="00ED6074" w:rsidRDefault="00ED6074" w:rsidP="00ED6074">
            <w:pPr>
              <w:spacing w:before="60" w:after="60"/>
              <w:rPr>
                <w:sz w:val="20"/>
                <w:szCs w:val="20"/>
              </w:rPr>
            </w:pPr>
            <w:r>
              <w:rPr>
                <w:sz w:val="20"/>
                <w:szCs w:val="20"/>
              </w:rPr>
              <w:t>Added advice about what to do where a Provider considers a Participant is non-compliant, but the TCF cannot be applied.</w:t>
            </w:r>
          </w:p>
          <w:p w14:paraId="30ECC018" w14:textId="77777777" w:rsidR="00ED6074" w:rsidRDefault="00ED6074" w:rsidP="00ED6074">
            <w:pPr>
              <w:spacing w:before="60" w:after="60"/>
              <w:rPr>
                <w:sz w:val="20"/>
                <w:szCs w:val="20"/>
              </w:rPr>
            </w:pPr>
            <w:r>
              <w:rPr>
                <w:sz w:val="20"/>
                <w:szCs w:val="20"/>
              </w:rPr>
              <w:t>Included m</w:t>
            </w:r>
            <w:r w:rsidRPr="00B659B6">
              <w:rPr>
                <w:sz w:val="20"/>
                <w:szCs w:val="20"/>
              </w:rPr>
              <w:t>ore detailed distinction in treatment of particip</w:t>
            </w:r>
            <w:r>
              <w:rPr>
                <w:sz w:val="20"/>
                <w:szCs w:val="20"/>
              </w:rPr>
              <w:t>ants in different zones of the TCF.</w:t>
            </w:r>
          </w:p>
          <w:p w14:paraId="644B0BCD" w14:textId="0592340F" w:rsidR="00ED6074" w:rsidRPr="00D10699" w:rsidRDefault="00ED6074" w:rsidP="00ED6074">
            <w:pPr>
              <w:spacing w:after="240"/>
              <w:rPr>
                <w:b/>
              </w:rPr>
            </w:pPr>
            <w:r w:rsidRPr="007178E1">
              <w:rPr>
                <w:sz w:val="20"/>
                <w:szCs w:val="20"/>
              </w:rPr>
              <w:t>Remove</w:t>
            </w:r>
            <w:r>
              <w:rPr>
                <w:sz w:val="20"/>
                <w:szCs w:val="20"/>
              </w:rPr>
              <w:t>d</w:t>
            </w:r>
            <w:r w:rsidRPr="007178E1">
              <w:rPr>
                <w:sz w:val="20"/>
                <w:szCs w:val="20"/>
              </w:rPr>
              <w:t xml:space="preserve"> penalties for </w:t>
            </w:r>
            <w:r>
              <w:rPr>
                <w:sz w:val="20"/>
                <w:szCs w:val="20"/>
              </w:rPr>
              <w:t>participants</w:t>
            </w:r>
            <w:r w:rsidRPr="007178E1">
              <w:rPr>
                <w:sz w:val="20"/>
                <w:szCs w:val="20"/>
              </w:rPr>
              <w:t xml:space="preserve"> who refuse or voluntarily leave work of more than 15 hours per week, if they are the principal carer of at least one child or have a partial capacity to work</w:t>
            </w:r>
            <w:r>
              <w:rPr>
                <w:sz w:val="20"/>
                <w:szCs w:val="20"/>
              </w:rPr>
              <w:t>.</w:t>
            </w:r>
          </w:p>
        </w:tc>
      </w:tr>
      <w:tr w:rsidR="00ED6074" w14:paraId="6FF68529" w14:textId="77777777" w:rsidTr="007178E1">
        <w:trPr>
          <w:tblHeader/>
        </w:trPr>
        <w:tc>
          <w:tcPr>
            <w:tcW w:w="966" w:type="dxa"/>
          </w:tcPr>
          <w:p w14:paraId="19164925" w14:textId="0E28718F" w:rsidR="00ED6074" w:rsidRPr="00D10699" w:rsidRDefault="00ED6074" w:rsidP="00ED6074">
            <w:pPr>
              <w:spacing w:after="240"/>
              <w:rPr>
                <w:b/>
              </w:rPr>
            </w:pPr>
            <w:r w:rsidRPr="007178E1">
              <w:rPr>
                <w:sz w:val="20"/>
                <w:szCs w:val="20"/>
              </w:rPr>
              <w:t>1.3</w:t>
            </w:r>
          </w:p>
        </w:tc>
        <w:tc>
          <w:tcPr>
            <w:tcW w:w="1014" w:type="dxa"/>
          </w:tcPr>
          <w:p w14:paraId="0700C32C" w14:textId="4099438E" w:rsidR="00ED6074" w:rsidRPr="00D10699" w:rsidRDefault="00ED6074" w:rsidP="00ED6074">
            <w:pPr>
              <w:spacing w:after="240"/>
              <w:rPr>
                <w:b/>
              </w:rPr>
            </w:pPr>
            <w:r w:rsidRPr="007178E1">
              <w:rPr>
                <w:sz w:val="20"/>
                <w:szCs w:val="20"/>
              </w:rPr>
              <w:t>9 Mar 20</w:t>
            </w:r>
          </w:p>
        </w:tc>
        <w:tc>
          <w:tcPr>
            <w:tcW w:w="992" w:type="dxa"/>
          </w:tcPr>
          <w:p w14:paraId="434C2156" w14:textId="52C178CC" w:rsidR="00ED6074" w:rsidRPr="00D10699" w:rsidRDefault="00ED6074" w:rsidP="00ED6074">
            <w:pPr>
              <w:spacing w:after="240"/>
              <w:rPr>
                <w:b/>
              </w:rPr>
            </w:pPr>
            <w:r w:rsidRPr="007178E1">
              <w:rPr>
                <w:sz w:val="20"/>
                <w:szCs w:val="20"/>
              </w:rPr>
              <w:t>30 Jun 22</w:t>
            </w:r>
          </w:p>
        </w:tc>
        <w:tc>
          <w:tcPr>
            <w:tcW w:w="6044" w:type="dxa"/>
          </w:tcPr>
          <w:p w14:paraId="63441E9F" w14:textId="77777777" w:rsidR="00ED6074" w:rsidRPr="007178E1" w:rsidRDefault="00ED6074" w:rsidP="00ED6074">
            <w:pPr>
              <w:spacing w:before="60" w:after="60"/>
              <w:rPr>
                <w:sz w:val="20"/>
                <w:szCs w:val="20"/>
              </w:rPr>
            </w:pPr>
            <w:r w:rsidRPr="007178E1">
              <w:rPr>
                <w:sz w:val="20"/>
                <w:szCs w:val="20"/>
              </w:rPr>
              <w:t xml:space="preserve">Restructured and rewritten for clarity, accuracy, consistency with the DES Grant Agreement and social security law, and comprehensiveness. </w:t>
            </w:r>
          </w:p>
          <w:p w14:paraId="5AA7BC7A" w14:textId="4757A4E9" w:rsidR="00ED6074" w:rsidRPr="00D10699" w:rsidRDefault="00ED6074" w:rsidP="00ED6074">
            <w:pPr>
              <w:spacing w:after="240"/>
              <w:rPr>
                <w:b/>
              </w:rPr>
            </w:pPr>
            <w:r w:rsidRPr="007178E1">
              <w:rPr>
                <w:sz w:val="20"/>
                <w:szCs w:val="20"/>
              </w:rPr>
              <w:t>References to the ‘Department of Human Services’ have been updated to ‘Services Australia’.</w:t>
            </w:r>
          </w:p>
        </w:tc>
      </w:tr>
      <w:tr w:rsidR="00ED6074" w14:paraId="16014E38" w14:textId="77777777" w:rsidTr="007178E1">
        <w:trPr>
          <w:tblHeader/>
        </w:trPr>
        <w:tc>
          <w:tcPr>
            <w:tcW w:w="966" w:type="dxa"/>
          </w:tcPr>
          <w:p w14:paraId="6BF34E2B" w14:textId="3FF09CB5" w:rsidR="00ED6074" w:rsidRPr="00D10699" w:rsidRDefault="00ED6074" w:rsidP="00ED6074">
            <w:pPr>
              <w:spacing w:after="240"/>
              <w:rPr>
                <w:b/>
              </w:rPr>
            </w:pPr>
            <w:r w:rsidRPr="007178E1">
              <w:rPr>
                <w:sz w:val="20"/>
                <w:szCs w:val="20"/>
              </w:rPr>
              <w:t>1.2</w:t>
            </w:r>
          </w:p>
        </w:tc>
        <w:tc>
          <w:tcPr>
            <w:tcW w:w="1014" w:type="dxa"/>
          </w:tcPr>
          <w:p w14:paraId="700ACB6B" w14:textId="0CB8A5E5" w:rsidR="00ED6074" w:rsidRPr="00D10699" w:rsidRDefault="00ED6074" w:rsidP="00ED6074">
            <w:pPr>
              <w:spacing w:after="240"/>
              <w:rPr>
                <w:b/>
              </w:rPr>
            </w:pPr>
            <w:r w:rsidRPr="007178E1">
              <w:rPr>
                <w:sz w:val="20"/>
                <w:szCs w:val="20"/>
              </w:rPr>
              <w:t>1 Jul 19</w:t>
            </w:r>
          </w:p>
        </w:tc>
        <w:tc>
          <w:tcPr>
            <w:tcW w:w="992" w:type="dxa"/>
          </w:tcPr>
          <w:p w14:paraId="692AB530" w14:textId="22C10960" w:rsidR="00ED6074" w:rsidRPr="00D10699" w:rsidRDefault="00ED6074" w:rsidP="00ED6074">
            <w:pPr>
              <w:spacing w:after="240"/>
              <w:rPr>
                <w:b/>
              </w:rPr>
            </w:pPr>
            <w:r w:rsidRPr="007178E1">
              <w:rPr>
                <w:sz w:val="20"/>
                <w:szCs w:val="20"/>
              </w:rPr>
              <w:t>8 Mar 20</w:t>
            </w:r>
          </w:p>
        </w:tc>
        <w:tc>
          <w:tcPr>
            <w:tcW w:w="6044" w:type="dxa"/>
          </w:tcPr>
          <w:p w14:paraId="629170C7" w14:textId="77777777" w:rsidR="00ED6074" w:rsidRPr="007178E1" w:rsidRDefault="00ED6074" w:rsidP="00ED6074">
            <w:pPr>
              <w:spacing w:before="60" w:after="60"/>
              <w:rPr>
                <w:sz w:val="20"/>
                <w:szCs w:val="20"/>
              </w:rPr>
            </w:pPr>
            <w:r w:rsidRPr="007178E1">
              <w:rPr>
                <w:sz w:val="20"/>
                <w:szCs w:val="20"/>
              </w:rPr>
              <w:t>Minor wording changes</w:t>
            </w:r>
          </w:p>
          <w:p w14:paraId="00A07862" w14:textId="77777777" w:rsidR="00ED6074" w:rsidRPr="007178E1" w:rsidRDefault="00ED6074" w:rsidP="00ED6074">
            <w:pPr>
              <w:spacing w:before="60" w:after="60"/>
              <w:rPr>
                <w:sz w:val="20"/>
                <w:szCs w:val="20"/>
              </w:rPr>
            </w:pPr>
            <w:r w:rsidRPr="007178E1">
              <w:rPr>
                <w:sz w:val="20"/>
                <w:szCs w:val="20"/>
              </w:rPr>
              <w:t>Correction that the 10/20 business days for lodgement of a Work Refusal/Unemployment Failure Report is since the incident date, rather than provider becoming aware</w:t>
            </w:r>
          </w:p>
          <w:p w14:paraId="2675F33E" w14:textId="27370545" w:rsidR="00ED6074" w:rsidRPr="00D10699" w:rsidRDefault="00ED6074" w:rsidP="00ED6074">
            <w:pPr>
              <w:spacing w:after="240"/>
              <w:rPr>
                <w:b/>
              </w:rPr>
            </w:pPr>
            <w:r w:rsidRPr="007178E1">
              <w:rPr>
                <w:sz w:val="20"/>
                <w:szCs w:val="20"/>
              </w:rPr>
              <w:t>Correction that valid reasons for Unemployment failures apply to both voluntary acts and misconduct, and close the report rather than sending it to DHS</w:t>
            </w:r>
          </w:p>
        </w:tc>
      </w:tr>
      <w:tr w:rsidR="000164E6" w14:paraId="1B26E5D6" w14:textId="77777777" w:rsidTr="007178E1">
        <w:trPr>
          <w:tblHeader/>
        </w:trPr>
        <w:tc>
          <w:tcPr>
            <w:tcW w:w="966" w:type="dxa"/>
          </w:tcPr>
          <w:p w14:paraId="5EAC717B" w14:textId="1421BC01" w:rsidR="000164E6" w:rsidRPr="00D10699" w:rsidRDefault="000164E6" w:rsidP="000164E6">
            <w:pPr>
              <w:spacing w:after="240"/>
              <w:rPr>
                <w:b/>
              </w:rPr>
            </w:pPr>
            <w:r w:rsidRPr="007178E1">
              <w:rPr>
                <w:sz w:val="20"/>
                <w:szCs w:val="20"/>
              </w:rPr>
              <w:t>1.1</w:t>
            </w:r>
          </w:p>
        </w:tc>
        <w:tc>
          <w:tcPr>
            <w:tcW w:w="1014" w:type="dxa"/>
          </w:tcPr>
          <w:p w14:paraId="188A60D7" w14:textId="6D363426" w:rsidR="000164E6" w:rsidRPr="00D10699" w:rsidRDefault="000164E6" w:rsidP="000164E6">
            <w:pPr>
              <w:spacing w:after="240"/>
              <w:rPr>
                <w:b/>
              </w:rPr>
            </w:pPr>
            <w:r w:rsidRPr="007178E1">
              <w:rPr>
                <w:sz w:val="20"/>
                <w:szCs w:val="20"/>
              </w:rPr>
              <w:t>8 Jan 19</w:t>
            </w:r>
          </w:p>
        </w:tc>
        <w:tc>
          <w:tcPr>
            <w:tcW w:w="992" w:type="dxa"/>
          </w:tcPr>
          <w:p w14:paraId="0FB1D3D4" w14:textId="537B8213" w:rsidR="000164E6" w:rsidRPr="00D10699" w:rsidRDefault="000164E6" w:rsidP="000164E6">
            <w:pPr>
              <w:spacing w:after="240"/>
              <w:rPr>
                <w:b/>
              </w:rPr>
            </w:pPr>
            <w:r w:rsidRPr="007178E1">
              <w:rPr>
                <w:sz w:val="20"/>
                <w:szCs w:val="20"/>
              </w:rPr>
              <w:t>30 Jun 19</w:t>
            </w:r>
          </w:p>
        </w:tc>
        <w:tc>
          <w:tcPr>
            <w:tcW w:w="6044" w:type="dxa"/>
          </w:tcPr>
          <w:p w14:paraId="4439FEE0" w14:textId="77777777" w:rsidR="000164E6" w:rsidRPr="007178E1" w:rsidRDefault="000164E6" w:rsidP="000164E6">
            <w:pPr>
              <w:spacing w:before="60" w:after="60"/>
              <w:rPr>
                <w:sz w:val="20"/>
                <w:szCs w:val="20"/>
              </w:rPr>
            </w:pPr>
            <w:r w:rsidRPr="007178E1">
              <w:rPr>
                <w:sz w:val="20"/>
                <w:szCs w:val="20"/>
              </w:rPr>
              <w:t>Reworked Work Refusal section for better clarity (p6-7)</w:t>
            </w:r>
          </w:p>
          <w:p w14:paraId="34181693" w14:textId="7FF3A765" w:rsidR="000164E6" w:rsidRPr="00D10699" w:rsidRDefault="000164E6" w:rsidP="000164E6">
            <w:pPr>
              <w:spacing w:after="240"/>
              <w:rPr>
                <w:b/>
              </w:rPr>
            </w:pPr>
            <w:r w:rsidRPr="007178E1">
              <w:rPr>
                <w:sz w:val="20"/>
                <w:szCs w:val="20"/>
              </w:rPr>
              <w:t>Revised timeframe for contacting a Participant after an Unemployment failure to 10 days (p7)</w:t>
            </w:r>
          </w:p>
        </w:tc>
      </w:tr>
      <w:tr w:rsidR="006F3A90" w:rsidRPr="00587D63" w14:paraId="30970CB4" w14:textId="77777777" w:rsidTr="007178E1">
        <w:trPr>
          <w:trHeight w:val="209"/>
        </w:trPr>
        <w:tc>
          <w:tcPr>
            <w:tcW w:w="966" w:type="dxa"/>
          </w:tcPr>
          <w:p w14:paraId="4042D9BC" w14:textId="77777777" w:rsidR="006F3A90" w:rsidRPr="007178E1" w:rsidDel="00E41073" w:rsidRDefault="006F3A90" w:rsidP="006B38BC">
            <w:pPr>
              <w:spacing w:before="60" w:after="60"/>
              <w:rPr>
                <w:sz w:val="20"/>
                <w:szCs w:val="20"/>
              </w:rPr>
            </w:pPr>
            <w:r w:rsidRPr="007178E1">
              <w:rPr>
                <w:sz w:val="20"/>
                <w:szCs w:val="20"/>
              </w:rPr>
              <w:t>1.0</w:t>
            </w:r>
          </w:p>
        </w:tc>
        <w:tc>
          <w:tcPr>
            <w:tcW w:w="1014" w:type="dxa"/>
          </w:tcPr>
          <w:p w14:paraId="5FA7DBA9" w14:textId="54A698E1" w:rsidR="006F3A90" w:rsidRPr="007178E1" w:rsidDel="00E41073" w:rsidRDefault="006F3A90" w:rsidP="006E01E7">
            <w:pPr>
              <w:spacing w:before="60" w:after="60"/>
              <w:rPr>
                <w:sz w:val="20"/>
                <w:szCs w:val="20"/>
              </w:rPr>
            </w:pPr>
            <w:r w:rsidRPr="007178E1">
              <w:rPr>
                <w:sz w:val="20"/>
                <w:szCs w:val="20"/>
              </w:rPr>
              <w:t>1 Jul 18</w:t>
            </w:r>
          </w:p>
        </w:tc>
        <w:tc>
          <w:tcPr>
            <w:tcW w:w="992" w:type="dxa"/>
          </w:tcPr>
          <w:p w14:paraId="45A2BE7B" w14:textId="1643E11C" w:rsidR="006F3A90" w:rsidRPr="007178E1" w:rsidRDefault="000B4AE6" w:rsidP="006E01E7">
            <w:pPr>
              <w:spacing w:before="60" w:after="60"/>
              <w:rPr>
                <w:sz w:val="20"/>
                <w:szCs w:val="20"/>
              </w:rPr>
            </w:pPr>
            <w:r w:rsidRPr="007178E1">
              <w:rPr>
                <w:sz w:val="20"/>
                <w:szCs w:val="20"/>
              </w:rPr>
              <w:t>7 Jan 19</w:t>
            </w:r>
          </w:p>
        </w:tc>
        <w:tc>
          <w:tcPr>
            <w:tcW w:w="6044" w:type="dxa"/>
          </w:tcPr>
          <w:p w14:paraId="0F725798" w14:textId="77777777" w:rsidR="006F3A90" w:rsidRPr="007178E1" w:rsidDel="00E41073" w:rsidRDefault="006F3A90" w:rsidP="006B38BC">
            <w:pPr>
              <w:spacing w:before="60" w:after="60"/>
              <w:rPr>
                <w:sz w:val="20"/>
                <w:szCs w:val="20"/>
              </w:rPr>
            </w:pPr>
            <w:r w:rsidRPr="007178E1">
              <w:rPr>
                <w:sz w:val="20"/>
                <w:szCs w:val="20"/>
              </w:rPr>
              <w:t>Original version of document</w:t>
            </w:r>
          </w:p>
        </w:tc>
      </w:tr>
    </w:tbl>
    <w:p w14:paraId="1F80A13E" w14:textId="77777777" w:rsidR="00ED454B" w:rsidRDefault="00ED454B" w:rsidP="00ED454B">
      <w:bookmarkStart w:id="36" w:name="_Toc416831263"/>
      <w:bookmarkStart w:id="37" w:name="_Toc492471066"/>
      <w:bookmarkStart w:id="38" w:name="_Toc492529470"/>
      <w:bookmarkStart w:id="39" w:name="_Toc492532699"/>
      <w:bookmarkStart w:id="40" w:name="_Toc492532801"/>
      <w:bookmarkStart w:id="41" w:name="_Toc492533124"/>
      <w:bookmarkStart w:id="42" w:name="_Toc492533502"/>
      <w:bookmarkStart w:id="43" w:name="_Toc492533680"/>
      <w:bookmarkStart w:id="44" w:name="_Toc492543895"/>
      <w:bookmarkStart w:id="45" w:name="_Toc492544328"/>
      <w:bookmarkStart w:id="46" w:name="_Toc492545440"/>
      <w:bookmarkStart w:id="47" w:name="_Toc492545901"/>
      <w:bookmarkStart w:id="48" w:name="_Toc492546437"/>
      <w:bookmarkStart w:id="49" w:name="_Toc492546488"/>
      <w:bookmarkStart w:id="50" w:name="_Toc492546576"/>
      <w:bookmarkStart w:id="51" w:name="_Toc492546702"/>
      <w:bookmarkStart w:id="52" w:name="_Toc510110440"/>
      <w:bookmarkStart w:id="53" w:name="_Toc514992217"/>
      <w:bookmarkStart w:id="54" w:name="_Toc514998105"/>
    </w:p>
    <w:p w14:paraId="4452507E" w14:textId="1D31EDE8" w:rsidR="006F3A90" w:rsidRPr="00ED454B" w:rsidRDefault="006F3A90" w:rsidP="00ED454B">
      <w:pPr>
        <w:pStyle w:val="Heading3"/>
        <w:spacing w:before="0" w:after="240"/>
        <w:ind w:left="0"/>
        <w:rPr>
          <w:bCs/>
          <w:lang w:eastAsia="en-AU"/>
        </w:rPr>
      </w:pPr>
      <w:bookmarkStart w:id="55" w:name="_Toc177576649"/>
      <w:r w:rsidRPr="00ED454B">
        <w:rPr>
          <w:bCs/>
          <w:lang w:eastAsia="en-AU"/>
        </w:rPr>
        <w:t>Backgroun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D454B">
        <w:rPr>
          <w:bCs/>
          <w:lang w:eastAsia="en-AU"/>
        </w:rPr>
        <w:t>d</w:t>
      </w:r>
      <w:bookmarkEnd w:id="52"/>
      <w:bookmarkEnd w:id="53"/>
      <w:bookmarkEnd w:id="54"/>
      <w:bookmarkEnd w:id="55"/>
    </w:p>
    <w:p w14:paraId="09B871FB" w14:textId="4E15231C" w:rsidR="00EC270C" w:rsidRDefault="00EC270C" w:rsidP="00EC270C">
      <w:pPr>
        <w:tabs>
          <w:tab w:val="right" w:pos="1701"/>
        </w:tabs>
        <w:spacing w:after="120"/>
      </w:pPr>
      <w:r>
        <w:t>DES participants with Mutual Obligation Requirements are subject to the Targeted Compliance Framework (TCF).</w:t>
      </w:r>
    </w:p>
    <w:p w14:paraId="0DF6B509" w14:textId="4C4FF5BF" w:rsidR="007A3BDA" w:rsidRDefault="007A3BDA" w:rsidP="003E397F">
      <w:pPr>
        <w:tabs>
          <w:tab w:val="right" w:pos="1701"/>
        </w:tabs>
        <w:spacing w:after="120"/>
      </w:pPr>
      <w:r>
        <w:t>Under the TCF, there are consequences for Participants if they commit a Work Refusal Failure or an Unemployment Failure. A Participant commits a Work Refusal Failure when they refuse or fail to accept an offer of suitable Employment. A Participant commits an Unemployment Failure when they become unemployed either:</w:t>
      </w:r>
    </w:p>
    <w:p w14:paraId="4C8BCFEB" w14:textId="77777777" w:rsidR="007A3BDA" w:rsidRDefault="007A3BDA" w:rsidP="003E397F">
      <w:pPr>
        <w:pStyle w:val="guidelinetext"/>
        <w:numPr>
          <w:ilvl w:val="0"/>
          <w:numId w:val="1"/>
        </w:numPr>
        <w:spacing w:before="60" w:line="240" w:lineRule="auto"/>
        <w:ind w:left="714" w:hanging="357"/>
      </w:pPr>
      <w:r>
        <w:t xml:space="preserve">as a direct or indirect result of a voluntary act (unless </w:t>
      </w:r>
      <w:r w:rsidRPr="00031F8C">
        <w:t xml:space="preserve">Services </w:t>
      </w:r>
      <w:r>
        <w:t>Australia is satisfied that the voluntary act was reasonable); or</w:t>
      </w:r>
    </w:p>
    <w:p w14:paraId="2AB4464F" w14:textId="77777777" w:rsidR="007A3BDA" w:rsidRDefault="007A3BDA" w:rsidP="003E397F">
      <w:pPr>
        <w:pStyle w:val="guidelinetext"/>
        <w:numPr>
          <w:ilvl w:val="0"/>
          <w:numId w:val="1"/>
        </w:numPr>
        <w:spacing w:before="60" w:line="240" w:lineRule="auto"/>
        <w:ind w:left="714" w:hanging="357"/>
      </w:pPr>
      <w:proofErr w:type="gramStart"/>
      <w:r>
        <w:t>as a result of</w:t>
      </w:r>
      <w:proofErr w:type="gramEnd"/>
      <w:r>
        <w:t xml:space="preserve"> their misconduct as an employee.</w:t>
      </w:r>
    </w:p>
    <w:p w14:paraId="60FA19AB" w14:textId="77777777" w:rsidR="007A3BDA" w:rsidRDefault="007A3BDA" w:rsidP="003E397F">
      <w:pPr>
        <w:tabs>
          <w:tab w:val="right" w:pos="1701"/>
        </w:tabs>
        <w:spacing w:after="120"/>
      </w:pPr>
      <w:r>
        <w:t>Broadly speaking, if a Participant commits:</w:t>
      </w:r>
    </w:p>
    <w:p w14:paraId="75B78E35" w14:textId="77777777" w:rsidR="007A3BDA" w:rsidRDefault="007A3BDA" w:rsidP="003E397F">
      <w:pPr>
        <w:pStyle w:val="guidelinetext"/>
        <w:numPr>
          <w:ilvl w:val="0"/>
          <w:numId w:val="1"/>
        </w:numPr>
        <w:spacing w:before="60" w:line="240" w:lineRule="auto"/>
        <w:ind w:left="714" w:hanging="357"/>
      </w:pPr>
      <w:r>
        <w:lastRenderedPageBreak/>
        <w:t>a Work Refusal Failure, their Income Support Payment is suspended and will be cancelled if they do not have a Reasonable Excuse; or</w:t>
      </w:r>
    </w:p>
    <w:p w14:paraId="1DD78656" w14:textId="469A1DB0" w:rsidR="007A3BDA" w:rsidRDefault="007A3BDA" w:rsidP="003E397F">
      <w:pPr>
        <w:pStyle w:val="guidelinetext"/>
        <w:numPr>
          <w:ilvl w:val="0"/>
          <w:numId w:val="1"/>
        </w:numPr>
        <w:spacing w:before="60" w:line="240" w:lineRule="auto"/>
        <w:ind w:left="714" w:hanging="357"/>
      </w:pPr>
      <w:r>
        <w:t>an Unemployment Failure, their Income Sup</w:t>
      </w:r>
      <w:r w:rsidR="00067E0B">
        <w:t>port Payment will be cancelled.</w:t>
      </w:r>
    </w:p>
    <w:p w14:paraId="7049471D" w14:textId="77777777" w:rsidR="007A3BDA" w:rsidRDefault="007A3BDA" w:rsidP="003E397F">
      <w:pPr>
        <w:tabs>
          <w:tab w:val="right" w:pos="1701"/>
        </w:tabs>
        <w:spacing w:after="120"/>
      </w:pPr>
      <w:r>
        <w:t>If a Participant’s Income Support Payment is cancelled, then it cannot be paid for four weeks.</w:t>
      </w:r>
    </w:p>
    <w:p w14:paraId="463A1461" w14:textId="77777777" w:rsidR="007A3BDA" w:rsidRDefault="007A3BDA" w:rsidP="007178E1">
      <w:pPr>
        <w:keepNext/>
        <w:keepLines/>
        <w:tabs>
          <w:tab w:val="right" w:pos="1701"/>
        </w:tabs>
        <w:spacing w:after="120"/>
      </w:pPr>
      <w:r>
        <w:t>These penalties reinforce the principles that:</w:t>
      </w:r>
    </w:p>
    <w:p w14:paraId="3D2C95FF" w14:textId="77777777" w:rsidR="007A3BDA" w:rsidRDefault="007A3BDA" w:rsidP="003E397F">
      <w:pPr>
        <w:pStyle w:val="guidelinetext"/>
        <w:numPr>
          <w:ilvl w:val="0"/>
          <w:numId w:val="1"/>
        </w:numPr>
        <w:spacing w:before="60" w:line="240" w:lineRule="auto"/>
        <w:ind w:left="714" w:hanging="357"/>
      </w:pPr>
      <w:r>
        <w:t>Income Support Payments for Participants should only be available to those who are genuine in their efforts to move into paid work; and</w:t>
      </w:r>
    </w:p>
    <w:p w14:paraId="7283196C" w14:textId="56DC711C" w:rsidR="007A3BDA" w:rsidRDefault="007A3BDA" w:rsidP="003E397F">
      <w:pPr>
        <w:pStyle w:val="guidelinetext"/>
        <w:numPr>
          <w:ilvl w:val="0"/>
          <w:numId w:val="1"/>
        </w:numPr>
        <w:spacing w:before="60" w:line="240" w:lineRule="auto"/>
        <w:ind w:left="714" w:hanging="357"/>
      </w:pPr>
      <w:r>
        <w:t xml:space="preserve">where Participants gain Employment, they must take all reasonable steps to remain in the </w:t>
      </w:r>
      <w:proofErr w:type="gramStart"/>
      <w:r>
        <w:t>workforce,</w:t>
      </w:r>
      <w:r w:rsidR="00840669">
        <w:t xml:space="preserve"> </w:t>
      </w:r>
      <w:r>
        <w:t xml:space="preserve"> and</w:t>
      </w:r>
      <w:proofErr w:type="gramEnd"/>
      <w:r>
        <w:t xml:space="preserve"> reduce their reliance and need for an Income Support</w:t>
      </w:r>
      <w:r w:rsidR="00067E0B">
        <w:t xml:space="preserve"> Payment.</w:t>
      </w:r>
    </w:p>
    <w:p w14:paraId="5ED3EFC6" w14:textId="6F9D7D5F" w:rsidR="00EC270C" w:rsidRDefault="00EC270C" w:rsidP="007178E1">
      <w:pPr>
        <w:keepNext/>
        <w:keepLines/>
        <w:tabs>
          <w:tab w:val="right" w:pos="1701"/>
        </w:tabs>
        <w:spacing w:after="120"/>
      </w:pPr>
      <w:r>
        <w:t xml:space="preserve">These Guidelines outline a Provider’s responsibilities when managing Work Refusal and Unemployment Failures under the TCF. Providers are responsible for ensuring staff understand their responsibilities. </w:t>
      </w:r>
      <w:r w:rsidRPr="00136A00">
        <w:t>Provider staff must successfully complete all mandatory TCF training identified on the Targeted Compliance Framework page, on the Learning Centre, at least every 12 months.</w:t>
      </w:r>
    </w:p>
    <w:p w14:paraId="44A90835" w14:textId="77777777" w:rsidR="00EC270C" w:rsidRDefault="00EC270C" w:rsidP="007178E1">
      <w:pPr>
        <w:pStyle w:val="guidelinetext"/>
        <w:spacing w:before="60" w:line="240" w:lineRule="auto"/>
      </w:pPr>
    </w:p>
    <w:p w14:paraId="7DB72D09" w14:textId="77777777" w:rsidR="006F3A90" w:rsidRPr="006E01E7" w:rsidRDefault="006F3A90" w:rsidP="006E01E7">
      <w:pPr>
        <w:spacing w:before="0" w:after="240"/>
        <w:rPr>
          <w:rFonts w:ascii="Calibri" w:eastAsia="Times New Roman" w:hAnsi="Calibri" w:cs="Times New Roman"/>
          <w:b/>
          <w:sz w:val="24"/>
          <w:szCs w:val="24"/>
          <w:lang w:eastAsia="en-AU"/>
        </w:rPr>
      </w:pPr>
      <w:bookmarkStart w:id="56" w:name="_Toc510110442"/>
      <w:bookmarkStart w:id="57" w:name="_Toc514992218"/>
      <w:bookmarkStart w:id="58" w:name="_Toc514998106"/>
      <w:r w:rsidRPr="006E01E7">
        <w:rPr>
          <w:rFonts w:ascii="Calibri" w:eastAsia="Times New Roman" w:hAnsi="Calibri" w:cs="Times New Roman"/>
          <w:b/>
          <w:sz w:val="24"/>
          <w:szCs w:val="24"/>
          <w:lang w:eastAsia="en-AU"/>
        </w:rPr>
        <w:t>Disability Employment Services Grant Agreement clauses:</w:t>
      </w:r>
      <w:bookmarkEnd w:id="56"/>
      <w:bookmarkEnd w:id="57"/>
      <w:bookmarkEnd w:id="58"/>
    </w:p>
    <w:p w14:paraId="7747B89D" w14:textId="77777777" w:rsidR="00093679" w:rsidRPr="0024551B" w:rsidRDefault="00093679" w:rsidP="00034307">
      <w:pPr>
        <w:spacing w:before="0"/>
      </w:pPr>
      <w:r w:rsidRPr="0024551B">
        <w:t>Section 3C</w:t>
      </w:r>
      <w:r w:rsidR="00E42499" w:rsidRPr="0024551B">
        <w:t xml:space="preserve"> – </w:t>
      </w:r>
      <w:r w:rsidR="0024551B" w:rsidRPr="0024551B">
        <w:t xml:space="preserve">Control of </w:t>
      </w:r>
      <w:r w:rsidR="00DA5846" w:rsidRPr="0024551B">
        <w:t>I</w:t>
      </w:r>
      <w:r w:rsidRPr="0024551B">
        <w:t>nformation</w:t>
      </w:r>
    </w:p>
    <w:p w14:paraId="1582531A" w14:textId="77777777" w:rsidR="00093679" w:rsidRPr="0024551B" w:rsidRDefault="00093679" w:rsidP="00034307">
      <w:pPr>
        <w:spacing w:before="0"/>
      </w:pPr>
      <w:r w:rsidRPr="0024551B">
        <w:t>Section 3</w:t>
      </w:r>
      <w:r w:rsidR="00DA5846" w:rsidRPr="0024551B">
        <w:t>D</w:t>
      </w:r>
      <w:r w:rsidR="00E42499" w:rsidRPr="0024551B">
        <w:t xml:space="preserve"> – </w:t>
      </w:r>
      <w:r w:rsidR="00DA5846" w:rsidRPr="0024551B">
        <w:t>Records m</w:t>
      </w:r>
      <w:r w:rsidRPr="0024551B">
        <w:t>anagement</w:t>
      </w:r>
    </w:p>
    <w:p w14:paraId="43BACDDC" w14:textId="77777777" w:rsidR="0012082D" w:rsidRPr="0024551B" w:rsidRDefault="0012082D" w:rsidP="00034307">
      <w:pPr>
        <w:spacing w:before="0"/>
      </w:pPr>
      <w:r w:rsidRPr="0024551B">
        <w:t>Section 5G – Job Plans</w:t>
      </w:r>
    </w:p>
    <w:p w14:paraId="70783A59" w14:textId="77777777" w:rsidR="0024551B" w:rsidRDefault="00F54DB8" w:rsidP="00034307">
      <w:pPr>
        <w:spacing w:before="0"/>
      </w:pPr>
      <w:r>
        <w:t>Section 5H – Targeted Compliance Framework and activities</w:t>
      </w:r>
    </w:p>
    <w:p w14:paraId="4F6368D5" w14:textId="76FBEE5A" w:rsidR="00282475" w:rsidRDefault="0024551B" w:rsidP="00034307">
      <w:pPr>
        <w:spacing w:before="0"/>
      </w:pPr>
      <w:r>
        <w:t>Annexure</w:t>
      </w:r>
      <w:r w:rsidRPr="0024551B">
        <w:t xml:space="preserve"> A </w:t>
      </w:r>
      <w:r w:rsidR="006E01E7">
        <w:t>–</w:t>
      </w:r>
      <w:r w:rsidRPr="0024551B">
        <w:t xml:space="preserve"> Definitions</w:t>
      </w:r>
    </w:p>
    <w:p w14:paraId="37467486" w14:textId="77777777" w:rsidR="006E01E7" w:rsidRPr="0012082D" w:rsidRDefault="006E01E7" w:rsidP="00034307">
      <w:pPr>
        <w:spacing w:before="0"/>
      </w:pPr>
    </w:p>
    <w:p w14:paraId="33B9A100" w14:textId="77777777" w:rsidR="006F3A90" w:rsidRPr="006E01E7" w:rsidRDefault="006F3A90" w:rsidP="006E01E7">
      <w:pPr>
        <w:spacing w:before="0" w:after="240"/>
        <w:rPr>
          <w:rFonts w:ascii="Calibri" w:eastAsia="Times New Roman" w:hAnsi="Calibri" w:cs="Times New Roman"/>
          <w:b/>
          <w:sz w:val="24"/>
          <w:szCs w:val="24"/>
          <w:lang w:eastAsia="en-AU"/>
        </w:rPr>
      </w:pPr>
      <w:bookmarkStart w:id="59" w:name="_Toc492471065"/>
      <w:bookmarkStart w:id="60" w:name="_Toc492529469"/>
      <w:bookmarkStart w:id="61" w:name="_Toc492532698"/>
      <w:bookmarkStart w:id="62" w:name="_Toc492532800"/>
      <w:bookmarkStart w:id="63" w:name="_Toc492533123"/>
      <w:bookmarkStart w:id="64" w:name="_Toc492533501"/>
      <w:bookmarkStart w:id="65" w:name="_Toc492533679"/>
      <w:bookmarkStart w:id="66" w:name="_Toc492543894"/>
      <w:bookmarkStart w:id="67" w:name="_Toc492544327"/>
      <w:bookmarkStart w:id="68" w:name="_Toc492545439"/>
      <w:bookmarkStart w:id="69" w:name="_Toc492545900"/>
      <w:bookmarkStart w:id="70" w:name="_Toc492546436"/>
      <w:bookmarkStart w:id="71" w:name="_Toc492546487"/>
      <w:bookmarkStart w:id="72" w:name="_Toc492546575"/>
      <w:bookmarkStart w:id="73" w:name="_Toc492546701"/>
      <w:bookmarkStart w:id="74" w:name="_Toc510110443"/>
      <w:bookmarkStart w:id="75" w:name="_Toc514992219"/>
      <w:bookmarkStart w:id="76" w:name="_Toc514998107"/>
      <w:r w:rsidRPr="006E01E7">
        <w:rPr>
          <w:rFonts w:ascii="Calibri" w:eastAsia="Times New Roman" w:hAnsi="Calibri" w:cs="Times New Roman"/>
          <w:b/>
          <w:sz w:val="24"/>
          <w:szCs w:val="24"/>
          <w:lang w:eastAsia="en-AU"/>
        </w:rPr>
        <w:t>Reference documents relevant to this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E01E7">
        <w:rPr>
          <w:rFonts w:ascii="Calibri" w:eastAsia="Times New Roman" w:hAnsi="Calibri" w:cs="Times New Roman"/>
          <w:b/>
          <w:sz w:val="24"/>
          <w:szCs w:val="24"/>
          <w:lang w:eastAsia="en-AU"/>
        </w:rPr>
        <w:t xml:space="preserve"> guideline:</w:t>
      </w:r>
      <w:bookmarkEnd w:id="74"/>
      <w:bookmarkEnd w:id="75"/>
      <w:bookmarkEnd w:id="76"/>
    </w:p>
    <w:p w14:paraId="73624CDF" w14:textId="77777777" w:rsidR="0012082D" w:rsidRPr="003770C6" w:rsidRDefault="0012082D" w:rsidP="0012082D">
      <w:pPr>
        <w:spacing w:before="0"/>
      </w:pPr>
      <w:r w:rsidRPr="003770C6">
        <w:t>Learning Centre website</w:t>
      </w:r>
    </w:p>
    <w:p w14:paraId="1D2BF8FB" w14:textId="77777777" w:rsidR="0012082D" w:rsidRPr="003770C6" w:rsidRDefault="0012082D" w:rsidP="0012082D">
      <w:pPr>
        <w:spacing w:before="0"/>
      </w:pPr>
      <w:r w:rsidRPr="003770C6">
        <w:t>Targeted Compliance Framework</w:t>
      </w:r>
      <w:r w:rsidR="006D2825">
        <w:t>: Mutual Obligation Failures</w:t>
      </w:r>
      <w:r w:rsidRPr="003770C6">
        <w:t xml:space="preserve"> Guidelines</w:t>
      </w:r>
    </w:p>
    <w:p w14:paraId="3AFB734D" w14:textId="77777777" w:rsidR="0012082D" w:rsidRPr="003770C6" w:rsidRDefault="0012082D" w:rsidP="0012082D">
      <w:pPr>
        <w:spacing w:before="0"/>
      </w:pPr>
      <w:r w:rsidRPr="003770C6">
        <w:t xml:space="preserve">Job Plan and Setting Mutual Obligation Requirements Guidelines </w:t>
      </w:r>
    </w:p>
    <w:p w14:paraId="5B831AB3" w14:textId="77777777" w:rsidR="0012082D" w:rsidRPr="003770C6" w:rsidRDefault="0012082D" w:rsidP="0012082D">
      <w:pPr>
        <w:spacing w:before="0"/>
      </w:pPr>
      <w:r w:rsidRPr="003770C6">
        <w:t>Disability Support Pension Recipients (Compulsory Requirements) Guideline</w:t>
      </w:r>
      <w:r w:rsidR="005B5FE8" w:rsidRPr="003770C6">
        <w:t>s</w:t>
      </w:r>
      <w:r w:rsidRPr="003770C6">
        <w:t xml:space="preserve"> </w:t>
      </w:r>
    </w:p>
    <w:p w14:paraId="4FA43B0A" w14:textId="77777777" w:rsidR="0012082D" w:rsidRPr="003770C6" w:rsidRDefault="0012082D" w:rsidP="0012082D">
      <w:pPr>
        <w:spacing w:before="0"/>
      </w:pPr>
      <w:r w:rsidRPr="003770C6">
        <w:t>Period of Service Guidelines</w:t>
      </w:r>
    </w:p>
    <w:p w14:paraId="6A79CBB1" w14:textId="77777777" w:rsidR="0012082D" w:rsidRPr="003770C6" w:rsidRDefault="0012082D" w:rsidP="0012082D">
      <w:pPr>
        <w:spacing w:before="0"/>
      </w:pPr>
      <w:r w:rsidRPr="003770C6">
        <w:t xml:space="preserve">Programme Review, </w:t>
      </w:r>
      <w:r w:rsidR="00873B24" w:rsidRPr="003770C6">
        <w:t>P</w:t>
      </w:r>
      <w:r w:rsidRPr="003770C6">
        <w:t>rogramme Summary and Exits Guideline</w:t>
      </w:r>
      <w:r w:rsidR="005B5FE8" w:rsidRPr="003770C6">
        <w:t>s</w:t>
      </w:r>
    </w:p>
    <w:p w14:paraId="5D883611" w14:textId="77777777" w:rsidR="00530C40" w:rsidRPr="003770C6" w:rsidRDefault="00530C40" w:rsidP="0012082D">
      <w:pPr>
        <w:spacing w:before="0"/>
      </w:pPr>
      <w:r w:rsidRPr="003770C6">
        <w:t xml:space="preserve">Social Security Act 1991 </w:t>
      </w:r>
    </w:p>
    <w:p w14:paraId="4D8F122D" w14:textId="57D155EB" w:rsidR="0012082D" w:rsidRDefault="0012082D" w:rsidP="0012082D">
      <w:pPr>
        <w:spacing w:before="0"/>
      </w:pPr>
      <w:r w:rsidRPr="003770C6">
        <w:t>Guide to Social Security Law</w:t>
      </w:r>
    </w:p>
    <w:p w14:paraId="14D9F3DD" w14:textId="77777777" w:rsidR="006E01E7" w:rsidRPr="0012082D" w:rsidRDefault="006E01E7" w:rsidP="0012082D">
      <w:pPr>
        <w:spacing w:before="0"/>
      </w:pPr>
    </w:p>
    <w:p w14:paraId="04B926B0" w14:textId="77777777" w:rsidR="0012082D" w:rsidRPr="006E01E7" w:rsidRDefault="0012082D" w:rsidP="006E01E7">
      <w:pPr>
        <w:spacing w:before="0" w:after="240"/>
        <w:rPr>
          <w:rFonts w:ascii="Calibri" w:eastAsia="Times New Roman" w:hAnsi="Calibri" w:cs="Times New Roman"/>
          <w:b/>
          <w:sz w:val="24"/>
          <w:szCs w:val="24"/>
          <w:lang w:eastAsia="en-AU"/>
        </w:rPr>
      </w:pPr>
      <w:bookmarkStart w:id="77" w:name="_Toc510110444"/>
      <w:bookmarkStart w:id="78" w:name="_Toc514992220"/>
      <w:bookmarkStart w:id="79" w:name="_Toc514998108"/>
      <w:r w:rsidRPr="006E01E7">
        <w:rPr>
          <w:rFonts w:ascii="Calibri" w:eastAsia="Times New Roman" w:hAnsi="Calibri" w:cs="Times New Roman"/>
          <w:b/>
          <w:sz w:val="24"/>
          <w:szCs w:val="24"/>
          <w:lang w:eastAsia="en-AU"/>
        </w:rPr>
        <w:t>Explanatory Note:</w:t>
      </w:r>
      <w:bookmarkEnd w:id="77"/>
      <w:bookmarkEnd w:id="78"/>
      <w:bookmarkEnd w:id="79"/>
    </w:p>
    <w:p w14:paraId="4E0DD559" w14:textId="77777777" w:rsidR="0012082D" w:rsidRPr="004F090E" w:rsidRDefault="0012082D" w:rsidP="0012082D">
      <w:pPr>
        <w:spacing w:before="0"/>
      </w:pPr>
      <w:r w:rsidRPr="004F090E">
        <w:t>All capitalised terms have the same meaning as in Disability Empl</w:t>
      </w:r>
      <w:r>
        <w:t xml:space="preserve">oyment Services Grant Agreement. </w:t>
      </w:r>
      <w:r w:rsidRPr="004F090E">
        <w:t>In this document, “must” means that compliance is mandatory and “should” means that compliance represents best practice.</w:t>
      </w:r>
    </w:p>
    <w:p w14:paraId="03BEA601" w14:textId="77777777" w:rsidR="00944756" w:rsidRDefault="00944756" w:rsidP="00081FFB">
      <w:pPr>
        <w:tabs>
          <w:tab w:val="right" w:pos="1701"/>
        </w:tabs>
        <w:spacing w:before="0"/>
      </w:pPr>
    </w:p>
    <w:p w14:paraId="43F332B4" w14:textId="77777777" w:rsidR="006F3A90" w:rsidRDefault="006F3A90" w:rsidP="00081FFB">
      <w:pPr>
        <w:tabs>
          <w:tab w:val="right" w:pos="1701"/>
        </w:tabs>
        <w:spacing w:before="0"/>
        <w:sectPr w:rsidR="006F3A90" w:rsidSect="00122526">
          <w:footerReference w:type="default" r:id="rId9"/>
          <w:footerReference w:type="first" r:id="rId10"/>
          <w:pgSz w:w="11906" w:h="16838"/>
          <w:pgMar w:top="709" w:right="1440" w:bottom="1440" w:left="1440" w:header="0" w:footer="567" w:gutter="0"/>
          <w:cols w:space="708"/>
          <w:titlePg/>
          <w:docGrid w:linePitch="360"/>
        </w:sectPr>
      </w:pPr>
    </w:p>
    <w:p w14:paraId="63ED0206" w14:textId="77777777" w:rsidR="006F3A90" w:rsidRDefault="006F3A90" w:rsidP="00081FFB">
      <w:pPr>
        <w:spacing w:before="0"/>
        <w:rPr>
          <w:color w:val="385623" w:themeColor="accent6" w:themeShade="80"/>
        </w:rPr>
      </w:pPr>
    </w:p>
    <w:p w14:paraId="167389D5" w14:textId="77777777" w:rsidR="00F46AEF" w:rsidRDefault="00F46AEF" w:rsidP="008F42FE">
      <w:pPr>
        <w:spacing w:before="0"/>
        <w:sectPr w:rsidR="00F46AEF" w:rsidSect="00CE2FDA">
          <w:type w:val="continuous"/>
          <w:pgSz w:w="11906" w:h="16838"/>
          <w:pgMar w:top="820" w:right="1440" w:bottom="1440" w:left="1440" w:header="708" w:footer="708" w:gutter="0"/>
          <w:cols w:num="2" w:space="708"/>
          <w:titlePg/>
          <w:docGrid w:linePitch="360"/>
        </w:sectPr>
      </w:pPr>
    </w:p>
    <w:p w14:paraId="697B6833" w14:textId="77777777" w:rsidR="006F21D0" w:rsidRPr="00AC2602" w:rsidRDefault="00081FFB" w:rsidP="00AC2602">
      <w:pPr>
        <w:rPr>
          <w:rFonts w:eastAsiaTheme="minorEastAsia"/>
          <w:b/>
          <w:noProof/>
        </w:rPr>
      </w:pPr>
      <w:bookmarkStart w:id="80" w:name="_Toc468957437"/>
      <w:bookmarkStart w:id="81" w:name="_Toc471729650"/>
      <w:bookmarkStart w:id="82" w:name="_Toc514992221"/>
      <w:bookmarkStart w:id="83" w:name="_Toc514998109"/>
      <w:r>
        <w:rPr>
          <w:rFonts w:eastAsiaTheme="minorEastAsia"/>
          <w:b/>
          <w:noProof/>
        </w:rPr>
        <w:lastRenderedPageBreak/>
        <w:t>Work Refusal and Unemployment Failures</w:t>
      </w:r>
      <w:r w:rsidR="006F21D0" w:rsidRPr="00AC2602">
        <w:rPr>
          <w:rFonts w:eastAsiaTheme="minorEastAsia"/>
          <w:b/>
          <w:noProof/>
        </w:rPr>
        <w:t xml:space="preserve"> Guidelines</w:t>
      </w:r>
    </w:p>
    <w:p w14:paraId="3E5952BB" w14:textId="77777777" w:rsidR="006F21D0" w:rsidRDefault="006F21D0" w:rsidP="00AC2602">
      <w:pPr>
        <w:pStyle w:val="guidelinetext"/>
        <w:pBdr>
          <w:top w:val="single" w:sz="4" w:space="1" w:color="auto"/>
        </w:pBdr>
        <w:spacing w:line="240" w:lineRule="auto"/>
        <w:ind w:left="0"/>
      </w:pPr>
    </w:p>
    <w:p w14:paraId="03C7A07C" w14:textId="1F8A2FAC" w:rsidR="008718E0" w:rsidRPr="00B659B6" w:rsidRDefault="00AC2602" w:rsidP="007178E1">
      <w:pPr>
        <w:pStyle w:val="Heading2"/>
        <w:keepNext w:val="0"/>
        <w:keepLines w:val="0"/>
        <w:numPr>
          <w:ilvl w:val="0"/>
          <w:numId w:val="32"/>
        </w:numPr>
        <w:spacing w:before="0" w:after="240"/>
        <w:ind w:left="567" w:hanging="567"/>
        <w:rPr>
          <w:rFonts w:eastAsia="Times New Roman" w:cs="Times New Roman"/>
          <w:sz w:val="28"/>
          <w:szCs w:val="36"/>
          <w:lang w:eastAsia="en-AU"/>
        </w:rPr>
      </w:pPr>
      <w:bookmarkStart w:id="84" w:name="_Toc177576650"/>
      <w:r w:rsidRPr="00B659B6">
        <w:rPr>
          <w:rFonts w:eastAsia="Times New Roman" w:cs="Times New Roman"/>
          <w:sz w:val="28"/>
          <w:szCs w:val="36"/>
          <w:lang w:eastAsia="en-AU"/>
        </w:rPr>
        <w:t>Work Refusal Failure</w:t>
      </w:r>
      <w:r w:rsidR="000023B5" w:rsidRPr="00B659B6">
        <w:rPr>
          <w:rFonts w:eastAsia="Times New Roman" w:cs="Times New Roman"/>
          <w:sz w:val="28"/>
          <w:szCs w:val="36"/>
          <w:lang w:eastAsia="en-AU"/>
        </w:rPr>
        <w:t>s</w:t>
      </w:r>
      <w:bookmarkEnd w:id="80"/>
      <w:bookmarkEnd w:id="81"/>
      <w:bookmarkEnd w:id="82"/>
      <w:bookmarkEnd w:id="83"/>
      <w:bookmarkEnd w:id="84"/>
    </w:p>
    <w:p w14:paraId="1DC8EF50" w14:textId="6F9D78CF" w:rsidR="00A251E8" w:rsidRDefault="00A251E8" w:rsidP="00A251E8">
      <w:pPr>
        <w:tabs>
          <w:tab w:val="right" w:pos="1701"/>
        </w:tabs>
        <w:spacing w:after="120"/>
        <w:rPr>
          <w:rFonts w:eastAsia="Times New Roman" w:cstheme="minorHAnsi"/>
          <w:lang w:eastAsia="en-AU"/>
        </w:rPr>
      </w:pPr>
      <w:r w:rsidRPr="00A251E8">
        <w:rPr>
          <w:rFonts w:eastAsia="Times New Roman" w:cstheme="minorHAnsi"/>
          <w:lang w:eastAsia="en-AU"/>
        </w:rPr>
        <w:t>A Participant with Mutual Obligation Requirements commits a Work Refusal Failure when they refuse or fail to accept an offer of suitable Employment.</w:t>
      </w:r>
    </w:p>
    <w:p w14:paraId="0730832E" w14:textId="77777777" w:rsidR="00A251E8" w:rsidRPr="00A251E8" w:rsidRDefault="00A251E8" w:rsidP="00A251E8">
      <w:pPr>
        <w:pStyle w:val="guidelinetext"/>
        <w:spacing w:line="240" w:lineRule="auto"/>
        <w:ind w:left="0"/>
        <w:rPr>
          <w:rFonts w:eastAsia="Times New Roman" w:cstheme="minorHAnsi"/>
          <w:lang w:eastAsia="en-AU"/>
        </w:rPr>
      </w:pPr>
    </w:p>
    <w:p w14:paraId="02F16354" w14:textId="0EC39573" w:rsidR="00AC2602" w:rsidRPr="00B659B6" w:rsidRDefault="00AC2602" w:rsidP="00B659B6">
      <w:pPr>
        <w:pStyle w:val="Heading3"/>
        <w:spacing w:before="0" w:after="120"/>
        <w:ind w:left="0"/>
        <w:rPr>
          <w:bCs/>
          <w:lang w:eastAsia="en-AU"/>
        </w:rPr>
      </w:pPr>
      <w:bookmarkStart w:id="85" w:name="_Toc177576651"/>
      <w:r w:rsidRPr="00B659B6">
        <w:rPr>
          <w:bCs/>
          <w:lang w:eastAsia="en-AU"/>
        </w:rPr>
        <w:t xml:space="preserve">Identifying </w:t>
      </w:r>
      <w:r w:rsidR="00067E0B" w:rsidRPr="00B659B6">
        <w:rPr>
          <w:bCs/>
          <w:lang w:eastAsia="en-AU"/>
        </w:rPr>
        <w:t xml:space="preserve">a </w:t>
      </w:r>
      <w:r w:rsidRPr="00B659B6">
        <w:rPr>
          <w:bCs/>
          <w:lang w:eastAsia="en-AU"/>
        </w:rPr>
        <w:t>Work Refusal Failure</w:t>
      </w:r>
      <w:bookmarkEnd w:id="85"/>
    </w:p>
    <w:p w14:paraId="683D987B" w14:textId="7EF658E7" w:rsidR="000023B5" w:rsidRDefault="000023B5" w:rsidP="00ED454B">
      <w:pPr>
        <w:tabs>
          <w:tab w:val="right" w:pos="1701"/>
        </w:tabs>
        <w:spacing w:after="120"/>
      </w:pPr>
      <w:r>
        <w:t xml:space="preserve">Providers have </w:t>
      </w:r>
      <w:r w:rsidRPr="00ED454B">
        <w:rPr>
          <w:rFonts w:eastAsia="Times New Roman" w:cstheme="minorHAnsi"/>
          <w:lang w:eastAsia="en-AU"/>
        </w:rPr>
        <w:t>obligations</w:t>
      </w:r>
      <w:r>
        <w:t xml:space="preserve"> under the </w:t>
      </w:r>
      <w:r w:rsidR="00CE6D84">
        <w:t>DES Grant Agreement</w:t>
      </w:r>
      <w:r>
        <w:t xml:space="preserve"> w</w:t>
      </w:r>
      <w:r w:rsidRPr="00E07456">
        <w:t xml:space="preserve">hen </w:t>
      </w:r>
      <w:r>
        <w:t>they</w:t>
      </w:r>
      <w:r w:rsidRPr="00E07456">
        <w:t xml:space="preserve"> become aware </w:t>
      </w:r>
      <w:r w:rsidR="00067E0B">
        <w:t xml:space="preserve">(e.g. an employer notifies the </w:t>
      </w:r>
      <w:proofErr w:type="gramStart"/>
      <w:r w:rsidR="00067E0B">
        <w:t>Provider</w:t>
      </w:r>
      <w:proofErr w:type="gramEnd"/>
      <w:r w:rsidR="00067E0B">
        <w:t xml:space="preserve"> or the Provider receives an Employer Report Referral from the Employer Reporting Line)</w:t>
      </w:r>
      <w:r w:rsidR="00067E0B" w:rsidRPr="00AC6E9D">
        <w:t xml:space="preserve"> </w:t>
      </w:r>
      <w:r w:rsidRPr="00E07456">
        <w:t xml:space="preserve">that a </w:t>
      </w:r>
      <w:r>
        <w:t>Participant</w:t>
      </w:r>
      <w:r w:rsidRPr="00E07456">
        <w:t xml:space="preserve"> </w:t>
      </w:r>
      <w:r>
        <w:t>has apparently</w:t>
      </w:r>
      <w:r w:rsidRPr="00E07456">
        <w:t xml:space="preserve"> committed a Work Refusal Failure (i.e. the </w:t>
      </w:r>
      <w:r>
        <w:t>Participant</w:t>
      </w:r>
      <w:r w:rsidRPr="00E07456">
        <w:t xml:space="preserve"> has </w:t>
      </w:r>
      <w:r>
        <w:t>refused or failed to</w:t>
      </w:r>
      <w:r w:rsidRPr="00E07456">
        <w:t xml:space="preserve"> accept an offer of </w:t>
      </w:r>
      <w:r>
        <w:t>Employment</w:t>
      </w:r>
      <w:r w:rsidRPr="00E07456">
        <w:t>)</w:t>
      </w:r>
      <w:r>
        <w:t>. Providers’ main obligations in this case are set out in clause 11</w:t>
      </w:r>
      <w:r w:rsidR="00CE6D84">
        <w:t>2</w:t>
      </w:r>
      <w:r>
        <w:t xml:space="preserve"> of the </w:t>
      </w:r>
      <w:r w:rsidR="00CE6D84">
        <w:t>DES Grant Agreement</w:t>
      </w:r>
      <w:r w:rsidRPr="00E07456">
        <w:t>.</w:t>
      </w:r>
    </w:p>
    <w:p w14:paraId="1E0F87B8" w14:textId="2BF162A1" w:rsidR="000023B5" w:rsidRDefault="000023B5" w:rsidP="00ED454B">
      <w:pPr>
        <w:tabs>
          <w:tab w:val="right" w:pos="1701"/>
        </w:tabs>
        <w:spacing w:after="120"/>
      </w:pPr>
      <w:r>
        <w:t xml:space="preserve">When the Provider discusses the circumstances of an apparent Work Refusal Failure with the Participant, the Provider </w:t>
      </w:r>
      <w:r w:rsidRPr="00ED454B">
        <w:rPr>
          <w:rFonts w:eastAsia="Times New Roman" w:cstheme="minorHAnsi"/>
          <w:lang w:eastAsia="en-AU"/>
        </w:rPr>
        <w:t>must</w:t>
      </w:r>
      <w:r>
        <w:t xml:space="preserve"> consider the issues outlined below.</w:t>
      </w:r>
    </w:p>
    <w:p w14:paraId="54D659EF" w14:textId="77777777" w:rsidR="000023B5" w:rsidRPr="00E07456" w:rsidRDefault="000023B5" w:rsidP="00ED454B">
      <w:pPr>
        <w:tabs>
          <w:tab w:val="right" w:pos="1701"/>
        </w:tabs>
        <w:spacing w:after="120"/>
      </w:pPr>
      <w:r w:rsidRPr="00E07456">
        <w:t xml:space="preserve">The Provider must </w:t>
      </w:r>
      <w:r>
        <w:t xml:space="preserve">first </w:t>
      </w:r>
      <w:r w:rsidRPr="00E07456">
        <w:t xml:space="preserve">consider whether the </w:t>
      </w:r>
      <w:r>
        <w:t>Participant</w:t>
      </w:r>
      <w:r w:rsidRPr="00E07456">
        <w:t xml:space="preserve"> has refused or failed to accept an offer of </w:t>
      </w:r>
      <w:r>
        <w:t>Employment</w:t>
      </w:r>
      <w:r w:rsidRPr="00E07456">
        <w:t xml:space="preserve">. If the </w:t>
      </w:r>
      <w:r w:rsidRPr="00ED454B">
        <w:rPr>
          <w:rFonts w:eastAsia="Times New Roman" w:cstheme="minorHAnsi"/>
          <w:lang w:eastAsia="en-AU"/>
        </w:rPr>
        <w:t>Participant</w:t>
      </w:r>
      <w:r w:rsidRPr="00E07456">
        <w:t xml:space="preserve"> has not received an offer of </w:t>
      </w:r>
      <w:r>
        <w:t>Employment</w:t>
      </w:r>
      <w:r w:rsidRPr="00E07456">
        <w:t xml:space="preserve"> (e.g. they attended an interview but were not offered the position), the </w:t>
      </w:r>
      <w:r>
        <w:t xml:space="preserve">Provider must </w:t>
      </w:r>
      <w:r w:rsidRPr="00473A1C">
        <w:rPr>
          <w:u w:val="single"/>
        </w:rPr>
        <w:t>not</w:t>
      </w:r>
      <w:r>
        <w:t xml:space="preserve"> determine that the Participant </w:t>
      </w:r>
      <w:r w:rsidRPr="00E07456">
        <w:t>committed a Work Refusal Failure.</w:t>
      </w:r>
    </w:p>
    <w:p w14:paraId="3E451997" w14:textId="77777777" w:rsidR="000023B5" w:rsidRDefault="000023B5" w:rsidP="00ED454B">
      <w:pPr>
        <w:tabs>
          <w:tab w:val="right" w:pos="1701"/>
        </w:tabs>
        <w:spacing w:after="120"/>
      </w:pPr>
      <w:r w:rsidRPr="00E07456">
        <w:t xml:space="preserve">If the </w:t>
      </w:r>
      <w:r>
        <w:t>Participant</w:t>
      </w:r>
      <w:r w:rsidRPr="00E07456">
        <w:t xml:space="preserve"> has refused or failed to accept an offer of </w:t>
      </w:r>
      <w:r>
        <w:t>Employment,</w:t>
      </w:r>
      <w:r w:rsidRPr="00E07456">
        <w:t xml:space="preserve"> </w:t>
      </w:r>
      <w:r>
        <w:t>t</w:t>
      </w:r>
      <w:r w:rsidRPr="00E07456">
        <w:t>he Provider must then consider</w:t>
      </w:r>
      <w:r>
        <w:t xml:space="preserve"> whether the </w:t>
      </w:r>
      <w:r w:rsidRPr="00ED454B">
        <w:rPr>
          <w:rFonts w:eastAsia="Times New Roman" w:cstheme="minorHAnsi"/>
          <w:lang w:eastAsia="en-AU"/>
        </w:rPr>
        <w:t>Employment</w:t>
      </w:r>
      <w:r>
        <w:t xml:space="preserve"> that was offered was suitable for the Participant. </w:t>
      </w:r>
      <w:r w:rsidRPr="00644493">
        <w:t xml:space="preserve">Providers must have regard to the following factors (as relevant) when assessing whether the Employment was suitable for the </w:t>
      </w:r>
      <w:r>
        <w:t>Participant, as any one of these factors would make the work unsuitable</w:t>
      </w:r>
      <w:r w:rsidRPr="00644493">
        <w:t>:</w:t>
      </w:r>
    </w:p>
    <w:p w14:paraId="7BF381AE" w14:textId="54C261F9" w:rsidR="000023B5" w:rsidRPr="00B87408" w:rsidRDefault="000023B5" w:rsidP="003E397F">
      <w:pPr>
        <w:pStyle w:val="guidelinetext"/>
        <w:numPr>
          <w:ilvl w:val="0"/>
          <w:numId w:val="1"/>
        </w:numPr>
        <w:spacing w:before="60" w:line="240" w:lineRule="auto"/>
        <w:ind w:left="714" w:hanging="357"/>
      </w:pPr>
      <w:r w:rsidRPr="00B87408">
        <w:t xml:space="preserve">the Participant lacks the particular skills, experience or qualifications that are needed to perform the </w:t>
      </w:r>
      <w:proofErr w:type="gramStart"/>
      <w:r w:rsidRPr="00B87408">
        <w:t>work</w:t>
      </w:r>
      <w:proofErr w:type="gramEnd"/>
      <w:r w:rsidRPr="00B87408">
        <w:t xml:space="preserve"> and no training wi</w:t>
      </w:r>
      <w:r w:rsidR="00067E0B">
        <w:t>ll be provided by the Employer;</w:t>
      </w:r>
    </w:p>
    <w:p w14:paraId="47C2E985" w14:textId="77777777" w:rsidR="000023B5" w:rsidRPr="00B87408" w:rsidRDefault="000023B5" w:rsidP="003E397F">
      <w:pPr>
        <w:pStyle w:val="guidelinetext"/>
        <w:numPr>
          <w:ilvl w:val="0"/>
          <w:numId w:val="1"/>
        </w:numPr>
        <w:spacing w:before="60" w:line="240" w:lineRule="auto"/>
        <w:ind w:left="714" w:hanging="357"/>
      </w:pPr>
      <w:r w:rsidRPr="00B87408">
        <w:t xml:space="preserve">there is medical evidence that the Participant has an illness, disability or injury that would be aggravated by the conditions in which the work would be </w:t>
      </w:r>
      <w:proofErr w:type="gramStart"/>
      <w:r w:rsidRPr="00B87408">
        <w:t>performed;</w:t>
      </w:r>
      <w:proofErr w:type="gramEnd"/>
      <w:r w:rsidRPr="00B87408">
        <w:t xml:space="preserve"> </w:t>
      </w:r>
    </w:p>
    <w:p w14:paraId="1B857028" w14:textId="250F707D" w:rsidR="000023B5" w:rsidRPr="00B87408" w:rsidRDefault="000023B5" w:rsidP="003E397F">
      <w:pPr>
        <w:pStyle w:val="guidelinetext"/>
        <w:numPr>
          <w:ilvl w:val="0"/>
          <w:numId w:val="1"/>
        </w:numPr>
        <w:spacing w:before="60" w:line="240" w:lineRule="auto"/>
        <w:ind w:left="714" w:hanging="357"/>
      </w:pPr>
      <w:r w:rsidRPr="00B87408">
        <w:t>the Participant is the principal carer for one or more children, and does not have access to appropriate care and supervision for the children at the times when the Participant would be required to undertake the work (which includes reasonable amounts of time that would be needed for the Participant to tra</w:t>
      </w:r>
      <w:r w:rsidR="00067E0B">
        <w:t>vel between home and the work</w:t>
      </w:r>
      <w:proofErr w:type="gramStart"/>
      <w:r w:rsidR="00067E0B">
        <w:t>);</w:t>
      </w:r>
      <w:proofErr w:type="gramEnd"/>
    </w:p>
    <w:p w14:paraId="5D913F44" w14:textId="77777777" w:rsidR="00067E0B" w:rsidRPr="00067E0B" w:rsidRDefault="00067E0B" w:rsidP="003E397F">
      <w:pPr>
        <w:pStyle w:val="guidelinetext"/>
        <w:numPr>
          <w:ilvl w:val="0"/>
          <w:numId w:val="1"/>
        </w:numPr>
        <w:spacing w:before="60" w:line="240" w:lineRule="auto"/>
        <w:ind w:left="714" w:hanging="357"/>
      </w:pPr>
      <w:r w:rsidRPr="00067E0B">
        <w:t>the Participant is a principal carer parent, or the Participant has a partial capacity to work, and the work hours are greater than 15 hours per week.</w:t>
      </w:r>
    </w:p>
    <w:p w14:paraId="692C6407" w14:textId="74270F36" w:rsidR="000023B5" w:rsidRPr="00B87408" w:rsidRDefault="000023B5" w:rsidP="003E397F">
      <w:pPr>
        <w:pStyle w:val="guidelinetext"/>
        <w:numPr>
          <w:ilvl w:val="0"/>
          <w:numId w:val="1"/>
        </w:numPr>
        <w:spacing w:before="60" w:line="240" w:lineRule="auto"/>
        <w:ind w:left="714" w:hanging="357"/>
      </w:pPr>
      <w:r w:rsidRPr="00B87408">
        <w:t xml:space="preserve">performing the work in the conditions in which the work would be performed would constitute a risk to health or safety and would contravene a law of the Commonwealth, a State or a Territory relating to </w:t>
      </w:r>
      <w:r w:rsidR="00067E0B">
        <w:t xml:space="preserve">occupational health and </w:t>
      </w:r>
      <w:proofErr w:type="gramStart"/>
      <w:r w:rsidR="00067E0B">
        <w:t>safety;</w:t>
      </w:r>
      <w:proofErr w:type="gramEnd"/>
    </w:p>
    <w:p w14:paraId="670654E8" w14:textId="65767E53" w:rsidR="000023B5" w:rsidRPr="00B87408" w:rsidRDefault="000023B5" w:rsidP="003E397F">
      <w:pPr>
        <w:pStyle w:val="guidelinetext"/>
        <w:numPr>
          <w:ilvl w:val="0"/>
          <w:numId w:val="1"/>
        </w:numPr>
        <w:spacing w:before="60" w:line="240" w:lineRule="auto"/>
        <w:ind w:left="714" w:hanging="357"/>
      </w:pPr>
      <w:r w:rsidRPr="00B87408">
        <w:t>the terms and conditions for the work would be less generous than the a</w:t>
      </w:r>
      <w:r w:rsidR="00067E0B">
        <w:t xml:space="preserve">pplicable statutory </w:t>
      </w:r>
      <w:proofErr w:type="gramStart"/>
      <w:r w:rsidR="00067E0B">
        <w:t>conditions;</w:t>
      </w:r>
      <w:proofErr w:type="gramEnd"/>
    </w:p>
    <w:p w14:paraId="78F4257D" w14:textId="37EE8BC3" w:rsidR="000023B5" w:rsidRPr="00B87408" w:rsidRDefault="000023B5" w:rsidP="003E397F">
      <w:pPr>
        <w:pStyle w:val="guidelinetext"/>
        <w:numPr>
          <w:ilvl w:val="0"/>
          <w:numId w:val="1"/>
        </w:numPr>
        <w:spacing w:before="60" w:line="240" w:lineRule="auto"/>
        <w:ind w:left="714" w:hanging="357"/>
      </w:pPr>
      <w:r w:rsidRPr="00B87408">
        <w:t>commuting between the Participant’s home and the place of work would be unreasonably difficult (that is, it would require the Participant to spend more than 90 minutes each way in commuting time (60 minutes for principal carers or those with a partial capacity to work, see below), using the mode of transport normally</w:t>
      </w:r>
      <w:r w:rsidR="00067E0B">
        <w:t xml:space="preserve"> available to the Participant</w:t>
      </w:r>
      <w:proofErr w:type="gramStart"/>
      <w:r w:rsidR="00067E0B">
        <w:t>);</w:t>
      </w:r>
      <w:proofErr w:type="gramEnd"/>
    </w:p>
    <w:p w14:paraId="494F2B1D" w14:textId="4172BC1E" w:rsidR="000023B5" w:rsidRPr="00B87408" w:rsidRDefault="000023B5" w:rsidP="003E397F">
      <w:pPr>
        <w:pStyle w:val="guidelinetext"/>
        <w:numPr>
          <w:ilvl w:val="0"/>
          <w:numId w:val="1"/>
        </w:numPr>
        <w:spacing w:before="60" w:line="240" w:lineRule="auto"/>
        <w:ind w:left="714" w:hanging="357"/>
      </w:pPr>
      <w:r w:rsidRPr="00B87408">
        <w:t>the work requires the P</w:t>
      </w:r>
      <w:r w:rsidR="00067E0B">
        <w:t xml:space="preserve">articipant to change </w:t>
      </w:r>
      <w:proofErr w:type="gramStart"/>
      <w:r w:rsidR="00067E0B">
        <w:t>residence;</w:t>
      </w:r>
      <w:proofErr w:type="gramEnd"/>
    </w:p>
    <w:p w14:paraId="7D35D75D" w14:textId="77777777" w:rsidR="000023B5" w:rsidRPr="00B87408" w:rsidRDefault="000023B5" w:rsidP="003E397F">
      <w:pPr>
        <w:pStyle w:val="guidelinetext"/>
        <w:numPr>
          <w:ilvl w:val="0"/>
          <w:numId w:val="1"/>
        </w:numPr>
        <w:spacing w:before="60" w:line="240" w:lineRule="auto"/>
        <w:ind w:left="714" w:hanging="357"/>
      </w:pPr>
      <w:r w:rsidRPr="00B87408">
        <w:t xml:space="preserve">the Participant has a verifiable and legitimate objection to the work on moral, cultural or religious grounds (for example, there is evidence that the Participant adheres to a particular </w:t>
      </w:r>
      <w:r w:rsidRPr="00B87408">
        <w:lastRenderedPageBreak/>
        <w:t>set of moral, ethical or religious values and aspects of the work would be inconsistent with those values</w:t>
      </w:r>
      <w:proofErr w:type="gramStart"/>
      <w:r w:rsidRPr="00B87408">
        <w:t>);</w:t>
      </w:r>
      <w:proofErr w:type="gramEnd"/>
    </w:p>
    <w:p w14:paraId="15941734" w14:textId="77777777" w:rsidR="000023B5" w:rsidRPr="00B87408" w:rsidRDefault="000023B5" w:rsidP="003E397F">
      <w:pPr>
        <w:pStyle w:val="guidelinetext"/>
        <w:numPr>
          <w:ilvl w:val="0"/>
          <w:numId w:val="1"/>
        </w:numPr>
        <w:spacing w:before="60" w:line="240" w:lineRule="auto"/>
        <w:ind w:left="714" w:hanging="357"/>
      </w:pPr>
      <w:r w:rsidRPr="00B87408">
        <w:t>the work would require the Participant to enlist in the Defence Force or the Reserves; or</w:t>
      </w:r>
    </w:p>
    <w:p w14:paraId="6D4AE8A6" w14:textId="77777777" w:rsidR="000023B5" w:rsidRPr="00B87408" w:rsidRDefault="000023B5" w:rsidP="003E397F">
      <w:pPr>
        <w:pStyle w:val="guidelinetext"/>
        <w:numPr>
          <w:ilvl w:val="0"/>
          <w:numId w:val="1"/>
        </w:numPr>
        <w:spacing w:before="60" w:line="240" w:lineRule="auto"/>
        <w:ind w:left="714" w:hanging="357"/>
      </w:pPr>
      <w:r w:rsidRPr="00B87408">
        <w:t>the Participant has a partial capacity to work, or is the principal carer of at least one child, and one or more of the following applies:</w:t>
      </w:r>
    </w:p>
    <w:p w14:paraId="6DCC226F" w14:textId="6863C706" w:rsidR="000023B5" w:rsidRPr="00644493" w:rsidRDefault="000023B5" w:rsidP="00DB3DCA">
      <w:pPr>
        <w:pStyle w:val="guidelinebullet"/>
        <w:numPr>
          <w:ilvl w:val="1"/>
          <w:numId w:val="1"/>
        </w:numPr>
        <w:ind w:left="1134"/>
      </w:pPr>
      <w:r w:rsidRPr="001C0C74">
        <w:t xml:space="preserve">the duration of the journey </w:t>
      </w:r>
      <w:r w:rsidRPr="00644493">
        <w:t>between</w:t>
      </w:r>
      <w:r w:rsidRPr="001C0C74">
        <w:t xml:space="preserve"> the </w:t>
      </w:r>
      <w:r>
        <w:t>Participant</w:t>
      </w:r>
      <w:r w:rsidRPr="001C0C74">
        <w:t xml:space="preserve">’s home </w:t>
      </w:r>
      <w:r w:rsidRPr="00644493">
        <w:t>and</w:t>
      </w:r>
      <w:r w:rsidRPr="001C0C74">
        <w:t xml:space="preserve"> the place of work would</w:t>
      </w:r>
      <w:r w:rsidR="00067E0B">
        <w:t xml:space="preserve"> normally exceed 60 </w:t>
      </w:r>
      <w:proofErr w:type="gramStart"/>
      <w:r w:rsidR="00067E0B">
        <w:t>minutes;</w:t>
      </w:r>
      <w:proofErr w:type="gramEnd"/>
    </w:p>
    <w:p w14:paraId="4B51FF86" w14:textId="77777777" w:rsidR="000023B5" w:rsidRPr="00644493" w:rsidRDefault="000023B5" w:rsidP="00DB3DCA">
      <w:pPr>
        <w:pStyle w:val="guidelinebullet"/>
        <w:numPr>
          <w:ilvl w:val="1"/>
          <w:numId w:val="1"/>
        </w:numPr>
        <w:ind w:left="1134"/>
      </w:pPr>
      <w:r w:rsidRPr="001C0C74">
        <w:t xml:space="preserve">the </w:t>
      </w:r>
      <w:r>
        <w:t>Participant</w:t>
      </w:r>
      <w:r w:rsidRPr="001C0C74">
        <w:t xml:space="preserve"> would be financially worse off </w:t>
      </w:r>
      <w:proofErr w:type="gramStart"/>
      <w:r w:rsidRPr="001C0C74">
        <w:t>as a result of</w:t>
      </w:r>
      <w:proofErr w:type="gramEnd"/>
      <w:r w:rsidRPr="001C0C74">
        <w:t xml:space="preserve"> undertaking the work, by comparison with not undertaking the work</w:t>
      </w:r>
      <w:r>
        <w:t>, considering</w:t>
      </w:r>
      <w:r w:rsidRPr="001C0C74">
        <w:t>:</w:t>
      </w:r>
    </w:p>
    <w:p w14:paraId="23C4939E" w14:textId="77777777" w:rsidR="000023B5" w:rsidRPr="00644493" w:rsidRDefault="000023B5" w:rsidP="00BC522C">
      <w:pPr>
        <w:pStyle w:val="guidelinebullet"/>
        <w:numPr>
          <w:ilvl w:val="2"/>
          <w:numId w:val="1"/>
        </w:numPr>
        <w:ind w:left="1560"/>
      </w:pPr>
      <w:r w:rsidRPr="001C0C74">
        <w:t xml:space="preserve">the financial cost to the </w:t>
      </w:r>
      <w:r>
        <w:t>Participant</w:t>
      </w:r>
      <w:r w:rsidRPr="001C0C74">
        <w:t xml:space="preserve"> in providing appropriate care and supervision for one or more children, for whom the </w:t>
      </w:r>
      <w:r>
        <w:t>Participant</w:t>
      </w:r>
      <w:r w:rsidRPr="001C0C74">
        <w:t xml:space="preserve"> is the principal carer, at the times when the </w:t>
      </w:r>
      <w:r>
        <w:t>Participant</w:t>
      </w:r>
      <w:r w:rsidRPr="001C0C74">
        <w:t xml:space="preserve"> would be required to undertake the </w:t>
      </w:r>
      <w:proofErr w:type="gramStart"/>
      <w:r w:rsidRPr="001C0C74">
        <w:t>work;</w:t>
      </w:r>
      <w:proofErr w:type="gramEnd"/>
    </w:p>
    <w:p w14:paraId="475FE95E" w14:textId="77777777" w:rsidR="000023B5" w:rsidRDefault="000023B5" w:rsidP="00DB3DCA">
      <w:pPr>
        <w:pStyle w:val="guidelinebullet"/>
        <w:numPr>
          <w:ilvl w:val="2"/>
          <w:numId w:val="1"/>
        </w:numPr>
        <w:ind w:left="1560"/>
      </w:pPr>
      <w:r w:rsidRPr="001C0C74">
        <w:t xml:space="preserve">the financial cost of travel that would be incurred by the </w:t>
      </w:r>
      <w:r>
        <w:t>Participant</w:t>
      </w:r>
      <w:r w:rsidRPr="001C0C74">
        <w:t xml:space="preserve"> in undertaking the </w:t>
      </w:r>
      <w:proofErr w:type="gramStart"/>
      <w:r w:rsidRPr="001C0C74">
        <w:t>work;</w:t>
      </w:r>
      <w:proofErr w:type="gramEnd"/>
      <w:r w:rsidRPr="00644493">
        <w:t xml:space="preserve"> </w:t>
      </w:r>
    </w:p>
    <w:p w14:paraId="4588943D" w14:textId="77777777" w:rsidR="000023B5" w:rsidRPr="00644493" w:rsidRDefault="000023B5" w:rsidP="00DB3DCA">
      <w:pPr>
        <w:pStyle w:val="guidelinebullet"/>
        <w:numPr>
          <w:ilvl w:val="2"/>
          <w:numId w:val="1"/>
        </w:numPr>
        <w:ind w:left="1560"/>
      </w:pPr>
      <w:r>
        <w:t>the reduction in income support, additional tax paid, or impact on public housing; or</w:t>
      </w:r>
    </w:p>
    <w:p w14:paraId="23ABC0E1" w14:textId="77777777" w:rsidR="000023B5" w:rsidRPr="00644493" w:rsidRDefault="000023B5" w:rsidP="00DB3DCA">
      <w:pPr>
        <w:pStyle w:val="guidelinebullet"/>
        <w:numPr>
          <w:ilvl w:val="1"/>
          <w:numId w:val="1"/>
        </w:numPr>
        <w:ind w:left="1134"/>
      </w:pPr>
      <w:r w:rsidRPr="001C0C74">
        <w:t xml:space="preserve">the financial benefit for the </w:t>
      </w:r>
      <w:r>
        <w:t>Participant</w:t>
      </w:r>
      <w:r w:rsidRPr="001C0C74">
        <w:t xml:space="preserve"> of underta</w:t>
      </w:r>
      <w:r w:rsidRPr="00644493">
        <w:t>king the work would be marginal</w:t>
      </w:r>
      <w:r w:rsidRPr="001C0C74">
        <w:t xml:space="preserve"> because of the financial cost to the </w:t>
      </w:r>
      <w:r>
        <w:t>Participant</w:t>
      </w:r>
      <w:r w:rsidRPr="001C0C74">
        <w:t xml:space="preserve"> in providing appropriate care and supervision for one or more children, for whom the </w:t>
      </w:r>
      <w:r>
        <w:t>Participant</w:t>
      </w:r>
      <w:r w:rsidRPr="001C0C74">
        <w:t xml:space="preserve"> is the principal carer, at the times when the </w:t>
      </w:r>
      <w:r>
        <w:t>Participant</w:t>
      </w:r>
      <w:r w:rsidRPr="001C0C74">
        <w:t xml:space="preserve"> would be required t</w:t>
      </w:r>
      <w:r w:rsidRPr="00644493">
        <w:t>o undertake the work</w:t>
      </w:r>
      <w:r w:rsidRPr="001C0C74">
        <w:t>.</w:t>
      </w:r>
    </w:p>
    <w:p w14:paraId="477F7164" w14:textId="5EF9A4F0" w:rsidR="00067E0B" w:rsidRPr="00987939" w:rsidRDefault="00067E0B" w:rsidP="00987939">
      <w:pPr>
        <w:pStyle w:val="DeedReferences"/>
      </w:pPr>
      <w:r w:rsidDel="00067E0B">
        <w:t xml:space="preserve"> </w:t>
      </w:r>
      <w:bookmarkStart w:id="86" w:name="_Provider_reports_a"/>
      <w:bookmarkEnd w:id="86"/>
      <w:r w:rsidRPr="00AC6E9D">
        <w:t>(</w:t>
      </w:r>
      <w:r>
        <w:t>Grant Agreement</w:t>
      </w:r>
      <w:r w:rsidRPr="00AC6E9D">
        <w:t xml:space="preserve"> references: clauses </w:t>
      </w:r>
      <w:r>
        <w:t>112.3(a), 112.6(a)</w:t>
      </w:r>
    </w:p>
    <w:p w14:paraId="3B7CC442" w14:textId="77777777" w:rsidR="00232284" w:rsidRPr="00987939" w:rsidRDefault="00232284" w:rsidP="00987939">
      <w:pPr>
        <w:pStyle w:val="guidelinetext"/>
        <w:spacing w:line="240" w:lineRule="auto"/>
        <w:ind w:left="0"/>
      </w:pPr>
    </w:p>
    <w:p w14:paraId="118FFD55" w14:textId="29A86022" w:rsidR="00952E75" w:rsidRPr="001D15EA" w:rsidRDefault="00DC37CC" w:rsidP="001D15EA">
      <w:pPr>
        <w:pStyle w:val="Heading3"/>
        <w:spacing w:before="0" w:after="120"/>
        <w:ind w:left="0"/>
        <w:rPr>
          <w:bCs/>
          <w:lang w:eastAsia="en-AU"/>
        </w:rPr>
      </w:pPr>
      <w:bookmarkStart w:id="87" w:name="_Toc177576652"/>
      <w:r w:rsidRPr="001D15EA">
        <w:rPr>
          <w:bCs/>
          <w:lang w:eastAsia="en-AU"/>
        </w:rPr>
        <w:t>R</w:t>
      </w:r>
      <w:r w:rsidR="00952E75" w:rsidRPr="001D15EA">
        <w:rPr>
          <w:bCs/>
          <w:lang w:eastAsia="en-AU"/>
        </w:rPr>
        <w:t>eport</w:t>
      </w:r>
      <w:r w:rsidRPr="001D15EA">
        <w:rPr>
          <w:bCs/>
          <w:lang w:eastAsia="en-AU"/>
        </w:rPr>
        <w:t>ing</w:t>
      </w:r>
      <w:r w:rsidR="00952E75" w:rsidRPr="001D15EA">
        <w:rPr>
          <w:bCs/>
          <w:lang w:eastAsia="en-AU"/>
        </w:rPr>
        <w:t xml:space="preserve"> a Work Refusal Failure</w:t>
      </w:r>
      <w:bookmarkEnd w:id="87"/>
    </w:p>
    <w:p w14:paraId="72D5A1A6" w14:textId="2F955D73" w:rsidR="00BC522C" w:rsidRPr="00ED454B" w:rsidRDefault="00BC522C" w:rsidP="00ED454B">
      <w:pPr>
        <w:tabs>
          <w:tab w:val="right" w:pos="1701"/>
        </w:tabs>
        <w:spacing w:after="120"/>
        <w:rPr>
          <w:rFonts w:eastAsia="Times New Roman" w:cstheme="minorHAnsi"/>
          <w:lang w:eastAsia="en-AU"/>
        </w:rPr>
      </w:pPr>
      <w:bookmarkStart w:id="88" w:name="_Toc516565587"/>
      <w:r>
        <w:t xml:space="preserve">Providers must comply with their Grant Agreement obligations relating to Work Refusal Failures (see clause 112 of the DES Grant Agreement), regardless of which compliance zone the relevant </w:t>
      </w:r>
      <w:r w:rsidRPr="00ED454B">
        <w:rPr>
          <w:rFonts w:eastAsia="Times New Roman" w:cstheme="minorHAnsi"/>
          <w:lang w:eastAsia="en-AU"/>
        </w:rPr>
        <w:t xml:space="preserve">Participant is in. In accordance with clauses 112.3 and 112.6 of the Grant Agreement, following a discussion with the Participant, the Provider must consider whether the Participant has committed a Work Refusal Failure. See above under the heading ‘Identifying </w:t>
      </w:r>
      <w:r w:rsidR="00067E0B" w:rsidRPr="00ED454B">
        <w:rPr>
          <w:rFonts w:eastAsia="Times New Roman" w:cstheme="minorHAnsi"/>
          <w:lang w:eastAsia="en-AU"/>
        </w:rPr>
        <w:t>a Work Refusal Failure’.</w:t>
      </w:r>
    </w:p>
    <w:p w14:paraId="08A73F8A" w14:textId="77777777" w:rsidR="00BC522C" w:rsidRPr="00ED454B" w:rsidRDefault="00BC522C" w:rsidP="00ED454B">
      <w:pPr>
        <w:tabs>
          <w:tab w:val="right" w:pos="1701"/>
        </w:tabs>
        <w:spacing w:after="120"/>
        <w:rPr>
          <w:rFonts w:eastAsia="Times New Roman" w:cstheme="minorHAnsi"/>
          <w:lang w:eastAsia="en-AU"/>
        </w:rPr>
      </w:pPr>
      <w:r w:rsidRPr="00ED454B">
        <w:rPr>
          <w:rFonts w:eastAsia="Times New Roman" w:cstheme="minorHAnsi"/>
          <w:lang w:eastAsia="en-AU"/>
        </w:rPr>
        <w:t xml:space="preserve">Below is a discussion of the system steps that the Provider must </w:t>
      </w:r>
      <w:proofErr w:type="gramStart"/>
      <w:r w:rsidRPr="00ED454B">
        <w:rPr>
          <w:rFonts w:eastAsia="Times New Roman" w:cstheme="minorHAnsi"/>
          <w:lang w:eastAsia="en-AU"/>
        </w:rPr>
        <w:t>follow after</w:t>
      </w:r>
      <w:proofErr w:type="gramEnd"/>
      <w:r w:rsidRPr="00ED454B">
        <w:rPr>
          <w:rFonts w:eastAsia="Times New Roman" w:cstheme="minorHAnsi"/>
          <w:lang w:eastAsia="en-AU"/>
        </w:rPr>
        <w:t xml:space="preserve"> they decide whether the Participant has committed a Work Refusal Failure.</w:t>
      </w:r>
    </w:p>
    <w:p w14:paraId="133D49B5" w14:textId="7A19B01B" w:rsidR="00BC522C" w:rsidRDefault="00BC522C" w:rsidP="00ED454B">
      <w:pPr>
        <w:tabs>
          <w:tab w:val="right" w:pos="1701"/>
        </w:tabs>
        <w:spacing w:after="120"/>
      </w:pPr>
      <w:r w:rsidRPr="00ED454B">
        <w:rPr>
          <w:rFonts w:eastAsia="Times New Roman" w:cstheme="minorHAnsi"/>
          <w:lang w:eastAsia="en-AU"/>
        </w:rPr>
        <w:t>Providers have Grant Agreement</w:t>
      </w:r>
      <w:r w:rsidRPr="00473A1C">
        <w:t xml:space="preserve"> obligations to create Work Refusal Failure reports in certain circumstances. The </w:t>
      </w:r>
      <w:r w:rsidRPr="00ED454B">
        <w:rPr>
          <w:rFonts w:eastAsia="Times New Roman" w:cstheme="minorHAnsi"/>
          <w:lang w:eastAsia="en-AU"/>
        </w:rPr>
        <w:t>systems</w:t>
      </w:r>
      <w:r w:rsidRPr="00473A1C">
        <w:t xml:space="preserve"> steps that the Provider must</w:t>
      </w:r>
      <w:r>
        <w:t xml:space="preserve"> follow to create Work Refusal Failure reports in those circumstances are discussed below.</w:t>
      </w:r>
    </w:p>
    <w:p w14:paraId="1D06E960" w14:textId="4E58197C" w:rsidR="00086BD6" w:rsidRPr="00086BD6" w:rsidRDefault="00086BD6" w:rsidP="00ED454B">
      <w:pPr>
        <w:tabs>
          <w:tab w:val="right" w:pos="1701"/>
        </w:tabs>
        <w:spacing w:after="120"/>
      </w:pPr>
      <w:r w:rsidRPr="00086BD6">
        <w:t xml:space="preserve">The Work Refusal Failure </w:t>
      </w:r>
      <w:r w:rsidR="00232284">
        <w:t>r</w:t>
      </w:r>
      <w:r w:rsidRPr="00086BD6">
        <w:t xml:space="preserve">eport must be created and finalised </w:t>
      </w:r>
      <w:r w:rsidR="00232284">
        <w:t xml:space="preserve">(as discussed below) </w:t>
      </w:r>
      <w:r w:rsidRPr="00086BD6">
        <w:t xml:space="preserve">within 10 </w:t>
      </w:r>
      <w:r w:rsidR="00232284">
        <w:t>B</w:t>
      </w:r>
      <w:r w:rsidRPr="00086BD6">
        <w:t xml:space="preserve">usiness </w:t>
      </w:r>
      <w:r w:rsidR="00232284">
        <w:t>D</w:t>
      </w:r>
      <w:r w:rsidRPr="00086BD6">
        <w:t xml:space="preserve">ays of the incident date. </w:t>
      </w:r>
      <w:r w:rsidR="00232284" w:rsidRPr="00DB3DCA">
        <w:t xml:space="preserve">this does not occur (e.g. where the Provider does not become aware of a Work Refusal Failure until after 10 Business Days have passed since the incident date), the </w:t>
      </w:r>
      <w:r w:rsidR="00232284" w:rsidRPr="00ED454B">
        <w:rPr>
          <w:rFonts w:eastAsia="Times New Roman" w:cstheme="minorHAnsi"/>
          <w:lang w:eastAsia="en-AU"/>
        </w:rPr>
        <w:t>Department’s</w:t>
      </w:r>
      <w:r w:rsidR="00232284" w:rsidRPr="00DB3DCA">
        <w:t xml:space="preserve"> IT Systems will not allow the Work Refusal Failure report to be finalised, meaning</w:t>
      </w:r>
      <w:r w:rsidRPr="00086BD6">
        <w:t xml:space="preserve"> the Work Refusal Failure </w:t>
      </w:r>
      <w:r w:rsidR="00232284">
        <w:t xml:space="preserve">will </w:t>
      </w:r>
      <w:r w:rsidR="00232284" w:rsidRPr="00086BD6">
        <w:t xml:space="preserve">not </w:t>
      </w:r>
      <w:r w:rsidRPr="00086BD6">
        <w:t xml:space="preserve">be reported to </w:t>
      </w:r>
      <w:r w:rsidR="00232284">
        <w:t>Services Australia</w:t>
      </w:r>
      <w:r w:rsidRPr="00086BD6">
        <w:t>.</w:t>
      </w:r>
    </w:p>
    <w:p w14:paraId="30C43BC5" w14:textId="77777777" w:rsidR="00232284" w:rsidRDefault="00086BD6" w:rsidP="007178E1">
      <w:pPr>
        <w:keepNext/>
        <w:keepLines/>
        <w:tabs>
          <w:tab w:val="right" w:pos="1701"/>
        </w:tabs>
        <w:spacing w:after="120"/>
      </w:pPr>
      <w:r w:rsidRPr="00086BD6">
        <w:t xml:space="preserve">The incident </w:t>
      </w:r>
      <w:r w:rsidRPr="00ED454B">
        <w:rPr>
          <w:rFonts w:eastAsia="Times New Roman" w:cstheme="minorHAnsi"/>
          <w:lang w:eastAsia="en-AU"/>
        </w:rPr>
        <w:t>date</w:t>
      </w:r>
      <w:r w:rsidRPr="00086BD6">
        <w:t xml:space="preserve"> is the date that the Participant</w:t>
      </w:r>
      <w:r w:rsidR="00232284">
        <w:t>:</w:t>
      </w:r>
    </w:p>
    <w:p w14:paraId="7EA09C3C" w14:textId="41407364" w:rsidR="00232284" w:rsidRDefault="00086BD6" w:rsidP="007178E1">
      <w:pPr>
        <w:pStyle w:val="guidelinetext"/>
        <w:keepNext/>
        <w:keepLines/>
        <w:numPr>
          <w:ilvl w:val="0"/>
          <w:numId w:val="1"/>
        </w:numPr>
        <w:spacing w:before="60" w:line="240" w:lineRule="auto"/>
        <w:ind w:left="714" w:hanging="357"/>
      </w:pPr>
      <w:r w:rsidRPr="00B87408">
        <w:t xml:space="preserve">refused an offer of </w:t>
      </w:r>
      <w:r w:rsidR="00232284">
        <w:t>suitable Employment.  For example,</w:t>
      </w:r>
      <w:r w:rsidRPr="00B87408">
        <w:t xml:space="preserve"> if a Participant was offered a job at an interview and </w:t>
      </w:r>
      <w:r w:rsidR="00232284">
        <w:t>refused</w:t>
      </w:r>
      <w:r w:rsidRPr="00B87408">
        <w:t xml:space="preserve"> that offer</w:t>
      </w:r>
      <w:r w:rsidR="00232284">
        <w:t>:</w:t>
      </w:r>
    </w:p>
    <w:p w14:paraId="4A711171" w14:textId="34D11CA5" w:rsidR="00232284" w:rsidRDefault="0042555A" w:rsidP="007178E1">
      <w:pPr>
        <w:pStyle w:val="guidelinebullet"/>
        <w:keepNext/>
        <w:keepLines/>
        <w:numPr>
          <w:ilvl w:val="1"/>
          <w:numId w:val="1"/>
        </w:numPr>
        <w:ind w:left="1134"/>
      </w:pPr>
      <w:r>
        <w:t>o</w:t>
      </w:r>
      <w:r w:rsidR="00232284">
        <w:t>n the day of the interview</w:t>
      </w:r>
      <w:r w:rsidR="00086BD6" w:rsidRPr="00232284">
        <w:t>, the incident date is the date of the interview</w:t>
      </w:r>
      <w:r w:rsidR="00232284">
        <w:t>; or</w:t>
      </w:r>
    </w:p>
    <w:p w14:paraId="2D33D8E0" w14:textId="3EFCE0EB" w:rsidR="00086BD6" w:rsidRDefault="00067E0B" w:rsidP="00DB3DCA">
      <w:pPr>
        <w:pStyle w:val="guidelinebullet"/>
        <w:numPr>
          <w:ilvl w:val="1"/>
          <w:numId w:val="1"/>
        </w:numPr>
        <w:ind w:left="1134"/>
      </w:pPr>
      <w:r>
        <w:t>t</w:t>
      </w:r>
      <w:r w:rsidR="00232284">
        <w:t>hree days after the interview, the incident date</w:t>
      </w:r>
      <w:r w:rsidR="00232284" w:rsidRPr="00232284">
        <w:t xml:space="preserve"> is the date that is three days after the </w:t>
      </w:r>
      <w:proofErr w:type="gramStart"/>
      <w:r w:rsidR="00232284" w:rsidRPr="00232284">
        <w:t>interview;</w:t>
      </w:r>
      <w:proofErr w:type="gramEnd"/>
      <w:r w:rsidR="00232284" w:rsidRPr="00232284">
        <w:t xml:space="preserve"> or</w:t>
      </w:r>
    </w:p>
    <w:p w14:paraId="6C77490D" w14:textId="77777777" w:rsidR="00232284" w:rsidRPr="00B87408" w:rsidRDefault="00232284" w:rsidP="003E397F">
      <w:pPr>
        <w:pStyle w:val="guidelinetext"/>
        <w:numPr>
          <w:ilvl w:val="0"/>
          <w:numId w:val="1"/>
        </w:numPr>
        <w:spacing w:before="60" w:line="240" w:lineRule="auto"/>
        <w:ind w:left="714" w:hanging="357"/>
      </w:pPr>
      <w:r w:rsidRPr="00B87408">
        <w:t>failed to accept an offer of suitable Employment. For example:</w:t>
      </w:r>
    </w:p>
    <w:p w14:paraId="373A6CD6" w14:textId="77777777" w:rsidR="00232284" w:rsidRDefault="00232284" w:rsidP="00DB3DCA">
      <w:pPr>
        <w:pStyle w:val="guidelinebullet"/>
        <w:numPr>
          <w:ilvl w:val="1"/>
          <w:numId w:val="1"/>
        </w:numPr>
        <w:ind w:left="1134"/>
      </w:pPr>
      <w:r>
        <w:lastRenderedPageBreak/>
        <w:t>if the Participant was given 14 days to accept the offer, and did not do so, the incident date is the 14</w:t>
      </w:r>
      <w:r w:rsidRPr="00DB3DCA">
        <w:t>th</w:t>
      </w:r>
      <w:r>
        <w:t xml:space="preserve"> day (unless the Participant actively refuses the job on an earlier day); or</w:t>
      </w:r>
    </w:p>
    <w:p w14:paraId="576E23FC" w14:textId="77777777" w:rsidR="00232284" w:rsidRDefault="00232284" w:rsidP="00DB3DCA">
      <w:pPr>
        <w:pStyle w:val="guidelinebullet"/>
        <w:numPr>
          <w:ilvl w:val="1"/>
          <w:numId w:val="1"/>
        </w:numPr>
        <w:ind w:left="1134"/>
      </w:pPr>
      <w:r>
        <w:t xml:space="preserve">if, when the offer was made, the Participant agreed a start date with the potential Employer, but did not commence work on that date, the incident date is </w:t>
      </w:r>
      <w:proofErr w:type="gramStart"/>
      <w:r>
        <w:t>date</w:t>
      </w:r>
      <w:proofErr w:type="gramEnd"/>
      <w:r>
        <w:t xml:space="preserve"> the Participant was due to start.</w:t>
      </w:r>
    </w:p>
    <w:p w14:paraId="2BC56D87" w14:textId="459E82C7" w:rsidR="00067E0B" w:rsidRPr="00067E0B" w:rsidRDefault="00067E0B" w:rsidP="00B659B6">
      <w:pPr>
        <w:pStyle w:val="DeedReferences"/>
      </w:pPr>
      <w:r w:rsidRPr="00AC6E9D">
        <w:t>(</w:t>
      </w:r>
      <w:r>
        <w:t>Grant Agreement</w:t>
      </w:r>
      <w:r w:rsidRPr="00AC6E9D">
        <w:t xml:space="preserve"> references: clauses </w:t>
      </w:r>
      <w:r w:rsidRPr="00473A1C">
        <w:t>11</w:t>
      </w:r>
      <w:r w:rsidRPr="00DB3DCA">
        <w:t>2</w:t>
      </w:r>
      <w:r w:rsidRPr="00473A1C">
        <w:t>.</w:t>
      </w:r>
      <w:r w:rsidRPr="00DB3DCA">
        <w:t>4</w:t>
      </w:r>
      <w:r w:rsidRPr="00473A1C">
        <w:t>(b)</w:t>
      </w:r>
      <w:r>
        <w:t>,</w:t>
      </w:r>
      <w:r w:rsidRPr="00473A1C">
        <w:t xml:space="preserve"> 11</w:t>
      </w:r>
      <w:r w:rsidRPr="00DB3DCA">
        <w:t>2</w:t>
      </w:r>
      <w:r w:rsidRPr="00473A1C">
        <w:t>.</w:t>
      </w:r>
      <w:r w:rsidRPr="00DB3DCA">
        <w:t>5</w:t>
      </w:r>
      <w:r w:rsidRPr="00473A1C">
        <w:t>(a)</w:t>
      </w:r>
      <w:r>
        <w:t>)</w:t>
      </w:r>
    </w:p>
    <w:p w14:paraId="5ABF14D2" w14:textId="582BCD28" w:rsidR="006D2825" w:rsidRPr="006E01E7" w:rsidRDefault="006D2825" w:rsidP="00B659B6">
      <w:pPr>
        <w:pStyle w:val="Heading4"/>
      </w:pPr>
      <w:bookmarkStart w:id="89" w:name="_Toc521067160"/>
      <w:bookmarkStart w:id="90" w:name="_Toc177576653"/>
      <w:bookmarkEnd w:id="88"/>
      <w:r w:rsidRPr="008F42FE">
        <w:t xml:space="preserve">Contact </w:t>
      </w:r>
      <w:r w:rsidR="00232284">
        <w:t xml:space="preserve">attempt </w:t>
      </w:r>
      <w:r w:rsidR="00232284" w:rsidRPr="00032FF7">
        <w:t>is s</w:t>
      </w:r>
      <w:r w:rsidRPr="00032FF7">
        <w:t>uccessful</w:t>
      </w:r>
      <w:bookmarkEnd w:id="89"/>
      <w:r w:rsidRPr="008F42FE">
        <w:t xml:space="preserve"> </w:t>
      </w:r>
      <w:r w:rsidR="00232284">
        <w:t>on the same Business Day</w:t>
      </w:r>
      <w:bookmarkEnd w:id="90"/>
    </w:p>
    <w:p w14:paraId="7DC12AD1" w14:textId="77777777" w:rsidR="00232284" w:rsidRPr="00B659B6" w:rsidRDefault="00232284" w:rsidP="006E01E7">
      <w:pPr>
        <w:spacing w:before="240" w:after="120"/>
        <w:rPr>
          <w:rFonts w:ascii="Calibri" w:eastAsia="Times New Roman" w:hAnsi="Calibri" w:cs="Times New Roman"/>
          <w:i/>
          <w:szCs w:val="24"/>
          <w:u w:val="single"/>
          <w:lang w:eastAsia="en-AU"/>
        </w:rPr>
      </w:pPr>
      <w:r w:rsidRPr="00B659B6">
        <w:rPr>
          <w:rFonts w:ascii="Calibri" w:eastAsia="Times New Roman" w:hAnsi="Calibri" w:cs="Times New Roman"/>
          <w:i/>
          <w:szCs w:val="24"/>
          <w:u w:val="single"/>
          <w:lang w:eastAsia="en-AU"/>
        </w:rPr>
        <w:t>Provider considers that the Participant committed a Work Refusal Failure</w:t>
      </w:r>
    </w:p>
    <w:p w14:paraId="62852A73" w14:textId="77777777" w:rsidR="00232284" w:rsidRPr="00B87408" w:rsidRDefault="00232284" w:rsidP="00ED454B">
      <w:pPr>
        <w:tabs>
          <w:tab w:val="right" w:pos="1701"/>
        </w:tabs>
        <w:spacing w:after="120"/>
      </w:pPr>
      <w:r w:rsidRPr="00B87408">
        <w:t xml:space="preserve">This section of </w:t>
      </w:r>
      <w:r w:rsidRPr="00ED454B">
        <w:rPr>
          <w:rFonts w:eastAsia="Times New Roman" w:cstheme="minorHAnsi"/>
          <w:lang w:eastAsia="en-AU"/>
        </w:rPr>
        <w:t>the</w:t>
      </w:r>
      <w:r w:rsidRPr="00B87408">
        <w:t xml:space="preserve"> Guideline applies when, after discussing the circumstances of an apparent Work Refusal Failure with the Participant, the Provider:</w:t>
      </w:r>
    </w:p>
    <w:p w14:paraId="29BA76B7" w14:textId="4F4AC844" w:rsidR="00232284" w:rsidRPr="00B87408" w:rsidRDefault="00232284" w:rsidP="003E397F">
      <w:pPr>
        <w:pStyle w:val="guidelinetext"/>
        <w:numPr>
          <w:ilvl w:val="0"/>
          <w:numId w:val="1"/>
        </w:numPr>
        <w:spacing w:before="60" w:line="240" w:lineRule="auto"/>
        <w:ind w:left="714" w:hanging="357"/>
      </w:pPr>
      <w:r w:rsidRPr="00B87408">
        <w:t xml:space="preserve">considers the Participant committed a Work Refusal Failure (see the discussion under the heading ‘Identifying a Work Refusal Failure’ </w:t>
      </w:r>
      <w:r w:rsidR="00067E0B">
        <w:t>above); and</w:t>
      </w:r>
    </w:p>
    <w:p w14:paraId="71690466" w14:textId="20E2ED5A" w:rsidR="00232284" w:rsidRPr="00B87408" w:rsidRDefault="00232284" w:rsidP="003E397F">
      <w:pPr>
        <w:pStyle w:val="guidelinetext"/>
        <w:numPr>
          <w:ilvl w:val="0"/>
          <w:numId w:val="1"/>
        </w:numPr>
        <w:spacing w:before="60" w:line="240" w:lineRule="auto"/>
        <w:ind w:left="714" w:hanging="357"/>
      </w:pPr>
      <w:r w:rsidRPr="00B87408">
        <w:t>has an obligation to create a Work Refusal Failure report under clause 11</w:t>
      </w:r>
      <w:r>
        <w:t>2</w:t>
      </w:r>
      <w:r w:rsidRPr="00B87408">
        <w:t>.</w:t>
      </w:r>
      <w:r>
        <w:t>4</w:t>
      </w:r>
      <w:r w:rsidRPr="00B87408">
        <w:t xml:space="preserve">(b) of the </w:t>
      </w:r>
      <w:r>
        <w:t>Grant Agreement</w:t>
      </w:r>
      <w:r w:rsidRPr="00B87408">
        <w:t xml:space="preserve"> (i.e. because they had the discussion with the Participant on the Business </w:t>
      </w:r>
      <w:proofErr w:type="gramStart"/>
      <w:r w:rsidRPr="00B87408">
        <w:t>Day</w:t>
      </w:r>
      <w:proofErr w:type="gramEnd"/>
      <w:r w:rsidRPr="00B87408">
        <w:t xml:space="preserve"> they became aware of the apparent Work Refusal Failure).</w:t>
      </w:r>
    </w:p>
    <w:p w14:paraId="64DAA68D" w14:textId="77777777" w:rsidR="00232284" w:rsidRPr="00B87408" w:rsidRDefault="00232284" w:rsidP="00ED454B">
      <w:pPr>
        <w:tabs>
          <w:tab w:val="right" w:pos="1701"/>
        </w:tabs>
        <w:spacing w:after="120"/>
      </w:pPr>
      <w:r w:rsidRPr="00B87408">
        <w:t xml:space="preserve">In that case, the </w:t>
      </w:r>
      <w:r w:rsidRPr="00ED454B">
        <w:rPr>
          <w:rFonts w:eastAsia="Times New Roman" w:cstheme="minorHAnsi"/>
          <w:lang w:eastAsia="en-AU"/>
        </w:rPr>
        <w:t>Provider</w:t>
      </w:r>
      <w:r w:rsidRPr="00B87408">
        <w:t xml:space="preserve"> must create and finalise the Work Refusal Failure report by undertaking the following steps in the Department’s IT System:</w:t>
      </w:r>
    </w:p>
    <w:p w14:paraId="333465D6" w14:textId="77777777" w:rsidR="00232284" w:rsidRPr="00B87408" w:rsidRDefault="00232284" w:rsidP="003E397F">
      <w:pPr>
        <w:pStyle w:val="guidelinetext"/>
        <w:numPr>
          <w:ilvl w:val="0"/>
          <w:numId w:val="1"/>
        </w:numPr>
        <w:spacing w:before="60" w:line="240" w:lineRule="auto"/>
        <w:ind w:left="714" w:hanging="357"/>
      </w:pPr>
      <w:r w:rsidRPr="00B87408">
        <w:t>selecting ‘create compliance</w:t>
      </w:r>
      <w:proofErr w:type="gramStart"/>
      <w:r w:rsidRPr="00B87408">
        <w:t>’;</w:t>
      </w:r>
      <w:proofErr w:type="gramEnd"/>
    </w:p>
    <w:p w14:paraId="7C338AD2" w14:textId="77777777" w:rsidR="00232284" w:rsidRPr="00B87408" w:rsidRDefault="00232284" w:rsidP="003E397F">
      <w:pPr>
        <w:pStyle w:val="guidelinetext"/>
        <w:numPr>
          <w:ilvl w:val="0"/>
          <w:numId w:val="1"/>
        </w:numPr>
        <w:spacing w:before="60" w:line="240" w:lineRule="auto"/>
        <w:ind w:left="714" w:hanging="357"/>
      </w:pPr>
      <w:r w:rsidRPr="00B87408">
        <w:t xml:space="preserve">selecting the Event Type from the </w:t>
      </w:r>
      <w:proofErr w:type="gramStart"/>
      <w:r w:rsidRPr="00B87408">
        <w:t>drop down</w:t>
      </w:r>
      <w:proofErr w:type="gramEnd"/>
      <w:r w:rsidRPr="00B87408">
        <w:t xml:space="preserve"> menu that will appear as follows:</w:t>
      </w:r>
    </w:p>
    <w:p w14:paraId="60619073" w14:textId="77777777" w:rsidR="00232284" w:rsidRDefault="00232284" w:rsidP="00DB3DCA">
      <w:pPr>
        <w:pStyle w:val="guidelinebullet"/>
        <w:numPr>
          <w:ilvl w:val="1"/>
          <w:numId w:val="1"/>
        </w:numPr>
        <w:ind w:left="1134"/>
      </w:pPr>
      <w:r>
        <w:t>select ‘job seeker failed to accept suitable job’ where the Provider</w:t>
      </w:r>
      <w:r w:rsidRPr="00310CC7">
        <w:t xml:space="preserve"> consider</w:t>
      </w:r>
      <w:r>
        <w:t>s</w:t>
      </w:r>
      <w:r w:rsidRPr="00310CC7">
        <w:t xml:space="preserve"> that the </w:t>
      </w:r>
      <w:r>
        <w:t>Participant</w:t>
      </w:r>
      <w:r w:rsidRPr="00310CC7">
        <w:t xml:space="preserve"> </w:t>
      </w:r>
      <w:r>
        <w:t>refused or failed to accept an offer of suitable Employment, other than by failing to commence work on the start date agreed with the potential Employer; or</w:t>
      </w:r>
    </w:p>
    <w:p w14:paraId="19EF76DA" w14:textId="77777777" w:rsidR="00232284" w:rsidRDefault="00232284" w:rsidP="00DB3DCA">
      <w:pPr>
        <w:pStyle w:val="guidelinebullet"/>
        <w:numPr>
          <w:ilvl w:val="1"/>
          <w:numId w:val="1"/>
        </w:numPr>
        <w:ind w:left="1134"/>
      </w:pPr>
      <w:r>
        <w:t>select ‘job seeker failed to commence suitable job’ where the Provider</w:t>
      </w:r>
      <w:r w:rsidRPr="00310CC7">
        <w:t xml:space="preserve"> consider</w:t>
      </w:r>
      <w:r>
        <w:t>s</w:t>
      </w:r>
      <w:r w:rsidRPr="00310CC7">
        <w:t xml:space="preserve"> that the </w:t>
      </w:r>
      <w:r>
        <w:t>Participant</w:t>
      </w:r>
      <w:r w:rsidRPr="00310CC7">
        <w:t xml:space="preserve"> </w:t>
      </w:r>
      <w:r>
        <w:t xml:space="preserve">failed to commence work on the start date agreed with the potential </w:t>
      </w:r>
      <w:proofErr w:type="gramStart"/>
      <w:r>
        <w:t>Employer;</w:t>
      </w:r>
      <w:proofErr w:type="gramEnd"/>
    </w:p>
    <w:p w14:paraId="12AF5254" w14:textId="77777777" w:rsidR="00232284" w:rsidRPr="00B87408" w:rsidRDefault="00232284" w:rsidP="003E397F">
      <w:pPr>
        <w:pStyle w:val="guidelinetext"/>
        <w:numPr>
          <w:ilvl w:val="0"/>
          <w:numId w:val="1"/>
        </w:numPr>
        <w:spacing w:before="60" w:line="240" w:lineRule="auto"/>
        <w:ind w:left="714" w:hanging="357"/>
      </w:pPr>
      <w:r w:rsidRPr="00B87408">
        <w:t>recording the incident date (discussed above</w:t>
      </w:r>
      <w:proofErr w:type="gramStart"/>
      <w:r w:rsidRPr="00B87408">
        <w:t>);</w:t>
      </w:r>
      <w:proofErr w:type="gramEnd"/>
    </w:p>
    <w:p w14:paraId="6AF61EC7" w14:textId="77777777" w:rsidR="00232284" w:rsidRPr="00B87408" w:rsidRDefault="00232284" w:rsidP="003E397F">
      <w:pPr>
        <w:pStyle w:val="guidelinetext"/>
        <w:numPr>
          <w:ilvl w:val="0"/>
          <w:numId w:val="1"/>
        </w:numPr>
        <w:spacing w:before="60" w:line="240" w:lineRule="auto"/>
        <w:ind w:left="714" w:hanging="357"/>
      </w:pPr>
      <w:r w:rsidRPr="00B87408">
        <w:t xml:space="preserve">answering ‘yes’ to the question of whether they are in contact with the </w:t>
      </w:r>
      <w:proofErr w:type="gramStart"/>
      <w:r w:rsidRPr="00B87408">
        <w:t>Participant;</w:t>
      </w:r>
      <w:proofErr w:type="gramEnd"/>
      <w:r w:rsidRPr="00B87408">
        <w:t xml:space="preserve"> </w:t>
      </w:r>
    </w:p>
    <w:p w14:paraId="7F07B652" w14:textId="77777777" w:rsidR="00232284" w:rsidRPr="00B87408" w:rsidRDefault="00232284" w:rsidP="003E397F">
      <w:pPr>
        <w:pStyle w:val="guidelinetext"/>
        <w:numPr>
          <w:ilvl w:val="0"/>
          <w:numId w:val="1"/>
        </w:numPr>
        <w:spacing w:before="60" w:line="240" w:lineRule="auto"/>
        <w:ind w:left="714" w:hanging="357"/>
      </w:pPr>
      <w:r w:rsidRPr="00B87408">
        <w:t xml:space="preserve">selecting a reason from the ‘Reasons not accepted’ column of the </w:t>
      </w:r>
      <w:proofErr w:type="gramStart"/>
      <w:r w:rsidRPr="00B87408">
        <w:t>drop down</w:t>
      </w:r>
      <w:proofErr w:type="gramEnd"/>
      <w:r w:rsidRPr="00B87408">
        <w:t xml:space="preserve"> menu that will appear. The Provider must select the reason that most closely aligns with the reason the Participant gave as to why they refused or failed to accept the offer of suitable Employment. A full list of these drop-down menu options can be found at Attachment </w:t>
      </w:r>
      <w:proofErr w:type="gramStart"/>
      <w:r w:rsidRPr="00B87408">
        <w:t>A;</w:t>
      </w:r>
      <w:proofErr w:type="gramEnd"/>
    </w:p>
    <w:p w14:paraId="65EA55B5" w14:textId="77777777" w:rsidR="00232284" w:rsidRPr="00B87408" w:rsidRDefault="00232284" w:rsidP="003E397F">
      <w:pPr>
        <w:pStyle w:val="guidelinetext"/>
        <w:numPr>
          <w:ilvl w:val="0"/>
          <w:numId w:val="1"/>
        </w:numPr>
        <w:spacing w:before="60" w:line="240" w:lineRule="auto"/>
        <w:ind w:left="714" w:hanging="357"/>
      </w:pPr>
      <w:r w:rsidRPr="00B87408">
        <w:t>otherwise accurately answer the questions that will be automatically generated; and</w:t>
      </w:r>
    </w:p>
    <w:p w14:paraId="69E6EC93" w14:textId="77777777" w:rsidR="00232284" w:rsidRPr="00B87408" w:rsidRDefault="00232284" w:rsidP="003E397F">
      <w:pPr>
        <w:pStyle w:val="guidelinetext"/>
        <w:numPr>
          <w:ilvl w:val="0"/>
          <w:numId w:val="1"/>
        </w:numPr>
        <w:spacing w:before="60" w:line="240" w:lineRule="auto"/>
        <w:ind w:left="714" w:hanging="357"/>
      </w:pPr>
      <w:r w:rsidRPr="00B87408">
        <w:t>selecting ‘create’, which will finalise the Work Refusal Failure report and send it to Services Australia. Services Australia will assess whether the Participant had a Reasonable Excuse for the Work Refusal Failure, which will determine whether the Participant’s Income Support Payment is cancelled.</w:t>
      </w:r>
    </w:p>
    <w:p w14:paraId="5B0EABDA" w14:textId="77777777" w:rsidR="00232284" w:rsidRPr="00B87408" w:rsidRDefault="00232284" w:rsidP="00ED454B">
      <w:pPr>
        <w:tabs>
          <w:tab w:val="right" w:pos="1701"/>
        </w:tabs>
        <w:spacing w:after="120"/>
      </w:pPr>
      <w:r w:rsidRPr="00B87408">
        <w:t>By creating and finalising the Work Refusal Failure report as described above, the Provider is confirming that they consider that the Participant has committed a Work Refusal Failure.</w:t>
      </w:r>
    </w:p>
    <w:p w14:paraId="33E806E0" w14:textId="2B5ADC94" w:rsidR="00B87408" w:rsidRPr="001D15EA" w:rsidRDefault="00B87408" w:rsidP="001D15EA">
      <w:pPr>
        <w:keepNext/>
        <w:keepLines/>
        <w:spacing w:before="240" w:after="120"/>
        <w:rPr>
          <w:rFonts w:ascii="Calibri" w:eastAsia="Times New Roman" w:hAnsi="Calibri" w:cs="Times New Roman"/>
          <w:i/>
          <w:szCs w:val="24"/>
          <w:u w:val="single"/>
          <w:lang w:eastAsia="en-AU"/>
        </w:rPr>
      </w:pPr>
      <w:r w:rsidRPr="001D15EA">
        <w:rPr>
          <w:rFonts w:ascii="Calibri" w:eastAsia="Times New Roman" w:hAnsi="Calibri" w:cs="Times New Roman"/>
          <w:i/>
          <w:szCs w:val="24"/>
          <w:u w:val="single"/>
          <w:lang w:eastAsia="en-AU"/>
        </w:rPr>
        <w:t>Provider considers that the Participant has not committed a Work Refusal Failure</w:t>
      </w:r>
    </w:p>
    <w:p w14:paraId="6CA73DE2" w14:textId="77777777" w:rsidR="00B87408" w:rsidRPr="00B87408" w:rsidRDefault="00B87408" w:rsidP="00ED454B">
      <w:pPr>
        <w:tabs>
          <w:tab w:val="right" w:pos="1701"/>
        </w:tabs>
        <w:spacing w:after="120"/>
      </w:pPr>
      <w:r w:rsidRPr="00B87408">
        <w:t>This section of the Guideline applies when the Provider:</w:t>
      </w:r>
    </w:p>
    <w:p w14:paraId="66FDEEBA" w14:textId="77777777" w:rsidR="00B87408" w:rsidRPr="00B87408" w:rsidRDefault="00B87408" w:rsidP="003E397F">
      <w:pPr>
        <w:pStyle w:val="guidelinetext"/>
        <w:numPr>
          <w:ilvl w:val="0"/>
          <w:numId w:val="1"/>
        </w:numPr>
        <w:spacing w:before="60" w:line="240" w:lineRule="auto"/>
        <w:ind w:left="714" w:hanging="357"/>
      </w:pPr>
      <w:r w:rsidRPr="00B87408">
        <w:t>is in contact with the Participant on the Business Day on which the Provider became aware of an apparent Work Refusal Failure; and</w:t>
      </w:r>
    </w:p>
    <w:p w14:paraId="36BC3781" w14:textId="77777777" w:rsidR="00B87408" w:rsidRPr="00B87408" w:rsidRDefault="00B87408" w:rsidP="003E397F">
      <w:pPr>
        <w:pStyle w:val="guidelinetext"/>
        <w:numPr>
          <w:ilvl w:val="0"/>
          <w:numId w:val="1"/>
        </w:numPr>
        <w:spacing w:before="60" w:line="240" w:lineRule="auto"/>
        <w:ind w:left="714" w:hanging="357"/>
      </w:pPr>
      <w:r w:rsidRPr="00B87408">
        <w:lastRenderedPageBreak/>
        <w:t>after discussing the circumstances of the apparent Work Refusal Failure with the Participant, considers the Participant has not committed a Work Refusal Failure (see the discussion under the heading ‘Identifying a Work Refusal Failure’ above).</w:t>
      </w:r>
    </w:p>
    <w:p w14:paraId="6DAA12D9" w14:textId="6B2EFEE1" w:rsidR="00B87408" w:rsidRPr="00B87408" w:rsidRDefault="00B87408" w:rsidP="00A251E8">
      <w:pPr>
        <w:tabs>
          <w:tab w:val="right" w:pos="1701"/>
        </w:tabs>
        <w:spacing w:after="120"/>
      </w:pPr>
      <w:r w:rsidRPr="00B87408">
        <w:t>In this case, the Provider does not need to take any further action.</w:t>
      </w:r>
    </w:p>
    <w:p w14:paraId="4848C459" w14:textId="2401D458" w:rsidR="00067E0B" w:rsidRPr="00B659B6" w:rsidRDefault="00067E0B" w:rsidP="001D15EA">
      <w:pPr>
        <w:spacing w:before="240" w:after="120"/>
        <w:rPr>
          <w:rFonts w:ascii="Calibri" w:eastAsia="Times New Roman" w:hAnsi="Calibri" w:cs="Times New Roman"/>
          <w:i/>
          <w:szCs w:val="24"/>
          <w:u w:val="single"/>
          <w:lang w:eastAsia="en-AU"/>
        </w:rPr>
      </w:pPr>
      <w:bookmarkStart w:id="91" w:name="_Hlk66784741"/>
      <w:r w:rsidRPr="00B659B6">
        <w:rPr>
          <w:rFonts w:ascii="Calibri" w:eastAsia="Times New Roman" w:hAnsi="Calibri" w:cs="Times New Roman"/>
          <w:i/>
          <w:szCs w:val="24"/>
          <w:u w:val="single"/>
          <w:lang w:eastAsia="en-AU"/>
        </w:rPr>
        <w:t>Provider considers that the Participant has been non-</w:t>
      </w:r>
      <w:proofErr w:type="gramStart"/>
      <w:r w:rsidRPr="00B659B6">
        <w:rPr>
          <w:rFonts w:ascii="Calibri" w:eastAsia="Times New Roman" w:hAnsi="Calibri" w:cs="Times New Roman"/>
          <w:i/>
          <w:szCs w:val="24"/>
          <w:u w:val="single"/>
          <w:lang w:eastAsia="en-AU"/>
        </w:rPr>
        <w:t>compliant</w:t>
      </w:r>
      <w:proofErr w:type="gramEnd"/>
      <w:r w:rsidRPr="00B659B6">
        <w:rPr>
          <w:rFonts w:ascii="Calibri" w:eastAsia="Times New Roman" w:hAnsi="Calibri" w:cs="Times New Roman"/>
          <w:i/>
          <w:szCs w:val="24"/>
          <w:u w:val="single"/>
          <w:lang w:eastAsia="en-AU"/>
        </w:rPr>
        <w:t xml:space="preserve"> but the TCF cannot be</w:t>
      </w:r>
      <w:r w:rsidR="00032FF7">
        <w:rPr>
          <w:rFonts w:ascii="Calibri" w:eastAsia="Times New Roman" w:hAnsi="Calibri" w:cs="Times New Roman"/>
          <w:i/>
          <w:szCs w:val="24"/>
          <w:u w:val="single"/>
          <w:lang w:eastAsia="en-AU"/>
        </w:rPr>
        <w:t xml:space="preserve"> applied</w:t>
      </w:r>
    </w:p>
    <w:p w14:paraId="767184FD" w14:textId="77777777" w:rsidR="00067E0B" w:rsidRPr="00067E0B" w:rsidRDefault="00067E0B" w:rsidP="00ED454B">
      <w:pPr>
        <w:tabs>
          <w:tab w:val="right" w:pos="1701"/>
        </w:tabs>
        <w:spacing w:after="120"/>
      </w:pPr>
      <w:r w:rsidRPr="00067E0B">
        <w:t>This section of the Guideline applies when the Provider:</w:t>
      </w:r>
    </w:p>
    <w:p w14:paraId="7C07CF6C" w14:textId="77777777" w:rsidR="00067E0B" w:rsidRPr="00067E0B" w:rsidRDefault="00067E0B" w:rsidP="003E397F">
      <w:pPr>
        <w:pStyle w:val="guidelinetext"/>
        <w:numPr>
          <w:ilvl w:val="0"/>
          <w:numId w:val="1"/>
        </w:numPr>
        <w:spacing w:before="60" w:line="240" w:lineRule="auto"/>
        <w:ind w:left="714" w:hanging="357"/>
      </w:pPr>
      <w:r w:rsidRPr="00067E0B">
        <w:t>is in contact with the Participant on the Business Day on which the Provider became aware of an apparent Work Refusal Failure; and</w:t>
      </w:r>
    </w:p>
    <w:p w14:paraId="21506426" w14:textId="77777777" w:rsidR="001D15EA" w:rsidRDefault="00067E0B" w:rsidP="003E397F">
      <w:pPr>
        <w:pStyle w:val="guidelinetext"/>
        <w:numPr>
          <w:ilvl w:val="0"/>
          <w:numId w:val="1"/>
        </w:numPr>
        <w:spacing w:before="60" w:line="240" w:lineRule="auto"/>
        <w:ind w:left="714" w:hanging="357"/>
      </w:pPr>
      <w:r w:rsidRPr="00067E0B">
        <w:t xml:space="preserve">after discussing the circumstances of the apparent Work Refusal Failure with the Participant, the Provider considers that the TCF cannot be applied (e.g. more than 10 Business Days have past), but the Participant has been non-compliant. </w:t>
      </w:r>
    </w:p>
    <w:p w14:paraId="52AD69A1" w14:textId="15846C2B" w:rsidR="00067E0B" w:rsidRPr="00067E0B" w:rsidRDefault="001D15EA" w:rsidP="00B659B6">
      <w:pPr>
        <w:tabs>
          <w:tab w:val="right" w:pos="1701"/>
        </w:tabs>
        <w:spacing w:after="120"/>
      </w:pPr>
      <w:r>
        <w:t>In this case r</w:t>
      </w:r>
      <w:r w:rsidR="00067E0B" w:rsidRPr="00067E0B">
        <w:t xml:space="preserve">efer to the TCF workflow at Attachment D of the </w:t>
      </w:r>
      <w:r w:rsidR="00067E0B" w:rsidRPr="00067E0B">
        <w:rPr>
          <w:i/>
        </w:rPr>
        <w:t>Targeted Compliance Framework: Mutual Obligation Failures Guideline</w:t>
      </w:r>
      <w:r w:rsidR="00067E0B" w:rsidRPr="00067E0B">
        <w:t>.</w:t>
      </w:r>
    </w:p>
    <w:p w14:paraId="2A493071" w14:textId="2440BBC4" w:rsidR="006D2825" w:rsidRPr="006E01E7" w:rsidRDefault="006D2825" w:rsidP="00B659B6">
      <w:pPr>
        <w:pStyle w:val="Heading4"/>
      </w:pPr>
      <w:bookmarkStart w:id="92" w:name="_Toc521067161"/>
      <w:bookmarkStart w:id="93" w:name="_Toc177576654"/>
      <w:bookmarkEnd w:id="91"/>
      <w:r w:rsidRPr="008F42FE">
        <w:t xml:space="preserve">Contact </w:t>
      </w:r>
      <w:r w:rsidR="00B87408">
        <w:t xml:space="preserve">attempt </w:t>
      </w:r>
      <w:r w:rsidR="00B87408" w:rsidRPr="00032FF7">
        <w:t>is n</w:t>
      </w:r>
      <w:r w:rsidRPr="00032FF7">
        <w:t xml:space="preserve">ot </w:t>
      </w:r>
      <w:r w:rsidR="00B87408" w:rsidRPr="00032FF7">
        <w:t>s</w:t>
      </w:r>
      <w:r w:rsidRPr="00032FF7">
        <w:t>uccessful</w:t>
      </w:r>
      <w:bookmarkEnd w:id="92"/>
      <w:r w:rsidRPr="008F42FE">
        <w:t xml:space="preserve"> </w:t>
      </w:r>
      <w:r w:rsidR="00B87408">
        <w:t>on the same Business Day</w:t>
      </w:r>
      <w:bookmarkEnd w:id="93"/>
    </w:p>
    <w:p w14:paraId="4DD2F981" w14:textId="2610810A" w:rsidR="00B87408" w:rsidRPr="00B87408" w:rsidRDefault="00B87408" w:rsidP="00ED454B">
      <w:pPr>
        <w:tabs>
          <w:tab w:val="right" w:pos="1701"/>
        </w:tabs>
        <w:spacing w:after="120"/>
      </w:pPr>
      <w:r w:rsidRPr="00B87408">
        <w:t xml:space="preserve">Providers have obligations under the </w:t>
      </w:r>
      <w:r>
        <w:t>Grant Agreement</w:t>
      </w:r>
      <w:r w:rsidRPr="00B87408">
        <w:t xml:space="preserve"> when they become aware that a Participant has apparently </w:t>
      </w:r>
      <w:r w:rsidRPr="00ED454B">
        <w:rPr>
          <w:rFonts w:eastAsia="Times New Roman" w:cstheme="minorHAnsi"/>
          <w:lang w:eastAsia="en-AU"/>
        </w:rPr>
        <w:t>committed</w:t>
      </w:r>
      <w:r w:rsidRPr="00B87408">
        <w:t xml:space="preserve"> a Work Refusal </w:t>
      </w:r>
      <w:proofErr w:type="gramStart"/>
      <w:r w:rsidRPr="00B87408">
        <w:t>Failure, but</w:t>
      </w:r>
      <w:proofErr w:type="gramEnd"/>
      <w:r w:rsidRPr="00B87408">
        <w:t xml:space="preserve"> are unable to contact the Participant on the same day. On that day, the Provider must create the Work Refusal Failure report by undertaking the following steps in the Department’s IT System:</w:t>
      </w:r>
    </w:p>
    <w:p w14:paraId="31BAA20E" w14:textId="149FCFE6" w:rsidR="00B87408" w:rsidRPr="00B87408" w:rsidRDefault="001D15EA" w:rsidP="003E397F">
      <w:pPr>
        <w:pStyle w:val="guidelinetext"/>
        <w:numPr>
          <w:ilvl w:val="0"/>
          <w:numId w:val="1"/>
        </w:numPr>
        <w:spacing w:before="60" w:line="240" w:lineRule="auto"/>
        <w:ind w:left="714" w:hanging="357"/>
      </w:pPr>
      <w:r>
        <w:t>selecting ‘create compliance</w:t>
      </w:r>
      <w:proofErr w:type="gramStart"/>
      <w:r>
        <w:t>’;</w:t>
      </w:r>
      <w:proofErr w:type="gramEnd"/>
    </w:p>
    <w:p w14:paraId="5FE7C4E8" w14:textId="77777777" w:rsidR="00B87408" w:rsidRPr="00B87408" w:rsidRDefault="00B87408" w:rsidP="003E397F">
      <w:pPr>
        <w:pStyle w:val="guidelinetext"/>
        <w:numPr>
          <w:ilvl w:val="0"/>
          <w:numId w:val="1"/>
        </w:numPr>
        <w:spacing w:before="60" w:line="240" w:lineRule="auto"/>
        <w:ind w:left="714" w:hanging="357"/>
      </w:pPr>
      <w:r w:rsidRPr="00B87408">
        <w:t xml:space="preserve">selecting the Event Type from the </w:t>
      </w:r>
      <w:proofErr w:type="gramStart"/>
      <w:r w:rsidRPr="00B87408">
        <w:t>drop down</w:t>
      </w:r>
      <w:proofErr w:type="gramEnd"/>
      <w:r w:rsidRPr="00B87408">
        <w:t xml:space="preserve"> menu that will appear as follows:</w:t>
      </w:r>
    </w:p>
    <w:p w14:paraId="5979DF9B" w14:textId="77777777" w:rsidR="00B87408" w:rsidRDefault="00B87408" w:rsidP="00DB3DCA">
      <w:pPr>
        <w:pStyle w:val="guidelinebullet"/>
        <w:numPr>
          <w:ilvl w:val="1"/>
          <w:numId w:val="1"/>
        </w:numPr>
        <w:ind w:left="1134"/>
      </w:pPr>
      <w:r>
        <w:t>select ‘job seeker failed to accept a suitable job’ where the Provider</w:t>
      </w:r>
      <w:r w:rsidRPr="00310CC7">
        <w:t xml:space="preserve"> consider</w:t>
      </w:r>
      <w:r>
        <w:t>s</w:t>
      </w:r>
      <w:r w:rsidRPr="00310CC7">
        <w:t xml:space="preserve"> that the </w:t>
      </w:r>
      <w:r>
        <w:t>Participant</w:t>
      </w:r>
      <w:r w:rsidRPr="00310CC7">
        <w:t xml:space="preserve"> </w:t>
      </w:r>
      <w:r>
        <w:t>refused or failed to accept an offer of suitable Employment, other than by failing to commence work on the start date agreed with the potential Employer; or</w:t>
      </w:r>
    </w:p>
    <w:p w14:paraId="338429A8" w14:textId="77777777" w:rsidR="00B87408" w:rsidRDefault="00B87408" w:rsidP="00DB3DCA">
      <w:pPr>
        <w:pStyle w:val="guidelinebullet"/>
        <w:numPr>
          <w:ilvl w:val="1"/>
          <w:numId w:val="1"/>
        </w:numPr>
        <w:ind w:left="1134"/>
      </w:pPr>
      <w:r>
        <w:t>select ‘job seeker failed to commence suitable job’ where the Provider</w:t>
      </w:r>
      <w:r w:rsidRPr="00310CC7">
        <w:t xml:space="preserve"> consider</w:t>
      </w:r>
      <w:r>
        <w:t>s</w:t>
      </w:r>
      <w:r w:rsidRPr="00310CC7">
        <w:t xml:space="preserve"> that the </w:t>
      </w:r>
      <w:r>
        <w:t>Participant</w:t>
      </w:r>
      <w:r w:rsidRPr="00310CC7">
        <w:t xml:space="preserve"> </w:t>
      </w:r>
      <w:r>
        <w:t xml:space="preserve">failed to commence work on the start date agreed with the potential </w:t>
      </w:r>
      <w:proofErr w:type="gramStart"/>
      <w:r>
        <w:t>Employer;</w:t>
      </w:r>
      <w:proofErr w:type="gramEnd"/>
    </w:p>
    <w:p w14:paraId="703EDE88" w14:textId="77777777" w:rsidR="00B87408" w:rsidRPr="00B87408" w:rsidRDefault="00B87408" w:rsidP="003E397F">
      <w:pPr>
        <w:pStyle w:val="guidelinetext"/>
        <w:numPr>
          <w:ilvl w:val="0"/>
          <w:numId w:val="1"/>
        </w:numPr>
        <w:spacing w:before="60" w:line="240" w:lineRule="auto"/>
        <w:ind w:left="714" w:hanging="357"/>
      </w:pPr>
      <w:r w:rsidRPr="00B87408">
        <w:t>recording the incident date (discussed above</w:t>
      </w:r>
      <w:proofErr w:type="gramStart"/>
      <w:r w:rsidRPr="00B87408">
        <w:t>);</w:t>
      </w:r>
      <w:proofErr w:type="gramEnd"/>
    </w:p>
    <w:p w14:paraId="36EBF2B4" w14:textId="16B08CA9" w:rsidR="00B87408" w:rsidRPr="00B87408" w:rsidRDefault="00B87408" w:rsidP="003E397F">
      <w:pPr>
        <w:pStyle w:val="guidelinetext"/>
        <w:numPr>
          <w:ilvl w:val="0"/>
          <w:numId w:val="1"/>
        </w:numPr>
        <w:spacing w:before="60" w:line="240" w:lineRule="auto"/>
        <w:ind w:left="714" w:hanging="357"/>
      </w:pPr>
      <w:r w:rsidRPr="00B87408">
        <w:t>answering ‘no’ to the question of whether they are i</w:t>
      </w:r>
      <w:r w:rsidR="00067E0B">
        <w:t xml:space="preserve">n contact with the </w:t>
      </w:r>
      <w:proofErr w:type="gramStart"/>
      <w:r w:rsidR="00067E0B">
        <w:t>Participant;</w:t>
      </w:r>
      <w:proofErr w:type="gramEnd"/>
    </w:p>
    <w:p w14:paraId="14CAC16E" w14:textId="77777777" w:rsidR="00B87408" w:rsidRPr="00B87408" w:rsidRDefault="00B87408" w:rsidP="003E397F">
      <w:pPr>
        <w:pStyle w:val="guidelinetext"/>
        <w:numPr>
          <w:ilvl w:val="0"/>
          <w:numId w:val="1"/>
        </w:numPr>
        <w:spacing w:before="60" w:line="240" w:lineRule="auto"/>
        <w:ind w:left="714" w:hanging="357"/>
      </w:pPr>
      <w:r w:rsidRPr="00B87408">
        <w:t>otherwise accurately answering the questions that will be automatically generated; and</w:t>
      </w:r>
    </w:p>
    <w:p w14:paraId="416B4ADD" w14:textId="77777777" w:rsidR="00B87408" w:rsidRPr="00B87408" w:rsidRDefault="00B87408" w:rsidP="003E397F">
      <w:pPr>
        <w:pStyle w:val="guidelinetext"/>
        <w:numPr>
          <w:ilvl w:val="0"/>
          <w:numId w:val="1"/>
        </w:numPr>
        <w:spacing w:before="60" w:line="240" w:lineRule="auto"/>
        <w:ind w:left="714" w:hanging="357"/>
      </w:pPr>
      <w:r w:rsidRPr="00B87408">
        <w:t>selecting ‘create’. This will create a draft Work Refusal Failure report and suspend the Participant’s Income Support Payment to encourage them to contact their Provider.</w:t>
      </w:r>
    </w:p>
    <w:p w14:paraId="6E259970" w14:textId="77777777" w:rsidR="00067E0B" w:rsidRPr="00895C86" w:rsidRDefault="00067E0B" w:rsidP="00B659B6">
      <w:pPr>
        <w:tabs>
          <w:tab w:val="right" w:pos="1701"/>
        </w:tabs>
        <w:spacing w:after="120"/>
      </w:pPr>
      <w:r>
        <w:t xml:space="preserve">If the Participant is in the Penalty Zone, the Participant’s Income Support Payment will be suspended when </w:t>
      </w:r>
      <w:r w:rsidRPr="34E424B2">
        <w:rPr>
          <w:rFonts w:eastAsia="Times New Roman"/>
          <w:lang w:eastAsia="en-AU"/>
        </w:rPr>
        <w:t>the</w:t>
      </w:r>
      <w:r>
        <w:t xml:space="preserve"> Provider creates a Work Refusal Report in the Department’s IT System. The Participant will then receive a notification advising them to contact their Provider.</w:t>
      </w:r>
    </w:p>
    <w:p w14:paraId="337C3F05" w14:textId="2F91867B" w:rsidR="00067E0B" w:rsidRPr="00895C86" w:rsidRDefault="00067E0B" w:rsidP="00B659B6">
      <w:pPr>
        <w:tabs>
          <w:tab w:val="right" w:pos="1701"/>
        </w:tabs>
        <w:spacing w:after="120"/>
      </w:pPr>
      <w:r w:rsidRPr="00895C86">
        <w:t xml:space="preserve">If the </w:t>
      </w:r>
      <w:r w:rsidRPr="00B659B6">
        <w:rPr>
          <w:rFonts w:eastAsia="Times New Roman" w:cstheme="minorHAnsi"/>
          <w:lang w:eastAsia="en-AU"/>
        </w:rPr>
        <w:t>Participant</w:t>
      </w:r>
      <w:r w:rsidRPr="00895C86">
        <w:t xml:space="preserve"> is in the Green Zone or Warning Zone, they will receive notification advising that they appear to have committed a Mutual Obligation Failure, that they must contact their Provider as soon as possible, and that their payment may be suspended after </w:t>
      </w:r>
      <w:r w:rsidR="00BE2342">
        <w:t>five</w:t>
      </w:r>
      <w:r w:rsidR="00BE2342" w:rsidRPr="00895C86">
        <w:t xml:space="preserve"> </w:t>
      </w:r>
      <w:r w:rsidRPr="00895C86">
        <w:t>Business Days if they take no further action.</w:t>
      </w:r>
    </w:p>
    <w:p w14:paraId="408A7ADC" w14:textId="10246A25" w:rsidR="00067E0B" w:rsidRPr="00895C86" w:rsidRDefault="00067E0B" w:rsidP="00B659B6">
      <w:pPr>
        <w:tabs>
          <w:tab w:val="right" w:pos="1701"/>
        </w:tabs>
        <w:spacing w:after="120"/>
      </w:pPr>
      <w:r>
        <w:t xml:space="preserve">If the </w:t>
      </w:r>
      <w:r w:rsidRPr="34E424B2">
        <w:rPr>
          <w:rFonts w:eastAsia="Times New Roman"/>
          <w:lang w:eastAsia="en-AU"/>
        </w:rPr>
        <w:t>Participant</w:t>
      </w:r>
      <w:r>
        <w:t xml:space="preserve"> does not make contact with their Provider within </w:t>
      </w:r>
      <w:r w:rsidR="00BE2342">
        <w:t xml:space="preserve">five </w:t>
      </w:r>
      <w:r>
        <w:t xml:space="preserve">Business Days, the Department’s IT Systems will automatically suspend the Participant’s Income Support </w:t>
      </w:r>
      <w:proofErr w:type="gramStart"/>
      <w:r>
        <w:t>Payment</w:t>
      </w:r>
      <w:proofErr w:type="gramEnd"/>
      <w:r>
        <w:t xml:space="preserve"> and the Participant will receive notification that their Income Support Payment has been suspended and to contact their Provider.</w:t>
      </w:r>
    </w:p>
    <w:p w14:paraId="164B911C" w14:textId="77777777" w:rsidR="00B87408" w:rsidRPr="00B87408" w:rsidRDefault="00B87408" w:rsidP="00ED454B">
      <w:pPr>
        <w:tabs>
          <w:tab w:val="right" w:pos="1701"/>
        </w:tabs>
        <w:spacing w:after="120"/>
      </w:pPr>
      <w:r w:rsidRPr="00B87408">
        <w:lastRenderedPageBreak/>
        <w:t xml:space="preserve">The </w:t>
      </w:r>
      <w:r w:rsidRPr="00ED454B">
        <w:rPr>
          <w:rFonts w:eastAsia="Times New Roman" w:cstheme="minorHAnsi"/>
          <w:lang w:eastAsia="en-AU"/>
        </w:rPr>
        <w:t>Participant’s</w:t>
      </w:r>
      <w:r w:rsidRPr="00B87408">
        <w:t xml:space="preserve"> Reconnection Requirement is to </w:t>
      </w:r>
      <w:proofErr w:type="gramStart"/>
      <w:r w:rsidRPr="00B87408">
        <w:t>make contact with</w:t>
      </w:r>
      <w:proofErr w:type="gramEnd"/>
      <w:r w:rsidRPr="00B87408">
        <w:t xml:space="preserve"> their Provider to discuss the Work Refusal Failure. The Participant’s payment suspension will be lifted once they </w:t>
      </w:r>
      <w:proofErr w:type="gramStart"/>
      <w:r w:rsidRPr="00B87408">
        <w:t>make contact with</w:t>
      </w:r>
      <w:proofErr w:type="gramEnd"/>
      <w:r w:rsidRPr="00B87408">
        <w:t xml:space="preserve"> their Provider, and their Provider finalises the Work Refusal Failure report (as discussed immediately below).</w:t>
      </w:r>
    </w:p>
    <w:p w14:paraId="2621320C" w14:textId="77777777" w:rsidR="003E6282" w:rsidRPr="00ED454B" w:rsidRDefault="003E6282" w:rsidP="00B659B6">
      <w:pPr>
        <w:tabs>
          <w:tab w:val="right" w:pos="1701"/>
        </w:tabs>
        <w:spacing w:after="120"/>
      </w:pPr>
      <w:bookmarkStart w:id="94" w:name="_Hlk66785293"/>
      <w:bookmarkStart w:id="95" w:name="_Hlk66785047"/>
      <w:r w:rsidRPr="00ED454B">
        <w:t>Where the TCF cannot be applied, but the Provider ha</w:t>
      </w:r>
      <w:r w:rsidRPr="00895C86">
        <w:t xml:space="preserve">s determined that the </w:t>
      </w:r>
      <w:r w:rsidRPr="003E397F">
        <w:t xml:space="preserve">Participant has been non-compliant, refer to the TCF workflow at Attachment D of the </w:t>
      </w:r>
      <w:hyperlink r:id="rId11" w:history="1">
        <w:r w:rsidRPr="00B659B6">
          <w:rPr>
            <w:i/>
          </w:rPr>
          <w:t>Targeted Compliance Framework: Mutual Obligation Failures</w:t>
        </w:r>
      </w:hyperlink>
      <w:r w:rsidRPr="00B659B6">
        <w:rPr>
          <w:i/>
        </w:rPr>
        <w:t xml:space="preserve"> Guideline</w:t>
      </w:r>
      <w:r w:rsidRPr="00ED454B">
        <w:t>.</w:t>
      </w:r>
      <w:bookmarkEnd w:id="94"/>
    </w:p>
    <w:bookmarkEnd w:id="95"/>
    <w:p w14:paraId="54E7909A" w14:textId="779D3E3F" w:rsidR="003E6282" w:rsidRPr="00067E0B" w:rsidRDefault="003E6282" w:rsidP="00987939">
      <w:pPr>
        <w:pStyle w:val="DeedReferences"/>
      </w:pPr>
      <w:r w:rsidRPr="00AC6E9D">
        <w:t>(</w:t>
      </w:r>
      <w:r>
        <w:t>Grant Agreement</w:t>
      </w:r>
      <w:r w:rsidRPr="00AC6E9D">
        <w:t xml:space="preserve"> references: clauses </w:t>
      </w:r>
      <w:r w:rsidRPr="00473A1C">
        <w:t>11</w:t>
      </w:r>
      <w:r w:rsidRPr="00DB3DCA">
        <w:t>2</w:t>
      </w:r>
      <w:r w:rsidRPr="00473A1C">
        <w:t>.</w:t>
      </w:r>
      <w:r>
        <w:t>5)</w:t>
      </w:r>
    </w:p>
    <w:p w14:paraId="207B9674" w14:textId="684CB201" w:rsidR="00B87408" w:rsidRPr="00B659B6" w:rsidRDefault="00B87408" w:rsidP="006E01E7">
      <w:pPr>
        <w:spacing w:before="240" w:after="120"/>
        <w:rPr>
          <w:rFonts w:ascii="Calibri" w:eastAsia="Times New Roman" w:hAnsi="Calibri" w:cs="Times New Roman"/>
          <w:i/>
          <w:szCs w:val="24"/>
          <w:u w:val="single"/>
          <w:lang w:eastAsia="en-AU"/>
        </w:rPr>
      </w:pPr>
      <w:r w:rsidRPr="00B659B6">
        <w:rPr>
          <w:rFonts w:ascii="Calibri" w:eastAsia="Times New Roman" w:hAnsi="Calibri" w:cs="Times New Roman"/>
          <w:i/>
          <w:szCs w:val="24"/>
          <w:u w:val="single"/>
          <w:lang w:eastAsia="en-AU"/>
        </w:rPr>
        <w:t>When there is contact with the Participant</w:t>
      </w:r>
    </w:p>
    <w:p w14:paraId="397CDFBC" w14:textId="2ED6822C" w:rsidR="00B87408" w:rsidRPr="00B87408" w:rsidRDefault="00B87408" w:rsidP="00ED454B">
      <w:pPr>
        <w:tabs>
          <w:tab w:val="right" w:pos="1701"/>
        </w:tabs>
        <w:spacing w:after="120"/>
      </w:pPr>
      <w:r w:rsidRPr="00B87408">
        <w:t xml:space="preserve">Where </w:t>
      </w:r>
      <w:r w:rsidRPr="00ED454B">
        <w:rPr>
          <w:rFonts w:eastAsia="Times New Roman" w:cstheme="minorHAnsi"/>
          <w:lang w:eastAsia="en-AU"/>
        </w:rPr>
        <w:t>there</w:t>
      </w:r>
      <w:r w:rsidRPr="00B87408">
        <w:t xml:space="preserve"> is contact with the Participant after the Business Day on which the Provider became aware of the apparent Work Refusal Failure, the Provider has a</w:t>
      </w:r>
      <w:r w:rsidR="00E03277">
        <w:t>n</w:t>
      </w:r>
      <w:r w:rsidRPr="00B87408">
        <w:t xml:space="preserve"> obligation </w:t>
      </w:r>
      <w:r w:rsidR="00E03277">
        <w:t xml:space="preserve">under the Grant Agreement </w:t>
      </w:r>
      <w:r w:rsidRPr="00B87408">
        <w:t>to update the draft Work Refusal Failure report referred to above. See clause 11</w:t>
      </w:r>
      <w:r>
        <w:t>2</w:t>
      </w:r>
      <w:r w:rsidRPr="00B87408">
        <w:t>.</w:t>
      </w:r>
      <w:r>
        <w:t>6</w:t>
      </w:r>
      <w:r w:rsidRPr="00B87408">
        <w:t xml:space="preserve">(c) of the </w:t>
      </w:r>
      <w:r w:rsidR="00E03277">
        <w:t>DES Grant Agreement</w:t>
      </w:r>
      <w:r w:rsidRPr="00B87408">
        <w:t>. The Provider must update and finalise the Work Refusal Failure report by undertaking the following steps in the Department’s IT System:</w:t>
      </w:r>
    </w:p>
    <w:p w14:paraId="069FFAFA" w14:textId="077A67C7" w:rsidR="00B87408" w:rsidRPr="00B87408" w:rsidRDefault="00B87408" w:rsidP="003E397F">
      <w:pPr>
        <w:pStyle w:val="guidelinetext"/>
        <w:numPr>
          <w:ilvl w:val="0"/>
          <w:numId w:val="1"/>
        </w:numPr>
        <w:spacing w:before="60" w:line="240" w:lineRule="auto"/>
        <w:ind w:left="714" w:hanging="357"/>
      </w:pPr>
      <w:r w:rsidRPr="00B87408">
        <w:t>selecting the pencil icon in the draft Work Refusal Failure report. By doing so, the Provider is confirming that they are in c</w:t>
      </w:r>
      <w:r w:rsidR="00032FF7">
        <w:t>ontact with the Participant</w:t>
      </w:r>
    </w:p>
    <w:p w14:paraId="465B6305" w14:textId="77777777" w:rsidR="00B87408" w:rsidRDefault="00B87408" w:rsidP="00032FF7">
      <w:pPr>
        <w:pStyle w:val="guidelinetext"/>
        <w:numPr>
          <w:ilvl w:val="0"/>
          <w:numId w:val="1"/>
        </w:numPr>
        <w:spacing w:before="60" w:line="240" w:lineRule="auto"/>
        <w:ind w:left="714" w:hanging="357"/>
      </w:pPr>
      <w:r>
        <w:t xml:space="preserve">if the Provider considers the Participant </w:t>
      </w:r>
      <w:r w:rsidRPr="00473A1C">
        <w:rPr>
          <w:u w:val="single"/>
        </w:rPr>
        <w:t>committed</w:t>
      </w:r>
      <w:r>
        <w:t xml:space="preserve"> a Work Refusal Failure (see the discussion under the heading ‘Identifying a Work Refusal Failure’ above):</w:t>
      </w:r>
    </w:p>
    <w:p w14:paraId="3AF28AF6" w14:textId="56F009DA" w:rsidR="00B87408" w:rsidRDefault="00B87408" w:rsidP="00032FF7">
      <w:pPr>
        <w:pStyle w:val="guidelinebullet"/>
        <w:numPr>
          <w:ilvl w:val="1"/>
          <w:numId w:val="1"/>
        </w:numPr>
        <w:ind w:left="1134"/>
      </w:pPr>
      <w:r>
        <w:t>selecting ‘No’ in response to the question of whether they accepted the reason given by the Participant.</w:t>
      </w:r>
      <w:r w:rsidRPr="00E252A6">
        <w:t xml:space="preserve"> </w:t>
      </w:r>
      <w:r>
        <w:t xml:space="preserve">By doing so, the Provider is confirming that they have determined that the Participant </w:t>
      </w:r>
      <w:r w:rsidRPr="00032FF7">
        <w:t>has committed</w:t>
      </w:r>
      <w:r w:rsidR="00032FF7">
        <w:t xml:space="preserve"> a Work Refusal Failure</w:t>
      </w:r>
    </w:p>
    <w:p w14:paraId="05C9D889" w14:textId="5882BC10" w:rsidR="00B87408" w:rsidRPr="00052CFC" w:rsidRDefault="00B87408" w:rsidP="00032FF7">
      <w:pPr>
        <w:pStyle w:val="guidelinebullet"/>
        <w:numPr>
          <w:ilvl w:val="1"/>
          <w:numId w:val="1"/>
        </w:numPr>
        <w:ind w:left="1134"/>
      </w:pPr>
      <w:r>
        <w:t xml:space="preserve">selecting a reason from the ‘Reasons not accepted’ column of the </w:t>
      </w:r>
      <w:proofErr w:type="gramStart"/>
      <w:r>
        <w:t>drop down</w:t>
      </w:r>
      <w:proofErr w:type="gramEnd"/>
      <w:r>
        <w:t xml:space="preserve"> menu that will appear. The Provider must select the reason that most closely aligns with the reason that the Participant gave as to why they refused or failed to accept the offer of suitable Employment.</w:t>
      </w:r>
      <w:r w:rsidRPr="00267775">
        <w:t xml:space="preserve"> </w:t>
      </w:r>
      <w:r w:rsidRPr="00F276F8">
        <w:t xml:space="preserve">A full list of these drop-down menu options can be found at </w:t>
      </w:r>
      <w:r w:rsidRPr="00052CFC">
        <w:t xml:space="preserve">Attachment </w:t>
      </w:r>
      <w:r w:rsidR="00032FF7">
        <w:t>A</w:t>
      </w:r>
    </w:p>
    <w:p w14:paraId="2B84B917" w14:textId="4FD0808E" w:rsidR="00B87408" w:rsidRDefault="00B87408" w:rsidP="00032FF7">
      <w:pPr>
        <w:pStyle w:val="guidelinebullet"/>
        <w:numPr>
          <w:ilvl w:val="1"/>
          <w:numId w:val="1"/>
        </w:numPr>
        <w:ind w:left="1134"/>
      </w:pPr>
      <w:r>
        <w:t xml:space="preserve">selecting ‘submit’, which will send the Work Refusal Failure report to Services Australia. Services Australia will assess whether the Participant had a Reasonable Excuse for the Work Refusal Failure, which will determine whether the Participant’s Income </w:t>
      </w:r>
      <w:r w:rsidR="00032FF7">
        <w:t>Support Payment is cancelled</w:t>
      </w:r>
    </w:p>
    <w:p w14:paraId="1DBD7F79" w14:textId="77777777" w:rsidR="00B87408" w:rsidRDefault="00B87408" w:rsidP="00B659B6">
      <w:pPr>
        <w:pStyle w:val="guidelinetext"/>
        <w:keepNext/>
        <w:keepLines/>
        <w:numPr>
          <w:ilvl w:val="0"/>
          <w:numId w:val="1"/>
        </w:numPr>
        <w:spacing w:before="60" w:line="240" w:lineRule="auto"/>
        <w:ind w:left="714" w:hanging="357"/>
      </w:pPr>
      <w:r>
        <w:t xml:space="preserve">if the Provider considers the Participant </w:t>
      </w:r>
      <w:r w:rsidRPr="00473A1C">
        <w:rPr>
          <w:u w:val="single"/>
        </w:rPr>
        <w:t>did not commit</w:t>
      </w:r>
      <w:r>
        <w:t xml:space="preserve"> a Work Refusal Failure (see the discussion under the heading ‘Identifying a Work Refusal Failure’ above):</w:t>
      </w:r>
    </w:p>
    <w:p w14:paraId="09D00FD0" w14:textId="1FCAF18C" w:rsidR="00B87408" w:rsidRDefault="00B87408" w:rsidP="00DB3DCA">
      <w:pPr>
        <w:pStyle w:val="guidelinebullet"/>
        <w:numPr>
          <w:ilvl w:val="2"/>
          <w:numId w:val="1"/>
        </w:numPr>
        <w:ind w:left="1560"/>
      </w:pPr>
      <w:r>
        <w:t>selecting ‘Yes’ in response to the question of whether they accepted the reason given by the Participant.</w:t>
      </w:r>
      <w:r w:rsidRPr="00E252A6">
        <w:t xml:space="preserve"> </w:t>
      </w:r>
      <w:r>
        <w:t xml:space="preserve">By doing so, the Provider is confirming that they have determined that the Participant </w:t>
      </w:r>
      <w:r w:rsidRPr="00032FF7">
        <w:t>has not committed</w:t>
      </w:r>
      <w:r w:rsidR="00032FF7">
        <w:t xml:space="preserve"> a Work Refusal Failure</w:t>
      </w:r>
    </w:p>
    <w:p w14:paraId="0DFB63A6" w14:textId="27368282" w:rsidR="00B87408" w:rsidRDefault="00B87408" w:rsidP="00DB3DCA">
      <w:pPr>
        <w:pStyle w:val="guidelinebullet"/>
        <w:numPr>
          <w:ilvl w:val="2"/>
          <w:numId w:val="1"/>
        </w:numPr>
        <w:ind w:left="1560"/>
      </w:pPr>
      <w:r>
        <w:t xml:space="preserve">selecting a reason from the ‘Reasons accepted’ column of the </w:t>
      </w:r>
      <w:proofErr w:type="gramStart"/>
      <w:r>
        <w:t>drop down</w:t>
      </w:r>
      <w:proofErr w:type="gramEnd"/>
      <w:r>
        <w:t xml:space="preserve"> menu that will appear. The Provider must select the reason that most closely aligns with the reason that the Participant gave as to why they did not refuse or fail to accept an offer of suitable Employment. </w:t>
      </w:r>
      <w:r w:rsidRPr="00F276F8">
        <w:t xml:space="preserve">A full list of these drop-down menu options can be found at </w:t>
      </w:r>
      <w:r w:rsidRPr="00084039">
        <w:t xml:space="preserve">Attachment </w:t>
      </w:r>
      <w:r w:rsidR="00032FF7">
        <w:t>A</w:t>
      </w:r>
    </w:p>
    <w:p w14:paraId="002A9CEB" w14:textId="77777777" w:rsidR="00B87408" w:rsidRPr="00615AFD" w:rsidRDefault="00B87408" w:rsidP="00DB3DCA">
      <w:pPr>
        <w:pStyle w:val="guidelinebullet"/>
        <w:numPr>
          <w:ilvl w:val="2"/>
          <w:numId w:val="1"/>
        </w:numPr>
        <w:ind w:left="1560"/>
      </w:pPr>
      <w:r>
        <w:t>selecting ‘submit’, which will close the report (i.e. the report will not be sent to Services Australia for investigation).</w:t>
      </w:r>
    </w:p>
    <w:p w14:paraId="1FB77D6C" w14:textId="77777777" w:rsidR="003E6282" w:rsidRPr="003E6282" w:rsidRDefault="003E6282" w:rsidP="00ED454B">
      <w:pPr>
        <w:tabs>
          <w:tab w:val="right" w:pos="1701"/>
        </w:tabs>
        <w:spacing w:after="120"/>
      </w:pPr>
      <w:r w:rsidRPr="003E6282">
        <w:t xml:space="preserve">If the </w:t>
      </w:r>
      <w:r w:rsidRPr="00ED454B">
        <w:rPr>
          <w:rFonts w:eastAsia="Times New Roman" w:cstheme="minorHAnsi"/>
          <w:lang w:eastAsia="en-AU"/>
        </w:rPr>
        <w:t>Participant’s</w:t>
      </w:r>
      <w:r w:rsidRPr="003E6282">
        <w:t xml:space="preserve"> Income Support Payment has been suspended, this suspension is lifted when the Provider selects ‘submit’.</w:t>
      </w:r>
    </w:p>
    <w:p w14:paraId="11794573" w14:textId="521236CF" w:rsidR="00B87408" w:rsidRDefault="00B87408" w:rsidP="00ED454B">
      <w:pPr>
        <w:tabs>
          <w:tab w:val="right" w:pos="1701"/>
        </w:tabs>
        <w:spacing w:after="120"/>
      </w:pPr>
      <w:r w:rsidRPr="00B87408">
        <w:t xml:space="preserve">If the </w:t>
      </w:r>
      <w:r w:rsidRPr="00ED454B">
        <w:rPr>
          <w:rFonts w:eastAsia="Times New Roman" w:cstheme="minorHAnsi"/>
          <w:lang w:eastAsia="en-AU"/>
        </w:rPr>
        <w:t>Participant</w:t>
      </w:r>
      <w:r w:rsidRPr="00B87408">
        <w:t xml:space="preserve"> does not contact their Provider within 28 calendar days of their payment suspension date, their Income Support Payment will automatically be cancelled.</w:t>
      </w:r>
    </w:p>
    <w:p w14:paraId="11E89418" w14:textId="77777777" w:rsidR="003E6282" w:rsidRPr="003E6282" w:rsidRDefault="003E6282" w:rsidP="00ED454B">
      <w:pPr>
        <w:tabs>
          <w:tab w:val="right" w:pos="1701"/>
        </w:tabs>
        <w:spacing w:after="120"/>
      </w:pPr>
      <w:bookmarkStart w:id="96" w:name="_Hlk66785670"/>
      <w:r w:rsidRPr="003E6282">
        <w:lastRenderedPageBreak/>
        <w:t xml:space="preserve">Where the TCF cannot be applied, but the Provider has determined that the Participant has been non-compliant, refer to the TCF workflow at Attachment D of the </w:t>
      </w:r>
      <w:bookmarkStart w:id="97" w:name="_Hlk67470931"/>
      <w:r w:rsidRPr="003E6282">
        <w:rPr>
          <w:i/>
        </w:rPr>
        <w:fldChar w:fldCharType="begin"/>
      </w:r>
      <w:r w:rsidRPr="003E6282">
        <w:rPr>
          <w:i/>
        </w:rPr>
        <w:instrText xml:space="preserve"> HYPERLINK "https://ecsnaccess.gov.au/ProviderPortal/jobactive/Guidelines/Pages/Participation-and-Compliance-Framework.aspx" </w:instrText>
      </w:r>
      <w:r w:rsidRPr="003E6282">
        <w:rPr>
          <w:i/>
        </w:rPr>
      </w:r>
      <w:r w:rsidRPr="003E6282">
        <w:rPr>
          <w:i/>
        </w:rPr>
        <w:fldChar w:fldCharType="separate"/>
      </w:r>
      <w:r w:rsidRPr="003E6282">
        <w:rPr>
          <w:i/>
        </w:rPr>
        <w:t>Targeted Compliance Framework: Mutual Obligation Failures</w:t>
      </w:r>
      <w:r w:rsidRPr="003E6282">
        <w:rPr>
          <w:i/>
        </w:rPr>
        <w:fldChar w:fldCharType="end"/>
      </w:r>
      <w:bookmarkEnd w:id="97"/>
      <w:r w:rsidRPr="003E6282">
        <w:rPr>
          <w:i/>
        </w:rPr>
        <w:t xml:space="preserve"> Guideline</w:t>
      </w:r>
      <w:r w:rsidRPr="003E6282">
        <w:t>.</w:t>
      </w:r>
    </w:p>
    <w:bookmarkEnd w:id="96"/>
    <w:p w14:paraId="1FCD81E9" w14:textId="6980258D" w:rsidR="003E6282" w:rsidRPr="00B87408" w:rsidRDefault="003E6282" w:rsidP="00B659B6">
      <w:pPr>
        <w:pStyle w:val="DeedReferences"/>
      </w:pPr>
      <w:r w:rsidRPr="00AC6E9D">
        <w:t>(</w:t>
      </w:r>
      <w:r>
        <w:t>Grant Agreement</w:t>
      </w:r>
      <w:r w:rsidRPr="00AC6E9D">
        <w:t xml:space="preserve"> references: clauses </w:t>
      </w:r>
      <w:r w:rsidRPr="00473A1C">
        <w:t>11</w:t>
      </w:r>
      <w:r w:rsidRPr="00DB3DCA">
        <w:t>2</w:t>
      </w:r>
      <w:r w:rsidRPr="00473A1C">
        <w:t>.</w:t>
      </w:r>
      <w:r>
        <w:t>6)</w:t>
      </w:r>
    </w:p>
    <w:p w14:paraId="241C7251" w14:textId="2D7B724D" w:rsidR="00B87408" w:rsidRPr="00B659B6" w:rsidRDefault="00B87408" w:rsidP="00B659B6">
      <w:pPr>
        <w:pStyle w:val="DocumentaryEvidencePoint"/>
        <w:numPr>
          <w:ilvl w:val="0"/>
          <w:numId w:val="5"/>
        </w:numPr>
        <w:ind w:left="426" w:hanging="426"/>
        <w:rPr>
          <w:rFonts w:cstheme="minorHAnsi"/>
        </w:rPr>
      </w:pPr>
      <w:r w:rsidRPr="00B659B6">
        <w:rPr>
          <w:rFonts w:asciiTheme="minorHAnsi" w:hAnsiTheme="minorHAnsi" w:cstheme="minorHAnsi"/>
          <w:sz w:val="22"/>
          <w:szCs w:val="22"/>
        </w:rPr>
        <w:t>Evidence that the Provider must link or upload to the Work Refusal Failure report in the Department’s IT System may include notification of Employment offer or details of the job/Employer and dates.</w:t>
      </w:r>
    </w:p>
    <w:p w14:paraId="561557DD" w14:textId="4471D5A1" w:rsidR="001D15EA" w:rsidRDefault="001D15EA">
      <w:pPr>
        <w:rPr>
          <w:rFonts w:ascii="Calibri" w:eastAsia="Times New Roman" w:hAnsi="Calibri" w:cs="Times New Roman"/>
          <w:szCs w:val="24"/>
          <w:lang w:eastAsia="en-AU"/>
        </w:rPr>
      </w:pPr>
      <w:bookmarkStart w:id="98" w:name="_Discussing_the_Work"/>
      <w:bookmarkEnd w:id="98"/>
      <w:r>
        <w:rPr>
          <w:rFonts w:ascii="Calibri" w:eastAsia="Times New Roman" w:hAnsi="Calibri" w:cs="Times New Roman"/>
          <w:szCs w:val="24"/>
          <w:lang w:eastAsia="en-AU"/>
        </w:rPr>
        <w:br w:type="page"/>
      </w:r>
    </w:p>
    <w:p w14:paraId="5E1D4E23" w14:textId="77777777" w:rsidR="00F97C42" w:rsidRDefault="00F97C42" w:rsidP="00F97C42">
      <w:pPr>
        <w:pBdr>
          <w:bottom w:val="single" w:sz="4" w:space="1" w:color="auto"/>
        </w:pBdr>
        <w:spacing w:before="0"/>
        <w:rPr>
          <w:rFonts w:ascii="Calibri" w:eastAsia="Times New Roman" w:hAnsi="Calibri" w:cs="Times New Roman"/>
          <w:szCs w:val="24"/>
          <w:lang w:eastAsia="en-AU"/>
        </w:rPr>
      </w:pPr>
    </w:p>
    <w:p w14:paraId="492AC982" w14:textId="77777777" w:rsidR="00F97C42" w:rsidRPr="00AC2602" w:rsidRDefault="00F97C42" w:rsidP="001D15EA">
      <w:pPr>
        <w:rPr>
          <w:rFonts w:ascii="Calibri" w:eastAsia="Times New Roman" w:hAnsi="Calibri" w:cs="Times New Roman"/>
          <w:szCs w:val="24"/>
          <w:lang w:eastAsia="en-AU"/>
        </w:rPr>
      </w:pPr>
    </w:p>
    <w:p w14:paraId="10880DAB" w14:textId="22D53816" w:rsidR="00F97C42" w:rsidRPr="001D15EA" w:rsidRDefault="00F97C42" w:rsidP="001D15EA">
      <w:pPr>
        <w:pStyle w:val="Heading2"/>
        <w:keepNext w:val="0"/>
        <w:keepLines w:val="0"/>
        <w:numPr>
          <w:ilvl w:val="0"/>
          <w:numId w:val="32"/>
        </w:numPr>
        <w:spacing w:before="0" w:after="240"/>
        <w:ind w:left="567" w:hanging="567"/>
        <w:rPr>
          <w:rFonts w:eastAsia="Times New Roman" w:cs="Times New Roman"/>
          <w:sz w:val="28"/>
          <w:szCs w:val="36"/>
          <w:lang w:eastAsia="en-AU"/>
        </w:rPr>
      </w:pPr>
      <w:bookmarkStart w:id="99" w:name="_Toc177576655"/>
      <w:r w:rsidRPr="001D15EA">
        <w:rPr>
          <w:rFonts w:eastAsia="Times New Roman" w:cs="Times New Roman"/>
          <w:sz w:val="28"/>
          <w:szCs w:val="36"/>
          <w:lang w:eastAsia="en-AU"/>
        </w:rPr>
        <w:t>Unemployment Failure</w:t>
      </w:r>
      <w:r w:rsidR="00B87408" w:rsidRPr="001D15EA">
        <w:rPr>
          <w:rFonts w:eastAsia="Times New Roman" w:cs="Times New Roman"/>
          <w:sz w:val="28"/>
          <w:szCs w:val="36"/>
          <w:lang w:eastAsia="en-AU"/>
        </w:rPr>
        <w:t>s</w:t>
      </w:r>
      <w:bookmarkEnd w:id="99"/>
    </w:p>
    <w:p w14:paraId="207D941A" w14:textId="77777777" w:rsidR="00A251E8" w:rsidRPr="00ED454B" w:rsidRDefault="00A251E8" w:rsidP="00A251E8">
      <w:pPr>
        <w:tabs>
          <w:tab w:val="right" w:pos="1701"/>
        </w:tabs>
        <w:spacing w:after="120"/>
        <w:rPr>
          <w:rFonts w:eastAsia="Times New Roman" w:cstheme="minorHAnsi"/>
          <w:lang w:eastAsia="en-AU"/>
        </w:rPr>
      </w:pPr>
      <w:bookmarkStart w:id="100" w:name="_Toc17710498"/>
      <w:r w:rsidRPr="00ED454B">
        <w:rPr>
          <w:rFonts w:eastAsia="Times New Roman" w:cstheme="minorHAnsi"/>
          <w:lang w:eastAsia="en-AU"/>
        </w:rPr>
        <w:t>A Participant with Mutual Obligation Requirements commits an Unemployment Failure when they become unemployed either:</w:t>
      </w:r>
    </w:p>
    <w:p w14:paraId="0CA765C4" w14:textId="77777777" w:rsidR="00A251E8" w:rsidRDefault="00A251E8" w:rsidP="00A251E8">
      <w:pPr>
        <w:pStyle w:val="guidelinetext"/>
        <w:numPr>
          <w:ilvl w:val="0"/>
          <w:numId w:val="1"/>
        </w:numPr>
        <w:spacing w:before="60" w:line="240" w:lineRule="auto"/>
        <w:ind w:left="714" w:hanging="357"/>
      </w:pPr>
      <w:r>
        <w:t>as a direct or indirect result of a voluntary act (</w:t>
      </w:r>
      <w:r w:rsidRPr="00C41946">
        <w:t xml:space="preserve">unless </w:t>
      </w:r>
      <w:r>
        <w:t>Services</w:t>
      </w:r>
      <w:r w:rsidRPr="00C41946">
        <w:t xml:space="preserve"> </w:t>
      </w:r>
      <w:r>
        <w:t>Australia</w:t>
      </w:r>
      <w:r w:rsidRPr="00C41946">
        <w:t xml:space="preserve"> </w:t>
      </w:r>
      <w:r w:rsidRPr="00B70065">
        <w:t>is satisfied that the voluntary</w:t>
      </w:r>
      <w:r>
        <w:t xml:space="preserve"> act was reasonable); or</w:t>
      </w:r>
    </w:p>
    <w:p w14:paraId="0CF7CC26" w14:textId="77777777" w:rsidR="00A251E8" w:rsidRDefault="00A251E8" w:rsidP="00A251E8">
      <w:pPr>
        <w:pStyle w:val="guidelinetext"/>
        <w:numPr>
          <w:ilvl w:val="0"/>
          <w:numId w:val="1"/>
        </w:numPr>
        <w:spacing w:before="60" w:line="240" w:lineRule="auto"/>
        <w:ind w:left="714" w:hanging="357"/>
      </w:pPr>
      <w:proofErr w:type="gramStart"/>
      <w:r>
        <w:t>as a result of</w:t>
      </w:r>
      <w:proofErr w:type="gramEnd"/>
      <w:r>
        <w:t xml:space="preserve"> their misconduct as an employee.</w:t>
      </w:r>
    </w:p>
    <w:p w14:paraId="452C6F41" w14:textId="77777777" w:rsidR="00A251E8" w:rsidRDefault="00A251E8" w:rsidP="00A251E8">
      <w:pPr>
        <w:pStyle w:val="guidelinetext"/>
        <w:spacing w:line="240" w:lineRule="auto"/>
        <w:ind w:left="0"/>
        <w:rPr>
          <w:bCs/>
          <w:lang w:eastAsia="en-AU"/>
        </w:rPr>
      </w:pPr>
    </w:p>
    <w:p w14:paraId="29A2FAA2" w14:textId="55309E0E" w:rsidR="00BC4572" w:rsidRPr="001D15EA" w:rsidRDefault="00BC4572" w:rsidP="001D15EA">
      <w:pPr>
        <w:pStyle w:val="Heading3"/>
        <w:spacing w:before="0" w:after="120"/>
        <w:ind w:left="0"/>
        <w:rPr>
          <w:bCs/>
          <w:lang w:eastAsia="en-AU"/>
        </w:rPr>
      </w:pPr>
      <w:bookmarkStart w:id="101" w:name="_Toc177576656"/>
      <w:r w:rsidRPr="001D15EA">
        <w:rPr>
          <w:bCs/>
          <w:lang w:eastAsia="en-AU"/>
        </w:rPr>
        <w:t>Identifying an apparent Unemployment Failure</w:t>
      </w:r>
      <w:bookmarkEnd w:id="100"/>
      <w:bookmarkEnd w:id="101"/>
    </w:p>
    <w:p w14:paraId="6C75F3D0" w14:textId="640651DD" w:rsidR="00BC4572" w:rsidRPr="004E60EB" w:rsidRDefault="00BC4572" w:rsidP="00ED454B">
      <w:pPr>
        <w:tabs>
          <w:tab w:val="right" w:pos="1701"/>
        </w:tabs>
        <w:spacing w:after="120"/>
      </w:pPr>
      <w:r w:rsidRPr="004E60EB">
        <w:t xml:space="preserve">Providers </w:t>
      </w:r>
      <w:r w:rsidRPr="00ED454B">
        <w:rPr>
          <w:rFonts w:eastAsia="Times New Roman" w:cstheme="minorHAnsi"/>
          <w:lang w:eastAsia="en-AU"/>
        </w:rPr>
        <w:t>have</w:t>
      </w:r>
      <w:r w:rsidRPr="004E60EB">
        <w:t xml:space="preserve"> obligations </w:t>
      </w:r>
      <w:r w:rsidR="00E03277">
        <w:t xml:space="preserve">under the DES Grant Agreement </w:t>
      </w:r>
      <w:r w:rsidRPr="004E60EB">
        <w:t xml:space="preserve">when they become aware </w:t>
      </w:r>
      <w:r w:rsidR="003E6282">
        <w:t>(e.g. an employer notifies the Provider and/or the Provider</w:t>
      </w:r>
      <w:r w:rsidR="003E6282" w:rsidRPr="00BA010A">
        <w:t xml:space="preserve"> receive</w:t>
      </w:r>
      <w:r w:rsidR="003E6282">
        <w:t>s</w:t>
      </w:r>
      <w:r w:rsidR="003E6282" w:rsidRPr="00BA010A">
        <w:t xml:space="preserve"> a</w:t>
      </w:r>
      <w:r w:rsidR="003E6282">
        <w:t>n</w:t>
      </w:r>
      <w:r w:rsidR="003E6282" w:rsidRPr="00BA010A">
        <w:t xml:space="preserve"> </w:t>
      </w:r>
      <w:r w:rsidR="003E6282">
        <w:t>Employer R</w:t>
      </w:r>
      <w:r w:rsidR="003E6282" w:rsidRPr="00BA010A">
        <w:t>eport</w:t>
      </w:r>
      <w:r w:rsidR="003E6282">
        <w:t xml:space="preserve"> Referral</w:t>
      </w:r>
      <w:r w:rsidR="003E6282" w:rsidRPr="00BA010A">
        <w:t xml:space="preserve"> from the </w:t>
      </w:r>
      <w:r w:rsidR="003E6282">
        <w:t>E</w:t>
      </w:r>
      <w:r w:rsidR="003E6282" w:rsidRPr="00BA010A">
        <w:t xml:space="preserve">mployer </w:t>
      </w:r>
      <w:r w:rsidR="003E6282">
        <w:t>R</w:t>
      </w:r>
      <w:r w:rsidR="003E6282" w:rsidRPr="00BA010A">
        <w:t xml:space="preserve">eporting </w:t>
      </w:r>
      <w:r w:rsidR="003E6282">
        <w:t>L</w:t>
      </w:r>
      <w:r w:rsidR="003E6282" w:rsidRPr="00BA010A">
        <w:t>ine</w:t>
      </w:r>
      <w:r w:rsidR="003E6282">
        <w:t>)</w:t>
      </w:r>
      <w:r w:rsidR="003E6282" w:rsidRPr="00AC6E9D">
        <w:t xml:space="preserve"> </w:t>
      </w:r>
      <w:r w:rsidRPr="004E60EB">
        <w:t>that a Participant has become unemployed apparently as:</w:t>
      </w:r>
    </w:p>
    <w:p w14:paraId="04176009" w14:textId="34ACACAC" w:rsidR="00BC4572" w:rsidRPr="004E60EB" w:rsidRDefault="00BC4572" w:rsidP="00DB3DCA">
      <w:pPr>
        <w:pStyle w:val="guidelinedeedref"/>
        <w:numPr>
          <w:ilvl w:val="0"/>
          <w:numId w:val="1"/>
        </w:numPr>
        <w:spacing w:after="120"/>
        <w:ind w:left="765" w:hanging="357"/>
      </w:pPr>
      <w:r w:rsidRPr="004E60EB">
        <w:rPr>
          <w:rFonts w:asciiTheme="minorHAnsi" w:hAnsiTheme="minorHAnsi"/>
          <w:sz w:val="22"/>
        </w:rPr>
        <w:t>a direct or indirect result of a voluntary act of the Participant; or</w:t>
      </w:r>
    </w:p>
    <w:p w14:paraId="0FCBFB49" w14:textId="059A533D" w:rsidR="00BC4572" w:rsidRPr="004E60EB" w:rsidRDefault="00BC4572" w:rsidP="00DB3DCA">
      <w:pPr>
        <w:pStyle w:val="guidelinedeedref"/>
        <w:numPr>
          <w:ilvl w:val="0"/>
          <w:numId w:val="1"/>
        </w:numPr>
        <w:spacing w:after="120"/>
        <w:ind w:left="765" w:hanging="357"/>
      </w:pPr>
      <w:r w:rsidRPr="004E60EB">
        <w:rPr>
          <w:rFonts w:asciiTheme="minorHAnsi" w:hAnsiTheme="minorHAnsi"/>
          <w:sz w:val="22"/>
        </w:rPr>
        <w:t>a result of the Participant’s misconduct as an employee.</w:t>
      </w:r>
    </w:p>
    <w:p w14:paraId="1F73D3F9" w14:textId="6BB83751" w:rsidR="00BC4572" w:rsidRPr="004E60EB" w:rsidRDefault="00BC4572" w:rsidP="00ED454B">
      <w:pPr>
        <w:tabs>
          <w:tab w:val="right" w:pos="1701"/>
        </w:tabs>
        <w:spacing w:after="120"/>
      </w:pPr>
      <w:r w:rsidRPr="004E60EB">
        <w:t xml:space="preserve">Where a </w:t>
      </w:r>
      <w:r w:rsidRPr="00ED454B">
        <w:rPr>
          <w:rFonts w:eastAsia="Times New Roman" w:cstheme="minorHAnsi"/>
          <w:lang w:eastAsia="en-AU"/>
        </w:rPr>
        <w:t>Participant</w:t>
      </w:r>
      <w:r w:rsidRPr="004E60EB">
        <w:t xml:space="preserve"> becomes unemployed as described above, this is referred to as an ‘apparent Unemployment Failure’ in thes</w:t>
      </w:r>
      <w:r>
        <w:t>e</w:t>
      </w:r>
      <w:r w:rsidRPr="004E60EB">
        <w:t xml:space="preserve"> Guideline</w:t>
      </w:r>
      <w:r>
        <w:t>s</w:t>
      </w:r>
      <w:r w:rsidRPr="004E60EB">
        <w:t>. Providers’ main obligations in regarding apparent Unemployment Failures are set out in clause 11</w:t>
      </w:r>
      <w:r>
        <w:t>2A</w:t>
      </w:r>
      <w:r w:rsidRPr="004E60EB">
        <w:t xml:space="preserve"> of the </w:t>
      </w:r>
      <w:r>
        <w:t>DES Grant Agreement</w:t>
      </w:r>
      <w:r w:rsidRPr="004E60EB">
        <w:t>.</w:t>
      </w:r>
    </w:p>
    <w:p w14:paraId="3997B0A1" w14:textId="2A23E66A" w:rsidR="00BC4572" w:rsidRPr="004E60EB" w:rsidRDefault="00BC4572" w:rsidP="00ED454B">
      <w:pPr>
        <w:tabs>
          <w:tab w:val="right" w:pos="1701"/>
        </w:tabs>
        <w:spacing w:after="120"/>
      </w:pPr>
      <w:r w:rsidRPr="004E60EB">
        <w:t xml:space="preserve">When the </w:t>
      </w:r>
      <w:r w:rsidRPr="00ED454B">
        <w:rPr>
          <w:rFonts w:eastAsia="Times New Roman" w:cstheme="minorHAnsi"/>
          <w:lang w:eastAsia="en-AU"/>
        </w:rPr>
        <w:t>Provider</w:t>
      </w:r>
      <w:r w:rsidRPr="004E60EB">
        <w:t xml:space="preserve"> discusses the circumstances of an apparent Unemployment Failure with the Participant (as referred to in clauses 11</w:t>
      </w:r>
      <w:r>
        <w:t>2A</w:t>
      </w:r>
      <w:r w:rsidRPr="004E60EB">
        <w:t>.2(a) and 11</w:t>
      </w:r>
      <w:r>
        <w:t>2A</w:t>
      </w:r>
      <w:r w:rsidRPr="004E60EB">
        <w:t xml:space="preserve">.4(a) of the </w:t>
      </w:r>
      <w:r>
        <w:t>DES Grant Agreement</w:t>
      </w:r>
      <w:r w:rsidRPr="004E60EB">
        <w:t xml:space="preserve">), in addition to </w:t>
      </w:r>
      <w:proofErr w:type="gramStart"/>
      <w:r w:rsidRPr="004E60EB">
        <w:t>whether or not</w:t>
      </w:r>
      <w:proofErr w:type="gramEnd"/>
      <w:r w:rsidRPr="004E60EB">
        <w:t xml:space="preserve"> the work was unsuitable (as discussed under the heading ‘Identifying a Work Refusal Failure’), the Provider must also consider the issues referred to below.</w:t>
      </w:r>
    </w:p>
    <w:p w14:paraId="0B5FDAAC" w14:textId="77777777" w:rsidR="00BC4572" w:rsidRPr="004E60EB" w:rsidRDefault="00BC4572" w:rsidP="00ED454B">
      <w:pPr>
        <w:tabs>
          <w:tab w:val="right" w:pos="1701"/>
        </w:tabs>
        <w:spacing w:after="120"/>
      </w:pPr>
      <w:r w:rsidRPr="004E60EB">
        <w:t xml:space="preserve">One of the issues that the Provider must consider is whether the Participant became unemployed as a direct or indirect result of an act of the Participant that was voluntary. For example, a Participant will become unemployed as a direct result of their voluntary act if the Participant voluntarily resigns. Note that </w:t>
      </w:r>
      <w:r w:rsidRPr="00ED454B">
        <w:rPr>
          <w:rFonts w:eastAsia="Times New Roman" w:cstheme="minorHAnsi"/>
          <w:lang w:eastAsia="en-AU"/>
        </w:rPr>
        <w:t>this</w:t>
      </w:r>
      <w:r w:rsidRPr="004E60EB">
        <w:t xml:space="preserve"> will not be an Unemployment Failure if Services Australia considers that the Participant’s voluntary act was reasonable (for example, if the Participant resigned due to bullying or unsafe work practices, or if, for any of the reasons listed under the heading ‘Identifying a Work Refusal Failure’, the work was unsuitable). When the Provider creates an Unemployment Failure report (as discussed below under the heading ‘Reporting an apparent Unemployment Failure’), the report will be sent through the Department’s IT Systems to Services Australia. Services Australia will then determine whether the Participant’s voluntary act was reasonable (i.e. Services Australia will determine whether the Participant has committed an Unemployment Failure).</w:t>
      </w:r>
    </w:p>
    <w:p w14:paraId="7754A537" w14:textId="77777777" w:rsidR="00BC4572" w:rsidRPr="004E60EB" w:rsidRDefault="00BC4572" w:rsidP="00ED454B">
      <w:pPr>
        <w:tabs>
          <w:tab w:val="right" w:pos="1701"/>
        </w:tabs>
        <w:spacing w:after="120"/>
      </w:pPr>
      <w:r w:rsidRPr="004E60EB">
        <w:t xml:space="preserve">In addition to the above, the Provider must also consider the issue of whether the Participant became unemployed </w:t>
      </w:r>
      <w:proofErr w:type="gramStart"/>
      <w:r w:rsidRPr="004E60EB">
        <w:t>as a result of</w:t>
      </w:r>
      <w:proofErr w:type="gramEnd"/>
      <w:r w:rsidRPr="004E60EB">
        <w:t xml:space="preserve"> the Participant’s misconduct as an employee. Providers must have regard to the following factors (if relevant) when assessing whether the Participant became unemployed </w:t>
      </w:r>
      <w:proofErr w:type="gramStart"/>
      <w:r w:rsidRPr="004E60EB">
        <w:t>as a result of</w:t>
      </w:r>
      <w:proofErr w:type="gramEnd"/>
      <w:r w:rsidRPr="004E60EB">
        <w:t xml:space="preserve"> the Participant’s misconduct as an employee:</w:t>
      </w:r>
    </w:p>
    <w:p w14:paraId="055319AF" w14:textId="77777777" w:rsidR="00BC4572" w:rsidRPr="004E60EB" w:rsidRDefault="00BC4572" w:rsidP="003E397F">
      <w:pPr>
        <w:pStyle w:val="guidelinetext"/>
        <w:numPr>
          <w:ilvl w:val="0"/>
          <w:numId w:val="1"/>
        </w:numPr>
        <w:spacing w:before="60" w:line="240" w:lineRule="auto"/>
        <w:ind w:left="714" w:hanging="357"/>
      </w:pPr>
      <w:r w:rsidRPr="004E60EB">
        <w:t xml:space="preserve">a </w:t>
      </w:r>
      <w:r w:rsidRPr="00473A1C">
        <w:rPr>
          <w:u w:val="single"/>
        </w:rPr>
        <w:t>deliberate</w:t>
      </w:r>
      <w:r w:rsidRPr="004E60EB">
        <w:t xml:space="preserve"> failure by the Participant to produce/deliver a reasonable amount of </w:t>
      </w:r>
      <w:proofErr w:type="gramStart"/>
      <w:r w:rsidRPr="004E60EB">
        <w:t>work;</w:t>
      </w:r>
      <w:proofErr w:type="gramEnd"/>
    </w:p>
    <w:p w14:paraId="600CF4DC" w14:textId="77777777" w:rsidR="00BC4572" w:rsidRPr="004E60EB" w:rsidRDefault="00BC4572" w:rsidP="003E397F">
      <w:pPr>
        <w:pStyle w:val="guidelinetext"/>
        <w:numPr>
          <w:ilvl w:val="0"/>
          <w:numId w:val="1"/>
        </w:numPr>
        <w:spacing w:before="60" w:line="240" w:lineRule="auto"/>
        <w:ind w:left="714" w:hanging="357"/>
      </w:pPr>
      <w:r w:rsidRPr="004E60EB">
        <w:t xml:space="preserve">the Participant’s unauthorised absences from duty without good </w:t>
      </w:r>
      <w:proofErr w:type="gramStart"/>
      <w:r w:rsidRPr="004E60EB">
        <w:t>reason;</w:t>
      </w:r>
      <w:proofErr w:type="gramEnd"/>
    </w:p>
    <w:p w14:paraId="6C1A9527" w14:textId="77777777" w:rsidR="00BC4572" w:rsidRPr="004E60EB" w:rsidRDefault="00BC4572" w:rsidP="003E397F">
      <w:pPr>
        <w:pStyle w:val="guidelinetext"/>
        <w:numPr>
          <w:ilvl w:val="0"/>
          <w:numId w:val="1"/>
        </w:numPr>
        <w:spacing w:before="60" w:line="240" w:lineRule="auto"/>
        <w:ind w:left="714" w:hanging="357"/>
      </w:pPr>
      <w:r w:rsidRPr="004E60EB">
        <w:t xml:space="preserve">the Participant’s improper behaviour or practices, such as theft, assault or harassment of other </w:t>
      </w:r>
      <w:proofErr w:type="gramStart"/>
      <w:r w:rsidRPr="004E60EB">
        <w:t>employees;</w:t>
      </w:r>
      <w:proofErr w:type="gramEnd"/>
    </w:p>
    <w:p w14:paraId="52D8F553" w14:textId="77777777" w:rsidR="00BC4572" w:rsidRPr="004E60EB" w:rsidRDefault="00BC4572" w:rsidP="003E397F">
      <w:pPr>
        <w:pStyle w:val="guidelinetext"/>
        <w:numPr>
          <w:ilvl w:val="0"/>
          <w:numId w:val="1"/>
        </w:numPr>
        <w:spacing w:before="60" w:line="240" w:lineRule="auto"/>
        <w:ind w:left="714" w:hanging="357"/>
      </w:pPr>
      <w:r w:rsidRPr="004E60EB">
        <w:t>deliberate actions by the Participant that cause serious risk to the health or safety of other employees; or</w:t>
      </w:r>
    </w:p>
    <w:p w14:paraId="68484A3D" w14:textId="60C74070" w:rsidR="00BC4572" w:rsidRPr="004E60EB" w:rsidRDefault="00BC4572" w:rsidP="003E397F">
      <w:pPr>
        <w:pStyle w:val="guidelinetext"/>
        <w:numPr>
          <w:ilvl w:val="0"/>
          <w:numId w:val="1"/>
        </w:numPr>
        <w:spacing w:before="60" w:line="240" w:lineRule="auto"/>
        <w:ind w:left="714" w:hanging="357"/>
      </w:pPr>
      <w:r w:rsidRPr="004E60EB">
        <w:t>deliberate actions that threaten the reputation, viability or profitability of the Employer.</w:t>
      </w:r>
    </w:p>
    <w:p w14:paraId="3855053D" w14:textId="73DCCBDC" w:rsidR="00BC4572" w:rsidRPr="004E60EB" w:rsidRDefault="00BC4572" w:rsidP="00ED454B">
      <w:pPr>
        <w:tabs>
          <w:tab w:val="right" w:pos="1701"/>
        </w:tabs>
        <w:spacing w:after="120"/>
      </w:pPr>
      <w:r w:rsidRPr="004E60EB">
        <w:lastRenderedPageBreak/>
        <w:t xml:space="preserve">For more information on Providers’ obligations </w:t>
      </w:r>
      <w:r>
        <w:t xml:space="preserve">under the DES Grant Agreement </w:t>
      </w:r>
      <w:r w:rsidRPr="004E60EB">
        <w:t xml:space="preserve">regarding apparent </w:t>
      </w:r>
      <w:r w:rsidRPr="00ED454B">
        <w:rPr>
          <w:rFonts w:eastAsia="Times New Roman" w:cstheme="minorHAnsi"/>
          <w:lang w:eastAsia="en-AU"/>
        </w:rPr>
        <w:t>Unemployment</w:t>
      </w:r>
      <w:r w:rsidRPr="004E60EB">
        <w:t xml:space="preserve"> Failures, see the </w:t>
      </w:r>
      <w:r w:rsidR="003E6282">
        <w:t>‘</w:t>
      </w:r>
      <w:r w:rsidR="003E6282" w:rsidRPr="00DB3DCA">
        <w:t>Reporting an apparent Unemployment Failure</w:t>
      </w:r>
      <w:r w:rsidR="003E6282">
        <w:t>’</w:t>
      </w:r>
      <w:r w:rsidRPr="004E60EB">
        <w:t xml:space="preserve"> section in this document.</w:t>
      </w:r>
    </w:p>
    <w:p w14:paraId="18CB3D40" w14:textId="38D4F24F" w:rsidR="009B0C57" w:rsidRDefault="003E6282" w:rsidP="00987939">
      <w:pPr>
        <w:pStyle w:val="DeedReferences"/>
      </w:pPr>
      <w:r w:rsidRPr="00AC6E9D">
        <w:t>(</w:t>
      </w:r>
      <w:r>
        <w:t>Grant Agreement</w:t>
      </w:r>
      <w:r w:rsidRPr="00AC6E9D">
        <w:t xml:space="preserve"> references: clauses </w:t>
      </w:r>
      <w:r w:rsidRPr="00987939">
        <w:t>112A.2(a), 112A.4(a)</w:t>
      </w:r>
      <w:r>
        <w:t>)</w:t>
      </w:r>
    </w:p>
    <w:p w14:paraId="5C6083AF" w14:textId="77777777" w:rsidR="00987939" w:rsidRPr="00987939" w:rsidRDefault="00987939" w:rsidP="00987939">
      <w:pPr>
        <w:pStyle w:val="guidelinetext"/>
        <w:spacing w:line="240" w:lineRule="auto"/>
        <w:ind w:left="0"/>
      </w:pPr>
    </w:p>
    <w:p w14:paraId="708C0088" w14:textId="77777777" w:rsidR="00BC4572" w:rsidRPr="00587D63" w:rsidRDefault="00BC4572" w:rsidP="00587D63">
      <w:pPr>
        <w:pStyle w:val="Heading3"/>
        <w:spacing w:before="0" w:after="120"/>
        <w:ind w:left="0"/>
        <w:rPr>
          <w:bCs/>
          <w:lang w:eastAsia="en-AU"/>
        </w:rPr>
      </w:pPr>
      <w:bookmarkStart w:id="102" w:name="_Reporting_an_apparent_1"/>
      <w:bookmarkStart w:id="103" w:name="_Toc17710499"/>
      <w:bookmarkStart w:id="104" w:name="_Toc177576657"/>
      <w:bookmarkEnd w:id="102"/>
      <w:r w:rsidRPr="00587D63">
        <w:rPr>
          <w:bCs/>
          <w:lang w:eastAsia="en-AU"/>
        </w:rPr>
        <w:t>Reporting an apparent Unemployment Failure</w:t>
      </w:r>
      <w:bookmarkEnd w:id="103"/>
      <w:bookmarkEnd w:id="104"/>
    </w:p>
    <w:p w14:paraId="45FD5060" w14:textId="792AB030" w:rsidR="00BC4572" w:rsidRPr="004E60EB" w:rsidRDefault="00BC4572" w:rsidP="00ED454B">
      <w:pPr>
        <w:tabs>
          <w:tab w:val="right" w:pos="1701"/>
        </w:tabs>
        <w:spacing w:after="120"/>
      </w:pPr>
      <w:r w:rsidRPr="004E60EB">
        <w:t xml:space="preserve">Providers must comply with their </w:t>
      </w:r>
      <w:r w:rsidR="009B0C57">
        <w:t>Grant Agreement</w:t>
      </w:r>
      <w:r w:rsidRPr="004E60EB">
        <w:t xml:space="preserve"> obligations relating to apparent Unemployment </w:t>
      </w:r>
      <w:r w:rsidRPr="00ED454B">
        <w:rPr>
          <w:rFonts w:eastAsia="Times New Roman" w:cstheme="minorHAnsi"/>
          <w:lang w:eastAsia="en-AU"/>
        </w:rPr>
        <w:t>Failures</w:t>
      </w:r>
      <w:r w:rsidRPr="004E60EB">
        <w:t xml:space="preserve"> (see clause 11</w:t>
      </w:r>
      <w:r w:rsidR="009B0C57">
        <w:t>2A</w:t>
      </w:r>
      <w:r w:rsidRPr="004E60EB">
        <w:t xml:space="preserve"> of the </w:t>
      </w:r>
      <w:r w:rsidR="009B0C57">
        <w:t>DES Grant Agreement</w:t>
      </w:r>
      <w:r w:rsidRPr="004E60EB">
        <w:t>), regardless of which compliance zone the relevant Participant is in.</w:t>
      </w:r>
    </w:p>
    <w:p w14:paraId="22014D2A" w14:textId="74C3ECED" w:rsidR="00BC4572" w:rsidRPr="004E60EB" w:rsidRDefault="00BC4572" w:rsidP="00ED454B">
      <w:pPr>
        <w:tabs>
          <w:tab w:val="right" w:pos="1701"/>
        </w:tabs>
        <w:spacing w:after="120"/>
      </w:pPr>
      <w:r w:rsidRPr="004E60EB">
        <w:t xml:space="preserve">In </w:t>
      </w:r>
      <w:r w:rsidRPr="00ED454B">
        <w:rPr>
          <w:rFonts w:eastAsia="Times New Roman" w:cstheme="minorHAnsi"/>
          <w:lang w:eastAsia="en-AU"/>
        </w:rPr>
        <w:t>accordance</w:t>
      </w:r>
      <w:r w:rsidRPr="004E60EB">
        <w:t xml:space="preserve"> with clauses 11</w:t>
      </w:r>
      <w:r w:rsidR="009B0C57">
        <w:t>2A</w:t>
      </w:r>
      <w:r w:rsidRPr="004E60EB">
        <w:t>.2 and 11</w:t>
      </w:r>
      <w:r w:rsidR="009B0C57">
        <w:t>2A</w:t>
      </w:r>
      <w:r w:rsidRPr="004E60EB">
        <w:t xml:space="preserve">.4 of the </w:t>
      </w:r>
      <w:r w:rsidR="009B0C57">
        <w:t>DES Grant Agreement</w:t>
      </w:r>
      <w:r w:rsidRPr="004E60EB">
        <w:t xml:space="preserve">, following a discussion with the Participant, the Provider must consider whether the Participant has committed an apparent Unemployment Failure. See above under the heading ‘Identifying an </w:t>
      </w:r>
      <w:r w:rsidR="003E6282">
        <w:t>apparent Unemployment Failure’.</w:t>
      </w:r>
    </w:p>
    <w:p w14:paraId="26FA1961" w14:textId="77777777" w:rsidR="00BC4572" w:rsidRPr="004E60EB" w:rsidRDefault="00BC4572" w:rsidP="00ED454B">
      <w:pPr>
        <w:tabs>
          <w:tab w:val="right" w:pos="1701"/>
        </w:tabs>
        <w:spacing w:after="120"/>
      </w:pPr>
      <w:r w:rsidRPr="004E60EB">
        <w:t xml:space="preserve">Below is a discussion of the system steps that the Provider must </w:t>
      </w:r>
      <w:proofErr w:type="gramStart"/>
      <w:r w:rsidRPr="004E60EB">
        <w:t>follow after</w:t>
      </w:r>
      <w:proofErr w:type="gramEnd"/>
      <w:r w:rsidRPr="004E60EB">
        <w:t xml:space="preserve"> they decide whether the </w:t>
      </w:r>
      <w:r w:rsidRPr="00ED454B">
        <w:rPr>
          <w:rFonts w:eastAsia="Times New Roman" w:cstheme="minorHAnsi"/>
          <w:lang w:eastAsia="en-AU"/>
        </w:rPr>
        <w:t>Participant</w:t>
      </w:r>
      <w:r w:rsidRPr="004E60EB">
        <w:t xml:space="preserve"> has committed an apparent Unemployment Failure.</w:t>
      </w:r>
    </w:p>
    <w:p w14:paraId="63AC5EE6" w14:textId="31233DB5" w:rsidR="00BC4572" w:rsidRPr="004E60EB" w:rsidRDefault="00BC4572" w:rsidP="00ED454B">
      <w:pPr>
        <w:tabs>
          <w:tab w:val="right" w:pos="1701"/>
        </w:tabs>
        <w:spacing w:after="120"/>
      </w:pPr>
      <w:r w:rsidRPr="004E60EB">
        <w:t xml:space="preserve">Providers have obligations under the </w:t>
      </w:r>
      <w:r w:rsidR="009B0C57">
        <w:t>DES Grant Agreement</w:t>
      </w:r>
      <w:r w:rsidR="009B0C57" w:rsidRPr="009B0C57">
        <w:t xml:space="preserve"> </w:t>
      </w:r>
      <w:r w:rsidRPr="004E60EB">
        <w:t>to create Unemployment Failure reports in certain circumstances (see clauses 11</w:t>
      </w:r>
      <w:r w:rsidR="009B0C57">
        <w:t>2A</w:t>
      </w:r>
      <w:r w:rsidRPr="004E60EB">
        <w:t>.2(b) and 11</w:t>
      </w:r>
      <w:r w:rsidR="009B0C57">
        <w:t>2A</w:t>
      </w:r>
      <w:r w:rsidRPr="004E60EB">
        <w:t xml:space="preserve">.3(b) of the </w:t>
      </w:r>
      <w:r w:rsidR="009B0C57">
        <w:t>DES Grant Agreement</w:t>
      </w:r>
      <w:r w:rsidRPr="004E60EB">
        <w:t xml:space="preserve">). The systems steps that the Provider must follow to create Unemployment Failure reports in those </w:t>
      </w:r>
      <w:r w:rsidRPr="00ED454B">
        <w:rPr>
          <w:rFonts w:eastAsia="Times New Roman" w:cstheme="minorHAnsi"/>
          <w:lang w:eastAsia="en-AU"/>
        </w:rPr>
        <w:t>circumstances</w:t>
      </w:r>
      <w:r w:rsidRPr="004E60EB">
        <w:t xml:space="preserve"> are discussed below.</w:t>
      </w:r>
    </w:p>
    <w:p w14:paraId="51E93D4C" w14:textId="1085A02B" w:rsidR="004A54C7" w:rsidRPr="004A54C7" w:rsidRDefault="004A54C7" w:rsidP="00ED454B">
      <w:pPr>
        <w:tabs>
          <w:tab w:val="right" w:pos="1701"/>
        </w:tabs>
        <w:spacing w:after="120"/>
      </w:pPr>
      <w:bookmarkStart w:id="105" w:name="_Toc516565592"/>
      <w:r w:rsidRPr="004A54C7">
        <w:t xml:space="preserve">The Unemployment Failure </w:t>
      </w:r>
      <w:r w:rsidR="009B0C57">
        <w:t>r</w:t>
      </w:r>
      <w:r w:rsidRPr="004A54C7">
        <w:t xml:space="preserve">eport must be created and finalised </w:t>
      </w:r>
      <w:r w:rsidR="009B0C57" w:rsidRPr="008631C3">
        <w:t xml:space="preserve">(as discussed below) </w:t>
      </w:r>
      <w:r w:rsidRPr="004A54C7">
        <w:t>within 20</w:t>
      </w:r>
      <w:r w:rsidR="009B0C57">
        <w:t> B</w:t>
      </w:r>
      <w:r w:rsidRPr="004A54C7">
        <w:t xml:space="preserve">usiness </w:t>
      </w:r>
      <w:r w:rsidR="009B0C57">
        <w:t>D</w:t>
      </w:r>
      <w:r w:rsidRPr="004A54C7">
        <w:t>ays of the incident date</w:t>
      </w:r>
      <w:r w:rsidR="009B0C57">
        <w:t xml:space="preserve"> </w:t>
      </w:r>
      <w:r w:rsidR="009B0C57" w:rsidRPr="008631C3">
        <w:t>(discussed immediately below)</w:t>
      </w:r>
      <w:r w:rsidRPr="004A54C7">
        <w:t xml:space="preserve">. If </w:t>
      </w:r>
      <w:r w:rsidR="009B0C57" w:rsidRPr="008631C3">
        <w:t xml:space="preserve">this does not occur (e.g. where </w:t>
      </w:r>
      <w:r w:rsidRPr="004A54C7">
        <w:t xml:space="preserve">the Provider does not become aware of an Unemployment Failure until after 20 </w:t>
      </w:r>
      <w:r w:rsidR="009B0C57">
        <w:t>B</w:t>
      </w:r>
      <w:r w:rsidRPr="004A54C7">
        <w:t xml:space="preserve">usiness </w:t>
      </w:r>
      <w:r w:rsidR="009B0C57">
        <w:t>D</w:t>
      </w:r>
      <w:r w:rsidRPr="004A54C7">
        <w:t>ays have passed since the incident date</w:t>
      </w:r>
      <w:r w:rsidR="009B0C57">
        <w:t>)</w:t>
      </w:r>
      <w:r w:rsidRPr="004A54C7">
        <w:t xml:space="preserve">, </w:t>
      </w:r>
      <w:r w:rsidR="009B0C57" w:rsidRPr="008631C3">
        <w:t xml:space="preserve">the Department’s IT Systems will not allow </w:t>
      </w:r>
      <w:r w:rsidRPr="004A54C7">
        <w:t xml:space="preserve">the </w:t>
      </w:r>
      <w:r w:rsidRPr="00ED454B">
        <w:rPr>
          <w:rFonts w:eastAsia="Times New Roman" w:cstheme="minorHAnsi"/>
          <w:lang w:eastAsia="en-AU"/>
        </w:rPr>
        <w:t>Unemployment</w:t>
      </w:r>
      <w:r w:rsidRPr="004A54C7">
        <w:t xml:space="preserve"> Failure reported </w:t>
      </w:r>
      <w:r w:rsidR="009B0C57" w:rsidRPr="008631C3">
        <w:t>to be finalised, meaning the apparent Unemployment Failure will not be reported to Services Australia</w:t>
      </w:r>
      <w:r w:rsidRPr="004A54C7">
        <w:t>.</w:t>
      </w:r>
    </w:p>
    <w:p w14:paraId="59F17F29" w14:textId="4F7F78E1" w:rsidR="004A54C7" w:rsidRDefault="004A54C7" w:rsidP="00ED454B">
      <w:pPr>
        <w:tabs>
          <w:tab w:val="right" w:pos="1701"/>
        </w:tabs>
        <w:spacing w:after="120"/>
      </w:pPr>
      <w:r w:rsidRPr="004A54C7">
        <w:t xml:space="preserve">The incident date is the first full day a Participant is unemployed (e.g. if a Participant were dismissed due to </w:t>
      </w:r>
      <w:r w:rsidRPr="00ED454B">
        <w:rPr>
          <w:rFonts w:eastAsia="Times New Roman" w:cstheme="minorHAnsi"/>
          <w:lang w:eastAsia="en-AU"/>
        </w:rPr>
        <w:t>misconduct</w:t>
      </w:r>
      <w:r w:rsidRPr="004A54C7">
        <w:t xml:space="preserve">, the incident date </w:t>
      </w:r>
      <w:r w:rsidR="009B0C57">
        <w:t>is</w:t>
      </w:r>
      <w:r w:rsidRPr="004A54C7">
        <w:t xml:space="preserve"> the day after </w:t>
      </w:r>
      <w:r w:rsidR="009B0C57" w:rsidRPr="008631C3">
        <w:t>the day on which they became unemployed</w:t>
      </w:r>
      <w:r w:rsidRPr="004A54C7">
        <w:t>).</w:t>
      </w:r>
    </w:p>
    <w:p w14:paraId="684D3770" w14:textId="1AD3AC1D" w:rsidR="008257BC" w:rsidRPr="00587D63" w:rsidRDefault="008257BC" w:rsidP="00587D63">
      <w:pPr>
        <w:pStyle w:val="DeedReferences"/>
      </w:pPr>
      <w:r w:rsidRPr="00AC6E9D">
        <w:t>(</w:t>
      </w:r>
      <w:r>
        <w:t>Grant Agreement</w:t>
      </w:r>
      <w:r w:rsidRPr="00AC6E9D">
        <w:t xml:space="preserve"> references: clauses </w:t>
      </w:r>
      <w:r w:rsidRPr="00987939">
        <w:t>112A.2(b), 112A.3(b)</w:t>
      </w:r>
      <w:r>
        <w:t>)</w:t>
      </w:r>
    </w:p>
    <w:p w14:paraId="3C6D9917" w14:textId="77777777" w:rsidR="009B0C57" w:rsidRPr="006E01E7" w:rsidRDefault="009B0C57" w:rsidP="00587D63">
      <w:pPr>
        <w:pStyle w:val="Heading4"/>
      </w:pPr>
      <w:bookmarkStart w:id="106" w:name="_Toc17710500"/>
      <w:bookmarkStart w:id="107" w:name="_Toc177576658"/>
      <w:r w:rsidRPr="00DB3DCA">
        <w:t xml:space="preserve">Contact attempt </w:t>
      </w:r>
      <w:r w:rsidRPr="00032FF7">
        <w:t>is successful</w:t>
      </w:r>
      <w:r w:rsidRPr="00DB3DCA">
        <w:t xml:space="preserve"> on the same Business Day</w:t>
      </w:r>
      <w:bookmarkEnd w:id="106"/>
      <w:bookmarkEnd w:id="107"/>
    </w:p>
    <w:p w14:paraId="5396E52A" w14:textId="77777777" w:rsidR="009B0C57" w:rsidRPr="00587D63" w:rsidRDefault="009B0C57" w:rsidP="006E01E7">
      <w:pPr>
        <w:spacing w:before="240" w:after="120"/>
        <w:rPr>
          <w:rFonts w:ascii="Calibri" w:eastAsia="Times New Roman" w:hAnsi="Calibri" w:cs="Times New Roman"/>
          <w:i/>
          <w:szCs w:val="24"/>
          <w:u w:val="single"/>
          <w:lang w:eastAsia="en-AU"/>
        </w:rPr>
      </w:pPr>
      <w:r w:rsidRPr="00587D63">
        <w:rPr>
          <w:rFonts w:ascii="Calibri" w:eastAsia="Times New Roman" w:hAnsi="Calibri" w:cs="Times New Roman"/>
          <w:i/>
          <w:szCs w:val="24"/>
          <w:u w:val="single"/>
          <w:lang w:eastAsia="en-AU"/>
        </w:rPr>
        <w:t>Provider considers that the Participant committed an apparent Unemployment Failure</w:t>
      </w:r>
    </w:p>
    <w:p w14:paraId="5EE265FB" w14:textId="77777777" w:rsidR="009B0C57" w:rsidRPr="004E60EB" w:rsidRDefault="009B0C57" w:rsidP="00ED454B">
      <w:pPr>
        <w:tabs>
          <w:tab w:val="right" w:pos="1701"/>
        </w:tabs>
        <w:spacing w:after="120"/>
      </w:pPr>
      <w:r w:rsidRPr="004E60EB">
        <w:t xml:space="preserve">This section of the Guideline applies when, after discussing the circumstances of the apparent </w:t>
      </w:r>
      <w:r w:rsidRPr="00ED454B">
        <w:rPr>
          <w:rFonts w:eastAsia="Times New Roman" w:cstheme="minorHAnsi"/>
          <w:lang w:eastAsia="en-AU"/>
        </w:rPr>
        <w:t>Unemployment</w:t>
      </w:r>
      <w:r w:rsidRPr="004E60EB">
        <w:t xml:space="preserve"> Failure with the Participant, the Provider:</w:t>
      </w:r>
    </w:p>
    <w:p w14:paraId="2E6F3357" w14:textId="77777777" w:rsidR="009B0C57" w:rsidRPr="004E60EB" w:rsidRDefault="009B0C57" w:rsidP="003E397F">
      <w:pPr>
        <w:pStyle w:val="guidelinetext"/>
        <w:numPr>
          <w:ilvl w:val="0"/>
          <w:numId w:val="1"/>
        </w:numPr>
        <w:spacing w:before="60" w:line="240" w:lineRule="auto"/>
        <w:ind w:left="714" w:hanging="357"/>
      </w:pPr>
      <w:r w:rsidRPr="004E60EB">
        <w:t xml:space="preserve">considers the Participant committed an apparent Unemployment Failure (see the discussion under the heading ‘Identifying an apparent Unemployment Failure’ above); and </w:t>
      </w:r>
    </w:p>
    <w:p w14:paraId="7B114C52" w14:textId="7BBB1E84" w:rsidR="009B0C57" w:rsidRPr="004E60EB" w:rsidRDefault="009B0C57" w:rsidP="003E397F">
      <w:pPr>
        <w:pStyle w:val="guidelinetext"/>
        <w:numPr>
          <w:ilvl w:val="0"/>
          <w:numId w:val="1"/>
        </w:numPr>
        <w:spacing w:before="60" w:line="240" w:lineRule="auto"/>
        <w:ind w:left="714" w:hanging="357"/>
      </w:pPr>
      <w:r w:rsidRPr="004E60EB">
        <w:t>has an obligation to create an Unemployment report under clause 11</w:t>
      </w:r>
      <w:r>
        <w:t>2A</w:t>
      </w:r>
      <w:r w:rsidRPr="004E60EB">
        <w:t xml:space="preserve">.2(b) of the </w:t>
      </w:r>
      <w:r>
        <w:t>DES Grant Agreement</w:t>
      </w:r>
      <w:r w:rsidRPr="004E60EB">
        <w:t xml:space="preserve"> (i.e. because they had the discussion with the Participant on the Business </w:t>
      </w:r>
      <w:proofErr w:type="gramStart"/>
      <w:r w:rsidRPr="004E60EB">
        <w:t>Day</w:t>
      </w:r>
      <w:proofErr w:type="gramEnd"/>
      <w:r w:rsidRPr="004E60EB">
        <w:t xml:space="preserve"> they became aware of the apparent Unemployment Failure).</w:t>
      </w:r>
    </w:p>
    <w:p w14:paraId="49C13E17" w14:textId="2A536136" w:rsidR="008257BC" w:rsidRPr="00653EB8" w:rsidRDefault="008257BC" w:rsidP="008257BC">
      <w:pPr>
        <w:pStyle w:val="Systemstep"/>
        <w:numPr>
          <w:ilvl w:val="0"/>
          <w:numId w:val="4"/>
        </w:numPr>
        <w:spacing w:line="240" w:lineRule="auto"/>
        <w:ind w:left="426" w:hanging="426"/>
      </w:pPr>
      <w:bookmarkStart w:id="108" w:name="_Hlk102142895"/>
      <w:r w:rsidRPr="004E60EB">
        <w:t>In that case, the Provider must create and finalise the Unemployment Failure report by undertaking the following steps in the Department’s IT System</w:t>
      </w:r>
      <w:r>
        <w:t>:</w:t>
      </w:r>
    </w:p>
    <w:bookmarkEnd w:id="108"/>
    <w:p w14:paraId="4C930256" w14:textId="77777777" w:rsidR="009B0C57" w:rsidRPr="004E60EB" w:rsidRDefault="009B0C57" w:rsidP="003E397F">
      <w:pPr>
        <w:pStyle w:val="guidelinetext"/>
        <w:numPr>
          <w:ilvl w:val="0"/>
          <w:numId w:val="1"/>
        </w:numPr>
        <w:spacing w:before="60" w:line="240" w:lineRule="auto"/>
        <w:ind w:left="714" w:hanging="357"/>
      </w:pPr>
      <w:r w:rsidRPr="004E60EB">
        <w:t>selecting ‘create compliance</w:t>
      </w:r>
      <w:proofErr w:type="gramStart"/>
      <w:r w:rsidRPr="004E60EB">
        <w:t>’;</w:t>
      </w:r>
      <w:proofErr w:type="gramEnd"/>
    </w:p>
    <w:p w14:paraId="3ECD6E51" w14:textId="77777777" w:rsidR="009B0C57" w:rsidRPr="004E60EB" w:rsidRDefault="009B0C57" w:rsidP="00B659B6">
      <w:pPr>
        <w:pStyle w:val="guidelinetext"/>
        <w:keepNext/>
        <w:keepLines/>
        <w:numPr>
          <w:ilvl w:val="0"/>
          <w:numId w:val="1"/>
        </w:numPr>
        <w:spacing w:before="60" w:line="240" w:lineRule="auto"/>
        <w:ind w:left="714" w:hanging="357"/>
      </w:pPr>
      <w:r w:rsidRPr="004E60EB">
        <w:lastRenderedPageBreak/>
        <w:t xml:space="preserve">selecting the Event Type from the </w:t>
      </w:r>
      <w:proofErr w:type="gramStart"/>
      <w:r w:rsidRPr="004E60EB">
        <w:t>drop down</w:t>
      </w:r>
      <w:proofErr w:type="gramEnd"/>
      <w:r w:rsidRPr="004E60EB">
        <w:t xml:space="preserve"> menu that will appear as follows:</w:t>
      </w:r>
    </w:p>
    <w:p w14:paraId="6A0DE16E" w14:textId="77777777" w:rsidR="009B0C57" w:rsidRDefault="009B0C57" w:rsidP="00DB3DCA">
      <w:pPr>
        <w:pStyle w:val="guidelinebullet"/>
        <w:numPr>
          <w:ilvl w:val="1"/>
          <w:numId w:val="1"/>
        </w:numPr>
        <w:ind w:left="1134"/>
      </w:pPr>
      <w:r>
        <w:t>select ‘job seeker dismissed for misconduct’ where the Provider</w:t>
      </w:r>
      <w:r w:rsidRPr="00310CC7">
        <w:t xml:space="preserve"> consider</w:t>
      </w:r>
      <w:r>
        <w:t>s</w:t>
      </w:r>
      <w:r w:rsidRPr="00310CC7">
        <w:t xml:space="preserve"> that </w:t>
      </w:r>
      <w:r w:rsidRPr="00C222BC">
        <w:t xml:space="preserve">the </w:t>
      </w:r>
      <w:r>
        <w:t>Participant</w:t>
      </w:r>
      <w:r w:rsidRPr="00C222BC">
        <w:t xml:space="preserve"> </w:t>
      </w:r>
      <w:r>
        <w:t xml:space="preserve">became unemployed apparently </w:t>
      </w:r>
      <w:proofErr w:type="gramStart"/>
      <w:r>
        <w:t>as a result of</w:t>
      </w:r>
      <w:proofErr w:type="gramEnd"/>
      <w:r>
        <w:t xml:space="preserve"> the Participant’s misconduct as an employee; or</w:t>
      </w:r>
    </w:p>
    <w:p w14:paraId="318E2828" w14:textId="77777777" w:rsidR="009B0C57" w:rsidRDefault="009B0C57" w:rsidP="00DB3DCA">
      <w:pPr>
        <w:pStyle w:val="guidelinebullet"/>
        <w:numPr>
          <w:ilvl w:val="1"/>
          <w:numId w:val="1"/>
        </w:numPr>
        <w:ind w:left="1134"/>
      </w:pPr>
      <w:r>
        <w:t>select ‘job seeker voluntarily leaves a job’ where the Provider</w:t>
      </w:r>
      <w:r w:rsidRPr="00310CC7">
        <w:t xml:space="preserve"> consider</w:t>
      </w:r>
      <w:r>
        <w:t>s</w:t>
      </w:r>
      <w:r w:rsidRPr="00310CC7">
        <w:t xml:space="preserve"> that the </w:t>
      </w:r>
      <w:r>
        <w:t>Participant</w:t>
      </w:r>
      <w:r w:rsidRPr="00310CC7">
        <w:t xml:space="preserve"> </w:t>
      </w:r>
      <w:r>
        <w:t xml:space="preserve">became unemployed apparently as a direct or indirect result of a voluntary act of the </w:t>
      </w:r>
      <w:proofErr w:type="gramStart"/>
      <w:r>
        <w:t>Participant;</w:t>
      </w:r>
      <w:proofErr w:type="gramEnd"/>
    </w:p>
    <w:p w14:paraId="35A74F4A" w14:textId="77777777" w:rsidR="009B0C57" w:rsidRPr="004E60EB" w:rsidRDefault="009B0C57" w:rsidP="003E397F">
      <w:pPr>
        <w:pStyle w:val="guidelinetext"/>
        <w:numPr>
          <w:ilvl w:val="0"/>
          <w:numId w:val="1"/>
        </w:numPr>
        <w:spacing w:before="60" w:line="240" w:lineRule="auto"/>
        <w:ind w:left="714" w:hanging="357"/>
      </w:pPr>
      <w:r w:rsidRPr="004E60EB">
        <w:t>recording the incident date (discussed above</w:t>
      </w:r>
      <w:proofErr w:type="gramStart"/>
      <w:r w:rsidRPr="004E60EB">
        <w:t>);</w:t>
      </w:r>
      <w:proofErr w:type="gramEnd"/>
    </w:p>
    <w:p w14:paraId="6E998BAB" w14:textId="77777777" w:rsidR="009B0C57" w:rsidRPr="004E60EB" w:rsidRDefault="009B0C57" w:rsidP="003E397F">
      <w:pPr>
        <w:pStyle w:val="guidelinetext"/>
        <w:numPr>
          <w:ilvl w:val="0"/>
          <w:numId w:val="1"/>
        </w:numPr>
        <w:spacing w:before="60" w:line="240" w:lineRule="auto"/>
        <w:ind w:left="714" w:hanging="357"/>
      </w:pPr>
      <w:r w:rsidRPr="004E60EB">
        <w:t xml:space="preserve">answering ‘yes’ to the question of whether they are in contact with the </w:t>
      </w:r>
      <w:proofErr w:type="gramStart"/>
      <w:r w:rsidRPr="004E60EB">
        <w:t>Participant;</w:t>
      </w:r>
      <w:proofErr w:type="gramEnd"/>
      <w:r w:rsidRPr="004E60EB">
        <w:t xml:space="preserve"> </w:t>
      </w:r>
    </w:p>
    <w:p w14:paraId="13900B65" w14:textId="77777777" w:rsidR="009B0C57" w:rsidRPr="004E60EB" w:rsidRDefault="009B0C57" w:rsidP="003E397F">
      <w:pPr>
        <w:pStyle w:val="guidelinetext"/>
        <w:numPr>
          <w:ilvl w:val="0"/>
          <w:numId w:val="1"/>
        </w:numPr>
        <w:spacing w:before="60" w:line="240" w:lineRule="auto"/>
        <w:ind w:left="714" w:hanging="357"/>
      </w:pPr>
      <w:r w:rsidRPr="004E60EB">
        <w:t xml:space="preserve">selecting a reason from the ‘Reasons not accepted’ column of the </w:t>
      </w:r>
      <w:proofErr w:type="gramStart"/>
      <w:r w:rsidRPr="004E60EB">
        <w:t>drop down</w:t>
      </w:r>
      <w:proofErr w:type="gramEnd"/>
      <w:r w:rsidRPr="004E60EB">
        <w:t xml:space="preserve"> menu that will appear. The Provider must select the reason that most closely aligns with the reason that the Participant gave as to:</w:t>
      </w:r>
    </w:p>
    <w:p w14:paraId="1811E74D" w14:textId="77777777" w:rsidR="009B0C57" w:rsidRDefault="009B0C57" w:rsidP="00DB3DCA">
      <w:pPr>
        <w:pStyle w:val="guidelinebullet"/>
        <w:numPr>
          <w:ilvl w:val="1"/>
          <w:numId w:val="1"/>
        </w:numPr>
        <w:ind w:left="1134"/>
      </w:pPr>
      <w:r>
        <w:t xml:space="preserve">why the Participant </w:t>
      </w:r>
      <w:r w:rsidRPr="009F426A">
        <w:t>did</w:t>
      </w:r>
      <w:r>
        <w:t xml:space="preserve"> the voluntary act (e.g. resigned) that lead to their unemployment; or</w:t>
      </w:r>
    </w:p>
    <w:p w14:paraId="01E34500" w14:textId="77777777" w:rsidR="009B0C57" w:rsidRDefault="009B0C57" w:rsidP="00DB3DCA">
      <w:pPr>
        <w:pStyle w:val="guidelinebullet"/>
        <w:numPr>
          <w:ilvl w:val="1"/>
          <w:numId w:val="1"/>
        </w:numPr>
        <w:ind w:left="1134"/>
      </w:pPr>
      <w:r>
        <w:t>why the Participant engaged in misconduct (or believed they did not engage in misconduct</w:t>
      </w:r>
      <w:proofErr w:type="gramStart"/>
      <w:r>
        <w:t>)</w:t>
      </w:r>
      <w:r w:rsidRPr="00500DF1">
        <w:t>;</w:t>
      </w:r>
      <w:proofErr w:type="gramEnd"/>
    </w:p>
    <w:p w14:paraId="06DAC42E" w14:textId="77777777" w:rsidR="009B0C57" w:rsidRDefault="009B0C57" w:rsidP="009B0C57">
      <w:pPr>
        <w:pStyle w:val="guidelinetext"/>
        <w:ind w:left="851"/>
      </w:pPr>
      <w:r w:rsidRPr="00F276F8">
        <w:t xml:space="preserve">A full list of these drop-down menu options can be found at </w:t>
      </w:r>
      <w:r w:rsidRPr="00052CFC">
        <w:t xml:space="preserve">Attachment </w:t>
      </w:r>
      <w:proofErr w:type="gramStart"/>
      <w:r>
        <w:t>B;</w:t>
      </w:r>
      <w:proofErr w:type="gramEnd"/>
    </w:p>
    <w:p w14:paraId="11A4CE84" w14:textId="77777777" w:rsidR="009B0C57" w:rsidRPr="004E60EB" w:rsidRDefault="009B0C57" w:rsidP="003E397F">
      <w:pPr>
        <w:pStyle w:val="guidelinetext"/>
        <w:numPr>
          <w:ilvl w:val="0"/>
          <w:numId w:val="1"/>
        </w:numPr>
        <w:spacing w:before="60" w:line="240" w:lineRule="auto"/>
        <w:ind w:left="714" w:hanging="357"/>
      </w:pPr>
      <w:r w:rsidRPr="004E60EB">
        <w:t>otherwise accurately answer the questions that will be automatically generated; and</w:t>
      </w:r>
    </w:p>
    <w:p w14:paraId="7A935217" w14:textId="65D01F3F" w:rsidR="009B0C57" w:rsidRPr="004E60EB" w:rsidRDefault="009B0C57" w:rsidP="003E397F">
      <w:pPr>
        <w:pStyle w:val="guidelinetext"/>
        <w:numPr>
          <w:ilvl w:val="0"/>
          <w:numId w:val="1"/>
        </w:numPr>
        <w:spacing w:before="60" w:line="240" w:lineRule="auto"/>
        <w:ind w:left="714" w:hanging="357"/>
      </w:pPr>
      <w:r w:rsidRPr="004E60EB">
        <w:t>selecting ‘create’, which will send the Unemployment Failure report to Services Australia for investigation.</w:t>
      </w:r>
    </w:p>
    <w:p w14:paraId="585B6FBF" w14:textId="1B63E477" w:rsidR="008257BC" w:rsidRPr="00E43639" w:rsidRDefault="008257BC" w:rsidP="00987939">
      <w:pPr>
        <w:pStyle w:val="DeedReferences"/>
      </w:pPr>
      <w:r w:rsidRPr="00AC6E9D">
        <w:t>(</w:t>
      </w:r>
      <w:r>
        <w:t>Grant Agreement</w:t>
      </w:r>
      <w:r w:rsidRPr="00AC6E9D">
        <w:t xml:space="preserve"> references: clauses </w:t>
      </w:r>
      <w:r w:rsidRPr="008257BC">
        <w:t>112A.2(b)</w:t>
      </w:r>
      <w:r>
        <w:t>)</w:t>
      </w:r>
    </w:p>
    <w:p w14:paraId="6CB9792A" w14:textId="5772BF2A" w:rsidR="00415A56" w:rsidRPr="00032FF7" w:rsidRDefault="00415A56" w:rsidP="00032FF7">
      <w:pPr>
        <w:spacing w:before="240" w:after="120"/>
        <w:rPr>
          <w:rFonts w:ascii="Calibri" w:eastAsia="Times New Roman" w:hAnsi="Calibri" w:cs="Times New Roman"/>
          <w:i/>
          <w:szCs w:val="24"/>
          <w:u w:val="single"/>
          <w:lang w:eastAsia="en-AU"/>
        </w:rPr>
      </w:pPr>
      <w:r w:rsidRPr="00032FF7">
        <w:rPr>
          <w:rFonts w:ascii="Calibri" w:eastAsia="Times New Roman" w:hAnsi="Calibri" w:cs="Times New Roman"/>
          <w:i/>
          <w:szCs w:val="24"/>
          <w:u w:val="single"/>
          <w:lang w:eastAsia="en-AU"/>
        </w:rPr>
        <w:t>Provider considers that the Participant has not committed an Unemployment Failure</w:t>
      </w:r>
    </w:p>
    <w:p w14:paraId="226A33CD" w14:textId="615CDEB6" w:rsidR="00415A56" w:rsidRPr="004E60EB" w:rsidRDefault="00415A56" w:rsidP="00ED454B">
      <w:pPr>
        <w:tabs>
          <w:tab w:val="right" w:pos="1701"/>
        </w:tabs>
        <w:spacing w:after="120"/>
      </w:pPr>
      <w:r w:rsidRPr="004E60EB">
        <w:t>This section of the Guideline</w:t>
      </w:r>
      <w:r>
        <w:t>s</w:t>
      </w:r>
      <w:r w:rsidRPr="004E60EB">
        <w:t xml:space="preserve"> applies when the Provider:</w:t>
      </w:r>
    </w:p>
    <w:p w14:paraId="5F51F68B" w14:textId="77777777" w:rsidR="00415A56" w:rsidRPr="004E60EB" w:rsidRDefault="00415A56" w:rsidP="003E397F">
      <w:pPr>
        <w:pStyle w:val="guidelinetext"/>
        <w:numPr>
          <w:ilvl w:val="0"/>
          <w:numId w:val="1"/>
        </w:numPr>
        <w:spacing w:before="60" w:line="240" w:lineRule="auto"/>
        <w:ind w:left="714" w:hanging="357"/>
      </w:pPr>
      <w:r w:rsidRPr="004E60EB">
        <w:t>is in contact with the Participant on the Business Day on which the Provider became aware of an apparent Unemployment Failure; and</w:t>
      </w:r>
    </w:p>
    <w:p w14:paraId="666C1FBD" w14:textId="77777777" w:rsidR="00415A56" w:rsidRPr="004E60EB" w:rsidRDefault="00415A56" w:rsidP="003E397F">
      <w:pPr>
        <w:pStyle w:val="guidelinetext"/>
        <w:numPr>
          <w:ilvl w:val="0"/>
          <w:numId w:val="1"/>
        </w:numPr>
        <w:spacing w:before="60" w:line="240" w:lineRule="auto"/>
        <w:ind w:left="714" w:hanging="357"/>
      </w:pPr>
      <w:r w:rsidRPr="004E60EB">
        <w:t>after discussing the circumstances of the apparent Unemployment Failure with the Participant, considers the Participant has not committed the apparent Unemployment Failure (see the discussion under the heading ‘Identifying an apparent Unemployment Failure’ above).</w:t>
      </w:r>
    </w:p>
    <w:p w14:paraId="5D0A8F6B" w14:textId="23749EBB" w:rsidR="00415A56" w:rsidRDefault="00415A56" w:rsidP="00ED454B">
      <w:pPr>
        <w:tabs>
          <w:tab w:val="right" w:pos="1701"/>
        </w:tabs>
        <w:spacing w:after="120"/>
      </w:pPr>
      <w:r w:rsidRPr="004E60EB">
        <w:t xml:space="preserve">In this </w:t>
      </w:r>
      <w:r w:rsidRPr="00ED454B">
        <w:rPr>
          <w:rFonts w:eastAsia="Times New Roman" w:cstheme="minorHAnsi"/>
          <w:lang w:eastAsia="en-AU"/>
        </w:rPr>
        <w:t>case</w:t>
      </w:r>
      <w:r w:rsidRPr="004E60EB">
        <w:t>, the Provider does not need to take any further action.</w:t>
      </w:r>
    </w:p>
    <w:p w14:paraId="351DE7C8" w14:textId="77777777" w:rsidR="008257BC" w:rsidRPr="00032FF7" w:rsidRDefault="008257BC" w:rsidP="00032FF7">
      <w:pPr>
        <w:spacing w:before="240" w:after="120"/>
        <w:rPr>
          <w:rFonts w:ascii="Calibri" w:eastAsia="Times New Roman" w:hAnsi="Calibri" w:cs="Times New Roman"/>
          <w:i/>
          <w:szCs w:val="24"/>
          <w:u w:val="single"/>
          <w:lang w:eastAsia="en-AU"/>
        </w:rPr>
      </w:pPr>
      <w:r w:rsidRPr="00032FF7">
        <w:rPr>
          <w:rFonts w:ascii="Calibri" w:eastAsia="Times New Roman" w:hAnsi="Calibri" w:cs="Times New Roman"/>
          <w:i/>
          <w:szCs w:val="24"/>
          <w:u w:val="single"/>
          <w:lang w:eastAsia="en-AU"/>
        </w:rPr>
        <w:t>Provider considers that the Participant has been non-</w:t>
      </w:r>
      <w:proofErr w:type="gramStart"/>
      <w:r w:rsidRPr="00032FF7">
        <w:rPr>
          <w:rFonts w:ascii="Calibri" w:eastAsia="Times New Roman" w:hAnsi="Calibri" w:cs="Times New Roman"/>
          <w:i/>
          <w:szCs w:val="24"/>
          <w:u w:val="single"/>
          <w:lang w:eastAsia="en-AU"/>
        </w:rPr>
        <w:t>compliant</w:t>
      </w:r>
      <w:proofErr w:type="gramEnd"/>
      <w:r w:rsidRPr="00032FF7">
        <w:rPr>
          <w:rFonts w:ascii="Calibri" w:eastAsia="Times New Roman" w:hAnsi="Calibri" w:cs="Times New Roman"/>
          <w:i/>
          <w:szCs w:val="24"/>
          <w:u w:val="single"/>
          <w:lang w:eastAsia="en-AU"/>
        </w:rPr>
        <w:t xml:space="preserve"> but the TCF cannot be applied </w:t>
      </w:r>
    </w:p>
    <w:p w14:paraId="5751AF98" w14:textId="77777777" w:rsidR="008257BC" w:rsidRPr="008257BC" w:rsidRDefault="008257BC" w:rsidP="00ED454B">
      <w:pPr>
        <w:tabs>
          <w:tab w:val="right" w:pos="1701"/>
        </w:tabs>
        <w:spacing w:after="120"/>
      </w:pPr>
      <w:r w:rsidRPr="008257BC">
        <w:t>This section of the Guideline applies when the Provider:</w:t>
      </w:r>
    </w:p>
    <w:p w14:paraId="73CA4ACC" w14:textId="77777777" w:rsidR="008257BC" w:rsidRPr="008257BC" w:rsidRDefault="008257BC" w:rsidP="003E397F">
      <w:pPr>
        <w:pStyle w:val="guidelinetext"/>
        <w:numPr>
          <w:ilvl w:val="0"/>
          <w:numId w:val="1"/>
        </w:numPr>
        <w:spacing w:before="60" w:line="240" w:lineRule="auto"/>
        <w:ind w:left="714" w:hanging="357"/>
      </w:pPr>
      <w:r w:rsidRPr="008257BC">
        <w:t>is in contact with the Participant on the Business Day on which the Provider became aware of an apparent Unemployment Failure; and</w:t>
      </w:r>
    </w:p>
    <w:p w14:paraId="17B3B254" w14:textId="77777777" w:rsidR="001D15EA" w:rsidRDefault="008257BC" w:rsidP="003E397F">
      <w:pPr>
        <w:pStyle w:val="guidelinetext"/>
        <w:numPr>
          <w:ilvl w:val="0"/>
          <w:numId w:val="1"/>
        </w:numPr>
        <w:spacing w:before="60" w:line="240" w:lineRule="auto"/>
        <w:ind w:left="714" w:hanging="357"/>
      </w:pPr>
      <w:bookmarkStart w:id="109" w:name="_Hlk66785821"/>
      <w:r w:rsidRPr="008257BC">
        <w:t xml:space="preserve">after discussing the circumstances of the apparent Unemployment Failure with the Participant, considers that the TCF cannot be applied (e.g. more than 20 Business Days have past), but the Participant has been non-compliant. </w:t>
      </w:r>
      <w:bookmarkStart w:id="110" w:name="_Hlk66786263"/>
    </w:p>
    <w:p w14:paraId="32A45DE9" w14:textId="3D2DF408" w:rsidR="008257BC" w:rsidRPr="008257BC" w:rsidRDefault="001D15EA" w:rsidP="001D15EA">
      <w:pPr>
        <w:tabs>
          <w:tab w:val="right" w:pos="1701"/>
        </w:tabs>
        <w:spacing w:after="120"/>
      </w:pPr>
      <w:r>
        <w:t>In this case, r</w:t>
      </w:r>
      <w:r w:rsidR="008257BC" w:rsidRPr="008257BC">
        <w:t xml:space="preserve">efer to the TCF workflow at Attachment D of the </w:t>
      </w:r>
      <w:r w:rsidR="008257BC" w:rsidRPr="00032FF7">
        <w:rPr>
          <w:i/>
        </w:rPr>
        <w:t>Targeted Compliance Framework: Mutual Obligation Failures Guideline</w:t>
      </w:r>
      <w:r w:rsidR="008257BC" w:rsidRPr="008257BC">
        <w:t>.</w:t>
      </w:r>
    </w:p>
    <w:p w14:paraId="792CDC13" w14:textId="77777777" w:rsidR="00415A56" w:rsidRPr="00032FF7" w:rsidRDefault="00415A56" w:rsidP="00B659B6">
      <w:pPr>
        <w:pStyle w:val="Heading4"/>
        <w:keepNext/>
        <w:keepLines/>
      </w:pPr>
      <w:bookmarkStart w:id="111" w:name="_Toc17710501"/>
      <w:bookmarkStart w:id="112" w:name="_Toc177576659"/>
      <w:bookmarkEnd w:id="109"/>
      <w:bookmarkEnd w:id="110"/>
      <w:r w:rsidRPr="00DB3DCA">
        <w:t xml:space="preserve">Contact attempt </w:t>
      </w:r>
      <w:r w:rsidRPr="00032FF7">
        <w:t>is not successful</w:t>
      </w:r>
      <w:r w:rsidRPr="00DB3DCA">
        <w:t xml:space="preserve"> on the same Business Day</w:t>
      </w:r>
      <w:bookmarkEnd w:id="111"/>
      <w:bookmarkEnd w:id="112"/>
    </w:p>
    <w:p w14:paraId="4903CDCC" w14:textId="75AB4AD1" w:rsidR="00415A56" w:rsidRPr="004E60EB" w:rsidRDefault="00415A56" w:rsidP="00ED454B">
      <w:pPr>
        <w:tabs>
          <w:tab w:val="right" w:pos="1701"/>
        </w:tabs>
        <w:spacing w:after="120"/>
      </w:pPr>
      <w:r w:rsidRPr="004E60EB">
        <w:t xml:space="preserve">Providers have obligations </w:t>
      </w:r>
      <w:r w:rsidR="00E03277">
        <w:t xml:space="preserve">under the DES Grant Agreement </w:t>
      </w:r>
      <w:r w:rsidRPr="004E60EB">
        <w:t xml:space="preserve">where they become aware that a Participant has committed an apparent Unemployment </w:t>
      </w:r>
      <w:proofErr w:type="gramStart"/>
      <w:r w:rsidRPr="004E60EB">
        <w:t>Failure, but</w:t>
      </w:r>
      <w:proofErr w:type="gramEnd"/>
      <w:r w:rsidRPr="004E60EB">
        <w:t xml:space="preserve"> were unable to contact the </w:t>
      </w:r>
      <w:r w:rsidRPr="004E60EB">
        <w:lastRenderedPageBreak/>
        <w:t>Participant on the same Business Day. See clause 11</w:t>
      </w:r>
      <w:r w:rsidR="00CF2518">
        <w:t>2A</w:t>
      </w:r>
      <w:r w:rsidRPr="004E60EB">
        <w:t xml:space="preserve">.3 of the </w:t>
      </w:r>
      <w:r w:rsidR="00E03277">
        <w:t>DES Grant Agreement</w:t>
      </w:r>
      <w:r w:rsidRPr="004E60EB">
        <w:t>. On that day, the Provider must create the Unemployment Failure report by undertaking the following steps in the Department’s IT System:</w:t>
      </w:r>
    </w:p>
    <w:p w14:paraId="31FADF8E" w14:textId="65F54B05" w:rsidR="00415A56" w:rsidRPr="004E60EB" w:rsidRDefault="00032FF7" w:rsidP="003E397F">
      <w:pPr>
        <w:pStyle w:val="guidelinetext"/>
        <w:numPr>
          <w:ilvl w:val="0"/>
          <w:numId w:val="1"/>
        </w:numPr>
        <w:spacing w:before="60" w:line="240" w:lineRule="auto"/>
        <w:ind w:left="714" w:hanging="357"/>
      </w:pPr>
      <w:r>
        <w:t>selecting ‘create compliance</w:t>
      </w:r>
      <w:proofErr w:type="gramStart"/>
      <w:r>
        <w:t>’;</w:t>
      </w:r>
      <w:proofErr w:type="gramEnd"/>
    </w:p>
    <w:p w14:paraId="005F1944" w14:textId="77777777" w:rsidR="00415A56" w:rsidRPr="004E60EB" w:rsidRDefault="00415A56" w:rsidP="003E397F">
      <w:pPr>
        <w:pStyle w:val="guidelinetext"/>
        <w:numPr>
          <w:ilvl w:val="0"/>
          <w:numId w:val="1"/>
        </w:numPr>
        <w:spacing w:before="60" w:line="240" w:lineRule="auto"/>
        <w:ind w:left="714" w:hanging="357"/>
      </w:pPr>
      <w:r w:rsidRPr="004E60EB">
        <w:t xml:space="preserve">selecting the Event Type from the </w:t>
      </w:r>
      <w:proofErr w:type="gramStart"/>
      <w:r w:rsidRPr="004E60EB">
        <w:t>drop down</w:t>
      </w:r>
      <w:proofErr w:type="gramEnd"/>
      <w:r w:rsidRPr="004E60EB">
        <w:t xml:space="preserve"> menu that will appear as follows:</w:t>
      </w:r>
    </w:p>
    <w:p w14:paraId="5B58EE8A" w14:textId="77777777" w:rsidR="00415A56" w:rsidRDefault="00415A56" w:rsidP="00DB3DCA">
      <w:pPr>
        <w:pStyle w:val="guidelinebullet"/>
        <w:numPr>
          <w:ilvl w:val="1"/>
          <w:numId w:val="1"/>
        </w:numPr>
        <w:ind w:left="1134"/>
      </w:pPr>
      <w:r>
        <w:t>select ‘job seeker dismissed for misconduct’ where the Provider</w:t>
      </w:r>
      <w:r w:rsidRPr="00310CC7">
        <w:t xml:space="preserve"> consider</w:t>
      </w:r>
      <w:r>
        <w:t>s</w:t>
      </w:r>
      <w:r w:rsidRPr="00310CC7">
        <w:t xml:space="preserve"> that </w:t>
      </w:r>
      <w:r w:rsidRPr="00C222BC">
        <w:t xml:space="preserve">the </w:t>
      </w:r>
      <w:r>
        <w:t>Participant</w:t>
      </w:r>
      <w:r w:rsidRPr="00C222BC">
        <w:t xml:space="preserve"> </w:t>
      </w:r>
      <w:r>
        <w:t xml:space="preserve">became unemployed apparently </w:t>
      </w:r>
      <w:proofErr w:type="gramStart"/>
      <w:r>
        <w:t>as a result of</w:t>
      </w:r>
      <w:proofErr w:type="gramEnd"/>
      <w:r>
        <w:t xml:space="preserve"> the Participant’s misconduct as an employee; or</w:t>
      </w:r>
    </w:p>
    <w:p w14:paraId="7DC3FDBF" w14:textId="77777777" w:rsidR="00415A56" w:rsidRDefault="00415A56" w:rsidP="00DB3DCA">
      <w:pPr>
        <w:pStyle w:val="guidelinebullet"/>
        <w:numPr>
          <w:ilvl w:val="1"/>
          <w:numId w:val="1"/>
        </w:numPr>
        <w:ind w:left="1134"/>
      </w:pPr>
      <w:r>
        <w:t>select ‘job seeker voluntarily leaves a job’ where the Provider</w:t>
      </w:r>
      <w:r w:rsidRPr="00310CC7">
        <w:t xml:space="preserve"> consider</w:t>
      </w:r>
      <w:r>
        <w:t>s</w:t>
      </w:r>
      <w:r w:rsidRPr="00310CC7">
        <w:t xml:space="preserve"> that the </w:t>
      </w:r>
      <w:r>
        <w:t>Participant</w:t>
      </w:r>
      <w:r w:rsidRPr="00310CC7">
        <w:t xml:space="preserve"> </w:t>
      </w:r>
      <w:r>
        <w:t xml:space="preserve">became unemployed apparently as a direct or indirect result of a voluntary act of the </w:t>
      </w:r>
      <w:proofErr w:type="gramStart"/>
      <w:r>
        <w:t>Participant;</w:t>
      </w:r>
      <w:proofErr w:type="gramEnd"/>
    </w:p>
    <w:p w14:paraId="62EA79E7" w14:textId="77777777" w:rsidR="00415A56" w:rsidRPr="004E60EB" w:rsidRDefault="00415A56" w:rsidP="003E397F">
      <w:pPr>
        <w:pStyle w:val="guidelinetext"/>
        <w:numPr>
          <w:ilvl w:val="0"/>
          <w:numId w:val="1"/>
        </w:numPr>
        <w:spacing w:before="60" w:line="240" w:lineRule="auto"/>
        <w:ind w:left="714" w:hanging="357"/>
      </w:pPr>
      <w:r w:rsidRPr="004E60EB">
        <w:t>recording the incident date (discussed above</w:t>
      </w:r>
      <w:proofErr w:type="gramStart"/>
      <w:r w:rsidRPr="004E60EB">
        <w:t>);</w:t>
      </w:r>
      <w:proofErr w:type="gramEnd"/>
    </w:p>
    <w:p w14:paraId="585373F3" w14:textId="77777777" w:rsidR="00415A56" w:rsidRPr="004E60EB" w:rsidRDefault="00415A56" w:rsidP="003E397F">
      <w:pPr>
        <w:pStyle w:val="guidelinetext"/>
        <w:numPr>
          <w:ilvl w:val="0"/>
          <w:numId w:val="1"/>
        </w:numPr>
        <w:spacing w:before="60" w:line="240" w:lineRule="auto"/>
        <w:ind w:left="714" w:hanging="357"/>
      </w:pPr>
      <w:r w:rsidRPr="004E60EB">
        <w:t xml:space="preserve">answering ‘no’ to the question of whether they are in contact with the </w:t>
      </w:r>
      <w:proofErr w:type="gramStart"/>
      <w:r w:rsidRPr="004E60EB">
        <w:t>Participant;</w:t>
      </w:r>
      <w:proofErr w:type="gramEnd"/>
      <w:r w:rsidRPr="004E60EB">
        <w:t xml:space="preserve"> </w:t>
      </w:r>
    </w:p>
    <w:p w14:paraId="149413BC" w14:textId="77777777" w:rsidR="00415A56" w:rsidRPr="004E60EB" w:rsidRDefault="00415A56" w:rsidP="003E397F">
      <w:pPr>
        <w:pStyle w:val="guidelinetext"/>
        <w:numPr>
          <w:ilvl w:val="0"/>
          <w:numId w:val="1"/>
        </w:numPr>
        <w:spacing w:before="60" w:line="240" w:lineRule="auto"/>
        <w:ind w:left="714" w:hanging="357"/>
      </w:pPr>
      <w:r w:rsidRPr="004E60EB">
        <w:t>otherwise accurately answering the questions that will be automatically generated; and</w:t>
      </w:r>
    </w:p>
    <w:p w14:paraId="0FC5E0B3" w14:textId="77777777" w:rsidR="00415A56" w:rsidRPr="004E60EB" w:rsidRDefault="00415A56" w:rsidP="003E397F">
      <w:pPr>
        <w:pStyle w:val="guidelinetext"/>
        <w:numPr>
          <w:ilvl w:val="0"/>
          <w:numId w:val="1"/>
        </w:numPr>
        <w:spacing w:before="60" w:line="240" w:lineRule="auto"/>
        <w:ind w:left="714" w:hanging="357"/>
      </w:pPr>
      <w:r w:rsidRPr="004E60EB">
        <w:t xml:space="preserve">selecting ‘create’, which will create a draft Unemployment Failure report that the Provider must update when they are next in contact with the Participant. </w:t>
      </w:r>
    </w:p>
    <w:p w14:paraId="3549FEDB" w14:textId="660591BF" w:rsidR="00415A56" w:rsidRPr="004E60EB" w:rsidRDefault="00415A56" w:rsidP="00B659B6">
      <w:pPr>
        <w:tabs>
          <w:tab w:val="right" w:pos="1701"/>
        </w:tabs>
        <w:spacing w:after="120"/>
      </w:pPr>
      <w:r w:rsidRPr="004E60EB">
        <w:t xml:space="preserve">Unlike the </w:t>
      </w:r>
      <w:r w:rsidRPr="00ED454B">
        <w:rPr>
          <w:rFonts w:eastAsia="Times New Roman" w:cstheme="minorHAnsi"/>
          <w:lang w:eastAsia="en-AU"/>
        </w:rPr>
        <w:t>creation</w:t>
      </w:r>
      <w:r w:rsidRPr="004E60EB">
        <w:t xml:space="preserve"> of a Work Refusal Failure report, the creation of an Unemployment Failure report will not suspend the Participant’s Income Support Payment. Therefore, to prompt the Participant to make contact </w:t>
      </w:r>
      <w:proofErr w:type="gramStart"/>
      <w:r w:rsidRPr="004E60EB">
        <w:t>in order to</w:t>
      </w:r>
      <w:proofErr w:type="gramEnd"/>
      <w:r w:rsidRPr="004E60EB">
        <w:t xml:space="preserve"> discuss the apparent Unemployment Failure, the Provider must create a Provider Appointment for the Participant to attend within 10 Business Days. See clause 11</w:t>
      </w:r>
      <w:r w:rsidR="00CF2518">
        <w:t>2A</w:t>
      </w:r>
      <w:r w:rsidRPr="004E60EB">
        <w:t xml:space="preserve">.3(a) of the </w:t>
      </w:r>
      <w:r w:rsidR="00CF2518">
        <w:t>DES Grant Agreement</w:t>
      </w:r>
      <w:r w:rsidRPr="004E60EB">
        <w:t>.</w:t>
      </w:r>
    </w:p>
    <w:p w14:paraId="72C2EA80" w14:textId="77777777" w:rsidR="00415A56" w:rsidRPr="004E60EB" w:rsidRDefault="00415A56" w:rsidP="00B659B6">
      <w:pPr>
        <w:tabs>
          <w:tab w:val="right" w:pos="1701"/>
        </w:tabs>
        <w:spacing w:after="120"/>
      </w:pPr>
      <w:r w:rsidRPr="004E60EB">
        <w:t xml:space="preserve">If the </w:t>
      </w:r>
      <w:r w:rsidRPr="00ED454B">
        <w:rPr>
          <w:rFonts w:eastAsia="Times New Roman" w:cstheme="minorHAnsi"/>
          <w:lang w:eastAsia="en-AU"/>
        </w:rPr>
        <w:t>Participant</w:t>
      </w:r>
      <w:r w:rsidRPr="004E60EB">
        <w:t xml:space="preserve"> attends the Provider Appointment, the Provider must discuss the Unemployment Failure with them at that Provider Appointment.</w:t>
      </w:r>
    </w:p>
    <w:p w14:paraId="2ED92166" w14:textId="0F2EDCE5" w:rsidR="008257BC" w:rsidRDefault="00415A56" w:rsidP="00B659B6">
      <w:pPr>
        <w:tabs>
          <w:tab w:val="right" w:pos="1701"/>
        </w:tabs>
        <w:spacing w:after="120"/>
      </w:pPr>
      <w:r w:rsidRPr="004E60EB">
        <w:t xml:space="preserve">If the Participant </w:t>
      </w:r>
      <w:r w:rsidR="008257BC" w:rsidRPr="00AC6E9D">
        <w:t xml:space="preserve">is in the Penalty Zone and they do </w:t>
      </w:r>
      <w:r w:rsidRPr="004E60EB">
        <w:t xml:space="preserve">not attend the Provider, their Income Support Payment </w:t>
      </w:r>
      <w:r w:rsidRPr="00ED454B">
        <w:rPr>
          <w:rFonts w:eastAsia="Times New Roman" w:cstheme="minorHAnsi"/>
          <w:lang w:eastAsia="en-AU"/>
        </w:rPr>
        <w:t>will</w:t>
      </w:r>
      <w:r w:rsidRPr="004E60EB">
        <w:t xml:space="preserve"> be suspended for failing to attend</w:t>
      </w:r>
      <w:r w:rsidR="008257BC" w:rsidRPr="008257BC">
        <w:t xml:space="preserve"> </w:t>
      </w:r>
      <w:r w:rsidR="008257BC" w:rsidRPr="00AC6E9D">
        <w:t>and they will receive notification that they should contact their Pr</w:t>
      </w:r>
      <w:r w:rsidR="008257BC">
        <w:t>ovider</w:t>
      </w:r>
      <w:r w:rsidRPr="004E60EB">
        <w:t>.</w:t>
      </w:r>
    </w:p>
    <w:p w14:paraId="3FB7F5DA" w14:textId="7E92ECF4" w:rsidR="008257BC" w:rsidRPr="00895C86" w:rsidRDefault="008257BC" w:rsidP="00B659B6">
      <w:pPr>
        <w:tabs>
          <w:tab w:val="right" w:pos="1701"/>
        </w:tabs>
        <w:spacing w:after="120"/>
      </w:pPr>
      <w:r w:rsidRPr="00ED454B">
        <w:t xml:space="preserve">If the Participant is in the Green Zone or Warning Zone and they do not attend the Provider Appointment to discuss the apparent Unemployment Failure, </w:t>
      </w:r>
      <w:r w:rsidRPr="00895C86">
        <w:t xml:space="preserve">the Participant will receive notification that their </w:t>
      </w:r>
      <w:r w:rsidRPr="00B659B6">
        <w:rPr>
          <w:rFonts w:eastAsia="Times New Roman" w:cstheme="minorHAnsi"/>
          <w:lang w:eastAsia="en-AU"/>
        </w:rPr>
        <w:t>payment</w:t>
      </w:r>
      <w:r w:rsidRPr="00895C86">
        <w:t xml:space="preserve"> will be suspended after </w:t>
      </w:r>
      <w:r w:rsidR="00BE2342">
        <w:t>five</w:t>
      </w:r>
      <w:r w:rsidR="00BE2342" w:rsidRPr="00895C86">
        <w:t xml:space="preserve"> </w:t>
      </w:r>
      <w:r w:rsidRPr="00895C86">
        <w:t xml:space="preserve">Business Days if they do not </w:t>
      </w:r>
      <w:proofErr w:type="gramStart"/>
      <w:r w:rsidRPr="00895C86">
        <w:t>make contact with</w:t>
      </w:r>
      <w:proofErr w:type="gramEnd"/>
      <w:r w:rsidRPr="00895C86">
        <w:t xml:space="preserve"> their Provider. If the Participant does not make contact with their Provider within </w:t>
      </w:r>
      <w:r w:rsidR="00BE2342">
        <w:t>five</w:t>
      </w:r>
      <w:r w:rsidR="00BE2342" w:rsidRPr="00895C86">
        <w:t xml:space="preserve"> </w:t>
      </w:r>
      <w:r w:rsidRPr="00895C86">
        <w:t xml:space="preserve">Business Days, their payment is </w:t>
      </w:r>
      <w:proofErr w:type="gramStart"/>
      <w:r w:rsidRPr="00895C86">
        <w:t>suspended</w:t>
      </w:r>
      <w:proofErr w:type="gramEnd"/>
      <w:r w:rsidRPr="00895C86">
        <w:t xml:space="preserve"> and they will receive notification of the suspension.</w:t>
      </w:r>
    </w:p>
    <w:p w14:paraId="3E385DDA" w14:textId="4D44EC0C" w:rsidR="004823A4" w:rsidRPr="00ED454B" w:rsidRDefault="004823A4" w:rsidP="00B659B6">
      <w:pPr>
        <w:tabs>
          <w:tab w:val="right" w:pos="1701"/>
        </w:tabs>
        <w:spacing w:after="120"/>
      </w:pPr>
      <w:r w:rsidRPr="00895C86">
        <w:t xml:space="preserve">Where the </w:t>
      </w:r>
      <w:r w:rsidRPr="00B659B6">
        <w:rPr>
          <w:rFonts w:eastAsia="Times New Roman" w:cstheme="minorHAnsi"/>
          <w:lang w:eastAsia="en-AU"/>
        </w:rPr>
        <w:t>TCF</w:t>
      </w:r>
      <w:r w:rsidRPr="00895C86">
        <w:t xml:space="preserve"> cannot be applied, but the Provider has determined that the Participant has been non-compliant, refer to the TCF workflow at Attachment D of the </w:t>
      </w:r>
      <w:hyperlink r:id="rId12" w:history="1">
        <w:r w:rsidRPr="007178E1">
          <w:t>Targeted Compliance Framework: Mutual Obligation Failures</w:t>
        </w:r>
      </w:hyperlink>
      <w:r w:rsidRPr="00ED454B">
        <w:t xml:space="preserve"> Guideline.</w:t>
      </w:r>
    </w:p>
    <w:p w14:paraId="5CA67E55" w14:textId="2CE8C7EA" w:rsidR="004823A4" w:rsidRDefault="004823A4" w:rsidP="00ED454B">
      <w:pPr>
        <w:tabs>
          <w:tab w:val="right" w:pos="1701"/>
        </w:tabs>
        <w:spacing w:after="120"/>
      </w:pPr>
      <w:r>
        <w:t>P</w:t>
      </w:r>
      <w:r w:rsidR="00415A56" w:rsidRPr="004E60EB">
        <w:t xml:space="preserve">ayment </w:t>
      </w:r>
      <w:r w:rsidR="00415A56" w:rsidRPr="00ED454B">
        <w:rPr>
          <w:rFonts w:eastAsia="Times New Roman" w:cstheme="minorHAnsi"/>
          <w:lang w:eastAsia="en-AU"/>
        </w:rPr>
        <w:t>suspension</w:t>
      </w:r>
      <w:r w:rsidRPr="00ED454B">
        <w:rPr>
          <w:rFonts w:eastAsia="Times New Roman" w:cstheme="minorHAnsi"/>
          <w:lang w:eastAsia="en-AU"/>
        </w:rPr>
        <w:t>s</w:t>
      </w:r>
      <w:r w:rsidR="00415A56" w:rsidRPr="004E60EB">
        <w:t xml:space="preserve"> act as a trigger to encourage the Partici</w:t>
      </w:r>
      <w:r>
        <w:t>pant to contact their Provider.</w:t>
      </w:r>
    </w:p>
    <w:p w14:paraId="3AAB33A0" w14:textId="794A25F5" w:rsidR="00415A56" w:rsidRPr="004E60EB" w:rsidRDefault="00415A56" w:rsidP="00ED454B">
      <w:pPr>
        <w:tabs>
          <w:tab w:val="right" w:pos="1701"/>
        </w:tabs>
        <w:spacing w:after="120"/>
      </w:pPr>
      <w:r w:rsidRPr="004E60EB">
        <w:t xml:space="preserve">Once the </w:t>
      </w:r>
      <w:r w:rsidRPr="00ED454B">
        <w:rPr>
          <w:rFonts w:eastAsia="Times New Roman" w:cstheme="minorHAnsi"/>
          <w:lang w:eastAsia="en-AU"/>
        </w:rPr>
        <w:t>Participant</w:t>
      </w:r>
      <w:r w:rsidRPr="004E60EB">
        <w:t xml:space="preserve"> makes contact, the Provider can then discuss the apparent Unemployment Failure with them in the same conversation.</w:t>
      </w:r>
    </w:p>
    <w:p w14:paraId="54E8562B" w14:textId="40F5E2D9" w:rsidR="00415A56" w:rsidRDefault="00415A56" w:rsidP="00ED454B">
      <w:pPr>
        <w:tabs>
          <w:tab w:val="right" w:pos="1701"/>
        </w:tabs>
        <w:spacing w:after="120"/>
      </w:pPr>
      <w:r w:rsidRPr="004E60EB">
        <w:t xml:space="preserve">If the </w:t>
      </w:r>
      <w:r w:rsidRPr="00ED454B">
        <w:rPr>
          <w:rFonts w:eastAsia="Times New Roman" w:cstheme="minorHAnsi"/>
          <w:lang w:eastAsia="en-AU"/>
        </w:rPr>
        <w:t>Participant</w:t>
      </w:r>
      <w:r w:rsidRPr="004E60EB">
        <w:t xml:space="preserve"> does not contact their Provider within 28 calendar days of the day on which their Income Support Payment is suspended, their Income Support Payment will automatically be cancelled.</w:t>
      </w:r>
    </w:p>
    <w:p w14:paraId="5444CA32" w14:textId="748BAE4D" w:rsidR="004823A4" w:rsidRPr="00E43639" w:rsidRDefault="004823A4" w:rsidP="00987939">
      <w:pPr>
        <w:pStyle w:val="DeedReferences"/>
      </w:pPr>
      <w:r w:rsidRPr="00AC6E9D">
        <w:t>(</w:t>
      </w:r>
      <w:r>
        <w:t>Grant Agreement</w:t>
      </w:r>
      <w:r w:rsidRPr="00AC6E9D">
        <w:t xml:space="preserve"> references: clauses </w:t>
      </w:r>
      <w:r w:rsidRPr="008257BC">
        <w:t>112A.</w:t>
      </w:r>
      <w:r>
        <w:t>3</w:t>
      </w:r>
      <w:r w:rsidRPr="008257BC">
        <w:t>(</w:t>
      </w:r>
      <w:r>
        <w:t>a</w:t>
      </w:r>
      <w:r w:rsidRPr="008257BC">
        <w:t>)</w:t>
      </w:r>
      <w:r>
        <w:t>)</w:t>
      </w:r>
    </w:p>
    <w:p w14:paraId="04E523B0" w14:textId="77777777" w:rsidR="00CF2518" w:rsidRPr="00B659B6" w:rsidRDefault="00CF2518" w:rsidP="00B659B6">
      <w:pPr>
        <w:keepNext/>
        <w:keepLines/>
        <w:spacing w:before="240" w:after="120"/>
        <w:rPr>
          <w:rFonts w:ascii="Calibri" w:eastAsia="Times New Roman" w:hAnsi="Calibri" w:cs="Times New Roman"/>
          <w:i/>
          <w:szCs w:val="24"/>
          <w:u w:val="single"/>
          <w:lang w:eastAsia="en-AU"/>
        </w:rPr>
      </w:pPr>
      <w:r w:rsidRPr="00B659B6">
        <w:rPr>
          <w:rFonts w:ascii="Calibri" w:eastAsia="Times New Roman" w:hAnsi="Calibri" w:cs="Times New Roman"/>
          <w:i/>
          <w:szCs w:val="24"/>
          <w:u w:val="single"/>
          <w:lang w:eastAsia="en-AU"/>
        </w:rPr>
        <w:t>When there is contact with the Participant</w:t>
      </w:r>
    </w:p>
    <w:p w14:paraId="6596DC05" w14:textId="1C9C3191" w:rsidR="00CF2518" w:rsidRDefault="00CF2518" w:rsidP="00ED454B">
      <w:pPr>
        <w:tabs>
          <w:tab w:val="right" w:pos="1701"/>
        </w:tabs>
        <w:spacing w:after="120"/>
      </w:pPr>
      <w:r>
        <w:t xml:space="preserve">Where </w:t>
      </w:r>
      <w:r w:rsidRPr="00ED454B">
        <w:rPr>
          <w:rFonts w:eastAsia="Times New Roman" w:cstheme="minorHAnsi"/>
          <w:lang w:eastAsia="en-AU"/>
        </w:rPr>
        <w:t>there</w:t>
      </w:r>
      <w:r>
        <w:t xml:space="preserve"> is contact with the Participant after</w:t>
      </w:r>
      <w:r w:rsidRPr="00015E16">
        <w:t xml:space="preserve"> </w:t>
      </w:r>
      <w:r>
        <w:t xml:space="preserve">the day the Provider became aware of the apparent Unemployment Failure, </w:t>
      </w:r>
      <w:r w:rsidRPr="00615AFD">
        <w:t>the Provider</w:t>
      </w:r>
      <w:r>
        <w:t xml:space="preserve"> has a</w:t>
      </w:r>
      <w:r w:rsidR="00E03277">
        <w:t xml:space="preserve">n </w:t>
      </w:r>
      <w:r>
        <w:t xml:space="preserve">obligation </w:t>
      </w:r>
      <w:r w:rsidR="00E03277">
        <w:t xml:space="preserve">under the DES Grant Agreement </w:t>
      </w:r>
      <w:r>
        <w:t xml:space="preserve">to </w:t>
      </w:r>
      <w:r w:rsidRPr="00BE52B2">
        <w:lastRenderedPageBreak/>
        <w:t>update</w:t>
      </w:r>
      <w:r>
        <w:t xml:space="preserve"> the draft Unemployment Failure report referred to above. See clause 112A.4(b) of the DES Grant Agreement. The Provider must </w:t>
      </w:r>
      <w:r w:rsidRPr="00BE52B2">
        <w:t>update</w:t>
      </w:r>
      <w:r>
        <w:t xml:space="preserve"> and finalise the Unemployment Failure report by undertaking the following steps in the Department’s IT System:</w:t>
      </w:r>
    </w:p>
    <w:p w14:paraId="678397C9" w14:textId="77777777" w:rsidR="00CF2518" w:rsidRPr="004E60EB" w:rsidRDefault="00CF2518" w:rsidP="003E397F">
      <w:pPr>
        <w:pStyle w:val="guidelinetext"/>
        <w:numPr>
          <w:ilvl w:val="0"/>
          <w:numId w:val="1"/>
        </w:numPr>
        <w:spacing w:before="60" w:line="240" w:lineRule="auto"/>
        <w:ind w:left="714" w:hanging="357"/>
      </w:pPr>
      <w:r w:rsidRPr="004E60EB">
        <w:t>selecting the pencil icon in the draft Unemployment Failure report. By doing so, the Provider is confirming that they are in contact with the Participant; and</w:t>
      </w:r>
    </w:p>
    <w:p w14:paraId="74AD9F51" w14:textId="77777777" w:rsidR="00CF2518" w:rsidRPr="00ED454B" w:rsidRDefault="00CF2518" w:rsidP="003E397F">
      <w:pPr>
        <w:pStyle w:val="guidelinetext"/>
        <w:numPr>
          <w:ilvl w:val="0"/>
          <w:numId w:val="1"/>
        </w:numPr>
        <w:spacing w:before="60" w:line="240" w:lineRule="auto"/>
        <w:ind w:left="714" w:hanging="357"/>
      </w:pPr>
      <w:r w:rsidRPr="00ED454B">
        <w:t xml:space="preserve">if the Provider considers the Participant </w:t>
      </w:r>
      <w:r w:rsidRPr="00ED454B">
        <w:rPr>
          <w:u w:val="single"/>
        </w:rPr>
        <w:t>committed</w:t>
      </w:r>
      <w:r w:rsidRPr="00ED454B">
        <w:t xml:space="preserve"> an apparent Unemployment Failure (see the discussion under the heading ‘Identifying an apparent Unemployment Failure’ above):</w:t>
      </w:r>
    </w:p>
    <w:p w14:paraId="43C5E8F3" w14:textId="77777777" w:rsidR="00CF2518" w:rsidRPr="00096B2A" w:rsidRDefault="00CF2518" w:rsidP="00ED454B">
      <w:pPr>
        <w:pStyle w:val="guidelinebullet"/>
        <w:numPr>
          <w:ilvl w:val="1"/>
          <w:numId w:val="1"/>
        </w:numPr>
        <w:ind w:left="1134"/>
      </w:pPr>
      <w:r w:rsidRPr="00096B2A">
        <w:t xml:space="preserve">selecting ‘No’ in response to the question of whether they accepted the reason given by the </w:t>
      </w:r>
      <w:r>
        <w:t>Participant</w:t>
      </w:r>
      <w:r w:rsidRPr="00096B2A">
        <w:t xml:space="preserve">. By doing so, the Provider is confirming that they have determined that the </w:t>
      </w:r>
      <w:r>
        <w:t>Participant</w:t>
      </w:r>
      <w:r w:rsidRPr="00096B2A">
        <w:t xml:space="preserve"> </w:t>
      </w:r>
      <w:r w:rsidRPr="004823A4">
        <w:t>has committed</w:t>
      </w:r>
      <w:r w:rsidRPr="00096B2A">
        <w:t xml:space="preserve"> </w:t>
      </w:r>
      <w:r w:rsidRPr="00CE7FE7">
        <w:t xml:space="preserve">an apparent Unemployment </w:t>
      </w:r>
      <w:proofErr w:type="gramStart"/>
      <w:r w:rsidRPr="00CE7FE7">
        <w:t>Failure</w:t>
      </w:r>
      <w:r w:rsidRPr="00096B2A">
        <w:t>;</w:t>
      </w:r>
      <w:proofErr w:type="gramEnd"/>
    </w:p>
    <w:p w14:paraId="1A869C4E" w14:textId="77777777" w:rsidR="00CF2518" w:rsidRDefault="00CF2518" w:rsidP="00ED454B">
      <w:pPr>
        <w:pStyle w:val="guidelinebullet"/>
        <w:numPr>
          <w:ilvl w:val="1"/>
          <w:numId w:val="1"/>
        </w:numPr>
        <w:ind w:left="1134"/>
      </w:pPr>
      <w:r w:rsidRPr="00096B2A">
        <w:t xml:space="preserve">selecting a reason from the ‘Reasons not accepted’ column of the </w:t>
      </w:r>
      <w:proofErr w:type="gramStart"/>
      <w:r w:rsidRPr="00096B2A">
        <w:t>drop down</w:t>
      </w:r>
      <w:proofErr w:type="gramEnd"/>
      <w:r w:rsidRPr="00096B2A">
        <w:t xml:space="preserve"> menu that will appear. </w:t>
      </w:r>
      <w:r w:rsidRPr="00BE52B2">
        <w:t xml:space="preserve">The Provider must select </w:t>
      </w:r>
      <w:r>
        <w:t>the reason that most closely aligns with the reason that</w:t>
      </w:r>
      <w:r w:rsidRPr="00500DF1">
        <w:t xml:space="preserve"> </w:t>
      </w:r>
      <w:r>
        <w:t>the Participant gave as to:</w:t>
      </w:r>
    </w:p>
    <w:p w14:paraId="392710A3" w14:textId="77777777" w:rsidR="00CF2518" w:rsidRDefault="00CF2518" w:rsidP="00ED454B">
      <w:pPr>
        <w:pStyle w:val="guidelinebullet"/>
        <w:numPr>
          <w:ilvl w:val="2"/>
          <w:numId w:val="1"/>
        </w:numPr>
        <w:ind w:left="1560"/>
      </w:pPr>
      <w:r>
        <w:t>why the Participant did the voluntary act (e.g. resigned) that lead to their unemployment; or</w:t>
      </w:r>
    </w:p>
    <w:p w14:paraId="2AB60ED0" w14:textId="77777777" w:rsidR="00CF2518" w:rsidRDefault="00CF2518" w:rsidP="00ED454B">
      <w:pPr>
        <w:pStyle w:val="guidelinebullet"/>
        <w:numPr>
          <w:ilvl w:val="2"/>
          <w:numId w:val="1"/>
        </w:numPr>
        <w:ind w:left="1560"/>
      </w:pPr>
      <w:r>
        <w:t>why the Participant engaged in misconduct (or believed they did not engage in misconduct</w:t>
      </w:r>
      <w:proofErr w:type="gramStart"/>
      <w:r>
        <w:t>)</w:t>
      </w:r>
      <w:r w:rsidRPr="00BE52B2">
        <w:t>;</w:t>
      </w:r>
      <w:proofErr w:type="gramEnd"/>
    </w:p>
    <w:p w14:paraId="65027CE4" w14:textId="77777777" w:rsidR="00CF2518" w:rsidRDefault="00CF2518" w:rsidP="00ED454B">
      <w:pPr>
        <w:pStyle w:val="guidelinebullet"/>
        <w:numPr>
          <w:ilvl w:val="1"/>
          <w:numId w:val="1"/>
        </w:numPr>
        <w:ind w:left="1134"/>
      </w:pPr>
      <w:r w:rsidRPr="00BE52B2">
        <w:t xml:space="preserve">selecting ‘submit’, which will send the </w:t>
      </w:r>
      <w:r>
        <w:t>Unemployment Failure r</w:t>
      </w:r>
      <w:r w:rsidRPr="00BE52B2">
        <w:t xml:space="preserve">eport to </w:t>
      </w:r>
      <w:r>
        <w:t>Services Australia for investigation; or</w:t>
      </w:r>
    </w:p>
    <w:p w14:paraId="2B7E2892" w14:textId="77777777" w:rsidR="00CF2518" w:rsidRPr="00ED454B" w:rsidRDefault="00CF2518" w:rsidP="003E397F">
      <w:pPr>
        <w:pStyle w:val="guidelinetext"/>
        <w:numPr>
          <w:ilvl w:val="0"/>
          <w:numId w:val="1"/>
        </w:numPr>
        <w:spacing w:before="60" w:line="240" w:lineRule="auto"/>
        <w:ind w:left="714" w:hanging="357"/>
      </w:pPr>
      <w:r w:rsidRPr="00ED454B">
        <w:t xml:space="preserve">if the Provider considers the Participant </w:t>
      </w:r>
      <w:r w:rsidRPr="00ED454B">
        <w:rPr>
          <w:u w:val="single"/>
        </w:rPr>
        <w:t>did not commit</w:t>
      </w:r>
      <w:r w:rsidRPr="00ED454B">
        <w:t xml:space="preserve"> an apparent Unemployment Failure (see the discussion under the heading ‘Identifying an apparent Unemployment Failure’ above):</w:t>
      </w:r>
    </w:p>
    <w:p w14:paraId="21E7388A" w14:textId="77777777" w:rsidR="00CF2518" w:rsidRPr="00096B2A" w:rsidRDefault="00CF2518" w:rsidP="00ED454B">
      <w:pPr>
        <w:pStyle w:val="guidelinebullet"/>
        <w:numPr>
          <w:ilvl w:val="1"/>
          <w:numId w:val="1"/>
        </w:numPr>
        <w:ind w:left="1134"/>
      </w:pPr>
      <w:r w:rsidRPr="00096B2A">
        <w:t xml:space="preserve">selecting ‘Yes’ in response to the question of whether they accepted the reason given by the </w:t>
      </w:r>
      <w:r>
        <w:t>Participant</w:t>
      </w:r>
      <w:r w:rsidRPr="00096B2A">
        <w:t xml:space="preserve">. By doing so, the Provider is confirming that they have determined that the </w:t>
      </w:r>
      <w:r>
        <w:t>Participant</w:t>
      </w:r>
      <w:r w:rsidRPr="00096B2A">
        <w:t xml:space="preserve"> </w:t>
      </w:r>
      <w:r w:rsidRPr="00ED454B">
        <w:t>has not committed</w:t>
      </w:r>
      <w:r w:rsidRPr="00096B2A">
        <w:t xml:space="preserve"> </w:t>
      </w:r>
      <w:r w:rsidRPr="00CE7FE7">
        <w:t xml:space="preserve">an apparent Unemployment </w:t>
      </w:r>
      <w:proofErr w:type="gramStart"/>
      <w:r w:rsidRPr="00CE7FE7">
        <w:t>Failure</w:t>
      </w:r>
      <w:r w:rsidRPr="00096B2A">
        <w:t>;</w:t>
      </w:r>
      <w:proofErr w:type="gramEnd"/>
    </w:p>
    <w:p w14:paraId="3E70D542" w14:textId="77777777" w:rsidR="00CF2518" w:rsidRDefault="00CF2518" w:rsidP="00ED454B">
      <w:pPr>
        <w:pStyle w:val="guidelinebullet"/>
        <w:numPr>
          <w:ilvl w:val="1"/>
          <w:numId w:val="1"/>
        </w:numPr>
        <w:ind w:left="1134"/>
      </w:pPr>
      <w:r>
        <w:t xml:space="preserve">selecting a reason from the ‘Reasons accepted’ column of the </w:t>
      </w:r>
      <w:proofErr w:type="gramStart"/>
      <w:r>
        <w:t>drop down</w:t>
      </w:r>
      <w:proofErr w:type="gramEnd"/>
      <w:r>
        <w:t xml:space="preserve"> menu that will appear. The Provider must select the reason that most closely aligns with the reason that the Participant gave as to why the Participant became unemployed. </w:t>
      </w:r>
      <w:r w:rsidRPr="00F276F8">
        <w:t xml:space="preserve">A full list of these drop-down menu options can be found at </w:t>
      </w:r>
      <w:r w:rsidRPr="00084039">
        <w:t xml:space="preserve">Attachment </w:t>
      </w:r>
      <w:r>
        <w:t>B; and</w:t>
      </w:r>
    </w:p>
    <w:p w14:paraId="60C94E5F" w14:textId="77777777" w:rsidR="004823A4" w:rsidRDefault="00CF2518" w:rsidP="00ED454B">
      <w:pPr>
        <w:pStyle w:val="guidelinebullet"/>
        <w:numPr>
          <w:ilvl w:val="1"/>
          <w:numId w:val="1"/>
        </w:numPr>
        <w:ind w:left="1134"/>
      </w:pPr>
      <w:r>
        <w:t>selecting ‘submit’, which will close the report (i.e. the report will not be sent to Services Australia for investigation).</w:t>
      </w:r>
      <w:r w:rsidR="004823A4" w:rsidRPr="004823A4">
        <w:t xml:space="preserve"> </w:t>
      </w:r>
    </w:p>
    <w:p w14:paraId="09B217A0" w14:textId="0A46D916" w:rsidR="00CF2518" w:rsidRDefault="004823A4" w:rsidP="00ED454B">
      <w:pPr>
        <w:tabs>
          <w:tab w:val="right" w:pos="1701"/>
        </w:tabs>
        <w:spacing w:after="120"/>
      </w:pPr>
      <w:r w:rsidRPr="00096B2A">
        <w:t xml:space="preserve">A full list of these drop-down menu options can be found at Attachment </w:t>
      </w:r>
      <w:r w:rsidRPr="00CE7FE7">
        <w:t>B</w:t>
      </w:r>
      <w:r w:rsidR="00ED454B">
        <w:t>.</w:t>
      </w:r>
    </w:p>
    <w:p w14:paraId="22E0DE9E" w14:textId="03290BDE" w:rsidR="00ED454B" w:rsidRPr="00AC6E9D" w:rsidRDefault="00ED454B" w:rsidP="00987939">
      <w:pPr>
        <w:tabs>
          <w:tab w:val="right" w:pos="1701"/>
        </w:tabs>
        <w:spacing w:after="120"/>
      </w:pPr>
      <w:r w:rsidRPr="00DC2387">
        <w:t xml:space="preserve">Where the TCF cannot be applied, but the Provider has determined that the Participant has been non-compliant, </w:t>
      </w:r>
      <w:bookmarkStart w:id="113" w:name="_Hlk66786531"/>
      <w:r>
        <w:t>r</w:t>
      </w:r>
      <w:r w:rsidRPr="00DC2387">
        <w:t xml:space="preserve">efer to </w:t>
      </w:r>
      <w:r>
        <w:t xml:space="preserve">the TCF workflow at </w:t>
      </w:r>
      <w:r w:rsidRPr="00DC2387">
        <w:t>Attachment D</w:t>
      </w:r>
      <w:r w:rsidRPr="00D804A9">
        <w:t xml:space="preserve"> </w:t>
      </w:r>
      <w:r>
        <w:t xml:space="preserve">of the </w:t>
      </w:r>
      <w:r w:rsidRPr="00987939">
        <w:rPr>
          <w:i/>
        </w:rPr>
        <w:t>Targeted Compliance Framework: Mutual Obligation Failures Guideline</w:t>
      </w:r>
      <w:r w:rsidRPr="00DC2387">
        <w:t>.</w:t>
      </w:r>
      <w:bookmarkEnd w:id="113"/>
    </w:p>
    <w:p w14:paraId="041EEF77" w14:textId="05BB6B7D" w:rsidR="00ED454B" w:rsidRPr="00E43639" w:rsidRDefault="00ED454B" w:rsidP="00987939">
      <w:pPr>
        <w:pStyle w:val="DeedReferences"/>
      </w:pPr>
      <w:r w:rsidRPr="00AC6E9D">
        <w:t>(</w:t>
      </w:r>
      <w:r>
        <w:t>Grant Agreement</w:t>
      </w:r>
      <w:r w:rsidRPr="00AC6E9D">
        <w:t xml:space="preserve"> references: clauses </w:t>
      </w:r>
      <w:r w:rsidRPr="008257BC">
        <w:t>112A.</w:t>
      </w:r>
      <w:r>
        <w:t>4</w:t>
      </w:r>
      <w:r w:rsidRPr="008257BC">
        <w:t>(</w:t>
      </w:r>
      <w:r>
        <w:t>b</w:t>
      </w:r>
      <w:r w:rsidRPr="008257BC">
        <w:t>)</w:t>
      </w:r>
      <w:r>
        <w:t>)</w:t>
      </w:r>
    </w:p>
    <w:p w14:paraId="7D4F465D" w14:textId="72715894" w:rsidR="004E60EB" w:rsidRPr="00987939" w:rsidRDefault="00CF2518" w:rsidP="00987939">
      <w:pPr>
        <w:pStyle w:val="DocumentaryEvidencePoint"/>
        <w:numPr>
          <w:ilvl w:val="0"/>
          <w:numId w:val="5"/>
        </w:numPr>
        <w:ind w:left="426" w:hanging="426"/>
        <w:rPr>
          <w:rFonts w:asciiTheme="minorHAnsi" w:hAnsiTheme="minorHAnsi" w:cstheme="minorHAnsi"/>
          <w:sz w:val="22"/>
          <w:szCs w:val="22"/>
        </w:rPr>
      </w:pPr>
      <w:r w:rsidRPr="00987939">
        <w:rPr>
          <w:rFonts w:asciiTheme="minorHAnsi" w:hAnsiTheme="minorHAnsi" w:cstheme="minorHAnsi"/>
          <w:sz w:val="22"/>
          <w:szCs w:val="22"/>
        </w:rPr>
        <w:t>Evidence that the Provider must link or upload to the Unemployment Failure report in the Department’s IT Systems may include notification of unemployment</w:t>
      </w:r>
      <w:r w:rsidR="00ED454B" w:rsidRPr="00987939">
        <w:rPr>
          <w:rFonts w:asciiTheme="minorHAnsi" w:hAnsiTheme="minorHAnsi" w:cstheme="minorHAnsi"/>
          <w:sz w:val="22"/>
          <w:szCs w:val="22"/>
        </w:rPr>
        <w:t xml:space="preserve">, </w:t>
      </w:r>
      <w:r w:rsidRPr="00987939">
        <w:rPr>
          <w:rFonts w:asciiTheme="minorHAnsi" w:hAnsiTheme="minorHAnsi" w:cstheme="minorHAnsi"/>
          <w:sz w:val="22"/>
          <w:szCs w:val="22"/>
        </w:rPr>
        <w:t>details of the job/Employer and/or details of the incident, including dates, the parties involved and what occurred.</w:t>
      </w:r>
    </w:p>
    <w:p w14:paraId="00180E3F" w14:textId="77777777" w:rsidR="001B4C65" w:rsidRPr="00DB3DCA" w:rsidRDefault="001B4C65" w:rsidP="00987939">
      <w:pPr>
        <w:pStyle w:val="guidelinetext"/>
        <w:spacing w:line="240" w:lineRule="auto"/>
        <w:ind w:left="0"/>
      </w:pPr>
      <w:bookmarkStart w:id="114" w:name="_Discussing_the_apparent"/>
      <w:bookmarkStart w:id="115" w:name="_Toc516565594"/>
      <w:bookmarkEnd w:id="105"/>
      <w:bookmarkEnd w:id="114"/>
    </w:p>
    <w:p w14:paraId="0118E35C" w14:textId="0BBE81C9" w:rsidR="001B4C65" w:rsidRPr="00AC2602" w:rsidRDefault="001B4C65" w:rsidP="00987939">
      <w:pPr>
        <w:pStyle w:val="Heading3"/>
        <w:spacing w:before="0" w:after="120"/>
        <w:ind w:left="0"/>
        <w:rPr>
          <w:bCs/>
          <w:lang w:eastAsia="en-AU"/>
        </w:rPr>
      </w:pPr>
      <w:bookmarkStart w:id="116" w:name="_Toc177576660"/>
      <w:bookmarkEnd w:id="115"/>
      <w:r>
        <w:rPr>
          <w:bCs/>
          <w:lang w:eastAsia="en-AU"/>
        </w:rPr>
        <w:t xml:space="preserve">Summary of </w:t>
      </w:r>
      <w:r w:rsidR="004E60EB">
        <w:rPr>
          <w:bCs/>
          <w:lang w:eastAsia="en-AU"/>
        </w:rPr>
        <w:t xml:space="preserve">required </w:t>
      </w:r>
      <w:r>
        <w:rPr>
          <w:bCs/>
          <w:lang w:eastAsia="en-AU"/>
        </w:rPr>
        <w:t>Documentary Evidence</w:t>
      </w:r>
      <w:bookmarkEnd w:id="116"/>
    </w:p>
    <w:p w14:paraId="32D6FCF7" w14:textId="521F4A4E" w:rsidR="001B4C65" w:rsidRPr="00987939" w:rsidRDefault="001B4C65" w:rsidP="00987939">
      <w:pPr>
        <w:pStyle w:val="DocumentaryEvidencePoint"/>
        <w:numPr>
          <w:ilvl w:val="0"/>
          <w:numId w:val="5"/>
        </w:numPr>
        <w:ind w:left="426" w:hanging="426"/>
        <w:rPr>
          <w:rFonts w:asciiTheme="minorHAnsi" w:hAnsiTheme="minorHAnsi" w:cstheme="minorHAnsi"/>
          <w:sz w:val="22"/>
          <w:szCs w:val="22"/>
        </w:rPr>
      </w:pPr>
      <w:r w:rsidRPr="00987939">
        <w:rPr>
          <w:rFonts w:asciiTheme="minorHAnsi" w:hAnsiTheme="minorHAnsi" w:cstheme="minorHAnsi"/>
          <w:sz w:val="22"/>
          <w:szCs w:val="22"/>
        </w:rPr>
        <w:t xml:space="preserve">Depending on the failure that has occurred, in addition to the evidence recorded in the Department’s IT </w:t>
      </w:r>
      <w:r w:rsidR="0094690B" w:rsidRPr="00987939">
        <w:rPr>
          <w:rFonts w:asciiTheme="minorHAnsi" w:hAnsiTheme="minorHAnsi" w:cstheme="minorHAnsi"/>
          <w:sz w:val="22"/>
          <w:szCs w:val="22"/>
        </w:rPr>
        <w:t>Systems</w:t>
      </w:r>
      <w:r w:rsidRPr="00987939">
        <w:rPr>
          <w:rFonts w:asciiTheme="minorHAnsi" w:hAnsiTheme="minorHAnsi" w:cstheme="minorHAnsi"/>
          <w:sz w:val="22"/>
          <w:szCs w:val="22"/>
        </w:rPr>
        <w:t xml:space="preserve">, </w:t>
      </w:r>
      <w:r w:rsidR="004E60EB" w:rsidRPr="00987939">
        <w:rPr>
          <w:rFonts w:asciiTheme="minorHAnsi" w:hAnsiTheme="minorHAnsi" w:cstheme="minorHAnsi"/>
          <w:sz w:val="22"/>
          <w:szCs w:val="22"/>
        </w:rPr>
        <w:t xml:space="preserve">Documentary Evidence </w:t>
      </w:r>
      <w:r w:rsidRPr="00987939">
        <w:rPr>
          <w:rFonts w:asciiTheme="minorHAnsi" w:hAnsiTheme="minorHAnsi" w:cstheme="minorHAnsi"/>
          <w:sz w:val="22"/>
          <w:szCs w:val="22"/>
        </w:rPr>
        <w:t>could include:</w:t>
      </w:r>
    </w:p>
    <w:p w14:paraId="7CB36093" w14:textId="164F639C" w:rsidR="001B4C65" w:rsidRPr="00C20FD3" w:rsidRDefault="001B4C65" w:rsidP="003E397F">
      <w:pPr>
        <w:pStyle w:val="guidelinetext"/>
        <w:numPr>
          <w:ilvl w:val="0"/>
          <w:numId w:val="1"/>
        </w:numPr>
        <w:spacing w:before="60" w:line="240" w:lineRule="auto"/>
        <w:ind w:left="714" w:hanging="357"/>
      </w:pPr>
      <w:r w:rsidRPr="00C20FD3">
        <w:t xml:space="preserve">notification of an </w:t>
      </w:r>
      <w:r w:rsidR="004E60EB">
        <w:t>e</w:t>
      </w:r>
      <w:r w:rsidR="004E60EB" w:rsidRPr="00C20FD3">
        <w:t xml:space="preserve">mployment </w:t>
      </w:r>
      <w:proofErr w:type="gramStart"/>
      <w:r w:rsidR="004E60EB">
        <w:t>o</w:t>
      </w:r>
      <w:r w:rsidR="004E60EB" w:rsidRPr="00C20FD3">
        <w:t>ffer</w:t>
      </w:r>
      <w:r w:rsidR="004E60EB">
        <w:t>;</w:t>
      </w:r>
      <w:proofErr w:type="gramEnd"/>
      <w:r w:rsidR="004E60EB" w:rsidRPr="00C20FD3">
        <w:t xml:space="preserve"> </w:t>
      </w:r>
    </w:p>
    <w:p w14:paraId="088CF2BC" w14:textId="52646976" w:rsidR="001B4C65" w:rsidRPr="00C20FD3" w:rsidRDefault="001B4C65" w:rsidP="003E397F">
      <w:pPr>
        <w:pStyle w:val="guidelinetext"/>
        <w:numPr>
          <w:ilvl w:val="0"/>
          <w:numId w:val="1"/>
        </w:numPr>
        <w:spacing w:before="60" w:line="240" w:lineRule="auto"/>
        <w:ind w:left="714" w:hanging="357"/>
      </w:pPr>
      <w:r w:rsidRPr="00C20FD3">
        <w:lastRenderedPageBreak/>
        <w:t>the format of the notification (i.e. SMS, email or letter)</w:t>
      </w:r>
      <w:r w:rsidR="004E60EB">
        <w:t>; and</w:t>
      </w:r>
      <w:r w:rsidRPr="00C20FD3">
        <w:t xml:space="preserve"> </w:t>
      </w:r>
    </w:p>
    <w:p w14:paraId="5EF2B145" w14:textId="04E9AAD5" w:rsidR="00952E75" w:rsidRDefault="001B4C65" w:rsidP="003E397F">
      <w:pPr>
        <w:pStyle w:val="guidelinetext"/>
        <w:numPr>
          <w:ilvl w:val="0"/>
          <w:numId w:val="1"/>
        </w:numPr>
        <w:spacing w:before="60" w:line="240" w:lineRule="auto"/>
        <w:ind w:left="714" w:hanging="357"/>
      </w:pPr>
      <w:r w:rsidRPr="00C20FD3">
        <w:t>details of the job/</w:t>
      </w:r>
      <w:r w:rsidR="004E60EB">
        <w:t>E</w:t>
      </w:r>
      <w:r w:rsidR="004E60EB" w:rsidRPr="00C20FD3">
        <w:t xml:space="preserve">mployer </w:t>
      </w:r>
      <w:r w:rsidRPr="00C20FD3">
        <w:t xml:space="preserve">and/or </w:t>
      </w:r>
      <w:r w:rsidRPr="001B4C65">
        <w:t>details of the incident, including dates, the parties involved and what occurred</w:t>
      </w:r>
      <w:r w:rsidR="004E60EB">
        <w:t>.</w:t>
      </w:r>
    </w:p>
    <w:p w14:paraId="1F8794B0" w14:textId="77777777" w:rsidR="001B4C65" w:rsidRDefault="001B4C65">
      <w:pPr>
        <w:sectPr w:rsidR="001B4C65" w:rsidSect="00527A97">
          <w:pgSz w:w="11906" w:h="16838"/>
          <w:pgMar w:top="1440" w:right="1440" w:bottom="1440" w:left="1440" w:header="708" w:footer="708" w:gutter="0"/>
          <w:cols w:space="708"/>
          <w:docGrid w:linePitch="360"/>
        </w:sectPr>
      </w:pPr>
    </w:p>
    <w:p w14:paraId="2F5FD7A4" w14:textId="77777777" w:rsidR="001B4C65" w:rsidRDefault="001B4C65" w:rsidP="001B4C65">
      <w:pPr>
        <w:pBdr>
          <w:bottom w:val="single" w:sz="4" w:space="1" w:color="auto"/>
        </w:pBdr>
        <w:spacing w:before="0"/>
        <w:rPr>
          <w:rFonts w:ascii="Calibri" w:eastAsia="Times New Roman" w:hAnsi="Calibri" w:cs="Times New Roman"/>
          <w:szCs w:val="24"/>
          <w:lang w:eastAsia="en-AU"/>
        </w:rPr>
      </w:pPr>
    </w:p>
    <w:p w14:paraId="0AE06ECC" w14:textId="77777777" w:rsidR="001B4C65" w:rsidRPr="00AC2602" w:rsidRDefault="001B4C65" w:rsidP="001B4C65">
      <w:pPr>
        <w:spacing w:before="0"/>
        <w:rPr>
          <w:rFonts w:ascii="Calibri" w:eastAsia="Times New Roman" w:hAnsi="Calibri" w:cs="Times New Roman"/>
          <w:szCs w:val="24"/>
          <w:lang w:eastAsia="en-AU"/>
        </w:rPr>
      </w:pPr>
    </w:p>
    <w:p w14:paraId="033809EF" w14:textId="5971EEBB" w:rsidR="004E60EB" w:rsidRPr="00032FF7" w:rsidRDefault="001B4C65" w:rsidP="00032FF7">
      <w:pPr>
        <w:pStyle w:val="Heading2"/>
        <w:keepNext w:val="0"/>
        <w:keepLines w:val="0"/>
        <w:spacing w:before="0" w:after="240"/>
        <w:rPr>
          <w:rFonts w:eastAsia="Times New Roman" w:cs="Times New Roman"/>
          <w:sz w:val="28"/>
          <w:szCs w:val="36"/>
          <w:lang w:eastAsia="en-AU"/>
        </w:rPr>
      </w:pPr>
      <w:bookmarkStart w:id="117" w:name="_Toc177576661"/>
      <w:r w:rsidRPr="00032FF7">
        <w:rPr>
          <w:rFonts w:eastAsia="Times New Roman" w:cs="Times New Roman"/>
          <w:sz w:val="28"/>
          <w:szCs w:val="36"/>
          <w:lang w:eastAsia="en-AU"/>
        </w:rPr>
        <w:t xml:space="preserve">Attachment A - </w:t>
      </w:r>
      <w:bookmarkStart w:id="118" w:name="_Toc17710504"/>
      <w:r w:rsidR="004E60EB" w:rsidRPr="00032FF7">
        <w:rPr>
          <w:rFonts w:eastAsia="Times New Roman" w:cs="Times New Roman"/>
          <w:sz w:val="28"/>
          <w:szCs w:val="36"/>
          <w:lang w:eastAsia="en-AU"/>
        </w:rPr>
        <w:t>Work Refusal Failure reason options</w:t>
      </w:r>
      <w:bookmarkEnd w:id="117"/>
      <w:bookmarkEnd w:id="118"/>
    </w:p>
    <w:p w14:paraId="17E1B931" w14:textId="053B572E" w:rsidR="004E60EB" w:rsidRPr="00BC102C" w:rsidRDefault="004E60EB" w:rsidP="00ED454B">
      <w:pPr>
        <w:tabs>
          <w:tab w:val="right" w:pos="1701"/>
        </w:tabs>
        <w:spacing w:after="120"/>
      </w:pPr>
      <w:r w:rsidRPr="00EA71B9">
        <w:t>The following tables replicate the drop-down menus in the system.</w:t>
      </w:r>
    </w:p>
    <w:tbl>
      <w:tblPr>
        <w:tblStyle w:val="ListTable2"/>
        <w:tblW w:w="0" w:type="auto"/>
        <w:tblLook w:val="0420" w:firstRow="1" w:lastRow="0" w:firstColumn="0" w:lastColumn="0" w:noHBand="0" w:noVBand="1"/>
        <w:tblCaption w:val="Work Refusal Failure reason options: job seeker failed to accept suitable job"/>
        <w:tblDescription w:val="This table replicates the drop-down menu options in the system when a provider records that they have or have not accepted the reason given by a Participant when they have failed to accept a suitable job."/>
      </w:tblPr>
      <w:tblGrid>
        <w:gridCol w:w="4508"/>
        <w:gridCol w:w="4508"/>
      </w:tblGrid>
      <w:tr w:rsidR="004E60EB" w:rsidRPr="00486075" w14:paraId="5C099BD7" w14:textId="77777777" w:rsidTr="00067E0B">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498A5C74" w14:textId="1C6BD23B" w:rsidR="004E60EB" w:rsidRPr="00486075" w:rsidRDefault="004E60EB" w:rsidP="004E60EB">
            <w:pPr>
              <w:spacing w:after="120"/>
            </w:pPr>
            <w:r>
              <w:t>Job seeker failed to accept suitable job</w:t>
            </w:r>
          </w:p>
        </w:tc>
      </w:tr>
      <w:tr w:rsidR="004E60EB" w:rsidRPr="007E6DB4" w14:paraId="4F2FDABB" w14:textId="77777777" w:rsidTr="00067E0B">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77AC6ECE" w14:textId="77777777" w:rsidR="004E60EB" w:rsidRPr="007E6DB4" w:rsidRDefault="004E60EB" w:rsidP="00067E0B">
            <w:pPr>
              <w:spacing w:before="60" w:after="60"/>
              <w:rPr>
                <w:b/>
                <w:bCs/>
              </w:rPr>
            </w:pPr>
            <w:r>
              <w:rPr>
                <w:b/>
                <w:bCs/>
              </w:rPr>
              <w:t>Reasons accepted</w:t>
            </w:r>
          </w:p>
        </w:tc>
        <w:tc>
          <w:tcPr>
            <w:tcW w:w="4508" w:type="dxa"/>
            <w:tcBorders>
              <w:bottom w:val="single" w:sz="4" w:space="0" w:color="666666" w:themeColor="text1" w:themeTint="99"/>
            </w:tcBorders>
            <w:shd w:val="clear" w:color="auto" w:fill="CCCCCC"/>
          </w:tcPr>
          <w:p w14:paraId="2D23BDA9" w14:textId="77777777" w:rsidR="004E60EB" w:rsidRPr="007E6DB4" w:rsidRDefault="004E60EB" w:rsidP="00067E0B">
            <w:pPr>
              <w:spacing w:before="60" w:after="60"/>
              <w:rPr>
                <w:b/>
              </w:rPr>
            </w:pPr>
            <w:r>
              <w:rPr>
                <w:b/>
              </w:rPr>
              <w:t>Reasons not accepted</w:t>
            </w:r>
          </w:p>
        </w:tc>
      </w:tr>
      <w:tr w:rsidR="004E60EB" w14:paraId="6F86217D" w14:textId="77777777" w:rsidTr="00067E0B">
        <w:tc>
          <w:tcPr>
            <w:tcW w:w="4508" w:type="dxa"/>
            <w:tcBorders>
              <w:right w:val="single" w:sz="4" w:space="0" w:color="auto"/>
            </w:tcBorders>
          </w:tcPr>
          <w:p w14:paraId="79E705B5" w14:textId="77777777" w:rsidR="004E60EB" w:rsidRDefault="004E60EB" w:rsidP="003E397F">
            <w:pPr>
              <w:pStyle w:val="guidelinetext"/>
              <w:numPr>
                <w:ilvl w:val="0"/>
                <w:numId w:val="1"/>
              </w:numPr>
              <w:spacing w:before="60" w:line="240" w:lineRule="auto"/>
              <w:ind w:left="318" w:hanging="284"/>
            </w:pPr>
            <w:r>
              <w:t>Caring/family duties that are significant</w:t>
            </w:r>
          </w:p>
          <w:p w14:paraId="2ED2DF6D" w14:textId="77777777" w:rsidR="004E60EB" w:rsidRDefault="004E60EB" w:rsidP="003E397F">
            <w:pPr>
              <w:pStyle w:val="guidelinetext"/>
              <w:numPr>
                <w:ilvl w:val="0"/>
                <w:numId w:val="1"/>
              </w:numPr>
              <w:spacing w:before="60" w:line="240" w:lineRule="auto"/>
              <w:ind w:left="318" w:hanging="284"/>
            </w:pPr>
            <w:r>
              <w:t>Conditions or pay not suitable</w:t>
            </w:r>
          </w:p>
          <w:p w14:paraId="6AD21703" w14:textId="5C4A9AEB" w:rsidR="004E60EB" w:rsidRDefault="004E60EB" w:rsidP="003E397F">
            <w:pPr>
              <w:pStyle w:val="guidelinetext"/>
              <w:numPr>
                <w:ilvl w:val="0"/>
                <w:numId w:val="1"/>
              </w:numPr>
              <w:spacing w:before="60" w:line="240" w:lineRule="auto"/>
              <w:ind w:left="318" w:hanging="284"/>
            </w:pPr>
            <w:r>
              <w:t>Conditions/skills beyond job seeker capacity</w:t>
            </w:r>
          </w:p>
          <w:p w14:paraId="18C9B3B2" w14:textId="77777777" w:rsidR="004E60EB" w:rsidRDefault="004E60EB" w:rsidP="003E397F">
            <w:pPr>
              <w:pStyle w:val="guidelinetext"/>
              <w:numPr>
                <w:ilvl w:val="0"/>
                <w:numId w:val="1"/>
              </w:numPr>
              <w:spacing w:before="60" w:line="240" w:lineRule="auto"/>
              <w:ind w:left="318" w:hanging="284"/>
            </w:pPr>
            <w:r>
              <w:t>Cultural—workplace unsuitable for cultural/religious reasons</w:t>
            </w:r>
          </w:p>
          <w:p w14:paraId="0CFF72D5" w14:textId="77777777" w:rsidR="004E60EB" w:rsidRDefault="004E60EB" w:rsidP="003E397F">
            <w:pPr>
              <w:pStyle w:val="guidelinetext"/>
              <w:numPr>
                <w:ilvl w:val="0"/>
                <w:numId w:val="1"/>
              </w:numPr>
              <w:spacing w:before="60" w:line="240" w:lineRule="auto"/>
              <w:ind w:left="318" w:hanging="284"/>
            </w:pPr>
            <w:r>
              <w:t>Housing instability issues</w:t>
            </w:r>
          </w:p>
          <w:p w14:paraId="3EE50D93" w14:textId="77777777" w:rsidR="004E60EB" w:rsidRDefault="004E60EB" w:rsidP="003E397F">
            <w:pPr>
              <w:pStyle w:val="guidelinetext"/>
              <w:numPr>
                <w:ilvl w:val="0"/>
                <w:numId w:val="1"/>
              </w:numPr>
              <w:spacing w:before="60" w:line="240" w:lineRule="auto"/>
              <w:ind w:left="318" w:hanging="284"/>
            </w:pPr>
            <w:r>
              <w:t>Legal requirements</w:t>
            </w:r>
          </w:p>
          <w:p w14:paraId="7446A314" w14:textId="77777777" w:rsidR="004E60EB" w:rsidRDefault="004E60EB" w:rsidP="003E397F">
            <w:pPr>
              <w:pStyle w:val="guidelinetext"/>
              <w:numPr>
                <w:ilvl w:val="0"/>
                <w:numId w:val="1"/>
              </w:numPr>
              <w:spacing w:before="60" w:line="240" w:lineRule="auto"/>
              <w:ind w:left="318" w:hanging="284"/>
            </w:pPr>
            <w:proofErr w:type="gramStart"/>
            <w:r>
              <w:t>Medical—employment</w:t>
            </w:r>
            <w:proofErr w:type="gramEnd"/>
            <w:r>
              <w:t xml:space="preserve"> will exacerbate medical condition</w:t>
            </w:r>
          </w:p>
          <w:p w14:paraId="54EB3EEF" w14:textId="77777777" w:rsidR="004E60EB" w:rsidRDefault="004E60EB" w:rsidP="003E397F">
            <w:pPr>
              <w:pStyle w:val="guidelinetext"/>
              <w:numPr>
                <w:ilvl w:val="0"/>
                <w:numId w:val="1"/>
              </w:numPr>
              <w:spacing w:before="60" w:line="240" w:lineRule="auto"/>
              <w:ind w:left="318" w:hanging="284"/>
            </w:pPr>
            <w:r>
              <w:t>PCP—unable to arrange suitable childcare</w:t>
            </w:r>
          </w:p>
          <w:p w14:paraId="5FDA3CA6" w14:textId="77777777" w:rsidR="004E60EB" w:rsidRDefault="004E60EB" w:rsidP="003E397F">
            <w:pPr>
              <w:pStyle w:val="guidelinetext"/>
              <w:numPr>
                <w:ilvl w:val="0"/>
                <w:numId w:val="1"/>
              </w:numPr>
              <w:spacing w:before="60" w:line="240" w:lineRule="auto"/>
              <w:ind w:left="318" w:hanging="284"/>
            </w:pPr>
            <w:r>
              <w:t>Travel/transport issue—distance too great/expensive</w:t>
            </w:r>
          </w:p>
          <w:p w14:paraId="5255A6BD" w14:textId="7D8B95AD" w:rsidR="004E60EB" w:rsidRDefault="004E60EB" w:rsidP="003E397F">
            <w:pPr>
              <w:pStyle w:val="guidelinetext"/>
              <w:numPr>
                <w:ilvl w:val="0"/>
                <w:numId w:val="1"/>
              </w:numPr>
              <w:spacing w:before="60" w:line="240" w:lineRule="auto"/>
              <w:ind w:left="318" w:hanging="284"/>
            </w:pPr>
            <w:r>
              <w:t>PCP—job seeker not better off financially</w:t>
            </w:r>
          </w:p>
        </w:tc>
        <w:tc>
          <w:tcPr>
            <w:tcW w:w="4508" w:type="dxa"/>
            <w:tcBorders>
              <w:left w:val="single" w:sz="4" w:space="0" w:color="auto"/>
            </w:tcBorders>
          </w:tcPr>
          <w:p w14:paraId="3AEA72DB" w14:textId="77777777" w:rsidR="004E60EB" w:rsidRDefault="004E60EB" w:rsidP="004E60EB">
            <w:pPr>
              <w:pStyle w:val="guidelinetext"/>
              <w:numPr>
                <w:ilvl w:val="0"/>
                <w:numId w:val="44"/>
              </w:numPr>
              <w:spacing w:before="60" w:after="60" w:line="240" w:lineRule="auto"/>
              <w:ind w:left="284" w:hanging="284"/>
            </w:pPr>
            <w:r>
              <w:t>Caring/family requirements</w:t>
            </w:r>
          </w:p>
          <w:p w14:paraId="4F451F5D" w14:textId="77777777" w:rsidR="004E60EB" w:rsidRDefault="004E60EB" w:rsidP="004E60EB">
            <w:pPr>
              <w:pStyle w:val="guidelinetext"/>
              <w:numPr>
                <w:ilvl w:val="0"/>
                <w:numId w:val="44"/>
              </w:numPr>
              <w:spacing w:before="60" w:after="60" w:line="240" w:lineRule="auto"/>
              <w:ind w:left="284" w:hanging="284"/>
            </w:pPr>
            <w:proofErr w:type="gramStart"/>
            <w:r>
              <w:t>Caring—childcare</w:t>
            </w:r>
            <w:proofErr w:type="gramEnd"/>
            <w:r>
              <w:t xml:space="preserve"> not organised as required</w:t>
            </w:r>
          </w:p>
          <w:p w14:paraId="29D10A87" w14:textId="77777777" w:rsidR="004E60EB" w:rsidRDefault="004E60EB" w:rsidP="004E60EB">
            <w:pPr>
              <w:pStyle w:val="guidelinetext"/>
              <w:numPr>
                <w:ilvl w:val="0"/>
                <w:numId w:val="44"/>
              </w:numPr>
              <w:spacing w:before="60" w:after="60" w:line="240" w:lineRule="auto"/>
              <w:ind w:left="284" w:hanging="284"/>
            </w:pPr>
            <w:r>
              <w:t>Caring—claims childcare too expensive</w:t>
            </w:r>
          </w:p>
          <w:p w14:paraId="538DAB6B" w14:textId="77777777" w:rsidR="004E60EB" w:rsidRDefault="004E60EB" w:rsidP="004E60EB">
            <w:pPr>
              <w:pStyle w:val="guidelinetext"/>
              <w:numPr>
                <w:ilvl w:val="0"/>
                <w:numId w:val="44"/>
              </w:numPr>
              <w:spacing w:before="60" w:after="60" w:line="240" w:lineRule="auto"/>
              <w:ind w:left="284" w:hanging="284"/>
            </w:pPr>
            <w:r>
              <w:t>Conditions—claims too many or too few hours</w:t>
            </w:r>
          </w:p>
          <w:p w14:paraId="7CF6018F" w14:textId="77777777" w:rsidR="004E60EB" w:rsidRDefault="004E60EB" w:rsidP="004E60EB">
            <w:pPr>
              <w:pStyle w:val="guidelinetext"/>
              <w:numPr>
                <w:ilvl w:val="0"/>
                <w:numId w:val="44"/>
              </w:numPr>
              <w:spacing w:before="60" w:after="60" w:line="240" w:lineRule="auto"/>
              <w:ind w:left="284" w:hanging="284"/>
            </w:pPr>
            <w:r>
              <w:t>Conditions—claims job does not match skills</w:t>
            </w:r>
          </w:p>
          <w:p w14:paraId="04A6B50D" w14:textId="77777777" w:rsidR="004E60EB" w:rsidRDefault="004E60EB" w:rsidP="004E60EB">
            <w:pPr>
              <w:pStyle w:val="guidelinetext"/>
              <w:numPr>
                <w:ilvl w:val="0"/>
                <w:numId w:val="44"/>
              </w:numPr>
              <w:spacing w:before="60" w:after="60" w:line="240" w:lineRule="auto"/>
              <w:ind w:left="284" w:hanging="284"/>
            </w:pPr>
            <w:r>
              <w:t>Conditions—claims not in preferred employment industry</w:t>
            </w:r>
          </w:p>
          <w:p w14:paraId="0A7C6EFF" w14:textId="77777777" w:rsidR="004E60EB" w:rsidRDefault="004E60EB" w:rsidP="004E60EB">
            <w:pPr>
              <w:pStyle w:val="guidelinetext"/>
              <w:numPr>
                <w:ilvl w:val="0"/>
                <w:numId w:val="44"/>
              </w:numPr>
              <w:spacing w:before="60" w:after="60" w:line="240" w:lineRule="auto"/>
              <w:ind w:left="284" w:hanging="284"/>
            </w:pPr>
            <w:r>
              <w:t>Conditions—does not want to undertake certain part of job</w:t>
            </w:r>
          </w:p>
          <w:p w14:paraId="62BAD3BF" w14:textId="77777777" w:rsidR="004E60EB" w:rsidRDefault="004E60EB" w:rsidP="004E60EB">
            <w:pPr>
              <w:pStyle w:val="guidelinetext"/>
              <w:numPr>
                <w:ilvl w:val="0"/>
                <w:numId w:val="44"/>
              </w:numPr>
              <w:spacing w:before="60" w:after="60" w:line="240" w:lineRule="auto"/>
              <w:ind w:left="284" w:hanging="284"/>
            </w:pPr>
            <w:r>
              <w:t>Conditions—pay not enough (within allowable policy)</w:t>
            </w:r>
          </w:p>
          <w:p w14:paraId="345A3F8C" w14:textId="77777777" w:rsidR="004E60EB" w:rsidRDefault="004E60EB" w:rsidP="004E60EB">
            <w:pPr>
              <w:pStyle w:val="guidelinetext"/>
              <w:numPr>
                <w:ilvl w:val="0"/>
                <w:numId w:val="44"/>
              </w:numPr>
              <w:spacing w:before="60" w:after="60" w:line="240" w:lineRule="auto"/>
              <w:ind w:left="284" w:hanging="284"/>
            </w:pPr>
            <w:r>
              <w:t>Does not want job</w:t>
            </w:r>
          </w:p>
          <w:p w14:paraId="0544ACB0" w14:textId="77777777" w:rsidR="004E60EB" w:rsidRDefault="004E60EB" w:rsidP="004E60EB">
            <w:pPr>
              <w:pStyle w:val="guidelinetext"/>
              <w:numPr>
                <w:ilvl w:val="0"/>
                <w:numId w:val="44"/>
              </w:numPr>
              <w:spacing w:before="60" w:after="60" w:line="240" w:lineRule="auto"/>
              <w:ind w:left="284" w:hanging="284"/>
            </w:pPr>
            <w:r>
              <w:t>Housing instability</w:t>
            </w:r>
          </w:p>
          <w:p w14:paraId="36A192B6" w14:textId="77777777" w:rsidR="004E60EB" w:rsidRDefault="004E60EB" w:rsidP="004E60EB">
            <w:pPr>
              <w:pStyle w:val="guidelinetext"/>
              <w:numPr>
                <w:ilvl w:val="0"/>
                <w:numId w:val="44"/>
              </w:numPr>
              <w:spacing w:before="60" w:after="60" w:line="240" w:lineRule="auto"/>
              <w:ind w:left="284" w:hanging="284"/>
            </w:pPr>
            <w:r>
              <w:t>Travel/transport issue—claims distance too great/expensive</w:t>
            </w:r>
          </w:p>
        </w:tc>
      </w:tr>
    </w:tbl>
    <w:p w14:paraId="07BF9C4B" w14:textId="77777777" w:rsidR="004E60EB" w:rsidRDefault="004E60EB" w:rsidP="004E60EB">
      <w:pPr>
        <w:pStyle w:val="guidelinetext"/>
        <w:ind w:left="0"/>
      </w:pPr>
    </w:p>
    <w:p w14:paraId="5CDBA1AA" w14:textId="77777777" w:rsidR="004E60EB" w:rsidRDefault="004E60EB" w:rsidP="004E60EB">
      <w:r>
        <w:br w:type="page"/>
      </w:r>
    </w:p>
    <w:tbl>
      <w:tblPr>
        <w:tblStyle w:val="ListTable2"/>
        <w:tblW w:w="0" w:type="auto"/>
        <w:tblLook w:val="0420" w:firstRow="1" w:lastRow="0" w:firstColumn="0" w:lastColumn="0" w:noHBand="0" w:noVBand="1"/>
        <w:tblCaption w:val="Work Refusal reason options: job seeker failed to commence suitable job"/>
        <w:tblDescription w:val="This table replicates the drop-down menu options in the system when a provider records that they have or have not accepted the reason given by a Participant when they have failed to commence a suitable job."/>
      </w:tblPr>
      <w:tblGrid>
        <w:gridCol w:w="4508"/>
        <w:gridCol w:w="4508"/>
      </w:tblGrid>
      <w:tr w:rsidR="004E60EB" w:rsidRPr="00486075" w14:paraId="5A257BE9" w14:textId="77777777" w:rsidTr="00067E0B">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70D5EE57" w14:textId="02E066EF" w:rsidR="004E60EB" w:rsidRPr="00486075" w:rsidRDefault="004E60EB">
            <w:pPr>
              <w:spacing w:after="120"/>
            </w:pPr>
            <w:r>
              <w:lastRenderedPageBreak/>
              <w:t>Job seeker failed to commence suitable job</w:t>
            </w:r>
          </w:p>
        </w:tc>
      </w:tr>
      <w:tr w:rsidR="004E60EB" w:rsidRPr="007E6DB4" w14:paraId="33259224" w14:textId="77777777" w:rsidTr="00067E0B">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6B0F80AB" w14:textId="77777777" w:rsidR="004E60EB" w:rsidRPr="007E6DB4" w:rsidRDefault="004E60EB" w:rsidP="00067E0B">
            <w:pPr>
              <w:spacing w:before="60" w:after="60"/>
              <w:rPr>
                <w:b/>
                <w:bCs/>
              </w:rPr>
            </w:pPr>
            <w:r>
              <w:rPr>
                <w:b/>
                <w:bCs/>
              </w:rPr>
              <w:t>Reasons accepted</w:t>
            </w:r>
          </w:p>
        </w:tc>
        <w:tc>
          <w:tcPr>
            <w:tcW w:w="4508" w:type="dxa"/>
            <w:tcBorders>
              <w:bottom w:val="single" w:sz="4" w:space="0" w:color="666666" w:themeColor="text1" w:themeTint="99"/>
            </w:tcBorders>
            <w:shd w:val="clear" w:color="auto" w:fill="CCCCCC"/>
          </w:tcPr>
          <w:p w14:paraId="4CC816F5" w14:textId="77777777" w:rsidR="004E60EB" w:rsidRPr="007E6DB4" w:rsidRDefault="004E60EB" w:rsidP="00067E0B">
            <w:pPr>
              <w:spacing w:before="60" w:after="60"/>
              <w:rPr>
                <w:b/>
              </w:rPr>
            </w:pPr>
            <w:r>
              <w:rPr>
                <w:b/>
              </w:rPr>
              <w:t>Reasons not accepted</w:t>
            </w:r>
          </w:p>
        </w:tc>
      </w:tr>
      <w:tr w:rsidR="004E60EB" w14:paraId="61FF8358" w14:textId="77777777" w:rsidTr="00067E0B">
        <w:tc>
          <w:tcPr>
            <w:tcW w:w="4508" w:type="dxa"/>
            <w:tcBorders>
              <w:right w:val="single" w:sz="4" w:space="0" w:color="auto"/>
            </w:tcBorders>
          </w:tcPr>
          <w:p w14:paraId="43644073" w14:textId="77777777" w:rsidR="004E60EB" w:rsidRPr="00BC102C" w:rsidRDefault="004E60EB" w:rsidP="004E60EB">
            <w:pPr>
              <w:pStyle w:val="guidelinetext"/>
              <w:numPr>
                <w:ilvl w:val="0"/>
                <w:numId w:val="44"/>
              </w:numPr>
              <w:spacing w:before="60" w:after="60" w:line="240" w:lineRule="auto"/>
              <w:ind w:left="284" w:hanging="284"/>
            </w:pPr>
            <w:r w:rsidRPr="00BC102C">
              <w:t>Caring/family duties that were unforeseeable—unable to advise prior</w:t>
            </w:r>
          </w:p>
          <w:p w14:paraId="78095FA7" w14:textId="77777777" w:rsidR="004E60EB" w:rsidRPr="00BC102C" w:rsidRDefault="004E60EB" w:rsidP="004E60EB">
            <w:pPr>
              <w:pStyle w:val="guidelinetext"/>
              <w:numPr>
                <w:ilvl w:val="0"/>
                <w:numId w:val="44"/>
              </w:numPr>
              <w:spacing w:before="60" w:after="60" w:line="240" w:lineRule="auto"/>
              <w:ind w:left="284" w:hanging="284"/>
            </w:pPr>
            <w:r w:rsidRPr="00BC102C">
              <w:t>Caring—unable to obtain suitable childcare/too expensive</w:t>
            </w:r>
          </w:p>
          <w:p w14:paraId="1AA78EBE" w14:textId="77777777" w:rsidR="004E60EB" w:rsidRPr="00BC102C" w:rsidRDefault="004E60EB" w:rsidP="004E60EB">
            <w:pPr>
              <w:pStyle w:val="guidelinetext"/>
              <w:numPr>
                <w:ilvl w:val="0"/>
                <w:numId w:val="44"/>
              </w:numPr>
              <w:spacing w:before="60" w:after="60" w:line="240" w:lineRule="auto"/>
              <w:ind w:left="284" w:hanging="284"/>
            </w:pPr>
            <w:r w:rsidRPr="00BC102C">
              <w:t>Conditions or pay not suitable</w:t>
            </w:r>
          </w:p>
          <w:p w14:paraId="291BD947" w14:textId="084A5E08" w:rsidR="004E60EB" w:rsidRPr="00BC102C" w:rsidRDefault="004E60EB" w:rsidP="004E60EB">
            <w:pPr>
              <w:pStyle w:val="guidelinetext"/>
              <w:numPr>
                <w:ilvl w:val="0"/>
                <w:numId w:val="44"/>
              </w:numPr>
              <w:spacing w:before="60" w:after="60" w:line="240" w:lineRule="auto"/>
              <w:ind w:left="284" w:hanging="284"/>
            </w:pPr>
            <w:r w:rsidRPr="00BC102C">
              <w:t>Conditions/skills for job beyond job seeker capacity</w:t>
            </w:r>
          </w:p>
          <w:p w14:paraId="2C6B52DC" w14:textId="77777777" w:rsidR="004E60EB" w:rsidRPr="00BC102C" w:rsidRDefault="004E60EB" w:rsidP="004E60EB">
            <w:pPr>
              <w:pStyle w:val="guidelinetext"/>
              <w:numPr>
                <w:ilvl w:val="0"/>
                <w:numId w:val="44"/>
              </w:numPr>
              <w:spacing w:before="60" w:after="60" w:line="240" w:lineRule="auto"/>
              <w:ind w:left="284" w:hanging="284"/>
            </w:pPr>
            <w:r w:rsidRPr="00BC102C">
              <w:t>Cultural business—unable to advise prior</w:t>
            </w:r>
          </w:p>
          <w:p w14:paraId="2C568223" w14:textId="77777777" w:rsidR="004E60EB" w:rsidRPr="00BC102C" w:rsidRDefault="004E60EB" w:rsidP="004E60EB">
            <w:pPr>
              <w:pStyle w:val="guidelinetext"/>
              <w:numPr>
                <w:ilvl w:val="0"/>
                <w:numId w:val="44"/>
              </w:numPr>
              <w:spacing w:before="60" w:after="60" w:line="240" w:lineRule="auto"/>
              <w:ind w:left="284" w:hanging="284"/>
            </w:pPr>
            <w:r w:rsidRPr="00BC102C">
              <w:t>Cultural—workplace unsuitable for cultural/religious reasons</w:t>
            </w:r>
          </w:p>
          <w:p w14:paraId="0DCB45BF" w14:textId="77777777" w:rsidR="004E60EB" w:rsidRPr="00BC102C" w:rsidRDefault="004E60EB" w:rsidP="004E60EB">
            <w:pPr>
              <w:pStyle w:val="guidelinetext"/>
              <w:numPr>
                <w:ilvl w:val="0"/>
                <w:numId w:val="44"/>
              </w:numPr>
              <w:spacing w:before="60" w:after="60" w:line="240" w:lineRule="auto"/>
              <w:ind w:left="284" w:hanging="284"/>
            </w:pPr>
            <w:r w:rsidRPr="00BC102C">
              <w:t>Housing instability issues</w:t>
            </w:r>
          </w:p>
          <w:p w14:paraId="4A3F595F" w14:textId="77777777" w:rsidR="004E60EB" w:rsidRPr="00BC102C" w:rsidRDefault="004E60EB" w:rsidP="004E60EB">
            <w:pPr>
              <w:pStyle w:val="guidelinetext"/>
              <w:numPr>
                <w:ilvl w:val="0"/>
                <w:numId w:val="44"/>
              </w:numPr>
              <w:spacing w:before="60" w:after="60" w:line="240" w:lineRule="auto"/>
              <w:ind w:left="284" w:hanging="284"/>
            </w:pPr>
            <w:r w:rsidRPr="00BC102C">
              <w:t>Housing—landlord/property inspection—unable to advise prior</w:t>
            </w:r>
          </w:p>
          <w:p w14:paraId="7B54790F" w14:textId="77777777" w:rsidR="004E60EB" w:rsidRPr="00BC102C" w:rsidRDefault="004E60EB" w:rsidP="004E60EB">
            <w:pPr>
              <w:pStyle w:val="guidelinetext"/>
              <w:numPr>
                <w:ilvl w:val="0"/>
                <w:numId w:val="44"/>
              </w:numPr>
              <w:spacing w:before="60" w:after="60" w:line="240" w:lineRule="auto"/>
              <w:ind w:left="284" w:hanging="284"/>
            </w:pPr>
            <w:r w:rsidRPr="00BC102C">
              <w:t>Legal requirements—unable to advise prior</w:t>
            </w:r>
          </w:p>
          <w:p w14:paraId="72B535B3" w14:textId="77777777" w:rsidR="004E60EB" w:rsidRPr="00BC102C" w:rsidRDefault="004E60EB" w:rsidP="004E60EB">
            <w:pPr>
              <w:pStyle w:val="guidelinetext"/>
              <w:numPr>
                <w:ilvl w:val="0"/>
                <w:numId w:val="44"/>
              </w:numPr>
              <w:spacing w:before="60" w:after="60" w:line="240" w:lineRule="auto"/>
              <w:ind w:left="284" w:hanging="284"/>
            </w:pPr>
            <w:r w:rsidRPr="00BC102C">
              <w:t>Local issue/natural disaster prevented attendance</w:t>
            </w:r>
          </w:p>
          <w:p w14:paraId="2CD9FA9B" w14:textId="77777777" w:rsidR="004E60EB" w:rsidRPr="00BC102C" w:rsidRDefault="004E60EB" w:rsidP="004E60EB">
            <w:pPr>
              <w:pStyle w:val="guidelinetext"/>
              <w:numPr>
                <w:ilvl w:val="0"/>
                <w:numId w:val="44"/>
              </w:numPr>
              <w:spacing w:before="60" w:after="60" w:line="240" w:lineRule="auto"/>
              <w:ind w:left="284" w:hanging="284"/>
            </w:pPr>
            <w:r w:rsidRPr="00BC102C">
              <w:t>Medical/health reason—unable to advise prior</w:t>
            </w:r>
          </w:p>
          <w:p w14:paraId="416FD969" w14:textId="75D9A0FC" w:rsidR="004E60EB" w:rsidRPr="00BC102C" w:rsidRDefault="004E60EB" w:rsidP="004E60EB">
            <w:pPr>
              <w:pStyle w:val="guidelinetext"/>
              <w:numPr>
                <w:ilvl w:val="0"/>
                <w:numId w:val="44"/>
              </w:numPr>
              <w:spacing w:before="60" w:after="60" w:line="240" w:lineRule="auto"/>
              <w:ind w:left="284" w:hanging="284"/>
            </w:pPr>
            <w:r w:rsidRPr="00BC102C">
              <w:t>Major personal crisis affected job seeker</w:t>
            </w:r>
            <w:r w:rsidR="0042555A">
              <w:t xml:space="preserve"> </w:t>
            </w:r>
            <w:r w:rsidRPr="00BC102C">
              <w:t>—unable to advise prior</w:t>
            </w:r>
          </w:p>
          <w:p w14:paraId="7AF46775" w14:textId="77777777" w:rsidR="004E60EB" w:rsidRPr="00BC102C" w:rsidRDefault="004E60EB" w:rsidP="004E60EB">
            <w:pPr>
              <w:pStyle w:val="guidelinetext"/>
              <w:numPr>
                <w:ilvl w:val="0"/>
                <w:numId w:val="44"/>
              </w:numPr>
              <w:spacing w:before="60" w:after="60" w:line="240" w:lineRule="auto"/>
              <w:ind w:left="284" w:hanging="284"/>
            </w:pPr>
            <w:r w:rsidRPr="00BC102C">
              <w:t>Travel/transport issue—distance too great/expensive</w:t>
            </w:r>
          </w:p>
          <w:p w14:paraId="0D31FD4D" w14:textId="77777777" w:rsidR="004E60EB" w:rsidRPr="00BC102C" w:rsidRDefault="004E60EB" w:rsidP="004E60EB">
            <w:pPr>
              <w:pStyle w:val="guidelinetext"/>
              <w:numPr>
                <w:ilvl w:val="0"/>
                <w:numId w:val="44"/>
              </w:numPr>
              <w:spacing w:before="60" w:after="60" w:line="240" w:lineRule="auto"/>
              <w:ind w:left="284" w:hanging="284"/>
            </w:pPr>
            <w:r w:rsidRPr="00BC102C">
              <w:t>Travel/transport issue—did not have money to pay for</w:t>
            </w:r>
          </w:p>
          <w:p w14:paraId="51CF27F2" w14:textId="77777777" w:rsidR="004E60EB" w:rsidRPr="00BC102C" w:rsidRDefault="004E60EB" w:rsidP="004E60EB">
            <w:pPr>
              <w:pStyle w:val="guidelinetext"/>
              <w:numPr>
                <w:ilvl w:val="0"/>
                <w:numId w:val="44"/>
              </w:numPr>
              <w:spacing w:before="60" w:after="60" w:line="240" w:lineRule="auto"/>
              <w:ind w:left="284" w:hanging="284"/>
            </w:pPr>
            <w:r w:rsidRPr="00BC102C">
              <w:t>Travel/transport issue on the day—unable to advise prior</w:t>
            </w:r>
          </w:p>
        </w:tc>
        <w:tc>
          <w:tcPr>
            <w:tcW w:w="4508" w:type="dxa"/>
            <w:tcBorders>
              <w:left w:val="single" w:sz="4" w:space="0" w:color="auto"/>
            </w:tcBorders>
          </w:tcPr>
          <w:p w14:paraId="133C58DE" w14:textId="77777777" w:rsidR="004E60EB" w:rsidRPr="00BC102C" w:rsidRDefault="004E60EB" w:rsidP="004E60EB">
            <w:pPr>
              <w:pStyle w:val="guidelinetext"/>
              <w:numPr>
                <w:ilvl w:val="0"/>
                <w:numId w:val="44"/>
              </w:numPr>
              <w:spacing w:before="60" w:after="60" w:line="240" w:lineRule="auto"/>
              <w:ind w:left="284" w:hanging="284"/>
            </w:pPr>
            <w:r w:rsidRPr="00BC102C">
              <w:t>Away from home/on holiday</w:t>
            </w:r>
          </w:p>
          <w:p w14:paraId="0D29E9FC" w14:textId="77777777" w:rsidR="004E60EB" w:rsidRPr="00BC102C" w:rsidRDefault="004E60EB" w:rsidP="004E60EB">
            <w:pPr>
              <w:pStyle w:val="guidelinetext"/>
              <w:numPr>
                <w:ilvl w:val="0"/>
                <w:numId w:val="44"/>
              </w:numPr>
              <w:spacing w:before="60" w:after="60" w:line="240" w:lineRule="auto"/>
              <w:ind w:left="284" w:hanging="284"/>
            </w:pPr>
            <w:r w:rsidRPr="00BC102C">
              <w:t>Caring/family requirements</w:t>
            </w:r>
          </w:p>
          <w:p w14:paraId="1C0217E7" w14:textId="77777777" w:rsidR="004E60EB" w:rsidRPr="00BC102C" w:rsidRDefault="004E60EB" w:rsidP="004E60EB">
            <w:pPr>
              <w:pStyle w:val="guidelinetext"/>
              <w:numPr>
                <w:ilvl w:val="0"/>
                <w:numId w:val="44"/>
              </w:numPr>
              <w:spacing w:before="60" w:after="60" w:line="240" w:lineRule="auto"/>
              <w:ind w:left="284" w:hanging="284"/>
            </w:pPr>
            <w:proofErr w:type="gramStart"/>
            <w:r w:rsidRPr="00BC102C">
              <w:t>Caring—childcare</w:t>
            </w:r>
            <w:proofErr w:type="gramEnd"/>
            <w:r w:rsidRPr="00BC102C">
              <w:t xml:space="preserve"> not organised as required</w:t>
            </w:r>
          </w:p>
          <w:p w14:paraId="175BCAF8" w14:textId="77777777" w:rsidR="004E60EB" w:rsidRPr="00BC102C" w:rsidRDefault="004E60EB" w:rsidP="004E60EB">
            <w:pPr>
              <w:pStyle w:val="guidelinetext"/>
              <w:numPr>
                <w:ilvl w:val="0"/>
                <w:numId w:val="44"/>
              </w:numPr>
              <w:spacing w:before="60" w:after="60" w:line="240" w:lineRule="auto"/>
              <w:ind w:left="284" w:hanging="284"/>
            </w:pPr>
            <w:r w:rsidRPr="00BC102C">
              <w:t>Caring—claims childcare too expensive</w:t>
            </w:r>
          </w:p>
          <w:p w14:paraId="37863B99" w14:textId="77777777" w:rsidR="004E60EB" w:rsidRPr="00BC102C" w:rsidRDefault="004E60EB" w:rsidP="004E60EB">
            <w:pPr>
              <w:pStyle w:val="guidelinetext"/>
              <w:numPr>
                <w:ilvl w:val="0"/>
                <w:numId w:val="44"/>
              </w:numPr>
              <w:spacing w:before="60" w:after="60" w:line="240" w:lineRule="auto"/>
              <w:ind w:left="284" w:hanging="284"/>
            </w:pPr>
            <w:r w:rsidRPr="00BC102C">
              <w:t>Conditions—claims too many or too few hours</w:t>
            </w:r>
          </w:p>
          <w:p w14:paraId="33A93C91" w14:textId="77777777" w:rsidR="004E60EB" w:rsidRPr="00BC102C" w:rsidRDefault="004E60EB" w:rsidP="004E60EB">
            <w:pPr>
              <w:pStyle w:val="guidelinetext"/>
              <w:numPr>
                <w:ilvl w:val="0"/>
                <w:numId w:val="44"/>
              </w:numPr>
              <w:spacing w:before="60" w:after="60" w:line="240" w:lineRule="auto"/>
              <w:ind w:left="284" w:hanging="284"/>
            </w:pPr>
            <w:r w:rsidRPr="00BC102C">
              <w:t>Conditions—claims job does not match skills</w:t>
            </w:r>
          </w:p>
          <w:p w14:paraId="7E85544C" w14:textId="77777777" w:rsidR="004E60EB" w:rsidRPr="00BC102C" w:rsidRDefault="004E60EB" w:rsidP="004E60EB">
            <w:pPr>
              <w:pStyle w:val="guidelinetext"/>
              <w:numPr>
                <w:ilvl w:val="0"/>
                <w:numId w:val="44"/>
              </w:numPr>
              <w:spacing w:before="60" w:after="60" w:line="240" w:lineRule="auto"/>
              <w:ind w:left="284" w:hanging="284"/>
            </w:pPr>
            <w:r w:rsidRPr="00BC102C">
              <w:t>Conditions—claims not in preferred employment industry</w:t>
            </w:r>
          </w:p>
          <w:p w14:paraId="5BFFEEB4" w14:textId="77777777" w:rsidR="004E60EB" w:rsidRPr="00BC102C" w:rsidRDefault="004E60EB" w:rsidP="004E60EB">
            <w:pPr>
              <w:pStyle w:val="guidelinetext"/>
              <w:numPr>
                <w:ilvl w:val="0"/>
                <w:numId w:val="44"/>
              </w:numPr>
              <w:spacing w:before="60" w:after="60" w:line="240" w:lineRule="auto"/>
              <w:ind w:left="284" w:hanging="284"/>
            </w:pPr>
            <w:r w:rsidRPr="00BC102C">
              <w:t>Conditions—does not want to undertake certain part of job</w:t>
            </w:r>
          </w:p>
          <w:p w14:paraId="04755C6A" w14:textId="77777777" w:rsidR="004E60EB" w:rsidRPr="00BC102C" w:rsidRDefault="004E60EB" w:rsidP="004E60EB">
            <w:pPr>
              <w:pStyle w:val="guidelinetext"/>
              <w:numPr>
                <w:ilvl w:val="0"/>
                <w:numId w:val="44"/>
              </w:numPr>
              <w:spacing w:before="60" w:after="60" w:line="240" w:lineRule="auto"/>
              <w:ind w:left="284" w:hanging="284"/>
            </w:pPr>
            <w:r w:rsidRPr="00BC102C">
              <w:t>Conditions—pay not enough (within allowable policy)</w:t>
            </w:r>
          </w:p>
          <w:p w14:paraId="25670D00" w14:textId="77777777" w:rsidR="004E60EB" w:rsidRPr="00BC102C" w:rsidRDefault="004E60EB" w:rsidP="004E60EB">
            <w:pPr>
              <w:pStyle w:val="guidelinetext"/>
              <w:numPr>
                <w:ilvl w:val="0"/>
                <w:numId w:val="44"/>
              </w:numPr>
              <w:spacing w:before="60" w:after="60" w:line="240" w:lineRule="auto"/>
              <w:ind w:left="284" w:hanging="284"/>
            </w:pPr>
            <w:r w:rsidRPr="00BC102C">
              <w:t>Does not want job</w:t>
            </w:r>
          </w:p>
          <w:p w14:paraId="7D6A7F34" w14:textId="77777777" w:rsidR="004E60EB" w:rsidRPr="00BC102C" w:rsidRDefault="004E60EB" w:rsidP="004E60EB">
            <w:pPr>
              <w:pStyle w:val="guidelinetext"/>
              <w:numPr>
                <w:ilvl w:val="0"/>
                <w:numId w:val="44"/>
              </w:numPr>
              <w:spacing w:before="60" w:after="60" w:line="240" w:lineRule="auto"/>
              <w:ind w:left="284" w:hanging="284"/>
            </w:pPr>
            <w:r w:rsidRPr="00BC102C">
              <w:t>Got start date/time wrong/got lost</w:t>
            </w:r>
          </w:p>
          <w:p w14:paraId="799EF5A8" w14:textId="77777777" w:rsidR="004E60EB" w:rsidRPr="00BC102C" w:rsidRDefault="004E60EB" w:rsidP="004E60EB">
            <w:pPr>
              <w:pStyle w:val="guidelinetext"/>
              <w:numPr>
                <w:ilvl w:val="0"/>
                <w:numId w:val="44"/>
              </w:numPr>
              <w:spacing w:before="60" w:after="60" w:line="240" w:lineRule="auto"/>
              <w:ind w:left="284" w:hanging="284"/>
            </w:pPr>
            <w:r w:rsidRPr="00BC102C">
              <w:t>Housing instability</w:t>
            </w:r>
          </w:p>
          <w:p w14:paraId="62433354" w14:textId="77777777" w:rsidR="004E60EB" w:rsidRPr="00BC102C" w:rsidRDefault="004E60EB" w:rsidP="004E60EB">
            <w:pPr>
              <w:pStyle w:val="guidelinetext"/>
              <w:numPr>
                <w:ilvl w:val="0"/>
                <w:numId w:val="44"/>
              </w:numPr>
              <w:spacing w:before="60" w:after="60" w:line="240" w:lineRule="auto"/>
              <w:ind w:left="284" w:hanging="284"/>
            </w:pPr>
            <w:r w:rsidRPr="00BC102C">
              <w:t>Housing—landlord/property inspection</w:t>
            </w:r>
          </w:p>
          <w:p w14:paraId="4714FCC0" w14:textId="77777777" w:rsidR="004E60EB" w:rsidRPr="00BC102C" w:rsidRDefault="004E60EB" w:rsidP="004E60EB">
            <w:pPr>
              <w:pStyle w:val="guidelinetext"/>
              <w:numPr>
                <w:ilvl w:val="0"/>
                <w:numId w:val="44"/>
              </w:numPr>
              <w:spacing w:before="60" w:after="60" w:line="240" w:lineRule="auto"/>
              <w:ind w:left="284" w:hanging="284"/>
            </w:pPr>
            <w:r w:rsidRPr="00BC102C">
              <w:t>Medical/health reason</w:t>
            </w:r>
          </w:p>
          <w:p w14:paraId="0B31266C" w14:textId="77777777" w:rsidR="004E60EB" w:rsidRPr="00BC102C" w:rsidRDefault="004E60EB" w:rsidP="004E60EB">
            <w:pPr>
              <w:pStyle w:val="guidelinetext"/>
              <w:numPr>
                <w:ilvl w:val="0"/>
                <w:numId w:val="44"/>
              </w:numPr>
              <w:spacing w:before="60" w:after="60" w:line="240" w:lineRule="auto"/>
              <w:ind w:left="284" w:hanging="284"/>
            </w:pPr>
            <w:r w:rsidRPr="00BC102C">
              <w:t>Travel/transport issue—claims distance too great/expensive</w:t>
            </w:r>
          </w:p>
          <w:p w14:paraId="779BBA73" w14:textId="77777777" w:rsidR="004E60EB" w:rsidRPr="00BC102C" w:rsidRDefault="004E60EB" w:rsidP="004E60EB">
            <w:pPr>
              <w:pStyle w:val="guidelinetext"/>
              <w:numPr>
                <w:ilvl w:val="0"/>
                <w:numId w:val="44"/>
              </w:numPr>
              <w:spacing w:before="60" w:after="60" w:line="240" w:lineRule="auto"/>
              <w:ind w:left="284" w:hanging="284"/>
            </w:pPr>
            <w:r w:rsidRPr="00BC102C">
              <w:t>Travel/transport—did not have money to pay</w:t>
            </w:r>
          </w:p>
          <w:p w14:paraId="2C4CB6FA" w14:textId="77777777" w:rsidR="004E60EB" w:rsidRPr="00BC102C" w:rsidRDefault="004E60EB" w:rsidP="004E60EB">
            <w:pPr>
              <w:pStyle w:val="guidelinetext"/>
              <w:numPr>
                <w:ilvl w:val="0"/>
                <w:numId w:val="44"/>
              </w:numPr>
              <w:spacing w:before="60" w:after="60" w:line="240" w:lineRule="auto"/>
              <w:ind w:left="284" w:hanging="284"/>
            </w:pPr>
            <w:r w:rsidRPr="00BC102C">
              <w:t>Travel/transport issue—did not have access</w:t>
            </w:r>
          </w:p>
          <w:p w14:paraId="16146F90" w14:textId="77777777" w:rsidR="004E60EB" w:rsidRPr="00BC102C" w:rsidRDefault="004E60EB" w:rsidP="003E397F">
            <w:pPr>
              <w:pStyle w:val="guidelinetext"/>
              <w:spacing w:before="200" w:after="60" w:line="240" w:lineRule="auto"/>
              <w:ind w:left="0"/>
              <w:rPr>
                <w:b/>
                <w:i/>
              </w:rPr>
            </w:pPr>
            <w:r w:rsidRPr="00BC102C">
              <w:rPr>
                <w:b/>
                <w:i/>
              </w:rPr>
              <w:t>Prior notice not given and reasonable to expect:</w:t>
            </w:r>
          </w:p>
          <w:p w14:paraId="29089984" w14:textId="77777777" w:rsidR="004E60EB" w:rsidRPr="00BC102C" w:rsidRDefault="004E60EB" w:rsidP="003E397F">
            <w:pPr>
              <w:pStyle w:val="guidelinetext"/>
              <w:numPr>
                <w:ilvl w:val="0"/>
                <w:numId w:val="44"/>
              </w:numPr>
              <w:spacing w:before="60" w:after="60" w:line="240" w:lineRule="auto"/>
              <w:ind w:left="284" w:hanging="284"/>
            </w:pPr>
            <w:r w:rsidRPr="00BC102C">
              <w:t>Caring/family reasons</w:t>
            </w:r>
          </w:p>
          <w:p w14:paraId="49F62B41" w14:textId="77777777" w:rsidR="004E60EB" w:rsidRPr="00BC102C" w:rsidRDefault="004E60EB" w:rsidP="003E397F">
            <w:pPr>
              <w:pStyle w:val="guidelinetext"/>
              <w:numPr>
                <w:ilvl w:val="0"/>
                <w:numId w:val="44"/>
              </w:numPr>
              <w:spacing w:before="60" w:after="60" w:line="240" w:lineRule="auto"/>
              <w:ind w:left="284" w:hanging="284"/>
            </w:pPr>
            <w:r w:rsidRPr="00BC102C">
              <w:t>Housing—landlord/property inspection</w:t>
            </w:r>
          </w:p>
          <w:p w14:paraId="03E62F57" w14:textId="77777777" w:rsidR="004E60EB" w:rsidRPr="00BC102C" w:rsidRDefault="004E60EB" w:rsidP="003E397F">
            <w:pPr>
              <w:pStyle w:val="guidelinetext"/>
              <w:numPr>
                <w:ilvl w:val="0"/>
                <w:numId w:val="44"/>
              </w:numPr>
              <w:spacing w:before="60" w:after="60" w:line="240" w:lineRule="auto"/>
              <w:ind w:left="284" w:hanging="284"/>
            </w:pPr>
            <w:r w:rsidRPr="00BC102C">
              <w:t>Legal requirement</w:t>
            </w:r>
          </w:p>
          <w:p w14:paraId="30B2BE1A" w14:textId="77777777" w:rsidR="004E60EB" w:rsidRPr="00BC102C" w:rsidRDefault="004E60EB" w:rsidP="003E397F">
            <w:pPr>
              <w:pStyle w:val="guidelinetext"/>
              <w:numPr>
                <w:ilvl w:val="0"/>
                <w:numId w:val="44"/>
              </w:numPr>
              <w:spacing w:before="60" w:after="60" w:line="240" w:lineRule="auto"/>
              <w:ind w:left="284" w:hanging="284"/>
            </w:pPr>
            <w:r w:rsidRPr="00BC102C">
              <w:t>Medical/health reason</w:t>
            </w:r>
          </w:p>
          <w:p w14:paraId="5433A657" w14:textId="77777777" w:rsidR="004E60EB" w:rsidRPr="00BC102C" w:rsidRDefault="004E60EB" w:rsidP="003E397F">
            <w:pPr>
              <w:pStyle w:val="guidelinetext"/>
              <w:numPr>
                <w:ilvl w:val="0"/>
                <w:numId w:val="44"/>
              </w:numPr>
              <w:spacing w:before="60" w:after="60" w:line="240" w:lineRule="auto"/>
              <w:ind w:left="284" w:hanging="284"/>
            </w:pPr>
            <w:r w:rsidRPr="00BC102C">
              <w:t>Travel/transport—did not have money to pay</w:t>
            </w:r>
          </w:p>
          <w:p w14:paraId="5C81289A" w14:textId="77777777" w:rsidR="004E60EB" w:rsidRPr="00BC102C" w:rsidRDefault="004E60EB" w:rsidP="003E397F">
            <w:pPr>
              <w:pStyle w:val="guidelinetext"/>
              <w:numPr>
                <w:ilvl w:val="0"/>
                <w:numId w:val="44"/>
              </w:numPr>
              <w:spacing w:before="60" w:after="60" w:line="240" w:lineRule="auto"/>
              <w:ind w:left="284" w:hanging="284"/>
            </w:pPr>
            <w:r w:rsidRPr="00BC102C">
              <w:t>Travel/transport issue—did not have access</w:t>
            </w:r>
          </w:p>
        </w:tc>
      </w:tr>
    </w:tbl>
    <w:p w14:paraId="225EBA49" w14:textId="77777777" w:rsidR="004E60EB" w:rsidRPr="00621A6B" w:rsidRDefault="004E60EB" w:rsidP="004E60EB">
      <w:pPr>
        <w:pStyle w:val="guidelinetext"/>
        <w:ind w:left="0"/>
      </w:pPr>
    </w:p>
    <w:p w14:paraId="271D4AE7" w14:textId="77777777" w:rsidR="004E60EB" w:rsidRDefault="004E60EB" w:rsidP="004E60EB">
      <w:r>
        <w:br w:type="page"/>
      </w:r>
    </w:p>
    <w:p w14:paraId="29CF453A" w14:textId="77777777" w:rsidR="004E60EB" w:rsidRPr="00032FF7" w:rsidRDefault="004E60EB" w:rsidP="00032FF7">
      <w:pPr>
        <w:pStyle w:val="Heading2"/>
        <w:keepNext w:val="0"/>
        <w:keepLines w:val="0"/>
        <w:spacing w:before="0" w:after="240"/>
        <w:rPr>
          <w:rFonts w:eastAsia="Times New Roman" w:cs="Times New Roman"/>
          <w:sz w:val="28"/>
          <w:szCs w:val="36"/>
          <w:lang w:eastAsia="en-AU"/>
        </w:rPr>
      </w:pPr>
      <w:bookmarkStart w:id="119" w:name="_Attachment_B—"/>
      <w:bookmarkStart w:id="120" w:name="_Toc17710505"/>
      <w:bookmarkStart w:id="121" w:name="_Toc177576662"/>
      <w:bookmarkEnd w:id="119"/>
      <w:r w:rsidRPr="00032FF7">
        <w:rPr>
          <w:rFonts w:eastAsia="Times New Roman" w:cs="Times New Roman"/>
          <w:sz w:val="28"/>
          <w:szCs w:val="36"/>
          <w:lang w:eastAsia="en-AU"/>
        </w:rPr>
        <w:lastRenderedPageBreak/>
        <w:t>Attachment B—Unemployment Failure reason options</w:t>
      </w:r>
      <w:bookmarkEnd w:id="120"/>
      <w:bookmarkEnd w:id="121"/>
    </w:p>
    <w:p w14:paraId="0F9F9C96" w14:textId="77777777" w:rsidR="004E60EB" w:rsidRPr="00BC102C" w:rsidRDefault="004E60EB" w:rsidP="00ED454B">
      <w:pPr>
        <w:tabs>
          <w:tab w:val="right" w:pos="1701"/>
        </w:tabs>
        <w:spacing w:after="120"/>
      </w:pPr>
      <w:r w:rsidRPr="00EA71B9">
        <w:t xml:space="preserve">The following tables replicate the drop-down menus in the system. </w:t>
      </w:r>
    </w:p>
    <w:tbl>
      <w:tblPr>
        <w:tblStyle w:val="ListTable2"/>
        <w:tblW w:w="0" w:type="auto"/>
        <w:tblLook w:val="0420" w:firstRow="1" w:lastRow="0" w:firstColumn="0" w:lastColumn="0" w:noHBand="0" w:noVBand="1"/>
        <w:tblCaption w:val="Unemployment Failure reason options: job seeker voluntarily leaves a job"/>
        <w:tblDescription w:val="This table replicates the drop-down menu options in the system when a provider records that they have or have not accepted the reason given by a Participant when they have voluntarily left a suitable job."/>
      </w:tblPr>
      <w:tblGrid>
        <w:gridCol w:w="4508"/>
        <w:gridCol w:w="4508"/>
      </w:tblGrid>
      <w:tr w:rsidR="004E60EB" w:rsidRPr="00486075" w14:paraId="3091B4D5" w14:textId="77777777" w:rsidTr="00067E0B">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7946EA26" w14:textId="11D18867" w:rsidR="004E60EB" w:rsidRPr="00486075" w:rsidRDefault="004E60EB" w:rsidP="004E60EB">
            <w:pPr>
              <w:spacing w:after="120"/>
            </w:pPr>
            <w:r>
              <w:t>Job seeker voluntarily leaves a job</w:t>
            </w:r>
          </w:p>
        </w:tc>
      </w:tr>
      <w:tr w:rsidR="004E60EB" w:rsidRPr="007E6DB4" w14:paraId="142195A7" w14:textId="77777777" w:rsidTr="00067E0B">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60D32120" w14:textId="77777777" w:rsidR="004E60EB" w:rsidRPr="007E6DB4" w:rsidRDefault="004E60EB" w:rsidP="00067E0B">
            <w:pPr>
              <w:spacing w:before="60" w:after="60"/>
              <w:rPr>
                <w:b/>
                <w:bCs/>
              </w:rPr>
            </w:pPr>
            <w:r>
              <w:rPr>
                <w:b/>
                <w:bCs/>
              </w:rPr>
              <w:t>Reasons accepted</w:t>
            </w:r>
          </w:p>
        </w:tc>
        <w:tc>
          <w:tcPr>
            <w:tcW w:w="4508" w:type="dxa"/>
            <w:tcBorders>
              <w:bottom w:val="single" w:sz="4" w:space="0" w:color="666666" w:themeColor="text1" w:themeTint="99"/>
            </w:tcBorders>
            <w:shd w:val="clear" w:color="auto" w:fill="CCCCCC"/>
          </w:tcPr>
          <w:p w14:paraId="1EAAA8FC" w14:textId="77777777" w:rsidR="004E60EB" w:rsidRPr="007E6DB4" w:rsidRDefault="004E60EB" w:rsidP="00067E0B">
            <w:pPr>
              <w:spacing w:before="60" w:after="60"/>
              <w:rPr>
                <w:b/>
              </w:rPr>
            </w:pPr>
            <w:r>
              <w:rPr>
                <w:b/>
              </w:rPr>
              <w:t>Reasons not accepted</w:t>
            </w:r>
          </w:p>
        </w:tc>
      </w:tr>
      <w:tr w:rsidR="004E60EB" w14:paraId="58A1EE6E" w14:textId="77777777" w:rsidTr="00067E0B">
        <w:tc>
          <w:tcPr>
            <w:tcW w:w="4508" w:type="dxa"/>
            <w:tcBorders>
              <w:right w:val="single" w:sz="4" w:space="0" w:color="auto"/>
            </w:tcBorders>
          </w:tcPr>
          <w:p w14:paraId="6776F3CB" w14:textId="77777777" w:rsidR="004E60EB" w:rsidRDefault="004E60EB" w:rsidP="004E60EB">
            <w:pPr>
              <w:pStyle w:val="guidelinetext"/>
              <w:numPr>
                <w:ilvl w:val="0"/>
                <w:numId w:val="44"/>
              </w:numPr>
              <w:spacing w:before="60" w:after="60" w:line="240" w:lineRule="auto"/>
              <w:ind w:left="284" w:hanging="284"/>
            </w:pPr>
            <w:r>
              <w:t>Caring/family duties that are significant</w:t>
            </w:r>
          </w:p>
          <w:p w14:paraId="5973A190" w14:textId="77777777" w:rsidR="004E60EB" w:rsidRDefault="004E60EB" w:rsidP="004E60EB">
            <w:pPr>
              <w:pStyle w:val="guidelinetext"/>
              <w:numPr>
                <w:ilvl w:val="0"/>
                <w:numId w:val="44"/>
              </w:numPr>
              <w:spacing w:before="60" w:after="60" w:line="240" w:lineRule="auto"/>
              <w:ind w:left="284" w:hanging="284"/>
            </w:pPr>
            <w:r>
              <w:t>Conditions—pay disputes</w:t>
            </w:r>
          </w:p>
          <w:p w14:paraId="440A03F4" w14:textId="6A209A4C" w:rsidR="004E60EB" w:rsidRDefault="004E60EB" w:rsidP="004E60EB">
            <w:pPr>
              <w:pStyle w:val="guidelinetext"/>
              <w:numPr>
                <w:ilvl w:val="0"/>
                <w:numId w:val="44"/>
              </w:numPr>
              <w:spacing w:before="60" w:after="60" w:line="240" w:lineRule="auto"/>
              <w:ind w:left="284" w:hanging="284"/>
            </w:pPr>
            <w:r>
              <w:t>Conditions/skills for job beyond job seeker capacity</w:t>
            </w:r>
          </w:p>
          <w:p w14:paraId="4F467E08" w14:textId="77777777" w:rsidR="004E60EB" w:rsidRDefault="004E60EB" w:rsidP="004E60EB">
            <w:pPr>
              <w:pStyle w:val="guidelinetext"/>
              <w:numPr>
                <w:ilvl w:val="0"/>
                <w:numId w:val="44"/>
              </w:numPr>
              <w:spacing w:before="60" w:after="60" w:line="240" w:lineRule="auto"/>
              <w:ind w:left="284" w:hanging="284"/>
            </w:pPr>
            <w:r>
              <w:t>Conditions—workplace conflicts</w:t>
            </w:r>
          </w:p>
          <w:p w14:paraId="5E5DE34E" w14:textId="77777777" w:rsidR="004E60EB" w:rsidRDefault="004E60EB" w:rsidP="004E60EB">
            <w:pPr>
              <w:pStyle w:val="guidelinetext"/>
              <w:numPr>
                <w:ilvl w:val="0"/>
                <w:numId w:val="44"/>
              </w:numPr>
              <w:spacing w:before="60" w:after="60" w:line="240" w:lineRule="auto"/>
              <w:ind w:left="284" w:hanging="284"/>
            </w:pPr>
            <w:r>
              <w:t>Conditions—work environment unsafe/no longer accessible</w:t>
            </w:r>
          </w:p>
          <w:p w14:paraId="52E5FE7A" w14:textId="77777777" w:rsidR="004E60EB" w:rsidRDefault="004E60EB" w:rsidP="004E60EB">
            <w:pPr>
              <w:pStyle w:val="guidelinetext"/>
              <w:numPr>
                <w:ilvl w:val="0"/>
                <w:numId w:val="44"/>
              </w:numPr>
              <w:spacing w:before="60" w:after="60" w:line="240" w:lineRule="auto"/>
              <w:ind w:left="284" w:hanging="284"/>
            </w:pPr>
            <w:r>
              <w:t>Cultural—workplace unsuitable for cultural/religious reasons</w:t>
            </w:r>
          </w:p>
          <w:p w14:paraId="5C6071AC" w14:textId="77777777" w:rsidR="004E60EB" w:rsidRPr="00BC102C" w:rsidRDefault="004E60EB" w:rsidP="004E60EB">
            <w:pPr>
              <w:pStyle w:val="guidelinetext"/>
              <w:numPr>
                <w:ilvl w:val="0"/>
                <w:numId w:val="44"/>
              </w:numPr>
              <w:spacing w:before="60" w:after="60" w:line="240" w:lineRule="auto"/>
              <w:ind w:left="284" w:hanging="284"/>
            </w:pPr>
            <w:r w:rsidRPr="00BC102C">
              <w:t>Housing instability issues</w:t>
            </w:r>
          </w:p>
          <w:p w14:paraId="7AF5CE24" w14:textId="77777777" w:rsidR="004E60EB" w:rsidRDefault="004E60EB" w:rsidP="004E60EB">
            <w:pPr>
              <w:pStyle w:val="guidelinetext"/>
              <w:numPr>
                <w:ilvl w:val="0"/>
                <w:numId w:val="44"/>
              </w:numPr>
              <w:spacing w:before="60" w:after="60" w:line="240" w:lineRule="auto"/>
              <w:ind w:left="284" w:hanging="284"/>
            </w:pPr>
            <w:r>
              <w:t>Legal requirements</w:t>
            </w:r>
          </w:p>
          <w:p w14:paraId="42F2222E" w14:textId="714BC5EA" w:rsidR="004E60EB" w:rsidRDefault="004E60EB" w:rsidP="004E60EB">
            <w:pPr>
              <w:pStyle w:val="guidelinetext"/>
              <w:numPr>
                <w:ilvl w:val="0"/>
                <w:numId w:val="44"/>
              </w:numPr>
              <w:spacing w:before="60" w:after="60" w:line="240" w:lineRule="auto"/>
              <w:ind w:left="284" w:hanging="284"/>
            </w:pPr>
            <w:r>
              <w:t>Major personal crisis affected job seeker</w:t>
            </w:r>
          </w:p>
          <w:p w14:paraId="5E161627" w14:textId="77777777" w:rsidR="004E60EB" w:rsidRDefault="004E60EB" w:rsidP="004E60EB">
            <w:pPr>
              <w:pStyle w:val="guidelinetext"/>
              <w:numPr>
                <w:ilvl w:val="0"/>
                <w:numId w:val="44"/>
              </w:numPr>
              <w:spacing w:before="60" w:after="60" w:line="240" w:lineRule="auto"/>
              <w:ind w:left="284" w:hanging="284"/>
            </w:pPr>
            <w:proofErr w:type="gramStart"/>
            <w:r>
              <w:t>Medical—employment</w:t>
            </w:r>
            <w:proofErr w:type="gramEnd"/>
            <w:r>
              <w:t xml:space="preserve"> exacerbates medical condition</w:t>
            </w:r>
          </w:p>
          <w:p w14:paraId="105CAF09" w14:textId="77777777" w:rsidR="004E60EB" w:rsidRDefault="004E60EB" w:rsidP="004E60EB">
            <w:pPr>
              <w:pStyle w:val="guidelinetext"/>
              <w:numPr>
                <w:ilvl w:val="0"/>
                <w:numId w:val="44"/>
              </w:numPr>
              <w:spacing w:before="60" w:after="60" w:line="240" w:lineRule="auto"/>
              <w:ind w:left="284" w:hanging="284"/>
            </w:pPr>
            <w:r>
              <w:t>PCP—childcare no longer suitable</w:t>
            </w:r>
          </w:p>
          <w:p w14:paraId="4EB3B014" w14:textId="77777777" w:rsidR="004E60EB" w:rsidRDefault="004E60EB" w:rsidP="004E60EB">
            <w:pPr>
              <w:pStyle w:val="guidelinetext"/>
              <w:numPr>
                <w:ilvl w:val="0"/>
                <w:numId w:val="44"/>
              </w:numPr>
              <w:spacing w:before="60" w:after="60" w:line="240" w:lineRule="auto"/>
              <w:ind w:left="284" w:hanging="284"/>
            </w:pPr>
            <w:r>
              <w:t>PCP—no longer financially suitable</w:t>
            </w:r>
          </w:p>
          <w:p w14:paraId="5E76D7DD" w14:textId="77777777" w:rsidR="004E60EB" w:rsidRDefault="004E60EB" w:rsidP="004E60EB">
            <w:pPr>
              <w:pStyle w:val="guidelinetext"/>
              <w:numPr>
                <w:ilvl w:val="0"/>
                <w:numId w:val="44"/>
              </w:numPr>
              <w:spacing w:before="60" w:after="60" w:line="240" w:lineRule="auto"/>
              <w:ind w:left="284" w:hanging="284"/>
            </w:pPr>
            <w:r>
              <w:t>Travel/transport issue—distance too great/expensive</w:t>
            </w:r>
          </w:p>
        </w:tc>
        <w:tc>
          <w:tcPr>
            <w:tcW w:w="4508" w:type="dxa"/>
            <w:tcBorders>
              <w:left w:val="single" w:sz="4" w:space="0" w:color="auto"/>
            </w:tcBorders>
          </w:tcPr>
          <w:p w14:paraId="10442902" w14:textId="77777777" w:rsidR="004E60EB" w:rsidRDefault="004E60EB" w:rsidP="004E60EB">
            <w:pPr>
              <w:pStyle w:val="guidelinetext"/>
              <w:numPr>
                <w:ilvl w:val="0"/>
                <w:numId w:val="44"/>
              </w:numPr>
              <w:spacing w:before="60" w:after="60" w:line="240" w:lineRule="auto"/>
              <w:ind w:left="284" w:hanging="284"/>
            </w:pPr>
            <w:r>
              <w:t>Caring—claims childcare too expensive</w:t>
            </w:r>
          </w:p>
          <w:p w14:paraId="21E5DE89" w14:textId="77777777" w:rsidR="004E60EB" w:rsidRDefault="004E60EB" w:rsidP="004E60EB">
            <w:pPr>
              <w:pStyle w:val="guidelinetext"/>
              <w:numPr>
                <w:ilvl w:val="0"/>
                <w:numId w:val="44"/>
              </w:numPr>
              <w:spacing w:before="60" w:after="60" w:line="240" w:lineRule="auto"/>
              <w:ind w:left="284" w:hanging="284"/>
            </w:pPr>
            <w:r>
              <w:t>Caring/family requirements</w:t>
            </w:r>
          </w:p>
          <w:p w14:paraId="0A96F913" w14:textId="77777777" w:rsidR="004E60EB" w:rsidRDefault="004E60EB" w:rsidP="004E60EB">
            <w:pPr>
              <w:pStyle w:val="guidelinetext"/>
              <w:numPr>
                <w:ilvl w:val="0"/>
                <w:numId w:val="44"/>
              </w:numPr>
              <w:spacing w:before="60" w:after="60" w:line="240" w:lineRule="auto"/>
              <w:ind w:left="284" w:hanging="284"/>
            </w:pPr>
            <w:r>
              <w:t>Conditions—claims too many or too few hours</w:t>
            </w:r>
          </w:p>
          <w:p w14:paraId="5CDE166E" w14:textId="77777777" w:rsidR="004E60EB" w:rsidRDefault="004E60EB" w:rsidP="004E60EB">
            <w:pPr>
              <w:pStyle w:val="guidelinetext"/>
              <w:numPr>
                <w:ilvl w:val="0"/>
                <w:numId w:val="44"/>
              </w:numPr>
              <w:spacing w:before="60" w:after="60" w:line="240" w:lineRule="auto"/>
              <w:ind w:left="284" w:hanging="284"/>
            </w:pPr>
            <w:r>
              <w:t>Conditions—claims not in preferred employment industry</w:t>
            </w:r>
          </w:p>
          <w:p w14:paraId="4F0F7392" w14:textId="77777777" w:rsidR="004E60EB" w:rsidRDefault="004E60EB" w:rsidP="004E60EB">
            <w:pPr>
              <w:pStyle w:val="guidelinetext"/>
              <w:numPr>
                <w:ilvl w:val="0"/>
                <w:numId w:val="44"/>
              </w:numPr>
              <w:spacing w:before="60" w:after="60" w:line="240" w:lineRule="auto"/>
              <w:ind w:left="284" w:hanging="284"/>
            </w:pPr>
            <w:r>
              <w:t>Conditions—claims job does not match skills</w:t>
            </w:r>
          </w:p>
          <w:p w14:paraId="1ED17A50" w14:textId="77777777" w:rsidR="004E60EB" w:rsidRDefault="004E60EB" w:rsidP="004E60EB">
            <w:pPr>
              <w:pStyle w:val="guidelinetext"/>
              <w:numPr>
                <w:ilvl w:val="0"/>
                <w:numId w:val="44"/>
              </w:numPr>
              <w:spacing w:before="60" w:after="60" w:line="240" w:lineRule="auto"/>
              <w:ind w:left="284" w:hanging="284"/>
            </w:pPr>
            <w:r>
              <w:t>Conditions—does not like the workplace/employees</w:t>
            </w:r>
          </w:p>
          <w:p w14:paraId="654E1378" w14:textId="77777777" w:rsidR="004E60EB" w:rsidRDefault="004E60EB" w:rsidP="004E60EB">
            <w:pPr>
              <w:pStyle w:val="guidelinetext"/>
              <w:numPr>
                <w:ilvl w:val="0"/>
                <w:numId w:val="44"/>
              </w:numPr>
              <w:spacing w:before="60" w:after="60" w:line="240" w:lineRule="auto"/>
              <w:ind w:left="284" w:hanging="284"/>
            </w:pPr>
            <w:r>
              <w:t>Conditions—does not want to undertake certain part of job</w:t>
            </w:r>
          </w:p>
          <w:p w14:paraId="7F4DDC93" w14:textId="77777777" w:rsidR="004E60EB" w:rsidRDefault="004E60EB" w:rsidP="004E60EB">
            <w:pPr>
              <w:pStyle w:val="guidelinetext"/>
              <w:numPr>
                <w:ilvl w:val="0"/>
                <w:numId w:val="44"/>
              </w:numPr>
              <w:spacing w:before="60" w:after="60" w:line="240" w:lineRule="auto"/>
              <w:ind w:left="284" w:hanging="284"/>
            </w:pPr>
            <w:r>
              <w:t>Conditions—does not like the type of work</w:t>
            </w:r>
          </w:p>
          <w:p w14:paraId="6913E883" w14:textId="77777777" w:rsidR="004E60EB" w:rsidRDefault="004E60EB" w:rsidP="004E60EB">
            <w:pPr>
              <w:pStyle w:val="guidelinetext"/>
              <w:numPr>
                <w:ilvl w:val="0"/>
                <w:numId w:val="44"/>
              </w:numPr>
              <w:spacing w:before="60" w:after="60" w:line="240" w:lineRule="auto"/>
              <w:ind w:left="284" w:hanging="284"/>
            </w:pPr>
            <w:r>
              <w:t>Conditions—pay not enough (within allowable policy)</w:t>
            </w:r>
          </w:p>
          <w:p w14:paraId="3BCBE632" w14:textId="77777777" w:rsidR="004E60EB" w:rsidRDefault="004E60EB" w:rsidP="004E60EB">
            <w:pPr>
              <w:pStyle w:val="guidelinetext"/>
              <w:numPr>
                <w:ilvl w:val="0"/>
                <w:numId w:val="44"/>
              </w:numPr>
              <w:spacing w:before="60" w:after="60" w:line="240" w:lineRule="auto"/>
              <w:ind w:left="284" w:hanging="284"/>
            </w:pPr>
            <w:r>
              <w:t>Conditions—workplace conflicts</w:t>
            </w:r>
          </w:p>
          <w:p w14:paraId="184AE8A1" w14:textId="77777777" w:rsidR="004E60EB" w:rsidRDefault="004E60EB" w:rsidP="004E60EB">
            <w:pPr>
              <w:pStyle w:val="guidelinetext"/>
              <w:numPr>
                <w:ilvl w:val="0"/>
                <w:numId w:val="44"/>
              </w:numPr>
              <w:spacing w:before="60" w:after="60" w:line="240" w:lineRule="auto"/>
              <w:ind w:left="284" w:hanging="284"/>
            </w:pPr>
            <w:r>
              <w:t>Does not want job</w:t>
            </w:r>
          </w:p>
          <w:p w14:paraId="0CCB2183" w14:textId="77777777" w:rsidR="004E60EB" w:rsidRPr="00BC102C" w:rsidRDefault="004E60EB" w:rsidP="004E60EB">
            <w:pPr>
              <w:pStyle w:val="guidelinetext"/>
              <w:numPr>
                <w:ilvl w:val="0"/>
                <w:numId w:val="44"/>
              </w:numPr>
              <w:spacing w:before="60" w:after="60" w:line="240" w:lineRule="auto"/>
              <w:ind w:left="284" w:hanging="284"/>
            </w:pPr>
            <w:r w:rsidRPr="00BC102C">
              <w:t>Housing instability</w:t>
            </w:r>
          </w:p>
          <w:p w14:paraId="67D15AD5" w14:textId="77777777" w:rsidR="004E60EB" w:rsidRDefault="004E60EB" w:rsidP="004E60EB">
            <w:pPr>
              <w:pStyle w:val="guidelinetext"/>
              <w:numPr>
                <w:ilvl w:val="0"/>
                <w:numId w:val="44"/>
              </w:numPr>
              <w:spacing w:before="60" w:after="60" w:line="240" w:lineRule="auto"/>
              <w:ind w:left="284" w:hanging="284"/>
            </w:pPr>
            <w:r>
              <w:t>Medical/health reason</w:t>
            </w:r>
          </w:p>
          <w:p w14:paraId="659678B7" w14:textId="77777777" w:rsidR="004E60EB" w:rsidRDefault="004E60EB" w:rsidP="004E60EB">
            <w:pPr>
              <w:pStyle w:val="guidelinetext"/>
              <w:numPr>
                <w:ilvl w:val="0"/>
                <w:numId w:val="44"/>
              </w:numPr>
              <w:spacing w:before="60" w:after="60" w:line="240" w:lineRule="auto"/>
              <w:ind w:left="284" w:hanging="284"/>
            </w:pPr>
            <w:r>
              <w:t>Travel/transport issue—claims distance too great/expensive</w:t>
            </w:r>
          </w:p>
        </w:tc>
      </w:tr>
    </w:tbl>
    <w:p w14:paraId="5744C5A8" w14:textId="77777777" w:rsidR="004E60EB" w:rsidRDefault="004E60EB" w:rsidP="004E60EB">
      <w:pPr>
        <w:pStyle w:val="guidelinetext"/>
        <w:ind w:left="0"/>
      </w:pPr>
    </w:p>
    <w:p w14:paraId="045F93C1" w14:textId="77777777" w:rsidR="004E60EB" w:rsidRDefault="004E60EB" w:rsidP="004E60EB">
      <w:r>
        <w:br w:type="page"/>
      </w:r>
    </w:p>
    <w:tbl>
      <w:tblPr>
        <w:tblStyle w:val="ListTable2"/>
        <w:tblW w:w="0" w:type="auto"/>
        <w:tblLook w:val="0420" w:firstRow="1" w:lastRow="0" w:firstColumn="0" w:lastColumn="0" w:noHBand="0" w:noVBand="1"/>
        <w:tblCaption w:val="Unemployment Failure reason options: job seeker dismissed for misconduct"/>
        <w:tblDescription w:val="This table replicates the drop-down menu options in the system when a provider records that they have or have not accepted the reason given by a Participant when they have been dismissed for misconduct."/>
      </w:tblPr>
      <w:tblGrid>
        <w:gridCol w:w="4508"/>
        <w:gridCol w:w="4508"/>
      </w:tblGrid>
      <w:tr w:rsidR="004E60EB" w:rsidRPr="00486075" w14:paraId="5142ADFA" w14:textId="77777777" w:rsidTr="00067E0B">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p w14:paraId="61B3FECB" w14:textId="168734FB" w:rsidR="004E60EB" w:rsidRPr="00486075" w:rsidRDefault="004E60EB" w:rsidP="004E60EB">
            <w:pPr>
              <w:spacing w:after="120"/>
            </w:pPr>
            <w:r>
              <w:lastRenderedPageBreak/>
              <w:t>Job seeker dismissed for misconduct</w:t>
            </w:r>
          </w:p>
        </w:tc>
      </w:tr>
      <w:tr w:rsidR="004E60EB" w:rsidRPr="007E6DB4" w14:paraId="67FCF299" w14:textId="77777777" w:rsidTr="00067E0B">
        <w:trPr>
          <w:cnfStyle w:val="000000100000" w:firstRow="0" w:lastRow="0" w:firstColumn="0" w:lastColumn="0" w:oddVBand="0" w:evenVBand="0" w:oddHBand="1" w:evenHBand="0" w:firstRowFirstColumn="0" w:firstRowLastColumn="0" w:lastRowFirstColumn="0" w:lastRowLastColumn="0"/>
        </w:trPr>
        <w:tc>
          <w:tcPr>
            <w:tcW w:w="4508" w:type="dxa"/>
            <w:shd w:val="clear" w:color="auto" w:fill="CCCCCC"/>
          </w:tcPr>
          <w:p w14:paraId="06192FCF" w14:textId="77777777" w:rsidR="004E60EB" w:rsidRPr="007E6DB4" w:rsidRDefault="004E60EB" w:rsidP="00067E0B">
            <w:pPr>
              <w:spacing w:before="60" w:after="60"/>
              <w:rPr>
                <w:b/>
                <w:bCs/>
              </w:rPr>
            </w:pPr>
            <w:r>
              <w:rPr>
                <w:b/>
                <w:bCs/>
              </w:rPr>
              <w:t>Reasons accepted</w:t>
            </w:r>
          </w:p>
        </w:tc>
        <w:tc>
          <w:tcPr>
            <w:tcW w:w="4508" w:type="dxa"/>
            <w:tcBorders>
              <w:bottom w:val="single" w:sz="4" w:space="0" w:color="666666" w:themeColor="text1" w:themeTint="99"/>
            </w:tcBorders>
            <w:shd w:val="clear" w:color="auto" w:fill="CCCCCC"/>
          </w:tcPr>
          <w:p w14:paraId="0F4BBF77" w14:textId="77777777" w:rsidR="004E60EB" w:rsidRPr="007E6DB4" w:rsidRDefault="004E60EB" w:rsidP="00067E0B">
            <w:pPr>
              <w:spacing w:before="60" w:after="60"/>
              <w:rPr>
                <w:b/>
              </w:rPr>
            </w:pPr>
            <w:r>
              <w:rPr>
                <w:b/>
              </w:rPr>
              <w:t>Reasons not accepted</w:t>
            </w:r>
          </w:p>
        </w:tc>
      </w:tr>
      <w:tr w:rsidR="004E60EB" w14:paraId="084AFD36" w14:textId="77777777" w:rsidTr="00067E0B">
        <w:tc>
          <w:tcPr>
            <w:tcW w:w="4508" w:type="dxa"/>
            <w:tcBorders>
              <w:right w:val="single" w:sz="4" w:space="0" w:color="auto"/>
            </w:tcBorders>
          </w:tcPr>
          <w:p w14:paraId="6DF3C486" w14:textId="77777777" w:rsidR="004E60EB" w:rsidRDefault="004E60EB" w:rsidP="004E60EB">
            <w:pPr>
              <w:pStyle w:val="guidelinetext"/>
              <w:numPr>
                <w:ilvl w:val="0"/>
                <w:numId w:val="44"/>
              </w:numPr>
              <w:spacing w:before="60" w:after="60" w:line="240" w:lineRule="auto"/>
              <w:ind w:left="284" w:hanging="284"/>
            </w:pPr>
            <w:r>
              <w:t>Caring/family duties impacted work hours</w:t>
            </w:r>
          </w:p>
          <w:p w14:paraId="3BC74CEE" w14:textId="77777777" w:rsidR="004E60EB" w:rsidRDefault="004E60EB" w:rsidP="004E60EB">
            <w:pPr>
              <w:pStyle w:val="guidelinetext"/>
              <w:numPr>
                <w:ilvl w:val="0"/>
                <w:numId w:val="44"/>
              </w:numPr>
              <w:spacing w:before="60" w:after="60" w:line="240" w:lineRule="auto"/>
              <w:ind w:left="284" w:hanging="284"/>
            </w:pPr>
            <w:r>
              <w:t>Claims of misconduct by employer are false</w:t>
            </w:r>
          </w:p>
          <w:p w14:paraId="67DF10DD" w14:textId="77777777" w:rsidR="004E60EB" w:rsidRDefault="004E60EB" w:rsidP="004E60EB">
            <w:pPr>
              <w:pStyle w:val="guidelinetext"/>
              <w:numPr>
                <w:ilvl w:val="0"/>
                <w:numId w:val="44"/>
              </w:numPr>
              <w:spacing w:before="60" w:after="60" w:line="240" w:lineRule="auto"/>
              <w:ind w:left="284" w:hanging="284"/>
            </w:pPr>
            <w:r>
              <w:t>Disability/condition presenting itself as misconduct</w:t>
            </w:r>
          </w:p>
          <w:p w14:paraId="7396D648" w14:textId="77777777" w:rsidR="004E60EB" w:rsidRDefault="004E60EB" w:rsidP="004E60EB">
            <w:pPr>
              <w:pStyle w:val="guidelinetext"/>
              <w:numPr>
                <w:ilvl w:val="0"/>
                <w:numId w:val="44"/>
              </w:numPr>
              <w:spacing w:before="60" w:after="60" w:line="240" w:lineRule="auto"/>
              <w:ind w:left="284" w:hanging="284"/>
            </w:pPr>
            <w:r>
              <w:t>Did not have appropriate attire to wear at requirement</w:t>
            </w:r>
          </w:p>
          <w:p w14:paraId="7CA78CDA" w14:textId="434AD0C3" w:rsidR="004E60EB" w:rsidRDefault="004E60EB" w:rsidP="004E60EB">
            <w:pPr>
              <w:pStyle w:val="guidelinetext"/>
              <w:numPr>
                <w:ilvl w:val="0"/>
                <w:numId w:val="44"/>
              </w:numPr>
              <w:spacing w:before="60" w:after="60" w:line="240" w:lineRule="auto"/>
              <w:ind w:left="284" w:hanging="284"/>
            </w:pPr>
            <w:r>
              <w:t>Major personal crisis affected job seeker</w:t>
            </w:r>
          </w:p>
          <w:p w14:paraId="42D37B69" w14:textId="77777777" w:rsidR="004E60EB" w:rsidRDefault="004E60EB" w:rsidP="004E60EB">
            <w:pPr>
              <w:pStyle w:val="guidelinetext"/>
              <w:numPr>
                <w:ilvl w:val="0"/>
                <w:numId w:val="44"/>
              </w:numPr>
              <w:spacing w:before="60" w:after="60" w:line="240" w:lineRule="auto"/>
              <w:ind w:left="284" w:hanging="284"/>
            </w:pPr>
            <w:r>
              <w:t>Medical issue/condition contributed to behaviour</w:t>
            </w:r>
          </w:p>
          <w:p w14:paraId="46323A7E" w14:textId="77777777" w:rsidR="004E60EB" w:rsidRDefault="004E60EB" w:rsidP="004E60EB">
            <w:pPr>
              <w:pStyle w:val="guidelinetext"/>
              <w:numPr>
                <w:ilvl w:val="0"/>
                <w:numId w:val="44"/>
              </w:numPr>
              <w:spacing w:before="60" w:after="60" w:line="240" w:lineRule="auto"/>
              <w:ind w:left="284" w:hanging="284"/>
            </w:pPr>
            <w:r>
              <w:t>Significant breakdown in employer relationship</w:t>
            </w:r>
          </w:p>
        </w:tc>
        <w:tc>
          <w:tcPr>
            <w:tcW w:w="4508" w:type="dxa"/>
            <w:tcBorders>
              <w:left w:val="single" w:sz="4" w:space="0" w:color="auto"/>
            </w:tcBorders>
          </w:tcPr>
          <w:p w14:paraId="0FFADB54" w14:textId="77777777" w:rsidR="004E60EB" w:rsidRDefault="004E60EB" w:rsidP="004E60EB">
            <w:pPr>
              <w:pStyle w:val="guidelinetext"/>
              <w:numPr>
                <w:ilvl w:val="0"/>
                <w:numId w:val="44"/>
              </w:numPr>
              <w:spacing w:before="60" w:after="60" w:line="240" w:lineRule="auto"/>
              <w:ind w:left="284" w:hanging="284"/>
            </w:pPr>
            <w:r>
              <w:t>Believes rules are too strict/not applicable to them</w:t>
            </w:r>
          </w:p>
          <w:p w14:paraId="25BCDA0B" w14:textId="77777777" w:rsidR="004E60EB" w:rsidRDefault="004E60EB" w:rsidP="004E60EB">
            <w:pPr>
              <w:pStyle w:val="guidelinetext"/>
              <w:numPr>
                <w:ilvl w:val="0"/>
                <w:numId w:val="44"/>
              </w:numPr>
              <w:spacing w:before="60" w:after="60" w:line="240" w:lineRule="auto"/>
              <w:ind w:left="284" w:hanging="284"/>
            </w:pPr>
            <w:r>
              <w:t>Claims accidentally miscalculated hours worked—excessive</w:t>
            </w:r>
          </w:p>
          <w:p w14:paraId="59059822" w14:textId="77777777" w:rsidR="004E60EB" w:rsidRDefault="004E60EB" w:rsidP="004E60EB">
            <w:pPr>
              <w:pStyle w:val="guidelinetext"/>
              <w:numPr>
                <w:ilvl w:val="0"/>
                <w:numId w:val="44"/>
              </w:numPr>
              <w:spacing w:before="60" w:after="60" w:line="240" w:lineRule="auto"/>
              <w:ind w:left="284" w:hanging="284"/>
            </w:pPr>
            <w:r>
              <w:t>Claims of misconduct are false</w:t>
            </w:r>
          </w:p>
          <w:p w14:paraId="46AA3CC6" w14:textId="77777777" w:rsidR="004E60EB" w:rsidRDefault="004E60EB" w:rsidP="004E60EB">
            <w:pPr>
              <w:pStyle w:val="guidelinetext"/>
              <w:numPr>
                <w:ilvl w:val="0"/>
                <w:numId w:val="44"/>
              </w:numPr>
              <w:spacing w:before="60" w:after="60" w:line="240" w:lineRule="auto"/>
              <w:ind w:left="284" w:hanging="284"/>
            </w:pPr>
            <w:r>
              <w:t>Conflict started by other people</w:t>
            </w:r>
          </w:p>
          <w:p w14:paraId="0BEA4B67" w14:textId="77777777" w:rsidR="004E60EB" w:rsidRDefault="004E60EB" w:rsidP="004E60EB">
            <w:pPr>
              <w:pStyle w:val="guidelinetext"/>
              <w:numPr>
                <w:ilvl w:val="0"/>
                <w:numId w:val="44"/>
              </w:numPr>
              <w:spacing w:before="60" w:after="60" w:line="240" w:lineRule="auto"/>
              <w:ind w:left="284" w:hanging="284"/>
            </w:pPr>
            <w:r>
              <w:t>Couldn’t control behaviour/self</w:t>
            </w:r>
          </w:p>
          <w:p w14:paraId="365B6F3B" w14:textId="77777777" w:rsidR="004E60EB" w:rsidRDefault="004E60EB" w:rsidP="004E60EB">
            <w:pPr>
              <w:pStyle w:val="guidelinetext"/>
              <w:numPr>
                <w:ilvl w:val="0"/>
                <w:numId w:val="44"/>
              </w:numPr>
              <w:spacing w:before="60" w:after="60" w:line="240" w:lineRule="auto"/>
              <w:ind w:left="284" w:hanging="284"/>
            </w:pPr>
            <w:r>
              <w:t>Did not think they were dressed inappropriately</w:t>
            </w:r>
          </w:p>
          <w:p w14:paraId="6CC708D7" w14:textId="77777777" w:rsidR="004E60EB" w:rsidRDefault="004E60EB" w:rsidP="004E60EB">
            <w:pPr>
              <w:pStyle w:val="guidelinetext"/>
              <w:numPr>
                <w:ilvl w:val="0"/>
                <w:numId w:val="44"/>
              </w:numPr>
              <w:spacing w:before="60" w:after="60" w:line="240" w:lineRule="auto"/>
              <w:ind w:left="284" w:hanging="284"/>
            </w:pPr>
            <w:r>
              <w:t>Did not believe they were impacted by substances</w:t>
            </w:r>
          </w:p>
          <w:p w14:paraId="2AAB1B37" w14:textId="77777777" w:rsidR="004E60EB" w:rsidRDefault="004E60EB" w:rsidP="004E60EB">
            <w:pPr>
              <w:pStyle w:val="guidelinetext"/>
              <w:numPr>
                <w:ilvl w:val="0"/>
                <w:numId w:val="44"/>
              </w:numPr>
              <w:spacing w:before="60" w:after="60" w:line="240" w:lineRule="auto"/>
              <w:ind w:left="284" w:hanging="284"/>
            </w:pPr>
            <w:r>
              <w:t>Denied nature of misconduct</w:t>
            </w:r>
          </w:p>
          <w:p w14:paraId="013FD13F" w14:textId="77777777" w:rsidR="004E60EB" w:rsidRDefault="004E60EB" w:rsidP="004E60EB">
            <w:pPr>
              <w:pStyle w:val="guidelinetext"/>
              <w:numPr>
                <w:ilvl w:val="0"/>
                <w:numId w:val="44"/>
              </w:numPr>
              <w:spacing w:before="60" w:after="60" w:line="240" w:lineRule="auto"/>
              <w:ind w:left="284" w:hanging="284"/>
            </w:pPr>
            <w:r>
              <w:t>Falsified disability/condition presenting itself as misconduct</w:t>
            </w:r>
          </w:p>
        </w:tc>
      </w:tr>
    </w:tbl>
    <w:p w14:paraId="3FE0B13F" w14:textId="77777777" w:rsidR="004E60EB" w:rsidRDefault="004E60EB" w:rsidP="004E60EB">
      <w:pPr>
        <w:pStyle w:val="guidelinetext"/>
        <w:ind w:left="0"/>
      </w:pPr>
    </w:p>
    <w:p w14:paraId="03615859" w14:textId="0B2CDECD" w:rsidR="00081FFB" w:rsidRDefault="00081FFB" w:rsidP="004E60EB"/>
    <w:sectPr w:rsidR="00081FFB" w:rsidSect="00DB3D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4275" w14:textId="77777777" w:rsidR="00972E3D" w:rsidRDefault="00972E3D" w:rsidP="008A194F">
      <w:pPr>
        <w:spacing w:before="0"/>
      </w:pPr>
      <w:r>
        <w:separator/>
      </w:r>
    </w:p>
  </w:endnote>
  <w:endnote w:type="continuationSeparator" w:id="0">
    <w:p w14:paraId="2E608679" w14:textId="77777777" w:rsidR="00972E3D" w:rsidRDefault="00972E3D" w:rsidP="008A194F">
      <w:pPr>
        <w:spacing w:before="0"/>
      </w:pPr>
      <w:r>
        <w:continuationSeparator/>
      </w:r>
    </w:p>
  </w:endnote>
  <w:endnote w:type="continuationNotice" w:id="1">
    <w:p w14:paraId="332CA264" w14:textId="77777777" w:rsidR="00972E3D" w:rsidRDefault="00972E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117747"/>
      <w:docPartObj>
        <w:docPartGallery w:val="Page Numbers (Bottom of Page)"/>
        <w:docPartUnique/>
      </w:docPartObj>
    </w:sdtPr>
    <w:sdtEndPr>
      <w:rPr>
        <w:noProof/>
      </w:rPr>
    </w:sdtEndPr>
    <w:sdtContent>
      <w:p w14:paraId="05D8951D" w14:textId="77777777" w:rsidR="001E62C5" w:rsidRPr="00801507" w:rsidRDefault="001E62C5" w:rsidP="001D1D35">
        <w:pPr>
          <w:tabs>
            <w:tab w:val="right" w:pos="8306"/>
          </w:tabs>
          <w:spacing w:before="0"/>
          <w:rPr>
            <w:rFonts w:ascii="Calibri" w:eastAsia="Times New Roman" w:hAnsi="Calibri" w:cs="Times New Roman"/>
            <w:color w:val="808080"/>
            <w:sz w:val="16"/>
            <w:szCs w:val="16"/>
            <w:lang w:eastAsia="en-AU"/>
          </w:rPr>
        </w:pPr>
        <w:r w:rsidRPr="00AC2602">
          <w:rPr>
            <w:rFonts w:ascii="Calibri" w:eastAsia="Times New Roman" w:hAnsi="Calibri" w:cs="Times New Roman"/>
            <w:color w:val="808080"/>
            <w:sz w:val="16"/>
            <w:szCs w:val="16"/>
            <w:lang w:eastAsia="en-AU"/>
          </w:rPr>
          <w:t>Targeted Compliance Framework:</w:t>
        </w:r>
        <w:r>
          <w:rPr>
            <w:rFonts w:ascii="Calibri" w:eastAsia="Times New Roman" w:hAnsi="Calibri" w:cs="Times New Roman"/>
            <w:color w:val="808080"/>
            <w:sz w:val="16"/>
            <w:szCs w:val="16"/>
            <w:lang w:eastAsia="en-AU"/>
          </w:rPr>
          <w:t xml:space="preserve"> </w:t>
        </w:r>
        <w:r w:rsidRPr="00AC2602">
          <w:rPr>
            <w:rFonts w:ascii="Calibri" w:eastAsia="Times New Roman" w:hAnsi="Calibri" w:cs="Times New Roman"/>
            <w:color w:val="808080"/>
            <w:sz w:val="16"/>
            <w:szCs w:val="16"/>
            <w:lang w:eastAsia="en-AU"/>
          </w:rPr>
          <w:t xml:space="preserve">Work Refusal and Unemployment Failures </w:t>
        </w:r>
        <w:r w:rsidRPr="00801507">
          <w:rPr>
            <w:rFonts w:ascii="Calibri" w:eastAsia="Times New Roman" w:hAnsi="Calibri" w:cs="Times New Roman"/>
            <w:color w:val="808080"/>
            <w:sz w:val="16"/>
            <w:szCs w:val="16"/>
            <w:lang w:eastAsia="en-AU"/>
          </w:rPr>
          <w:t>Guidelines</w:t>
        </w:r>
      </w:p>
      <w:p w14:paraId="1D5FDCEF" w14:textId="0250E78A" w:rsidR="001E62C5" w:rsidRPr="00801507" w:rsidRDefault="001E62C5" w:rsidP="007178E1">
        <w:pPr>
          <w:tabs>
            <w:tab w:val="left" w:pos="5387"/>
            <w:tab w:val="right" w:pos="8306"/>
          </w:tabs>
          <w:spacing w:before="0"/>
          <w:jc w:val="both"/>
          <w:rPr>
            <w:rFonts w:ascii="Calibri" w:eastAsia="Times New Roman" w:hAnsi="Calibri" w:cs="Times New Roman"/>
            <w:color w:val="808080"/>
            <w:sz w:val="16"/>
            <w:szCs w:val="16"/>
            <w:lang w:eastAsia="en-AU"/>
          </w:rPr>
        </w:pPr>
        <w:r>
          <w:rPr>
            <w:rFonts w:ascii="Calibri" w:eastAsia="Times New Roman" w:hAnsi="Calibri" w:cs="Times New Roman"/>
            <w:color w:val="808080"/>
            <w:sz w:val="16"/>
            <w:szCs w:val="16"/>
            <w:lang w:eastAsia="en-AU"/>
          </w:rPr>
          <w:t>Arc Record Number:</w:t>
        </w:r>
        <w:r w:rsidR="00E269CE">
          <w:rPr>
            <w:rFonts w:ascii="Calibri" w:eastAsia="Times New Roman" w:hAnsi="Calibri" w:cs="Times New Roman"/>
            <w:color w:val="808080"/>
            <w:sz w:val="16"/>
            <w:szCs w:val="16"/>
            <w:lang w:eastAsia="en-AU"/>
          </w:rPr>
          <w:t xml:space="preserve"> </w:t>
        </w:r>
        <w:r w:rsidR="00256A66" w:rsidRPr="00256A66">
          <w:rPr>
            <w:rFonts w:ascii="Calibri" w:eastAsia="Times New Roman" w:hAnsi="Calibri" w:cs="Times New Roman"/>
            <w:color w:val="808080"/>
            <w:sz w:val="16"/>
            <w:szCs w:val="16"/>
            <w:lang w:eastAsia="en-AU"/>
          </w:rPr>
          <w:t>D24/1234674</w:t>
        </w:r>
        <w:r w:rsidRPr="00801507">
          <w:rPr>
            <w:rFonts w:ascii="Calibri" w:eastAsia="Times New Roman" w:hAnsi="Calibri" w:cs="Times New Roman"/>
            <w:color w:val="808080"/>
            <w:sz w:val="16"/>
            <w:szCs w:val="16"/>
            <w:lang w:eastAsia="en-AU"/>
          </w:rPr>
          <w:tab/>
        </w:r>
      </w:p>
      <w:p w14:paraId="01AB6B95" w14:textId="7EF4CC84" w:rsidR="001E62C5" w:rsidRPr="00801507" w:rsidRDefault="001E62C5" w:rsidP="001D1D35">
        <w:pPr>
          <w:tabs>
            <w:tab w:val="left" w:pos="5387"/>
            <w:tab w:val="right" w:pos="8306"/>
          </w:tabs>
          <w:spacing w:before="0"/>
          <w:jc w:val="right"/>
          <w:rPr>
            <w:rFonts w:ascii="Calibri" w:eastAsia="Times New Roman" w:hAnsi="Calibri" w:cs="Times New Roman"/>
            <w:color w:val="808080"/>
            <w:sz w:val="16"/>
            <w:szCs w:val="16"/>
            <w:lang w:eastAsia="en-AU"/>
          </w:rPr>
        </w:pPr>
        <w:r>
          <w:rPr>
            <w:rFonts w:ascii="Calibri" w:eastAsia="Times New Roman" w:hAnsi="Calibri" w:cs="Times New Roman"/>
            <w:color w:val="808080"/>
            <w:sz w:val="16"/>
            <w:szCs w:val="16"/>
            <w:lang w:eastAsia="en-AU"/>
          </w:rPr>
          <w:t xml:space="preserve">Effective Date: </w:t>
        </w:r>
        <w:r w:rsidR="00256A66">
          <w:rPr>
            <w:rFonts w:ascii="Calibri" w:eastAsia="Times New Roman" w:hAnsi="Calibri" w:cs="Times New Roman"/>
            <w:color w:val="808080"/>
            <w:sz w:val="16"/>
            <w:szCs w:val="16"/>
            <w:lang w:eastAsia="en-AU"/>
          </w:rPr>
          <w:t>1 October 2024</w:t>
        </w:r>
      </w:p>
      <w:p w14:paraId="2C9984D3" w14:textId="5EBDAB7A" w:rsidR="001E62C5" w:rsidRPr="006B38BC" w:rsidRDefault="001E62C5" w:rsidP="001D1D35">
        <w:pPr>
          <w:tabs>
            <w:tab w:val="right" w:pos="8306"/>
          </w:tabs>
          <w:spacing w:before="0"/>
          <w:jc w:val="center"/>
          <w:rPr>
            <w:rFonts w:ascii="Calibri" w:eastAsia="Times New Roman" w:hAnsi="Calibri" w:cs="Times New Roman"/>
            <w:color w:val="808080"/>
            <w:sz w:val="16"/>
            <w:szCs w:val="16"/>
            <w:lang w:eastAsia="en-AU"/>
          </w:rPr>
        </w:pPr>
        <w:r w:rsidRPr="00801507">
          <w:rPr>
            <w:rFonts w:ascii="Calibri" w:eastAsia="Times New Roman" w:hAnsi="Calibri" w:cs="Times New Roman"/>
            <w:color w:val="808080"/>
            <w:sz w:val="16"/>
            <w:szCs w:val="16"/>
            <w:lang w:eastAsia="en-AU"/>
          </w:rPr>
          <w:fldChar w:fldCharType="begin"/>
        </w:r>
        <w:r w:rsidRPr="00801507">
          <w:rPr>
            <w:rFonts w:ascii="Calibri" w:eastAsia="Times New Roman" w:hAnsi="Calibri" w:cs="Times New Roman"/>
            <w:color w:val="808080"/>
            <w:sz w:val="16"/>
            <w:szCs w:val="16"/>
            <w:lang w:eastAsia="en-AU"/>
          </w:rPr>
          <w:instrText xml:space="preserve"> PAGE  \* Arabic  \* MERGEFORMAT </w:instrText>
        </w:r>
        <w:r w:rsidRPr="00801507">
          <w:rPr>
            <w:rFonts w:ascii="Calibri" w:eastAsia="Times New Roman" w:hAnsi="Calibri" w:cs="Times New Roman"/>
            <w:color w:val="808080"/>
            <w:sz w:val="16"/>
            <w:szCs w:val="16"/>
            <w:lang w:eastAsia="en-AU"/>
          </w:rPr>
          <w:fldChar w:fldCharType="separate"/>
        </w:r>
        <w:r w:rsidR="00C36337">
          <w:rPr>
            <w:rFonts w:ascii="Calibri" w:eastAsia="Times New Roman" w:hAnsi="Calibri" w:cs="Times New Roman"/>
            <w:noProof/>
            <w:color w:val="808080"/>
            <w:sz w:val="16"/>
            <w:szCs w:val="16"/>
            <w:lang w:eastAsia="en-AU"/>
          </w:rPr>
          <w:t>20</w:t>
        </w:r>
        <w:r w:rsidRPr="00801507">
          <w:rPr>
            <w:rFonts w:ascii="Calibri" w:eastAsia="Times New Roman" w:hAnsi="Calibri" w:cs="Times New Roman"/>
            <w:color w:val="808080"/>
            <w:sz w:val="16"/>
            <w:szCs w:val="16"/>
            <w:lang w:eastAsia="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8D789" w14:textId="77777777" w:rsidR="001E62C5" w:rsidRPr="00801507" w:rsidRDefault="001E62C5" w:rsidP="00AC2602">
    <w:pPr>
      <w:tabs>
        <w:tab w:val="right" w:pos="8306"/>
      </w:tabs>
      <w:spacing w:before="0"/>
      <w:rPr>
        <w:rFonts w:ascii="Calibri" w:eastAsia="Times New Roman" w:hAnsi="Calibri" w:cs="Times New Roman"/>
        <w:color w:val="808080"/>
        <w:sz w:val="16"/>
        <w:szCs w:val="16"/>
        <w:lang w:eastAsia="en-AU"/>
      </w:rPr>
    </w:pPr>
    <w:r w:rsidRPr="00AC2602">
      <w:rPr>
        <w:rFonts w:ascii="Calibri" w:eastAsia="Times New Roman" w:hAnsi="Calibri" w:cs="Times New Roman"/>
        <w:color w:val="808080"/>
        <w:sz w:val="16"/>
        <w:szCs w:val="16"/>
        <w:lang w:eastAsia="en-AU"/>
      </w:rPr>
      <w:t>Targeted Compliance Framework:</w:t>
    </w:r>
    <w:r>
      <w:rPr>
        <w:rFonts w:ascii="Calibri" w:eastAsia="Times New Roman" w:hAnsi="Calibri" w:cs="Times New Roman"/>
        <w:color w:val="808080"/>
        <w:sz w:val="16"/>
        <w:szCs w:val="16"/>
        <w:lang w:eastAsia="en-AU"/>
      </w:rPr>
      <w:t xml:space="preserve"> </w:t>
    </w:r>
    <w:r w:rsidRPr="00AC2602">
      <w:rPr>
        <w:rFonts w:ascii="Calibri" w:eastAsia="Times New Roman" w:hAnsi="Calibri" w:cs="Times New Roman"/>
        <w:color w:val="808080"/>
        <w:sz w:val="16"/>
        <w:szCs w:val="16"/>
        <w:lang w:eastAsia="en-AU"/>
      </w:rPr>
      <w:t xml:space="preserve">Work Refusal and Unemployment Failures </w:t>
    </w:r>
    <w:r w:rsidRPr="00801507">
      <w:rPr>
        <w:rFonts w:ascii="Calibri" w:eastAsia="Times New Roman" w:hAnsi="Calibri" w:cs="Times New Roman"/>
        <w:color w:val="808080"/>
        <w:sz w:val="16"/>
        <w:szCs w:val="16"/>
        <w:lang w:eastAsia="en-AU"/>
      </w:rPr>
      <w:t>Guidelines</w:t>
    </w:r>
  </w:p>
  <w:p w14:paraId="030FAB35" w14:textId="37F4FA2E" w:rsidR="001E62C5" w:rsidRPr="00801507" w:rsidRDefault="001E62C5" w:rsidP="00801507">
    <w:pPr>
      <w:tabs>
        <w:tab w:val="left" w:pos="5387"/>
        <w:tab w:val="right" w:pos="8306"/>
      </w:tabs>
      <w:spacing w:before="0"/>
      <w:rPr>
        <w:rFonts w:ascii="Calibri" w:eastAsia="Times New Roman" w:hAnsi="Calibri" w:cs="Times New Roman"/>
        <w:color w:val="808080"/>
        <w:sz w:val="16"/>
        <w:szCs w:val="16"/>
        <w:lang w:eastAsia="en-AU"/>
      </w:rPr>
    </w:pPr>
    <w:r>
      <w:rPr>
        <w:rFonts w:ascii="Calibri" w:eastAsia="Times New Roman" w:hAnsi="Calibri" w:cs="Times New Roman"/>
        <w:color w:val="808080"/>
        <w:sz w:val="16"/>
        <w:szCs w:val="16"/>
        <w:lang w:eastAsia="en-AU"/>
      </w:rPr>
      <w:t>Arc Record Number:</w:t>
    </w:r>
    <w:r w:rsidR="00E269CE">
      <w:rPr>
        <w:rFonts w:ascii="Calibri" w:eastAsia="Times New Roman" w:hAnsi="Calibri" w:cs="Times New Roman"/>
        <w:color w:val="808080"/>
        <w:sz w:val="16"/>
        <w:szCs w:val="16"/>
        <w:lang w:eastAsia="en-AU"/>
      </w:rPr>
      <w:t xml:space="preserve"> </w:t>
    </w:r>
    <w:r w:rsidR="00256A66" w:rsidRPr="00256A66">
      <w:rPr>
        <w:rFonts w:ascii="Calibri" w:eastAsia="Times New Roman" w:hAnsi="Calibri" w:cs="Times New Roman"/>
        <w:color w:val="808080"/>
        <w:sz w:val="16"/>
        <w:szCs w:val="16"/>
        <w:lang w:eastAsia="en-AU"/>
      </w:rPr>
      <w:t>D24/1234674</w:t>
    </w:r>
    <w:r w:rsidRPr="00801507">
      <w:rPr>
        <w:rFonts w:ascii="Calibri" w:eastAsia="Times New Roman" w:hAnsi="Calibri" w:cs="Times New Roman"/>
        <w:color w:val="808080"/>
        <w:sz w:val="16"/>
        <w:szCs w:val="16"/>
        <w:lang w:eastAsia="en-AU"/>
      </w:rPr>
      <w:tab/>
    </w:r>
  </w:p>
  <w:p w14:paraId="0B27C754" w14:textId="5FD6206F" w:rsidR="001E62C5" w:rsidRPr="00801507" w:rsidRDefault="001E62C5" w:rsidP="00801507">
    <w:pPr>
      <w:tabs>
        <w:tab w:val="left" w:pos="5387"/>
        <w:tab w:val="right" w:pos="8306"/>
      </w:tabs>
      <w:spacing w:before="0"/>
      <w:jc w:val="right"/>
      <w:rPr>
        <w:rFonts w:ascii="Calibri" w:eastAsia="Times New Roman" w:hAnsi="Calibri" w:cs="Times New Roman"/>
        <w:color w:val="808080"/>
        <w:sz w:val="16"/>
        <w:szCs w:val="16"/>
        <w:lang w:eastAsia="en-AU"/>
      </w:rPr>
    </w:pPr>
    <w:r>
      <w:rPr>
        <w:rFonts w:ascii="Calibri" w:eastAsia="Times New Roman" w:hAnsi="Calibri" w:cs="Times New Roman"/>
        <w:color w:val="808080"/>
        <w:sz w:val="16"/>
        <w:szCs w:val="16"/>
        <w:lang w:eastAsia="en-AU"/>
      </w:rPr>
      <w:t xml:space="preserve">Effective Date: </w:t>
    </w:r>
    <w:r w:rsidR="00256A66">
      <w:rPr>
        <w:rFonts w:ascii="Calibri" w:eastAsia="Times New Roman" w:hAnsi="Calibri" w:cs="Times New Roman"/>
        <w:color w:val="808080"/>
        <w:sz w:val="16"/>
        <w:szCs w:val="16"/>
        <w:lang w:eastAsia="en-AU"/>
      </w:rPr>
      <w:t>1 October 2024</w:t>
    </w:r>
  </w:p>
  <w:p w14:paraId="50473B71" w14:textId="4C1E18D4" w:rsidR="001E62C5" w:rsidRPr="001D1D35" w:rsidRDefault="001E62C5" w:rsidP="001D1D35">
    <w:pPr>
      <w:tabs>
        <w:tab w:val="right" w:pos="8306"/>
      </w:tabs>
      <w:spacing w:before="0"/>
      <w:jc w:val="center"/>
      <w:rPr>
        <w:rFonts w:ascii="Calibri" w:eastAsia="Times New Roman" w:hAnsi="Calibri" w:cs="Times New Roman"/>
        <w:color w:val="808080"/>
        <w:sz w:val="16"/>
        <w:szCs w:val="16"/>
        <w:lang w:eastAsia="en-AU"/>
      </w:rPr>
    </w:pPr>
    <w:r w:rsidRPr="00801507">
      <w:rPr>
        <w:rFonts w:ascii="Calibri" w:eastAsia="Times New Roman" w:hAnsi="Calibri" w:cs="Times New Roman"/>
        <w:color w:val="808080"/>
        <w:sz w:val="16"/>
        <w:szCs w:val="16"/>
        <w:lang w:eastAsia="en-AU"/>
      </w:rPr>
      <w:fldChar w:fldCharType="begin"/>
    </w:r>
    <w:r w:rsidRPr="00801507">
      <w:rPr>
        <w:rFonts w:ascii="Calibri" w:eastAsia="Times New Roman" w:hAnsi="Calibri" w:cs="Times New Roman"/>
        <w:color w:val="808080"/>
        <w:sz w:val="16"/>
        <w:szCs w:val="16"/>
        <w:lang w:eastAsia="en-AU"/>
      </w:rPr>
      <w:instrText xml:space="preserve"> PAGE  \* Arabic  \* MERGEFORMAT </w:instrText>
    </w:r>
    <w:r w:rsidRPr="00801507">
      <w:rPr>
        <w:rFonts w:ascii="Calibri" w:eastAsia="Times New Roman" w:hAnsi="Calibri" w:cs="Times New Roman"/>
        <w:color w:val="808080"/>
        <w:sz w:val="16"/>
        <w:szCs w:val="16"/>
        <w:lang w:eastAsia="en-AU"/>
      </w:rPr>
      <w:fldChar w:fldCharType="separate"/>
    </w:r>
    <w:r w:rsidR="00C36337">
      <w:rPr>
        <w:rFonts w:ascii="Calibri" w:eastAsia="Times New Roman" w:hAnsi="Calibri" w:cs="Times New Roman"/>
        <w:noProof/>
        <w:color w:val="808080"/>
        <w:sz w:val="16"/>
        <w:szCs w:val="16"/>
        <w:lang w:eastAsia="en-AU"/>
      </w:rPr>
      <w:t>1</w:t>
    </w:r>
    <w:r w:rsidRPr="00801507">
      <w:rPr>
        <w:rFonts w:ascii="Calibri" w:eastAsia="Times New Roman" w:hAnsi="Calibri" w:cs="Times New Roman"/>
        <w:color w:val="808080"/>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E541" w14:textId="77777777" w:rsidR="00972E3D" w:rsidRDefault="00972E3D" w:rsidP="008A194F">
      <w:pPr>
        <w:spacing w:before="0"/>
      </w:pPr>
      <w:r>
        <w:separator/>
      </w:r>
    </w:p>
  </w:footnote>
  <w:footnote w:type="continuationSeparator" w:id="0">
    <w:p w14:paraId="4BEEFCDD" w14:textId="77777777" w:rsidR="00972E3D" w:rsidRDefault="00972E3D" w:rsidP="008A194F">
      <w:pPr>
        <w:spacing w:before="0"/>
      </w:pPr>
      <w:r>
        <w:continuationSeparator/>
      </w:r>
    </w:p>
  </w:footnote>
  <w:footnote w:type="continuationNotice" w:id="1">
    <w:p w14:paraId="60642FDF" w14:textId="77777777" w:rsidR="00972E3D" w:rsidRDefault="00972E3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9"/>
    <w:multiLevelType w:val="singleLevel"/>
    <w:tmpl w:val="B0AAE6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E463BE"/>
    <w:multiLevelType w:val="hybridMultilevel"/>
    <w:tmpl w:val="5430267E"/>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D5707F6"/>
    <w:multiLevelType w:val="hybridMultilevel"/>
    <w:tmpl w:val="10EA327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0F667405"/>
    <w:multiLevelType w:val="hybridMultilevel"/>
    <w:tmpl w:val="E67CA73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2EC1FFA"/>
    <w:multiLevelType w:val="hybridMultilevel"/>
    <w:tmpl w:val="D6A27D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4302649"/>
    <w:multiLevelType w:val="hybridMultilevel"/>
    <w:tmpl w:val="D19A7A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92E7A99"/>
    <w:multiLevelType w:val="hybridMultilevel"/>
    <w:tmpl w:val="2A3C95F2"/>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D080627E">
      <w:numFmt w:val="bullet"/>
      <w:lvlText w:val="·"/>
      <w:lvlJc w:val="left"/>
      <w:pPr>
        <w:ind w:left="3960" w:hanging="360"/>
      </w:pPr>
      <w:rPr>
        <w:rFonts w:ascii="Calibri" w:eastAsiaTheme="minorHAnsi" w:hAnsi="Calibri" w:cs="Calibri"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9991CAD"/>
    <w:multiLevelType w:val="hybridMultilevel"/>
    <w:tmpl w:val="87044D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ABF2BA9"/>
    <w:multiLevelType w:val="hybridMultilevel"/>
    <w:tmpl w:val="B81E0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452DF"/>
    <w:multiLevelType w:val="hybridMultilevel"/>
    <w:tmpl w:val="E2847674"/>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36E53A43"/>
    <w:multiLevelType w:val="hybridMultilevel"/>
    <w:tmpl w:val="C77EAC46"/>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74936A6"/>
    <w:multiLevelType w:val="hybridMultilevel"/>
    <w:tmpl w:val="6A0816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EF035D6"/>
    <w:multiLevelType w:val="hybridMultilevel"/>
    <w:tmpl w:val="1016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8563C"/>
    <w:multiLevelType w:val="hybridMultilevel"/>
    <w:tmpl w:val="12FA4FA8"/>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7B23D3E"/>
    <w:multiLevelType w:val="hybridMultilevel"/>
    <w:tmpl w:val="62AA713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ED335C4"/>
    <w:multiLevelType w:val="hybridMultilevel"/>
    <w:tmpl w:val="9ED4BFA8"/>
    <w:lvl w:ilvl="0" w:tplc="D764AA9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D50E4D"/>
    <w:multiLevelType w:val="hybridMultilevel"/>
    <w:tmpl w:val="AC167CA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0" w15:restartNumberingAfterBreak="0">
    <w:nsid w:val="5573730E"/>
    <w:multiLevelType w:val="hybridMultilevel"/>
    <w:tmpl w:val="7BA4D47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55DF1F44"/>
    <w:multiLevelType w:val="hybridMultilevel"/>
    <w:tmpl w:val="7DF6EBC4"/>
    <w:lvl w:ilvl="0" w:tplc="EFA64B3A">
      <w:start w:val="1"/>
      <w:numFmt w:val="bullet"/>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56262D2F"/>
    <w:multiLevelType w:val="hybridMultilevel"/>
    <w:tmpl w:val="5D74C4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C476089"/>
    <w:multiLevelType w:val="hybridMultilevel"/>
    <w:tmpl w:val="5B2C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3A3090"/>
    <w:multiLevelType w:val="hybridMultilevel"/>
    <w:tmpl w:val="B6F8BF26"/>
    <w:lvl w:ilvl="0" w:tplc="FF00279E">
      <w:start w:val="1"/>
      <w:numFmt w:val="decimal"/>
      <w:lvlText w:val="%1."/>
      <w:lvlJc w:val="left"/>
      <w:pPr>
        <w:ind w:left="360" w:hanging="360"/>
      </w:pPr>
      <w:rPr>
        <w:rFonts w:hint="default"/>
      </w:rPr>
    </w:lvl>
    <w:lvl w:ilvl="1" w:tplc="D080627E">
      <w:numFmt w:val="bullet"/>
      <w:lvlText w:val="·"/>
      <w:lvlJc w:val="left"/>
      <w:pPr>
        <w:ind w:left="1125" w:hanging="405"/>
      </w:pPr>
      <w:rPr>
        <w:rFonts w:ascii="Calibri" w:eastAsiaTheme="minorHAnsi" w:hAnsi="Calibri" w:cs="Calibr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FA45F57"/>
    <w:multiLevelType w:val="hybridMultilevel"/>
    <w:tmpl w:val="A3A4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214F38"/>
    <w:multiLevelType w:val="hybridMultilevel"/>
    <w:tmpl w:val="9AFA0DC4"/>
    <w:lvl w:ilvl="0" w:tplc="A42E1B46">
      <w:start w:val="1"/>
      <w:numFmt w:val="decimal"/>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7" w15:restartNumberingAfterBreak="0">
    <w:nsid w:val="6A78449D"/>
    <w:multiLevelType w:val="hybridMultilevel"/>
    <w:tmpl w:val="0C44C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2223A3"/>
    <w:multiLevelType w:val="hybridMultilevel"/>
    <w:tmpl w:val="9DA41486"/>
    <w:lvl w:ilvl="0" w:tplc="B84E0784">
      <w:numFmt w:val="bullet"/>
      <w:lvlText w:val="•"/>
      <w:lvlJc w:val="left"/>
      <w:pPr>
        <w:ind w:left="360" w:hanging="360"/>
      </w:pPr>
      <w:rPr>
        <w:rFonts w:ascii="Calibri" w:eastAsiaTheme="minorHAnsi" w:hAnsi="Calibri" w:cs="Calibr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7B494D"/>
    <w:multiLevelType w:val="hybridMultilevel"/>
    <w:tmpl w:val="38F68F68"/>
    <w:lvl w:ilvl="0" w:tplc="58AC45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02933E9"/>
    <w:multiLevelType w:val="hybridMultilevel"/>
    <w:tmpl w:val="B16E3920"/>
    <w:lvl w:ilvl="0" w:tplc="2BBAC3EC">
      <w:start w:val="1"/>
      <w:numFmt w:val="decimal"/>
      <w:lvlText w:val="%1."/>
      <w:lvlJc w:val="left"/>
      <w:pPr>
        <w:ind w:left="7560" w:hanging="360"/>
      </w:pPr>
      <w:rPr>
        <w:rFonts w:hint="default"/>
      </w:rPr>
    </w:lvl>
    <w:lvl w:ilvl="1" w:tplc="0C090019" w:tentative="1">
      <w:start w:val="1"/>
      <w:numFmt w:val="lowerLetter"/>
      <w:lvlText w:val="%2."/>
      <w:lvlJc w:val="left"/>
      <w:pPr>
        <w:ind w:left="8280" w:hanging="360"/>
      </w:pPr>
    </w:lvl>
    <w:lvl w:ilvl="2" w:tplc="0C09001B" w:tentative="1">
      <w:start w:val="1"/>
      <w:numFmt w:val="lowerRoman"/>
      <w:lvlText w:val="%3."/>
      <w:lvlJc w:val="right"/>
      <w:pPr>
        <w:ind w:left="9000" w:hanging="180"/>
      </w:pPr>
    </w:lvl>
    <w:lvl w:ilvl="3" w:tplc="0C09000F" w:tentative="1">
      <w:start w:val="1"/>
      <w:numFmt w:val="decimal"/>
      <w:lvlText w:val="%4."/>
      <w:lvlJc w:val="left"/>
      <w:pPr>
        <w:ind w:left="9720" w:hanging="360"/>
      </w:pPr>
    </w:lvl>
    <w:lvl w:ilvl="4" w:tplc="0C090019" w:tentative="1">
      <w:start w:val="1"/>
      <w:numFmt w:val="lowerLetter"/>
      <w:lvlText w:val="%5."/>
      <w:lvlJc w:val="left"/>
      <w:pPr>
        <w:ind w:left="10440" w:hanging="360"/>
      </w:pPr>
    </w:lvl>
    <w:lvl w:ilvl="5" w:tplc="0C09001B" w:tentative="1">
      <w:start w:val="1"/>
      <w:numFmt w:val="lowerRoman"/>
      <w:lvlText w:val="%6."/>
      <w:lvlJc w:val="right"/>
      <w:pPr>
        <w:ind w:left="11160" w:hanging="180"/>
      </w:pPr>
    </w:lvl>
    <w:lvl w:ilvl="6" w:tplc="0C09000F" w:tentative="1">
      <w:start w:val="1"/>
      <w:numFmt w:val="decimal"/>
      <w:lvlText w:val="%7."/>
      <w:lvlJc w:val="left"/>
      <w:pPr>
        <w:ind w:left="11880" w:hanging="360"/>
      </w:pPr>
    </w:lvl>
    <w:lvl w:ilvl="7" w:tplc="0C090019" w:tentative="1">
      <w:start w:val="1"/>
      <w:numFmt w:val="lowerLetter"/>
      <w:lvlText w:val="%8."/>
      <w:lvlJc w:val="left"/>
      <w:pPr>
        <w:ind w:left="12600" w:hanging="360"/>
      </w:pPr>
    </w:lvl>
    <w:lvl w:ilvl="8" w:tplc="0C09001B" w:tentative="1">
      <w:start w:val="1"/>
      <w:numFmt w:val="lowerRoman"/>
      <w:lvlText w:val="%9."/>
      <w:lvlJc w:val="right"/>
      <w:pPr>
        <w:ind w:left="13320" w:hanging="180"/>
      </w:pPr>
    </w:lvl>
  </w:abstractNum>
  <w:abstractNum w:abstractNumId="31" w15:restartNumberingAfterBreak="0">
    <w:nsid w:val="737B7EF0"/>
    <w:multiLevelType w:val="hybridMultilevel"/>
    <w:tmpl w:val="BEA07E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C2B0A"/>
    <w:multiLevelType w:val="hybridMultilevel"/>
    <w:tmpl w:val="C07284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9306D7A"/>
    <w:multiLevelType w:val="hybridMultilevel"/>
    <w:tmpl w:val="4C80640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7B1D6589"/>
    <w:multiLevelType w:val="hybridMultilevel"/>
    <w:tmpl w:val="EC1C8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366745"/>
    <w:multiLevelType w:val="hybridMultilevel"/>
    <w:tmpl w:val="3F980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27836"/>
    <w:multiLevelType w:val="hybridMultilevel"/>
    <w:tmpl w:val="133A0956"/>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158110647">
    <w:abstractNumId w:val="36"/>
  </w:num>
  <w:num w:numId="2" w16cid:durableId="1188449763">
    <w:abstractNumId w:val="24"/>
  </w:num>
  <w:num w:numId="3" w16cid:durableId="1331371087">
    <w:abstractNumId w:val="24"/>
    <w:lvlOverride w:ilvl="0">
      <w:startOverride w:val="1"/>
    </w:lvlOverride>
  </w:num>
  <w:num w:numId="4" w16cid:durableId="188220920">
    <w:abstractNumId w:val="21"/>
  </w:num>
  <w:num w:numId="5" w16cid:durableId="568807128">
    <w:abstractNumId w:val="10"/>
  </w:num>
  <w:num w:numId="6" w16cid:durableId="1300572175">
    <w:abstractNumId w:val="11"/>
  </w:num>
  <w:num w:numId="7" w16cid:durableId="1228683463">
    <w:abstractNumId w:val="28"/>
  </w:num>
  <w:num w:numId="8" w16cid:durableId="84499203">
    <w:abstractNumId w:val="8"/>
  </w:num>
  <w:num w:numId="9" w16cid:durableId="563373522">
    <w:abstractNumId w:val="13"/>
  </w:num>
  <w:num w:numId="10" w16cid:durableId="378939315">
    <w:abstractNumId w:val="16"/>
  </w:num>
  <w:num w:numId="11" w16cid:durableId="239557351">
    <w:abstractNumId w:val="2"/>
  </w:num>
  <w:num w:numId="12" w16cid:durableId="92825057">
    <w:abstractNumId w:val="9"/>
  </w:num>
  <w:num w:numId="13" w16cid:durableId="1077166864">
    <w:abstractNumId w:val="31"/>
  </w:num>
  <w:num w:numId="14" w16cid:durableId="327364872">
    <w:abstractNumId w:val="18"/>
  </w:num>
  <w:num w:numId="15" w16cid:durableId="28997731">
    <w:abstractNumId w:val="36"/>
  </w:num>
  <w:num w:numId="16" w16cid:durableId="2110083642">
    <w:abstractNumId w:val="19"/>
  </w:num>
  <w:num w:numId="17" w16cid:durableId="354182">
    <w:abstractNumId w:val="12"/>
  </w:num>
  <w:num w:numId="18" w16cid:durableId="1910731452">
    <w:abstractNumId w:val="25"/>
  </w:num>
  <w:num w:numId="19" w16cid:durableId="1687437352">
    <w:abstractNumId w:val="35"/>
  </w:num>
  <w:num w:numId="20" w16cid:durableId="2033413718">
    <w:abstractNumId w:val="3"/>
  </w:num>
  <w:num w:numId="21" w16cid:durableId="589700755">
    <w:abstractNumId w:val="17"/>
  </w:num>
  <w:num w:numId="22" w16cid:durableId="434448217">
    <w:abstractNumId w:val="21"/>
  </w:num>
  <w:num w:numId="23" w16cid:durableId="477696955">
    <w:abstractNumId w:val="21"/>
  </w:num>
  <w:num w:numId="24" w16cid:durableId="555046804">
    <w:abstractNumId w:val="36"/>
  </w:num>
  <w:num w:numId="25" w16cid:durableId="850068259">
    <w:abstractNumId w:val="5"/>
  </w:num>
  <w:num w:numId="26" w16cid:durableId="2006013290">
    <w:abstractNumId w:val="34"/>
  </w:num>
  <w:num w:numId="27" w16cid:durableId="1264192061">
    <w:abstractNumId w:val="0"/>
  </w:num>
  <w:num w:numId="28" w16cid:durableId="1292899266">
    <w:abstractNumId w:val="30"/>
  </w:num>
  <w:num w:numId="29" w16cid:durableId="15423476">
    <w:abstractNumId w:val="24"/>
    <w:lvlOverride w:ilvl="0">
      <w:startOverride w:val="6"/>
    </w:lvlOverride>
  </w:num>
  <w:num w:numId="30" w16cid:durableId="676350957">
    <w:abstractNumId w:val="26"/>
  </w:num>
  <w:num w:numId="31" w16cid:durableId="1121419233">
    <w:abstractNumId w:val="29"/>
  </w:num>
  <w:num w:numId="32" w16cid:durableId="1090735325">
    <w:abstractNumId w:val="27"/>
  </w:num>
  <w:num w:numId="33" w16cid:durableId="930622658">
    <w:abstractNumId w:val="36"/>
  </w:num>
  <w:num w:numId="34" w16cid:durableId="1387873065">
    <w:abstractNumId w:val="33"/>
  </w:num>
  <w:num w:numId="35" w16cid:durableId="329527362">
    <w:abstractNumId w:val="1"/>
  </w:num>
  <w:num w:numId="36" w16cid:durableId="792216759">
    <w:abstractNumId w:val="15"/>
  </w:num>
  <w:num w:numId="37" w16cid:durableId="2078016326">
    <w:abstractNumId w:val="14"/>
  </w:num>
  <w:num w:numId="38" w16cid:durableId="1121923656">
    <w:abstractNumId w:val="22"/>
  </w:num>
  <w:num w:numId="39" w16cid:durableId="1211919262">
    <w:abstractNumId w:val="20"/>
  </w:num>
  <w:num w:numId="40" w16cid:durableId="1571115033">
    <w:abstractNumId w:val="6"/>
  </w:num>
  <w:num w:numId="41" w16cid:durableId="1279138373">
    <w:abstractNumId w:val="4"/>
  </w:num>
  <w:num w:numId="42" w16cid:durableId="1125080588">
    <w:abstractNumId w:val="32"/>
  </w:num>
  <w:num w:numId="43" w16cid:durableId="871845970">
    <w:abstractNumId w:val="7"/>
  </w:num>
  <w:num w:numId="44" w16cid:durableId="158781008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17FB"/>
    <w:rsid w:val="000023B5"/>
    <w:rsid w:val="0000442F"/>
    <w:rsid w:val="0001036A"/>
    <w:rsid w:val="00013B42"/>
    <w:rsid w:val="0001465D"/>
    <w:rsid w:val="00016440"/>
    <w:rsid w:val="000164E6"/>
    <w:rsid w:val="00020D0A"/>
    <w:rsid w:val="00022E10"/>
    <w:rsid w:val="00023370"/>
    <w:rsid w:val="00027378"/>
    <w:rsid w:val="000276F4"/>
    <w:rsid w:val="0003158C"/>
    <w:rsid w:val="00031D34"/>
    <w:rsid w:val="00032A37"/>
    <w:rsid w:val="00032FF7"/>
    <w:rsid w:val="00034307"/>
    <w:rsid w:val="00035F57"/>
    <w:rsid w:val="00042B64"/>
    <w:rsid w:val="0004636E"/>
    <w:rsid w:val="000474BD"/>
    <w:rsid w:val="000516A4"/>
    <w:rsid w:val="000517D9"/>
    <w:rsid w:val="000543E5"/>
    <w:rsid w:val="00061412"/>
    <w:rsid w:val="00067E0B"/>
    <w:rsid w:val="00072B6D"/>
    <w:rsid w:val="00081FFB"/>
    <w:rsid w:val="0008518A"/>
    <w:rsid w:val="000866D7"/>
    <w:rsid w:val="00086BD6"/>
    <w:rsid w:val="0008762A"/>
    <w:rsid w:val="00090063"/>
    <w:rsid w:val="00091034"/>
    <w:rsid w:val="00093679"/>
    <w:rsid w:val="00095E22"/>
    <w:rsid w:val="000A0032"/>
    <w:rsid w:val="000A0DB5"/>
    <w:rsid w:val="000A642C"/>
    <w:rsid w:val="000B4AE6"/>
    <w:rsid w:val="000B4FDA"/>
    <w:rsid w:val="000C47B3"/>
    <w:rsid w:val="000C7DBD"/>
    <w:rsid w:val="000D0C92"/>
    <w:rsid w:val="000D31EF"/>
    <w:rsid w:val="000D753F"/>
    <w:rsid w:val="000D7BBD"/>
    <w:rsid w:val="000E0E22"/>
    <w:rsid w:val="000E65CD"/>
    <w:rsid w:val="000F115E"/>
    <w:rsid w:val="000F2098"/>
    <w:rsid w:val="000F249D"/>
    <w:rsid w:val="00101FC4"/>
    <w:rsid w:val="001054CB"/>
    <w:rsid w:val="001062AB"/>
    <w:rsid w:val="00106CE3"/>
    <w:rsid w:val="00106FE8"/>
    <w:rsid w:val="00110014"/>
    <w:rsid w:val="001137A8"/>
    <w:rsid w:val="00114C63"/>
    <w:rsid w:val="0012082D"/>
    <w:rsid w:val="00122526"/>
    <w:rsid w:val="0012275E"/>
    <w:rsid w:val="00124279"/>
    <w:rsid w:val="00130AD9"/>
    <w:rsid w:val="00136743"/>
    <w:rsid w:val="00137281"/>
    <w:rsid w:val="00143942"/>
    <w:rsid w:val="00146FF3"/>
    <w:rsid w:val="00153096"/>
    <w:rsid w:val="00154E2E"/>
    <w:rsid w:val="0015509F"/>
    <w:rsid w:val="00162929"/>
    <w:rsid w:val="00163D91"/>
    <w:rsid w:val="001705E4"/>
    <w:rsid w:val="00170E4E"/>
    <w:rsid w:val="0018328C"/>
    <w:rsid w:val="001846C2"/>
    <w:rsid w:val="001901B9"/>
    <w:rsid w:val="00192CB3"/>
    <w:rsid w:val="0019586C"/>
    <w:rsid w:val="001A00A4"/>
    <w:rsid w:val="001A6B1E"/>
    <w:rsid w:val="001B054B"/>
    <w:rsid w:val="001B0AB2"/>
    <w:rsid w:val="001B1EC9"/>
    <w:rsid w:val="001B4102"/>
    <w:rsid w:val="001B4C65"/>
    <w:rsid w:val="001B63D0"/>
    <w:rsid w:val="001C1BA0"/>
    <w:rsid w:val="001C2604"/>
    <w:rsid w:val="001C5056"/>
    <w:rsid w:val="001C5915"/>
    <w:rsid w:val="001C73D9"/>
    <w:rsid w:val="001C7F29"/>
    <w:rsid w:val="001D15D4"/>
    <w:rsid w:val="001D15EA"/>
    <w:rsid w:val="001D1D35"/>
    <w:rsid w:val="001D2852"/>
    <w:rsid w:val="001D3E84"/>
    <w:rsid w:val="001D5728"/>
    <w:rsid w:val="001D61F5"/>
    <w:rsid w:val="001D68B2"/>
    <w:rsid w:val="001E035A"/>
    <w:rsid w:val="001E152C"/>
    <w:rsid w:val="001E4D4E"/>
    <w:rsid w:val="001E51BB"/>
    <w:rsid w:val="001E62C5"/>
    <w:rsid w:val="001E6929"/>
    <w:rsid w:val="001E76AD"/>
    <w:rsid w:val="001E7D7F"/>
    <w:rsid w:val="001F051D"/>
    <w:rsid w:val="001F058A"/>
    <w:rsid w:val="001F147D"/>
    <w:rsid w:val="001F19A3"/>
    <w:rsid w:val="001F1AC0"/>
    <w:rsid w:val="001F69CE"/>
    <w:rsid w:val="001F7257"/>
    <w:rsid w:val="002040B6"/>
    <w:rsid w:val="002041DC"/>
    <w:rsid w:val="00205813"/>
    <w:rsid w:val="00211076"/>
    <w:rsid w:val="0021796A"/>
    <w:rsid w:val="002247D9"/>
    <w:rsid w:val="00224D34"/>
    <w:rsid w:val="00225ACD"/>
    <w:rsid w:val="00226F88"/>
    <w:rsid w:val="00231C58"/>
    <w:rsid w:val="00232284"/>
    <w:rsid w:val="002341E8"/>
    <w:rsid w:val="00242639"/>
    <w:rsid w:val="00242F5C"/>
    <w:rsid w:val="002450E1"/>
    <w:rsid w:val="0024551B"/>
    <w:rsid w:val="00245CBD"/>
    <w:rsid w:val="00247CD0"/>
    <w:rsid w:val="002529F4"/>
    <w:rsid w:val="00253C75"/>
    <w:rsid w:val="002544C0"/>
    <w:rsid w:val="00256A66"/>
    <w:rsid w:val="002576DD"/>
    <w:rsid w:val="002645EE"/>
    <w:rsid w:val="00267564"/>
    <w:rsid w:val="00267B31"/>
    <w:rsid w:val="002717D2"/>
    <w:rsid w:val="00274679"/>
    <w:rsid w:val="0027592B"/>
    <w:rsid w:val="00280FCB"/>
    <w:rsid w:val="00282475"/>
    <w:rsid w:val="00283B3C"/>
    <w:rsid w:val="00283EEB"/>
    <w:rsid w:val="00291F9B"/>
    <w:rsid w:val="002B1344"/>
    <w:rsid w:val="002B4D28"/>
    <w:rsid w:val="002B5948"/>
    <w:rsid w:val="002B750C"/>
    <w:rsid w:val="002C268F"/>
    <w:rsid w:val="002C62CD"/>
    <w:rsid w:val="002C78B8"/>
    <w:rsid w:val="002D0DF0"/>
    <w:rsid w:val="002D1607"/>
    <w:rsid w:val="002D1C0C"/>
    <w:rsid w:val="002E1036"/>
    <w:rsid w:val="002E1DF2"/>
    <w:rsid w:val="002E2F54"/>
    <w:rsid w:val="002E4F73"/>
    <w:rsid w:val="002E6FDB"/>
    <w:rsid w:val="002E7BA3"/>
    <w:rsid w:val="002F155F"/>
    <w:rsid w:val="002F17C8"/>
    <w:rsid w:val="002F24E3"/>
    <w:rsid w:val="0030063C"/>
    <w:rsid w:val="00300C87"/>
    <w:rsid w:val="00300D2A"/>
    <w:rsid w:val="0030737E"/>
    <w:rsid w:val="0031563B"/>
    <w:rsid w:val="00320697"/>
    <w:rsid w:val="00322B4C"/>
    <w:rsid w:val="003250EE"/>
    <w:rsid w:val="00330021"/>
    <w:rsid w:val="003310AE"/>
    <w:rsid w:val="0033162F"/>
    <w:rsid w:val="00331DAB"/>
    <w:rsid w:val="0033694F"/>
    <w:rsid w:val="00336F6B"/>
    <w:rsid w:val="00340092"/>
    <w:rsid w:val="003426CB"/>
    <w:rsid w:val="0034316E"/>
    <w:rsid w:val="003436A4"/>
    <w:rsid w:val="00357F0E"/>
    <w:rsid w:val="003605D0"/>
    <w:rsid w:val="00361129"/>
    <w:rsid w:val="003706BE"/>
    <w:rsid w:val="003720EB"/>
    <w:rsid w:val="003770C6"/>
    <w:rsid w:val="00381C14"/>
    <w:rsid w:val="0038206E"/>
    <w:rsid w:val="003826F2"/>
    <w:rsid w:val="00385FEB"/>
    <w:rsid w:val="003903F0"/>
    <w:rsid w:val="003A331C"/>
    <w:rsid w:val="003A403A"/>
    <w:rsid w:val="003A4AF6"/>
    <w:rsid w:val="003A634D"/>
    <w:rsid w:val="003B2D19"/>
    <w:rsid w:val="003B40A9"/>
    <w:rsid w:val="003B5FD5"/>
    <w:rsid w:val="003C7297"/>
    <w:rsid w:val="003D0BD2"/>
    <w:rsid w:val="003D0D4F"/>
    <w:rsid w:val="003D1A39"/>
    <w:rsid w:val="003D343C"/>
    <w:rsid w:val="003D5036"/>
    <w:rsid w:val="003E1F1C"/>
    <w:rsid w:val="003E376D"/>
    <w:rsid w:val="003E397F"/>
    <w:rsid w:val="003E6282"/>
    <w:rsid w:val="003E719C"/>
    <w:rsid w:val="003F098B"/>
    <w:rsid w:val="003F3648"/>
    <w:rsid w:val="003F405A"/>
    <w:rsid w:val="003F4367"/>
    <w:rsid w:val="00401056"/>
    <w:rsid w:val="00415A56"/>
    <w:rsid w:val="00423583"/>
    <w:rsid w:val="00423FBD"/>
    <w:rsid w:val="0042555A"/>
    <w:rsid w:val="00432071"/>
    <w:rsid w:val="00433192"/>
    <w:rsid w:val="0043438C"/>
    <w:rsid w:val="0044620F"/>
    <w:rsid w:val="00457D85"/>
    <w:rsid w:val="00462F63"/>
    <w:rsid w:val="004641CB"/>
    <w:rsid w:val="00464C79"/>
    <w:rsid w:val="00473A1C"/>
    <w:rsid w:val="0047799C"/>
    <w:rsid w:val="00477F06"/>
    <w:rsid w:val="004823A4"/>
    <w:rsid w:val="00483ED4"/>
    <w:rsid w:val="0048498A"/>
    <w:rsid w:val="004850AB"/>
    <w:rsid w:val="004866E6"/>
    <w:rsid w:val="00487B8D"/>
    <w:rsid w:val="004A19FB"/>
    <w:rsid w:val="004A54C7"/>
    <w:rsid w:val="004B30AA"/>
    <w:rsid w:val="004B6BA8"/>
    <w:rsid w:val="004B7969"/>
    <w:rsid w:val="004C0781"/>
    <w:rsid w:val="004C0C20"/>
    <w:rsid w:val="004C44B2"/>
    <w:rsid w:val="004C5158"/>
    <w:rsid w:val="004D36CF"/>
    <w:rsid w:val="004D7482"/>
    <w:rsid w:val="004E3BA3"/>
    <w:rsid w:val="004E60EB"/>
    <w:rsid w:val="004E6634"/>
    <w:rsid w:val="004F1037"/>
    <w:rsid w:val="004F32E7"/>
    <w:rsid w:val="004F4EA8"/>
    <w:rsid w:val="0050089B"/>
    <w:rsid w:val="005111D2"/>
    <w:rsid w:val="00511A0B"/>
    <w:rsid w:val="0051518C"/>
    <w:rsid w:val="005151EF"/>
    <w:rsid w:val="00517271"/>
    <w:rsid w:val="0051732C"/>
    <w:rsid w:val="00523305"/>
    <w:rsid w:val="00524F6E"/>
    <w:rsid w:val="00527808"/>
    <w:rsid w:val="00527A97"/>
    <w:rsid w:val="00530C40"/>
    <w:rsid w:val="0053702E"/>
    <w:rsid w:val="005373DC"/>
    <w:rsid w:val="0054378A"/>
    <w:rsid w:val="00547C66"/>
    <w:rsid w:val="00551063"/>
    <w:rsid w:val="00553B49"/>
    <w:rsid w:val="005559C9"/>
    <w:rsid w:val="005575A3"/>
    <w:rsid w:val="0056376F"/>
    <w:rsid w:val="0057680E"/>
    <w:rsid w:val="00576AA7"/>
    <w:rsid w:val="005842F9"/>
    <w:rsid w:val="0058684F"/>
    <w:rsid w:val="00587D63"/>
    <w:rsid w:val="005922DC"/>
    <w:rsid w:val="0059295E"/>
    <w:rsid w:val="005946C0"/>
    <w:rsid w:val="005A4CBF"/>
    <w:rsid w:val="005A74F7"/>
    <w:rsid w:val="005B1EDD"/>
    <w:rsid w:val="005B3D76"/>
    <w:rsid w:val="005B4170"/>
    <w:rsid w:val="005B5FE8"/>
    <w:rsid w:val="005B68F4"/>
    <w:rsid w:val="005C2781"/>
    <w:rsid w:val="005C5863"/>
    <w:rsid w:val="005D0210"/>
    <w:rsid w:val="005D0E48"/>
    <w:rsid w:val="005D2D92"/>
    <w:rsid w:val="005D72CD"/>
    <w:rsid w:val="005E2A0E"/>
    <w:rsid w:val="005E3856"/>
    <w:rsid w:val="005E39D9"/>
    <w:rsid w:val="005E56D7"/>
    <w:rsid w:val="005E6072"/>
    <w:rsid w:val="005F1CC9"/>
    <w:rsid w:val="005F54EA"/>
    <w:rsid w:val="005F58D8"/>
    <w:rsid w:val="00600E80"/>
    <w:rsid w:val="00605668"/>
    <w:rsid w:val="00607005"/>
    <w:rsid w:val="0060773D"/>
    <w:rsid w:val="00613224"/>
    <w:rsid w:val="006163EF"/>
    <w:rsid w:val="0061658D"/>
    <w:rsid w:val="00617A59"/>
    <w:rsid w:val="00621965"/>
    <w:rsid w:val="00623A05"/>
    <w:rsid w:val="00630745"/>
    <w:rsid w:val="00630C49"/>
    <w:rsid w:val="00631AFB"/>
    <w:rsid w:val="006329FB"/>
    <w:rsid w:val="00634D07"/>
    <w:rsid w:val="006430A8"/>
    <w:rsid w:val="00650BBC"/>
    <w:rsid w:val="00655553"/>
    <w:rsid w:val="0065780F"/>
    <w:rsid w:val="00657C63"/>
    <w:rsid w:val="00663814"/>
    <w:rsid w:val="0066638C"/>
    <w:rsid w:val="00675529"/>
    <w:rsid w:val="006802EA"/>
    <w:rsid w:val="00681AE9"/>
    <w:rsid w:val="0068370E"/>
    <w:rsid w:val="006843F2"/>
    <w:rsid w:val="00686656"/>
    <w:rsid w:val="00687562"/>
    <w:rsid w:val="00692FB9"/>
    <w:rsid w:val="006A0B51"/>
    <w:rsid w:val="006A3A0A"/>
    <w:rsid w:val="006A3B80"/>
    <w:rsid w:val="006A4751"/>
    <w:rsid w:val="006B38BC"/>
    <w:rsid w:val="006B3E2C"/>
    <w:rsid w:val="006B6C4C"/>
    <w:rsid w:val="006B73BB"/>
    <w:rsid w:val="006C0973"/>
    <w:rsid w:val="006C1BFF"/>
    <w:rsid w:val="006C2FE0"/>
    <w:rsid w:val="006C5AAF"/>
    <w:rsid w:val="006C6506"/>
    <w:rsid w:val="006C7771"/>
    <w:rsid w:val="006C7F68"/>
    <w:rsid w:val="006D10DC"/>
    <w:rsid w:val="006D187E"/>
    <w:rsid w:val="006D2825"/>
    <w:rsid w:val="006D4DD8"/>
    <w:rsid w:val="006D5350"/>
    <w:rsid w:val="006E01E7"/>
    <w:rsid w:val="006E41CA"/>
    <w:rsid w:val="006E6AD6"/>
    <w:rsid w:val="006F21D0"/>
    <w:rsid w:val="006F2512"/>
    <w:rsid w:val="006F2713"/>
    <w:rsid w:val="006F3A90"/>
    <w:rsid w:val="006F5274"/>
    <w:rsid w:val="006F5BA8"/>
    <w:rsid w:val="006F63C9"/>
    <w:rsid w:val="00700655"/>
    <w:rsid w:val="00700C4B"/>
    <w:rsid w:val="0070128B"/>
    <w:rsid w:val="0070707B"/>
    <w:rsid w:val="00712D31"/>
    <w:rsid w:val="007178E1"/>
    <w:rsid w:val="00717AC8"/>
    <w:rsid w:val="00721B60"/>
    <w:rsid w:val="00722D96"/>
    <w:rsid w:val="00724E54"/>
    <w:rsid w:val="007278B0"/>
    <w:rsid w:val="00731EEB"/>
    <w:rsid w:val="007334B5"/>
    <w:rsid w:val="00733501"/>
    <w:rsid w:val="00737312"/>
    <w:rsid w:val="007406A8"/>
    <w:rsid w:val="00743D50"/>
    <w:rsid w:val="00744458"/>
    <w:rsid w:val="00746A02"/>
    <w:rsid w:val="00747612"/>
    <w:rsid w:val="00751BBB"/>
    <w:rsid w:val="00752BB4"/>
    <w:rsid w:val="00757321"/>
    <w:rsid w:val="0076178B"/>
    <w:rsid w:val="00764F5D"/>
    <w:rsid w:val="00766C6B"/>
    <w:rsid w:val="00766F8C"/>
    <w:rsid w:val="007706E1"/>
    <w:rsid w:val="007732BD"/>
    <w:rsid w:val="007753B1"/>
    <w:rsid w:val="00776052"/>
    <w:rsid w:val="00776756"/>
    <w:rsid w:val="0078514F"/>
    <w:rsid w:val="00787A19"/>
    <w:rsid w:val="0079149E"/>
    <w:rsid w:val="00792881"/>
    <w:rsid w:val="00793143"/>
    <w:rsid w:val="007941F7"/>
    <w:rsid w:val="007A3BDA"/>
    <w:rsid w:val="007A4C25"/>
    <w:rsid w:val="007A5388"/>
    <w:rsid w:val="007A725B"/>
    <w:rsid w:val="007B0180"/>
    <w:rsid w:val="007B3532"/>
    <w:rsid w:val="007B595B"/>
    <w:rsid w:val="007C0F17"/>
    <w:rsid w:val="007C31ED"/>
    <w:rsid w:val="007C5162"/>
    <w:rsid w:val="007C6043"/>
    <w:rsid w:val="007D0170"/>
    <w:rsid w:val="007D323D"/>
    <w:rsid w:val="007D3C93"/>
    <w:rsid w:val="007D5B20"/>
    <w:rsid w:val="007D6932"/>
    <w:rsid w:val="007D7692"/>
    <w:rsid w:val="007E29BF"/>
    <w:rsid w:val="007E39C4"/>
    <w:rsid w:val="007E600F"/>
    <w:rsid w:val="007E607B"/>
    <w:rsid w:val="007E788C"/>
    <w:rsid w:val="007F005E"/>
    <w:rsid w:val="007F045A"/>
    <w:rsid w:val="007F0A4A"/>
    <w:rsid w:val="007F2650"/>
    <w:rsid w:val="007F617B"/>
    <w:rsid w:val="007F61C3"/>
    <w:rsid w:val="007F7F36"/>
    <w:rsid w:val="0080005F"/>
    <w:rsid w:val="00801507"/>
    <w:rsid w:val="00805572"/>
    <w:rsid w:val="00807144"/>
    <w:rsid w:val="008111EC"/>
    <w:rsid w:val="008114C2"/>
    <w:rsid w:val="0081255C"/>
    <w:rsid w:val="00813FDC"/>
    <w:rsid w:val="00815FD4"/>
    <w:rsid w:val="00821B57"/>
    <w:rsid w:val="00824C32"/>
    <w:rsid w:val="008257BC"/>
    <w:rsid w:val="00830572"/>
    <w:rsid w:val="008316A7"/>
    <w:rsid w:val="008330FF"/>
    <w:rsid w:val="00833F05"/>
    <w:rsid w:val="008357D5"/>
    <w:rsid w:val="00837AC9"/>
    <w:rsid w:val="00837E53"/>
    <w:rsid w:val="00840669"/>
    <w:rsid w:val="008436BA"/>
    <w:rsid w:val="0084471A"/>
    <w:rsid w:val="00846629"/>
    <w:rsid w:val="00847CE9"/>
    <w:rsid w:val="00850678"/>
    <w:rsid w:val="00853EF3"/>
    <w:rsid w:val="00854782"/>
    <w:rsid w:val="00854909"/>
    <w:rsid w:val="00855515"/>
    <w:rsid w:val="0085617F"/>
    <w:rsid w:val="008569A8"/>
    <w:rsid w:val="00856D42"/>
    <w:rsid w:val="00857DB0"/>
    <w:rsid w:val="00864F9B"/>
    <w:rsid w:val="008710DF"/>
    <w:rsid w:val="008718E0"/>
    <w:rsid w:val="00871D3A"/>
    <w:rsid w:val="00871D95"/>
    <w:rsid w:val="0087306C"/>
    <w:rsid w:val="00873B24"/>
    <w:rsid w:val="008745E5"/>
    <w:rsid w:val="0087795B"/>
    <w:rsid w:val="008805FA"/>
    <w:rsid w:val="0088098D"/>
    <w:rsid w:val="0088357F"/>
    <w:rsid w:val="00883E81"/>
    <w:rsid w:val="00886C6C"/>
    <w:rsid w:val="008874BE"/>
    <w:rsid w:val="00891BA6"/>
    <w:rsid w:val="00894CC5"/>
    <w:rsid w:val="00895C86"/>
    <w:rsid w:val="008A14ED"/>
    <w:rsid w:val="008A194F"/>
    <w:rsid w:val="008A1B90"/>
    <w:rsid w:val="008A432E"/>
    <w:rsid w:val="008A50FF"/>
    <w:rsid w:val="008A5AF4"/>
    <w:rsid w:val="008B0319"/>
    <w:rsid w:val="008B17DA"/>
    <w:rsid w:val="008B25C6"/>
    <w:rsid w:val="008C008E"/>
    <w:rsid w:val="008C03B9"/>
    <w:rsid w:val="008C179B"/>
    <w:rsid w:val="008C25FC"/>
    <w:rsid w:val="008F4206"/>
    <w:rsid w:val="008F42FE"/>
    <w:rsid w:val="00902470"/>
    <w:rsid w:val="00902E00"/>
    <w:rsid w:val="009034DE"/>
    <w:rsid w:val="009062A1"/>
    <w:rsid w:val="0090767E"/>
    <w:rsid w:val="00911C79"/>
    <w:rsid w:val="00913568"/>
    <w:rsid w:val="009162D9"/>
    <w:rsid w:val="00916497"/>
    <w:rsid w:val="009173A0"/>
    <w:rsid w:val="00917A2C"/>
    <w:rsid w:val="00920868"/>
    <w:rsid w:val="009230AD"/>
    <w:rsid w:val="00924FD8"/>
    <w:rsid w:val="00925C9C"/>
    <w:rsid w:val="009273C1"/>
    <w:rsid w:val="00931A11"/>
    <w:rsid w:val="00931B7D"/>
    <w:rsid w:val="009346E3"/>
    <w:rsid w:val="0093633F"/>
    <w:rsid w:val="00944756"/>
    <w:rsid w:val="0094690B"/>
    <w:rsid w:val="009510A0"/>
    <w:rsid w:val="00952E75"/>
    <w:rsid w:val="00965A81"/>
    <w:rsid w:val="00965F81"/>
    <w:rsid w:val="00972E3D"/>
    <w:rsid w:val="009754FE"/>
    <w:rsid w:val="0097741A"/>
    <w:rsid w:val="00985FC9"/>
    <w:rsid w:val="00987939"/>
    <w:rsid w:val="00993F58"/>
    <w:rsid w:val="00995DDD"/>
    <w:rsid w:val="0099659A"/>
    <w:rsid w:val="009A7E3B"/>
    <w:rsid w:val="009B0C57"/>
    <w:rsid w:val="009B3EB1"/>
    <w:rsid w:val="009C02DE"/>
    <w:rsid w:val="009C2411"/>
    <w:rsid w:val="009C2C80"/>
    <w:rsid w:val="009D2202"/>
    <w:rsid w:val="009D37C2"/>
    <w:rsid w:val="009D4744"/>
    <w:rsid w:val="009E04A2"/>
    <w:rsid w:val="009E140C"/>
    <w:rsid w:val="009F095C"/>
    <w:rsid w:val="009F39A1"/>
    <w:rsid w:val="009F507B"/>
    <w:rsid w:val="009F6CED"/>
    <w:rsid w:val="009F7B53"/>
    <w:rsid w:val="00A04B56"/>
    <w:rsid w:val="00A07566"/>
    <w:rsid w:val="00A11855"/>
    <w:rsid w:val="00A11F90"/>
    <w:rsid w:val="00A143A2"/>
    <w:rsid w:val="00A159C7"/>
    <w:rsid w:val="00A21A5B"/>
    <w:rsid w:val="00A21EED"/>
    <w:rsid w:val="00A22939"/>
    <w:rsid w:val="00A236C0"/>
    <w:rsid w:val="00A24D36"/>
    <w:rsid w:val="00A251E8"/>
    <w:rsid w:val="00A25224"/>
    <w:rsid w:val="00A32514"/>
    <w:rsid w:val="00A32695"/>
    <w:rsid w:val="00A33197"/>
    <w:rsid w:val="00A33E67"/>
    <w:rsid w:val="00A3798B"/>
    <w:rsid w:val="00A40656"/>
    <w:rsid w:val="00A441A4"/>
    <w:rsid w:val="00A44F6E"/>
    <w:rsid w:val="00A479D0"/>
    <w:rsid w:val="00A51BDE"/>
    <w:rsid w:val="00A556A2"/>
    <w:rsid w:val="00A561B1"/>
    <w:rsid w:val="00A73A60"/>
    <w:rsid w:val="00A83B10"/>
    <w:rsid w:val="00A84C96"/>
    <w:rsid w:val="00A86B45"/>
    <w:rsid w:val="00A91662"/>
    <w:rsid w:val="00A93516"/>
    <w:rsid w:val="00A95FBB"/>
    <w:rsid w:val="00A964A7"/>
    <w:rsid w:val="00A97BC9"/>
    <w:rsid w:val="00AA2DD3"/>
    <w:rsid w:val="00AA2FB7"/>
    <w:rsid w:val="00AA505D"/>
    <w:rsid w:val="00AA6D54"/>
    <w:rsid w:val="00AB28D3"/>
    <w:rsid w:val="00AB3E0D"/>
    <w:rsid w:val="00AB51CB"/>
    <w:rsid w:val="00AB6E8E"/>
    <w:rsid w:val="00AC080C"/>
    <w:rsid w:val="00AC1F5A"/>
    <w:rsid w:val="00AC2602"/>
    <w:rsid w:val="00AC400C"/>
    <w:rsid w:val="00AC5695"/>
    <w:rsid w:val="00AD18B4"/>
    <w:rsid w:val="00AD1994"/>
    <w:rsid w:val="00AE0D09"/>
    <w:rsid w:val="00AE1987"/>
    <w:rsid w:val="00AE2155"/>
    <w:rsid w:val="00AF2D71"/>
    <w:rsid w:val="00AF3404"/>
    <w:rsid w:val="00AF57E5"/>
    <w:rsid w:val="00AF69B8"/>
    <w:rsid w:val="00B007BB"/>
    <w:rsid w:val="00B00E24"/>
    <w:rsid w:val="00B04963"/>
    <w:rsid w:val="00B07F22"/>
    <w:rsid w:val="00B1273C"/>
    <w:rsid w:val="00B162C1"/>
    <w:rsid w:val="00B16F42"/>
    <w:rsid w:val="00B232F6"/>
    <w:rsid w:val="00B26F7C"/>
    <w:rsid w:val="00B34F8E"/>
    <w:rsid w:val="00B37B7D"/>
    <w:rsid w:val="00B42BD7"/>
    <w:rsid w:val="00B437B4"/>
    <w:rsid w:val="00B46A4B"/>
    <w:rsid w:val="00B53688"/>
    <w:rsid w:val="00B57152"/>
    <w:rsid w:val="00B62D26"/>
    <w:rsid w:val="00B64812"/>
    <w:rsid w:val="00B659B6"/>
    <w:rsid w:val="00B66FF2"/>
    <w:rsid w:val="00B670D0"/>
    <w:rsid w:val="00B677E1"/>
    <w:rsid w:val="00B67A7C"/>
    <w:rsid w:val="00B67FED"/>
    <w:rsid w:val="00B732EC"/>
    <w:rsid w:val="00B75562"/>
    <w:rsid w:val="00B7742C"/>
    <w:rsid w:val="00B84C9F"/>
    <w:rsid w:val="00B85254"/>
    <w:rsid w:val="00B854EF"/>
    <w:rsid w:val="00B85F9C"/>
    <w:rsid w:val="00B87408"/>
    <w:rsid w:val="00B87C36"/>
    <w:rsid w:val="00B941E4"/>
    <w:rsid w:val="00B963FC"/>
    <w:rsid w:val="00BA05AF"/>
    <w:rsid w:val="00BA4B2B"/>
    <w:rsid w:val="00BB1DC1"/>
    <w:rsid w:val="00BB22BD"/>
    <w:rsid w:val="00BB3568"/>
    <w:rsid w:val="00BB4AA8"/>
    <w:rsid w:val="00BB6BF9"/>
    <w:rsid w:val="00BC35DE"/>
    <w:rsid w:val="00BC4572"/>
    <w:rsid w:val="00BC49E8"/>
    <w:rsid w:val="00BC522C"/>
    <w:rsid w:val="00BC78ED"/>
    <w:rsid w:val="00BD180E"/>
    <w:rsid w:val="00BD32C8"/>
    <w:rsid w:val="00BD5CEB"/>
    <w:rsid w:val="00BD6385"/>
    <w:rsid w:val="00BE2342"/>
    <w:rsid w:val="00BE37DE"/>
    <w:rsid w:val="00BE714E"/>
    <w:rsid w:val="00BF097C"/>
    <w:rsid w:val="00BF11E0"/>
    <w:rsid w:val="00BF3AE4"/>
    <w:rsid w:val="00BF554E"/>
    <w:rsid w:val="00BF627D"/>
    <w:rsid w:val="00BF723E"/>
    <w:rsid w:val="00C03517"/>
    <w:rsid w:val="00C03A37"/>
    <w:rsid w:val="00C06013"/>
    <w:rsid w:val="00C07868"/>
    <w:rsid w:val="00C1549D"/>
    <w:rsid w:val="00C15A9F"/>
    <w:rsid w:val="00C234FA"/>
    <w:rsid w:val="00C2431F"/>
    <w:rsid w:val="00C25B23"/>
    <w:rsid w:val="00C25B65"/>
    <w:rsid w:val="00C31EF3"/>
    <w:rsid w:val="00C3447B"/>
    <w:rsid w:val="00C354AF"/>
    <w:rsid w:val="00C36337"/>
    <w:rsid w:val="00C36927"/>
    <w:rsid w:val="00C374D1"/>
    <w:rsid w:val="00C44D8D"/>
    <w:rsid w:val="00C4552D"/>
    <w:rsid w:val="00C457AA"/>
    <w:rsid w:val="00C50F76"/>
    <w:rsid w:val="00C51831"/>
    <w:rsid w:val="00C52413"/>
    <w:rsid w:val="00C5522C"/>
    <w:rsid w:val="00C55BF6"/>
    <w:rsid w:val="00C611D0"/>
    <w:rsid w:val="00C61807"/>
    <w:rsid w:val="00C61D56"/>
    <w:rsid w:val="00C6306F"/>
    <w:rsid w:val="00C6486E"/>
    <w:rsid w:val="00C66F8F"/>
    <w:rsid w:val="00C67EED"/>
    <w:rsid w:val="00C70D10"/>
    <w:rsid w:val="00C82F06"/>
    <w:rsid w:val="00C907A8"/>
    <w:rsid w:val="00C92576"/>
    <w:rsid w:val="00C925FE"/>
    <w:rsid w:val="00C9390B"/>
    <w:rsid w:val="00C95984"/>
    <w:rsid w:val="00CA01E8"/>
    <w:rsid w:val="00CA13B6"/>
    <w:rsid w:val="00CA1832"/>
    <w:rsid w:val="00CA699C"/>
    <w:rsid w:val="00CA6AEA"/>
    <w:rsid w:val="00CB0B07"/>
    <w:rsid w:val="00CB1E81"/>
    <w:rsid w:val="00CB33D1"/>
    <w:rsid w:val="00CB3F5B"/>
    <w:rsid w:val="00CB6A9B"/>
    <w:rsid w:val="00CB716D"/>
    <w:rsid w:val="00CC7DE5"/>
    <w:rsid w:val="00CD37D7"/>
    <w:rsid w:val="00CD5FBD"/>
    <w:rsid w:val="00CD7B28"/>
    <w:rsid w:val="00CE2FDA"/>
    <w:rsid w:val="00CE34F5"/>
    <w:rsid w:val="00CE3D9F"/>
    <w:rsid w:val="00CE6D84"/>
    <w:rsid w:val="00CF0976"/>
    <w:rsid w:val="00CF0AC9"/>
    <w:rsid w:val="00CF2518"/>
    <w:rsid w:val="00CF4EEF"/>
    <w:rsid w:val="00D0068E"/>
    <w:rsid w:val="00D00EA4"/>
    <w:rsid w:val="00D03947"/>
    <w:rsid w:val="00D05BFD"/>
    <w:rsid w:val="00D127A9"/>
    <w:rsid w:val="00D14B0D"/>
    <w:rsid w:val="00D16556"/>
    <w:rsid w:val="00D22D67"/>
    <w:rsid w:val="00D22E01"/>
    <w:rsid w:val="00D24524"/>
    <w:rsid w:val="00D25120"/>
    <w:rsid w:val="00D276D2"/>
    <w:rsid w:val="00D27BFC"/>
    <w:rsid w:val="00D3088E"/>
    <w:rsid w:val="00D3122C"/>
    <w:rsid w:val="00D32EC9"/>
    <w:rsid w:val="00D40351"/>
    <w:rsid w:val="00D40D76"/>
    <w:rsid w:val="00D41997"/>
    <w:rsid w:val="00D4588A"/>
    <w:rsid w:val="00D46438"/>
    <w:rsid w:val="00D5132A"/>
    <w:rsid w:val="00D54122"/>
    <w:rsid w:val="00D54DEB"/>
    <w:rsid w:val="00D55FA3"/>
    <w:rsid w:val="00D60952"/>
    <w:rsid w:val="00D61E42"/>
    <w:rsid w:val="00D6367D"/>
    <w:rsid w:val="00D70E9C"/>
    <w:rsid w:val="00D72B6F"/>
    <w:rsid w:val="00D76B62"/>
    <w:rsid w:val="00D7755C"/>
    <w:rsid w:val="00D77A00"/>
    <w:rsid w:val="00D8031E"/>
    <w:rsid w:val="00D80D42"/>
    <w:rsid w:val="00D911DD"/>
    <w:rsid w:val="00D95F4A"/>
    <w:rsid w:val="00D962C4"/>
    <w:rsid w:val="00D96C68"/>
    <w:rsid w:val="00D97D2F"/>
    <w:rsid w:val="00DA0088"/>
    <w:rsid w:val="00DA48AC"/>
    <w:rsid w:val="00DA5846"/>
    <w:rsid w:val="00DB2246"/>
    <w:rsid w:val="00DB3DCA"/>
    <w:rsid w:val="00DB6725"/>
    <w:rsid w:val="00DB6A0B"/>
    <w:rsid w:val="00DC0558"/>
    <w:rsid w:val="00DC37CC"/>
    <w:rsid w:val="00DC4830"/>
    <w:rsid w:val="00DC5094"/>
    <w:rsid w:val="00DC685C"/>
    <w:rsid w:val="00DC69A2"/>
    <w:rsid w:val="00DD4109"/>
    <w:rsid w:val="00DD61AA"/>
    <w:rsid w:val="00DD7CB8"/>
    <w:rsid w:val="00DE0972"/>
    <w:rsid w:val="00DE39A2"/>
    <w:rsid w:val="00DE3DCA"/>
    <w:rsid w:val="00DF70F2"/>
    <w:rsid w:val="00E02993"/>
    <w:rsid w:val="00E02E98"/>
    <w:rsid w:val="00E03277"/>
    <w:rsid w:val="00E04EE8"/>
    <w:rsid w:val="00E1071D"/>
    <w:rsid w:val="00E112A1"/>
    <w:rsid w:val="00E11891"/>
    <w:rsid w:val="00E11D96"/>
    <w:rsid w:val="00E1229E"/>
    <w:rsid w:val="00E12AFD"/>
    <w:rsid w:val="00E14DB0"/>
    <w:rsid w:val="00E14F34"/>
    <w:rsid w:val="00E156FB"/>
    <w:rsid w:val="00E25A43"/>
    <w:rsid w:val="00E25F7E"/>
    <w:rsid w:val="00E26838"/>
    <w:rsid w:val="00E269CE"/>
    <w:rsid w:val="00E26DC7"/>
    <w:rsid w:val="00E27542"/>
    <w:rsid w:val="00E27FC0"/>
    <w:rsid w:val="00E30086"/>
    <w:rsid w:val="00E30A45"/>
    <w:rsid w:val="00E31A5B"/>
    <w:rsid w:val="00E323B5"/>
    <w:rsid w:val="00E33527"/>
    <w:rsid w:val="00E33D14"/>
    <w:rsid w:val="00E40D47"/>
    <w:rsid w:val="00E42499"/>
    <w:rsid w:val="00E4370B"/>
    <w:rsid w:val="00E45225"/>
    <w:rsid w:val="00E463AA"/>
    <w:rsid w:val="00E46423"/>
    <w:rsid w:val="00E56373"/>
    <w:rsid w:val="00E628BA"/>
    <w:rsid w:val="00E639A7"/>
    <w:rsid w:val="00E63E25"/>
    <w:rsid w:val="00E6473F"/>
    <w:rsid w:val="00E65C96"/>
    <w:rsid w:val="00E66332"/>
    <w:rsid w:val="00E717C4"/>
    <w:rsid w:val="00E717E3"/>
    <w:rsid w:val="00E76AE0"/>
    <w:rsid w:val="00E80B34"/>
    <w:rsid w:val="00E811CD"/>
    <w:rsid w:val="00E83C24"/>
    <w:rsid w:val="00E85300"/>
    <w:rsid w:val="00E941B2"/>
    <w:rsid w:val="00E94ACA"/>
    <w:rsid w:val="00E94C12"/>
    <w:rsid w:val="00E95BCA"/>
    <w:rsid w:val="00E96AF1"/>
    <w:rsid w:val="00EA1998"/>
    <w:rsid w:val="00EA1A7F"/>
    <w:rsid w:val="00EA3315"/>
    <w:rsid w:val="00EA3CCB"/>
    <w:rsid w:val="00EB09B6"/>
    <w:rsid w:val="00EB1BA0"/>
    <w:rsid w:val="00EB3B2C"/>
    <w:rsid w:val="00EB5225"/>
    <w:rsid w:val="00EC270C"/>
    <w:rsid w:val="00ED0152"/>
    <w:rsid w:val="00ED196B"/>
    <w:rsid w:val="00ED23AF"/>
    <w:rsid w:val="00ED454B"/>
    <w:rsid w:val="00ED472B"/>
    <w:rsid w:val="00ED492E"/>
    <w:rsid w:val="00ED6074"/>
    <w:rsid w:val="00ED6C4C"/>
    <w:rsid w:val="00ED6F66"/>
    <w:rsid w:val="00EE2F9C"/>
    <w:rsid w:val="00EE4D51"/>
    <w:rsid w:val="00EE69DD"/>
    <w:rsid w:val="00EE7DEE"/>
    <w:rsid w:val="00EF2CFC"/>
    <w:rsid w:val="00F02BC7"/>
    <w:rsid w:val="00F05A75"/>
    <w:rsid w:val="00F07FCD"/>
    <w:rsid w:val="00F15D4F"/>
    <w:rsid w:val="00F24937"/>
    <w:rsid w:val="00F24D71"/>
    <w:rsid w:val="00F25DB0"/>
    <w:rsid w:val="00F26C74"/>
    <w:rsid w:val="00F3050F"/>
    <w:rsid w:val="00F3075F"/>
    <w:rsid w:val="00F316DB"/>
    <w:rsid w:val="00F31C9C"/>
    <w:rsid w:val="00F31DDC"/>
    <w:rsid w:val="00F327B3"/>
    <w:rsid w:val="00F337E6"/>
    <w:rsid w:val="00F355E2"/>
    <w:rsid w:val="00F36727"/>
    <w:rsid w:val="00F375FD"/>
    <w:rsid w:val="00F40867"/>
    <w:rsid w:val="00F436F7"/>
    <w:rsid w:val="00F44BF3"/>
    <w:rsid w:val="00F44D2D"/>
    <w:rsid w:val="00F46AEF"/>
    <w:rsid w:val="00F53122"/>
    <w:rsid w:val="00F549BB"/>
    <w:rsid w:val="00F54DB8"/>
    <w:rsid w:val="00F562D8"/>
    <w:rsid w:val="00F601E2"/>
    <w:rsid w:val="00F63C41"/>
    <w:rsid w:val="00F66AD4"/>
    <w:rsid w:val="00F66CB7"/>
    <w:rsid w:val="00F709D4"/>
    <w:rsid w:val="00F7106E"/>
    <w:rsid w:val="00F82ECB"/>
    <w:rsid w:val="00F85A84"/>
    <w:rsid w:val="00F902B2"/>
    <w:rsid w:val="00F97C42"/>
    <w:rsid w:val="00FA105C"/>
    <w:rsid w:val="00FA3227"/>
    <w:rsid w:val="00FA4B4D"/>
    <w:rsid w:val="00FA7CFB"/>
    <w:rsid w:val="00FB3928"/>
    <w:rsid w:val="00FB3AFD"/>
    <w:rsid w:val="00FB40E4"/>
    <w:rsid w:val="00FB74E5"/>
    <w:rsid w:val="00FC0563"/>
    <w:rsid w:val="00FC29EF"/>
    <w:rsid w:val="00FC3409"/>
    <w:rsid w:val="00FC4C2C"/>
    <w:rsid w:val="00FC4DF4"/>
    <w:rsid w:val="00FC568F"/>
    <w:rsid w:val="00FD210D"/>
    <w:rsid w:val="00FD3A9B"/>
    <w:rsid w:val="00FD59E6"/>
    <w:rsid w:val="00FE6661"/>
    <w:rsid w:val="00FE6A78"/>
    <w:rsid w:val="00FE6E12"/>
    <w:rsid w:val="00FF281D"/>
    <w:rsid w:val="00FF3041"/>
    <w:rsid w:val="00FF3BBC"/>
    <w:rsid w:val="00FF7E3C"/>
    <w:rsid w:val="34E42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BC"/>
  </w:style>
  <w:style w:type="paragraph" w:styleId="Heading1">
    <w:name w:val="heading 1"/>
    <w:aliases w:val="Chapter Level 2"/>
    <w:basedOn w:val="Normal"/>
    <w:next w:val="Normal"/>
    <w:link w:val="Heading1Char"/>
    <w:uiPriority w:val="9"/>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Level 3,Chapter Level 1"/>
    <w:basedOn w:val="Normal"/>
    <w:next w:val="Normal"/>
    <w:link w:val="Heading2Char"/>
    <w:uiPriority w:val="9"/>
    <w:unhideWhenUsed/>
    <w:qFormat/>
    <w:rsid w:val="006F3A90"/>
    <w:pPr>
      <w:keepNext/>
      <w:keepLines/>
      <w:spacing w:before="240"/>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CB0B07"/>
    <w:pPr>
      <w:keepNext/>
      <w:keepLines/>
      <w:spacing w:before="240"/>
      <w:ind w:left="72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6E01E7"/>
    <w:pPr>
      <w:spacing w:before="240" w:after="120"/>
      <w:outlineLvl w:val="3"/>
    </w:pPr>
    <w:rPr>
      <w:rFonts w:ascii="Calibri" w:eastAsia="Times New Roman" w:hAnsi="Calibri" w:cs="Times New Roman"/>
      <w:sz w:val="24"/>
      <w:szCs w:val="24"/>
      <w:u w:val="single"/>
      <w:lang w:eastAsia="en-AU"/>
    </w:rPr>
  </w:style>
  <w:style w:type="paragraph" w:styleId="Heading5">
    <w:name w:val="heading 5"/>
    <w:basedOn w:val="Normal"/>
    <w:next w:val="Normal"/>
    <w:link w:val="Heading5Char"/>
    <w:uiPriority w:val="9"/>
    <w:unhideWhenUsed/>
    <w:qFormat/>
    <w:rsid w:val="006D10DC"/>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Level 2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hapter Level 3 Char,Chapter Level 1 Char"/>
    <w:basedOn w:val="DefaultParagraphFont"/>
    <w:link w:val="Heading2"/>
    <w:uiPriority w:val="9"/>
    <w:rsid w:val="006F3A90"/>
    <w:rPr>
      <w:rFonts w:ascii="Calibri" w:eastAsiaTheme="majorEastAsia" w:hAnsi="Calibri" w:cstheme="majorBidi"/>
      <w:b/>
      <w:sz w:val="36"/>
      <w:szCs w:val="26"/>
    </w:rPr>
  </w:style>
  <w:style w:type="character" w:customStyle="1" w:styleId="Heading3Char">
    <w:name w:val="Heading 3 Char"/>
    <w:basedOn w:val="DefaultParagraphFont"/>
    <w:link w:val="Heading3"/>
    <w:rsid w:val="00CB0B07"/>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6E01E7"/>
    <w:rPr>
      <w:rFonts w:ascii="Calibri" w:eastAsia="Times New Roman" w:hAnsi="Calibri" w:cs="Times New Roman"/>
      <w:sz w:val="24"/>
      <w:szCs w:val="24"/>
      <w:u w:val="single"/>
      <w:lang w:eastAsia="en-AU"/>
    </w:rPr>
  </w:style>
  <w:style w:type="character" w:customStyle="1" w:styleId="Heading5Char">
    <w:name w:val="Heading 5 Char"/>
    <w:basedOn w:val="DefaultParagraphFont"/>
    <w:link w:val="Heading5"/>
    <w:uiPriority w:val="9"/>
    <w:rsid w:val="006D10DC"/>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C1549D"/>
    <w:pPr>
      <w:spacing w:before="240" w:after="120"/>
    </w:pPr>
    <w:rPr>
      <w:rFonts w:cstheme="minorHAnsi"/>
      <w:b/>
      <w:bCs/>
      <w:sz w:val="20"/>
      <w:szCs w:val="20"/>
    </w:rPr>
  </w:style>
  <w:style w:type="paragraph" w:styleId="TOC3">
    <w:name w:val="toc 3"/>
    <w:basedOn w:val="Normal"/>
    <w:next w:val="Normal"/>
    <w:autoRedefine/>
    <w:uiPriority w:val="39"/>
    <w:unhideWhenUsed/>
    <w:rsid w:val="00C1549D"/>
    <w:pPr>
      <w:spacing w:before="0"/>
      <w:ind w:left="440"/>
    </w:pPr>
    <w:rPr>
      <w:rFonts w:cstheme="minorHAnsi"/>
      <w:sz w:val="20"/>
      <w:szCs w:val="20"/>
    </w:rPr>
  </w:style>
  <w:style w:type="paragraph" w:styleId="TOC2">
    <w:name w:val="toc 2"/>
    <w:basedOn w:val="Normal"/>
    <w:next w:val="Normal"/>
    <w:autoRedefine/>
    <w:uiPriority w:val="39"/>
    <w:unhideWhenUsed/>
    <w:rsid w:val="00032FF7"/>
    <w:pPr>
      <w:ind w:left="220"/>
    </w:pPr>
    <w:rPr>
      <w:rFonts w:cstheme="minorHAnsi"/>
      <w:b/>
      <w:iCs/>
      <w:sz w:val="20"/>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character" w:customStyle="1" w:styleId="guidelinetextChar">
    <w:name w:val="guideline text Char"/>
    <w:basedOn w:val="DefaultParagraphFont"/>
    <w:link w:val="guidelinetext"/>
    <w:rsid w:val="00A561B1"/>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bulletChar">
    <w:name w:val="guideline bullet Char"/>
    <w:basedOn w:val="ListParagraphChar"/>
    <w:link w:val="guidelinebulle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character" w:customStyle="1" w:styleId="guidelineintroChar">
    <w:name w:val="guideline intro Char"/>
    <w:basedOn w:val="DefaultParagraphFont"/>
    <w:link w:val="guidelineintro"/>
    <w:rsid w:val="006A3A0A"/>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changesChar">
    <w:name w:val="guideline changes Char"/>
    <w:basedOn w:val="DefaultParagraphFont"/>
    <w:link w:val="guidelinechanges"/>
    <w:rsid w:val="00D911DD"/>
    <w:rPr>
      <w:sz w:val="20"/>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character" w:customStyle="1" w:styleId="SystemstepChar">
    <w:name w:val="System step Char"/>
    <w:basedOn w:val="guidelinetextChar"/>
    <w:link w:val="Systemstep"/>
    <w:rsid w:val="00A159C7"/>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character" w:customStyle="1" w:styleId="docevChar">
    <w:name w:val="doc ev Char"/>
    <w:basedOn w:val="SystemstepChar"/>
    <w:link w:val="docev"/>
    <w:rsid w:val="00A159C7"/>
  </w:style>
  <w:style w:type="paragraph" w:customStyle="1" w:styleId="WHS">
    <w:name w:val="WHS"/>
    <w:basedOn w:val="guidelinetext"/>
    <w:link w:val="WHSChar"/>
    <w:qFormat/>
    <w:rsid w:val="00AF57E5"/>
    <w:pPr>
      <w:numPr>
        <w:numId w:val="6"/>
      </w:numPr>
      <w:ind w:left="1418" w:hanging="1418"/>
    </w:pPr>
  </w:style>
  <w:style w:type="character" w:customStyle="1" w:styleId="WHSChar">
    <w:name w:val="WHS Char"/>
    <w:basedOn w:val="SystemstepChar"/>
    <w:link w:val="WHS"/>
    <w:rsid w:val="00A159C7"/>
  </w:style>
  <w:style w:type="character" w:styleId="FollowedHyperlink">
    <w:name w:val="FollowedHyperlink"/>
    <w:basedOn w:val="DefaultParagraphFont"/>
    <w:uiPriority w:val="99"/>
    <w:semiHidden/>
    <w:unhideWhenUsed/>
    <w:rsid w:val="008718E0"/>
    <w:rPr>
      <w:color w:val="954F72" w:themeColor="followedHyperlink"/>
      <w:u w:val="single"/>
    </w:rPr>
  </w:style>
  <w:style w:type="paragraph" w:styleId="Revision">
    <w:name w:val="Revision"/>
    <w:hidden/>
    <w:uiPriority w:val="99"/>
    <w:semiHidden/>
    <w:rsid w:val="00253C75"/>
    <w:pPr>
      <w:spacing w:before="0"/>
    </w:pPr>
  </w:style>
  <w:style w:type="paragraph" w:customStyle="1" w:styleId="deedReference">
    <w:name w:val="deed Reference"/>
    <w:basedOn w:val="Normal"/>
    <w:link w:val="deedReferenceChar"/>
    <w:qFormat/>
    <w:rsid w:val="006D10DC"/>
    <w:pPr>
      <w:ind w:left="1440"/>
    </w:pPr>
    <w:rPr>
      <w:rFonts w:ascii="Garamond" w:eastAsia="Calibri" w:hAnsi="Garamond" w:cs="Times New Roman"/>
      <w:sz w:val="20"/>
    </w:rPr>
  </w:style>
  <w:style w:type="character" w:customStyle="1" w:styleId="deedReferenceChar">
    <w:name w:val="deed Reference Char"/>
    <w:basedOn w:val="DefaultParagraphFont"/>
    <w:link w:val="deedReference"/>
    <w:rsid w:val="006D10DC"/>
    <w:rPr>
      <w:rFonts w:ascii="Garamond" w:eastAsia="Calibri" w:hAnsi="Garamond" w:cs="Times New Roman"/>
      <w:sz w:val="20"/>
    </w:rPr>
  </w:style>
  <w:style w:type="character" w:customStyle="1" w:styleId="sresults-url1">
    <w:name w:val="sresults-url1"/>
    <w:basedOn w:val="DefaultParagraphFont"/>
    <w:rsid w:val="005C2781"/>
    <w:rPr>
      <w:color w:val="006800"/>
    </w:rPr>
  </w:style>
  <w:style w:type="paragraph" w:customStyle="1" w:styleId="Default">
    <w:name w:val="Default"/>
    <w:rsid w:val="008805FA"/>
    <w:pPr>
      <w:autoSpaceDE w:val="0"/>
      <w:autoSpaceDN w:val="0"/>
      <w:adjustRightInd w:val="0"/>
      <w:spacing w:before="0"/>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6E01E7"/>
    <w:pPr>
      <w:spacing w:before="0"/>
      <w:ind w:left="660"/>
    </w:pPr>
    <w:rPr>
      <w:rFonts w:cstheme="minorHAnsi"/>
      <w:i/>
      <w:sz w:val="20"/>
      <w:szCs w:val="20"/>
    </w:rPr>
  </w:style>
  <w:style w:type="paragraph" w:styleId="TOC5">
    <w:name w:val="toc 5"/>
    <w:basedOn w:val="Normal"/>
    <w:next w:val="Normal"/>
    <w:autoRedefine/>
    <w:uiPriority w:val="39"/>
    <w:unhideWhenUsed/>
    <w:rsid w:val="001F058A"/>
    <w:pPr>
      <w:spacing w:before="0"/>
      <w:ind w:left="880"/>
    </w:pPr>
    <w:rPr>
      <w:rFonts w:cstheme="minorHAnsi"/>
      <w:sz w:val="20"/>
      <w:szCs w:val="20"/>
    </w:rPr>
  </w:style>
  <w:style w:type="paragraph" w:styleId="TOC6">
    <w:name w:val="toc 6"/>
    <w:basedOn w:val="Normal"/>
    <w:next w:val="Normal"/>
    <w:autoRedefine/>
    <w:uiPriority w:val="39"/>
    <w:unhideWhenUsed/>
    <w:rsid w:val="001F058A"/>
    <w:pPr>
      <w:spacing w:before="0"/>
      <w:ind w:left="1100"/>
    </w:pPr>
    <w:rPr>
      <w:rFonts w:cstheme="minorHAnsi"/>
      <w:sz w:val="20"/>
      <w:szCs w:val="20"/>
    </w:rPr>
  </w:style>
  <w:style w:type="paragraph" w:styleId="TOC7">
    <w:name w:val="toc 7"/>
    <w:basedOn w:val="Normal"/>
    <w:next w:val="Normal"/>
    <w:autoRedefine/>
    <w:uiPriority w:val="39"/>
    <w:unhideWhenUsed/>
    <w:rsid w:val="001F058A"/>
    <w:pPr>
      <w:spacing w:before="0"/>
      <w:ind w:left="1320"/>
    </w:pPr>
    <w:rPr>
      <w:rFonts w:cstheme="minorHAnsi"/>
      <w:sz w:val="20"/>
      <w:szCs w:val="20"/>
    </w:rPr>
  </w:style>
  <w:style w:type="paragraph" w:styleId="TOC8">
    <w:name w:val="toc 8"/>
    <w:basedOn w:val="Normal"/>
    <w:next w:val="Normal"/>
    <w:autoRedefine/>
    <w:uiPriority w:val="39"/>
    <w:unhideWhenUsed/>
    <w:rsid w:val="001F058A"/>
    <w:pPr>
      <w:spacing w:before="0"/>
      <w:ind w:left="1540"/>
    </w:pPr>
    <w:rPr>
      <w:rFonts w:cstheme="minorHAnsi"/>
      <w:sz w:val="20"/>
      <w:szCs w:val="20"/>
    </w:rPr>
  </w:style>
  <w:style w:type="paragraph" w:styleId="TOC9">
    <w:name w:val="toc 9"/>
    <w:basedOn w:val="Normal"/>
    <w:next w:val="Normal"/>
    <w:autoRedefine/>
    <w:uiPriority w:val="39"/>
    <w:unhideWhenUsed/>
    <w:rsid w:val="001F058A"/>
    <w:pPr>
      <w:spacing w:before="0"/>
      <w:ind w:left="1760"/>
    </w:pPr>
    <w:rPr>
      <w:rFonts w:cstheme="minorHAnsi"/>
      <w:sz w:val="20"/>
      <w:szCs w:val="20"/>
    </w:rPr>
  </w:style>
  <w:style w:type="paragraph" w:customStyle="1" w:styleId="Disclaimer">
    <w:name w:val="Disclaimer"/>
    <w:basedOn w:val="Normal"/>
    <w:next w:val="Normal"/>
    <w:link w:val="DisclaimerChar"/>
    <w:rsid w:val="00801507"/>
    <w:pPr>
      <w:pBdr>
        <w:top w:val="single" w:sz="4" w:space="1" w:color="auto"/>
        <w:left w:val="single" w:sz="4" w:space="4" w:color="auto"/>
        <w:bottom w:val="single" w:sz="4" w:space="1" w:color="auto"/>
        <w:right w:val="single" w:sz="4" w:space="4" w:color="auto"/>
      </w:pBdr>
      <w:spacing w:after="120"/>
    </w:pPr>
    <w:rPr>
      <w:rFonts w:ascii="Calibri" w:eastAsia="Times New Roman" w:hAnsi="Calibri" w:cs="Times New Roman"/>
      <w:szCs w:val="20"/>
      <w:lang w:eastAsia="en-AU"/>
    </w:rPr>
  </w:style>
  <w:style w:type="paragraph" w:styleId="ListBullet2">
    <w:name w:val="List Bullet 2"/>
    <w:basedOn w:val="List"/>
    <w:rsid w:val="00801507"/>
    <w:pPr>
      <w:numPr>
        <w:numId w:val="27"/>
      </w:numPr>
      <w:spacing w:after="120"/>
      <w:ind w:left="360"/>
    </w:pPr>
    <w:rPr>
      <w:rFonts w:ascii="Calibri" w:eastAsia="Times New Roman" w:hAnsi="Calibri" w:cs="Times New Roman"/>
      <w:szCs w:val="24"/>
      <w:lang w:eastAsia="en-AU"/>
    </w:rPr>
  </w:style>
  <w:style w:type="character" w:customStyle="1" w:styleId="DisclaimerChar">
    <w:name w:val="Disclaimer Char"/>
    <w:basedOn w:val="DefaultParagraphFont"/>
    <w:link w:val="Disclaimer"/>
    <w:rsid w:val="00801507"/>
    <w:rPr>
      <w:rFonts w:ascii="Calibri" w:eastAsia="Times New Roman" w:hAnsi="Calibri" w:cs="Times New Roman"/>
      <w:szCs w:val="20"/>
      <w:lang w:eastAsia="en-AU"/>
    </w:rPr>
  </w:style>
  <w:style w:type="paragraph" w:styleId="List">
    <w:name w:val="List"/>
    <w:basedOn w:val="Normal"/>
    <w:uiPriority w:val="99"/>
    <w:semiHidden/>
    <w:unhideWhenUsed/>
    <w:rsid w:val="00801507"/>
    <w:pPr>
      <w:ind w:left="283" w:hanging="283"/>
      <w:contextualSpacing/>
    </w:pPr>
  </w:style>
  <w:style w:type="paragraph" w:styleId="ListBullet">
    <w:name w:val="List Bullet"/>
    <w:basedOn w:val="Normal"/>
    <w:uiPriority w:val="99"/>
    <w:semiHidden/>
    <w:unhideWhenUsed/>
    <w:rsid w:val="00282475"/>
    <w:pPr>
      <w:numPr>
        <w:numId w:val="35"/>
      </w:numPr>
      <w:contextualSpacing/>
    </w:pPr>
  </w:style>
  <w:style w:type="table" w:styleId="ListTable2">
    <w:name w:val="List Table 2"/>
    <w:basedOn w:val="TableNormal"/>
    <w:uiPriority w:val="47"/>
    <w:rsid w:val="004E60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4E60EB"/>
    <w:pPr>
      <w:spacing w:before="0"/>
    </w:pPr>
    <w:rPr>
      <w:sz w:val="20"/>
      <w:szCs w:val="20"/>
    </w:rPr>
  </w:style>
  <w:style w:type="character" w:customStyle="1" w:styleId="FootnoteTextChar">
    <w:name w:val="Footnote Text Char"/>
    <w:basedOn w:val="DefaultParagraphFont"/>
    <w:link w:val="FootnoteText"/>
    <w:uiPriority w:val="99"/>
    <w:semiHidden/>
    <w:rsid w:val="004E60EB"/>
    <w:rPr>
      <w:sz w:val="20"/>
      <w:szCs w:val="20"/>
    </w:rPr>
  </w:style>
  <w:style w:type="character" w:styleId="FootnoteReference">
    <w:name w:val="footnote reference"/>
    <w:basedOn w:val="DefaultParagraphFont"/>
    <w:uiPriority w:val="99"/>
    <w:unhideWhenUsed/>
    <w:rsid w:val="004E60EB"/>
    <w:rPr>
      <w:vertAlign w:val="superscript"/>
    </w:rPr>
  </w:style>
  <w:style w:type="paragraph" w:customStyle="1" w:styleId="DeedReferences">
    <w:name w:val="Deed References"/>
    <w:basedOn w:val="Normal"/>
    <w:link w:val="DeedReferencesChar"/>
    <w:qFormat/>
    <w:rsid w:val="00987939"/>
    <w:rPr>
      <w:rFonts w:ascii="Calibri Light" w:eastAsia="Times New Roman" w:hAnsi="Calibri Light" w:cs="Calibri Light"/>
      <w:sz w:val="20"/>
      <w:szCs w:val="24"/>
      <w:lang w:eastAsia="en-AU"/>
    </w:rPr>
  </w:style>
  <w:style w:type="character" w:customStyle="1" w:styleId="DeedReferencesChar">
    <w:name w:val="Deed References Char"/>
    <w:basedOn w:val="DefaultParagraphFont"/>
    <w:link w:val="DeedReferences"/>
    <w:locked/>
    <w:rsid w:val="00987939"/>
    <w:rPr>
      <w:rFonts w:ascii="Calibri Light" w:eastAsia="Times New Roman" w:hAnsi="Calibri Light" w:cs="Calibri Light"/>
      <w:sz w:val="20"/>
      <w:szCs w:val="24"/>
      <w:lang w:eastAsia="en-AU"/>
    </w:rPr>
  </w:style>
  <w:style w:type="paragraph" w:customStyle="1" w:styleId="DocumentaryEvidencePoint">
    <w:name w:val="Documentary Evidence Point"/>
    <w:basedOn w:val="Normal"/>
    <w:link w:val="DocumentaryEvidencePointChar"/>
    <w:qFormat/>
    <w:rsid w:val="00987939"/>
    <w:pPr>
      <w:ind w:left="284" w:hanging="284"/>
    </w:pPr>
    <w:rPr>
      <w:rFonts w:ascii="Times New Roman" w:eastAsia="Times New Roman" w:hAnsi="Times New Roman" w:cs="Times New Roman"/>
      <w:bCs/>
      <w:sz w:val="20"/>
      <w:szCs w:val="20"/>
      <w:lang w:eastAsia="en-AU"/>
    </w:rPr>
  </w:style>
  <w:style w:type="character" w:customStyle="1" w:styleId="DocumentaryEvidencePointChar">
    <w:name w:val="Documentary Evidence Point Char"/>
    <w:basedOn w:val="SystemstepChar"/>
    <w:link w:val="DocumentaryEvidencePoint"/>
    <w:locked/>
    <w:rsid w:val="00987939"/>
    <w:rPr>
      <w:rFonts w:ascii="Times New Roman" w:eastAsia="Times New Roman" w:hAnsi="Times New Roman" w:cs="Times New Roman"/>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6460">
      <w:bodyDiv w:val="1"/>
      <w:marLeft w:val="0"/>
      <w:marRight w:val="0"/>
      <w:marTop w:val="0"/>
      <w:marBottom w:val="0"/>
      <w:divBdr>
        <w:top w:val="none" w:sz="0" w:space="0" w:color="auto"/>
        <w:left w:val="none" w:sz="0" w:space="0" w:color="auto"/>
        <w:bottom w:val="none" w:sz="0" w:space="0" w:color="auto"/>
        <w:right w:val="none" w:sz="0" w:space="0" w:color="auto"/>
      </w:divBdr>
    </w:div>
    <w:div w:id="84805432">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16944089">
      <w:bodyDiv w:val="1"/>
      <w:marLeft w:val="0"/>
      <w:marRight w:val="0"/>
      <w:marTop w:val="0"/>
      <w:marBottom w:val="0"/>
      <w:divBdr>
        <w:top w:val="none" w:sz="0" w:space="0" w:color="auto"/>
        <w:left w:val="none" w:sz="0" w:space="0" w:color="auto"/>
        <w:bottom w:val="none" w:sz="0" w:space="0" w:color="auto"/>
        <w:right w:val="none" w:sz="0" w:space="0" w:color="auto"/>
      </w:divBdr>
    </w:div>
    <w:div w:id="723599595">
      <w:bodyDiv w:val="1"/>
      <w:marLeft w:val="0"/>
      <w:marRight w:val="0"/>
      <w:marTop w:val="0"/>
      <w:marBottom w:val="0"/>
      <w:divBdr>
        <w:top w:val="none" w:sz="0" w:space="0" w:color="auto"/>
        <w:left w:val="none" w:sz="0" w:space="0" w:color="auto"/>
        <w:bottom w:val="none" w:sz="0" w:space="0" w:color="auto"/>
        <w:right w:val="none" w:sz="0" w:space="0" w:color="auto"/>
      </w:divBdr>
    </w:div>
    <w:div w:id="742679263">
      <w:bodyDiv w:val="1"/>
      <w:marLeft w:val="0"/>
      <w:marRight w:val="0"/>
      <w:marTop w:val="0"/>
      <w:marBottom w:val="0"/>
      <w:divBdr>
        <w:top w:val="none" w:sz="0" w:space="0" w:color="auto"/>
        <w:left w:val="none" w:sz="0" w:space="0" w:color="auto"/>
        <w:bottom w:val="none" w:sz="0" w:space="0" w:color="auto"/>
        <w:right w:val="none" w:sz="0" w:space="0" w:color="auto"/>
      </w:divBdr>
    </w:div>
    <w:div w:id="888304326">
      <w:bodyDiv w:val="1"/>
      <w:marLeft w:val="0"/>
      <w:marRight w:val="0"/>
      <w:marTop w:val="0"/>
      <w:marBottom w:val="0"/>
      <w:divBdr>
        <w:top w:val="none" w:sz="0" w:space="0" w:color="auto"/>
        <w:left w:val="none" w:sz="0" w:space="0" w:color="auto"/>
        <w:bottom w:val="none" w:sz="0" w:space="0" w:color="auto"/>
        <w:right w:val="none" w:sz="0" w:space="0" w:color="auto"/>
      </w:divBdr>
    </w:div>
    <w:div w:id="902570420">
      <w:bodyDiv w:val="1"/>
      <w:marLeft w:val="0"/>
      <w:marRight w:val="0"/>
      <w:marTop w:val="0"/>
      <w:marBottom w:val="0"/>
      <w:divBdr>
        <w:top w:val="none" w:sz="0" w:space="0" w:color="auto"/>
        <w:left w:val="none" w:sz="0" w:space="0" w:color="auto"/>
        <w:bottom w:val="none" w:sz="0" w:space="0" w:color="auto"/>
        <w:right w:val="none" w:sz="0" w:space="0" w:color="auto"/>
      </w:divBdr>
    </w:div>
    <w:div w:id="1013872322">
      <w:bodyDiv w:val="1"/>
      <w:marLeft w:val="0"/>
      <w:marRight w:val="0"/>
      <w:marTop w:val="0"/>
      <w:marBottom w:val="0"/>
      <w:divBdr>
        <w:top w:val="none" w:sz="0" w:space="0" w:color="auto"/>
        <w:left w:val="none" w:sz="0" w:space="0" w:color="auto"/>
        <w:bottom w:val="none" w:sz="0" w:space="0" w:color="auto"/>
        <w:right w:val="none" w:sz="0" w:space="0" w:color="auto"/>
      </w:divBdr>
    </w:div>
    <w:div w:id="1075861040">
      <w:bodyDiv w:val="1"/>
      <w:marLeft w:val="0"/>
      <w:marRight w:val="0"/>
      <w:marTop w:val="0"/>
      <w:marBottom w:val="0"/>
      <w:divBdr>
        <w:top w:val="none" w:sz="0" w:space="0" w:color="auto"/>
        <w:left w:val="none" w:sz="0" w:space="0" w:color="auto"/>
        <w:bottom w:val="none" w:sz="0" w:space="0" w:color="auto"/>
        <w:right w:val="none" w:sz="0" w:space="0" w:color="auto"/>
      </w:divBdr>
    </w:div>
    <w:div w:id="1228497622">
      <w:bodyDiv w:val="1"/>
      <w:marLeft w:val="0"/>
      <w:marRight w:val="0"/>
      <w:marTop w:val="0"/>
      <w:marBottom w:val="0"/>
      <w:divBdr>
        <w:top w:val="none" w:sz="0" w:space="0" w:color="auto"/>
        <w:left w:val="none" w:sz="0" w:space="0" w:color="auto"/>
        <w:bottom w:val="none" w:sz="0" w:space="0" w:color="auto"/>
        <w:right w:val="none" w:sz="0" w:space="0" w:color="auto"/>
      </w:divBdr>
    </w:div>
    <w:div w:id="1256088208">
      <w:bodyDiv w:val="1"/>
      <w:marLeft w:val="0"/>
      <w:marRight w:val="0"/>
      <w:marTop w:val="0"/>
      <w:marBottom w:val="0"/>
      <w:divBdr>
        <w:top w:val="none" w:sz="0" w:space="0" w:color="auto"/>
        <w:left w:val="none" w:sz="0" w:space="0" w:color="auto"/>
        <w:bottom w:val="none" w:sz="0" w:space="0" w:color="auto"/>
        <w:right w:val="none" w:sz="0" w:space="0" w:color="auto"/>
      </w:divBdr>
    </w:div>
    <w:div w:id="1410081317">
      <w:bodyDiv w:val="1"/>
      <w:marLeft w:val="0"/>
      <w:marRight w:val="0"/>
      <w:marTop w:val="0"/>
      <w:marBottom w:val="0"/>
      <w:divBdr>
        <w:top w:val="none" w:sz="0" w:space="0" w:color="auto"/>
        <w:left w:val="none" w:sz="0" w:space="0" w:color="auto"/>
        <w:bottom w:val="none" w:sz="0" w:space="0" w:color="auto"/>
        <w:right w:val="none" w:sz="0" w:space="0" w:color="auto"/>
      </w:divBdr>
    </w:div>
    <w:div w:id="1668707365">
      <w:bodyDiv w:val="1"/>
      <w:marLeft w:val="0"/>
      <w:marRight w:val="0"/>
      <w:marTop w:val="0"/>
      <w:marBottom w:val="0"/>
      <w:divBdr>
        <w:top w:val="none" w:sz="0" w:space="0" w:color="auto"/>
        <w:left w:val="none" w:sz="0" w:space="0" w:color="auto"/>
        <w:bottom w:val="none" w:sz="0" w:space="0" w:color="auto"/>
        <w:right w:val="none" w:sz="0" w:space="0" w:color="auto"/>
      </w:divBdr>
    </w:div>
    <w:div w:id="1709186579">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snaccess.gov.au/ProviderPortal/jobactive/Guidelines/Pages/Participation-and-Compliance-Framework.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access.gov.au/ProviderPortal/jobactive/Guidelines/Pages/Participation-and-Compliance-Framework.asp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7EA8-95B7-4F48-842E-A030ECE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6467</Words>
  <Characters>36263</Characters>
  <Application>Microsoft Office Word</Application>
  <DocSecurity>0</DocSecurity>
  <Lines>756</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42474</CharactersWithSpaces>
  <SharedDoc>false</SharedDoc>
  <HLinks>
    <vt:vector size="120" baseType="variant">
      <vt:variant>
        <vt:i4>3014702</vt:i4>
      </vt:variant>
      <vt:variant>
        <vt:i4>111</vt:i4>
      </vt:variant>
      <vt:variant>
        <vt:i4>0</vt:i4>
      </vt:variant>
      <vt:variant>
        <vt:i4>5</vt:i4>
      </vt:variant>
      <vt:variant>
        <vt:lpwstr>https://ecsnaccess.gov.au/ProviderPortal/jobactive/Guidelines/Pages/Participation-and-Compliance-Framework.aspx</vt:lpwstr>
      </vt:variant>
      <vt:variant>
        <vt:lpwstr/>
      </vt:variant>
      <vt:variant>
        <vt:i4>3014702</vt:i4>
      </vt:variant>
      <vt:variant>
        <vt:i4>108</vt:i4>
      </vt:variant>
      <vt:variant>
        <vt:i4>0</vt:i4>
      </vt:variant>
      <vt:variant>
        <vt:i4>5</vt:i4>
      </vt:variant>
      <vt:variant>
        <vt:lpwstr>https://ecsnaccess.gov.au/ProviderPortal/jobactive/Guidelines/Pages/Participation-and-Compliance-Framework.aspx</vt:lpwstr>
      </vt:variant>
      <vt:variant>
        <vt:lpwstr/>
      </vt:variant>
      <vt:variant>
        <vt:i4>3014702</vt:i4>
      </vt:variant>
      <vt:variant>
        <vt:i4>105</vt:i4>
      </vt:variant>
      <vt:variant>
        <vt:i4>0</vt:i4>
      </vt:variant>
      <vt:variant>
        <vt:i4>5</vt:i4>
      </vt:variant>
      <vt:variant>
        <vt:lpwstr>https://ecsnaccess.gov.au/ProviderPortal/jobactive/Guidelines/Pages/Participation-and-Compliance-Framework.aspx</vt:lpwstr>
      </vt:variant>
      <vt:variant>
        <vt:lpwstr/>
      </vt:variant>
      <vt:variant>
        <vt:i4>2031667</vt:i4>
      </vt:variant>
      <vt:variant>
        <vt:i4>98</vt:i4>
      </vt:variant>
      <vt:variant>
        <vt:i4>0</vt:i4>
      </vt:variant>
      <vt:variant>
        <vt:i4>5</vt:i4>
      </vt:variant>
      <vt:variant>
        <vt:lpwstr/>
      </vt:variant>
      <vt:variant>
        <vt:lpwstr>_Toc104549243</vt:lpwstr>
      </vt:variant>
      <vt:variant>
        <vt:i4>2031667</vt:i4>
      </vt:variant>
      <vt:variant>
        <vt:i4>92</vt:i4>
      </vt:variant>
      <vt:variant>
        <vt:i4>0</vt:i4>
      </vt:variant>
      <vt:variant>
        <vt:i4>5</vt:i4>
      </vt:variant>
      <vt:variant>
        <vt:lpwstr/>
      </vt:variant>
      <vt:variant>
        <vt:lpwstr>_Toc104549242</vt:lpwstr>
      </vt:variant>
      <vt:variant>
        <vt:i4>2031667</vt:i4>
      </vt:variant>
      <vt:variant>
        <vt:i4>86</vt:i4>
      </vt:variant>
      <vt:variant>
        <vt:i4>0</vt:i4>
      </vt:variant>
      <vt:variant>
        <vt:i4>5</vt:i4>
      </vt:variant>
      <vt:variant>
        <vt:lpwstr/>
      </vt:variant>
      <vt:variant>
        <vt:lpwstr>_Toc104549241</vt:lpwstr>
      </vt:variant>
      <vt:variant>
        <vt:i4>2031667</vt:i4>
      </vt:variant>
      <vt:variant>
        <vt:i4>80</vt:i4>
      </vt:variant>
      <vt:variant>
        <vt:i4>0</vt:i4>
      </vt:variant>
      <vt:variant>
        <vt:i4>5</vt:i4>
      </vt:variant>
      <vt:variant>
        <vt:lpwstr/>
      </vt:variant>
      <vt:variant>
        <vt:lpwstr>_Toc104549240</vt:lpwstr>
      </vt:variant>
      <vt:variant>
        <vt:i4>1572915</vt:i4>
      </vt:variant>
      <vt:variant>
        <vt:i4>74</vt:i4>
      </vt:variant>
      <vt:variant>
        <vt:i4>0</vt:i4>
      </vt:variant>
      <vt:variant>
        <vt:i4>5</vt:i4>
      </vt:variant>
      <vt:variant>
        <vt:lpwstr/>
      </vt:variant>
      <vt:variant>
        <vt:lpwstr>_Toc104549239</vt:lpwstr>
      </vt:variant>
      <vt:variant>
        <vt:i4>1572915</vt:i4>
      </vt:variant>
      <vt:variant>
        <vt:i4>68</vt:i4>
      </vt:variant>
      <vt:variant>
        <vt:i4>0</vt:i4>
      </vt:variant>
      <vt:variant>
        <vt:i4>5</vt:i4>
      </vt:variant>
      <vt:variant>
        <vt:lpwstr/>
      </vt:variant>
      <vt:variant>
        <vt:lpwstr>_Toc104549238</vt:lpwstr>
      </vt:variant>
      <vt:variant>
        <vt:i4>1572915</vt:i4>
      </vt:variant>
      <vt:variant>
        <vt:i4>62</vt:i4>
      </vt:variant>
      <vt:variant>
        <vt:i4>0</vt:i4>
      </vt:variant>
      <vt:variant>
        <vt:i4>5</vt:i4>
      </vt:variant>
      <vt:variant>
        <vt:lpwstr/>
      </vt:variant>
      <vt:variant>
        <vt:lpwstr>_Toc104549237</vt:lpwstr>
      </vt:variant>
      <vt:variant>
        <vt:i4>1572915</vt:i4>
      </vt:variant>
      <vt:variant>
        <vt:i4>56</vt:i4>
      </vt:variant>
      <vt:variant>
        <vt:i4>0</vt:i4>
      </vt:variant>
      <vt:variant>
        <vt:i4>5</vt:i4>
      </vt:variant>
      <vt:variant>
        <vt:lpwstr/>
      </vt:variant>
      <vt:variant>
        <vt:lpwstr>_Toc104549236</vt:lpwstr>
      </vt:variant>
      <vt:variant>
        <vt:i4>1572915</vt:i4>
      </vt:variant>
      <vt:variant>
        <vt:i4>50</vt:i4>
      </vt:variant>
      <vt:variant>
        <vt:i4>0</vt:i4>
      </vt:variant>
      <vt:variant>
        <vt:i4>5</vt:i4>
      </vt:variant>
      <vt:variant>
        <vt:lpwstr/>
      </vt:variant>
      <vt:variant>
        <vt:lpwstr>_Toc104549235</vt:lpwstr>
      </vt:variant>
      <vt:variant>
        <vt:i4>1572915</vt:i4>
      </vt:variant>
      <vt:variant>
        <vt:i4>44</vt:i4>
      </vt:variant>
      <vt:variant>
        <vt:i4>0</vt:i4>
      </vt:variant>
      <vt:variant>
        <vt:i4>5</vt:i4>
      </vt:variant>
      <vt:variant>
        <vt:lpwstr/>
      </vt:variant>
      <vt:variant>
        <vt:lpwstr>_Toc104549234</vt:lpwstr>
      </vt:variant>
      <vt:variant>
        <vt:i4>1572915</vt:i4>
      </vt:variant>
      <vt:variant>
        <vt:i4>38</vt:i4>
      </vt:variant>
      <vt:variant>
        <vt:i4>0</vt:i4>
      </vt:variant>
      <vt:variant>
        <vt:i4>5</vt:i4>
      </vt:variant>
      <vt:variant>
        <vt:lpwstr/>
      </vt:variant>
      <vt:variant>
        <vt:lpwstr>_Toc104549233</vt:lpwstr>
      </vt:variant>
      <vt:variant>
        <vt:i4>1572915</vt:i4>
      </vt:variant>
      <vt:variant>
        <vt:i4>32</vt:i4>
      </vt:variant>
      <vt:variant>
        <vt:i4>0</vt:i4>
      </vt:variant>
      <vt:variant>
        <vt:i4>5</vt:i4>
      </vt:variant>
      <vt:variant>
        <vt:lpwstr/>
      </vt:variant>
      <vt:variant>
        <vt:lpwstr>_Toc104549232</vt:lpwstr>
      </vt:variant>
      <vt:variant>
        <vt:i4>1572915</vt:i4>
      </vt:variant>
      <vt:variant>
        <vt:i4>26</vt:i4>
      </vt:variant>
      <vt:variant>
        <vt:i4>0</vt:i4>
      </vt:variant>
      <vt:variant>
        <vt:i4>5</vt:i4>
      </vt:variant>
      <vt:variant>
        <vt:lpwstr/>
      </vt:variant>
      <vt:variant>
        <vt:lpwstr>_Toc104549231</vt:lpwstr>
      </vt:variant>
      <vt:variant>
        <vt:i4>1572915</vt:i4>
      </vt:variant>
      <vt:variant>
        <vt:i4>20</vt:i4>
      </vt:variant>
      <vt:variant>
        <vt:i4>0</vt:i4>
      </vt:variant>
      <vt:variant>
        <vt:i4>5</vt:i4>
      </vt:variant>
      <vt:variant>
        <vt:lpwstr/>
      </vt:variant>
      <vt:variant>
        <vt:lpwstr>_Toc104549230</vt:lpwstr>
      </vt:variant>
      <vt:variant>
        <vt:i4>1638451</vt:i4>
      </vt:variant>
      <vt:variant>
        <vt:i4>14</vt:i4>
      </vt:variant>
      <vt:variant>
        <vt:i4>0</vt:i4>
      </vt:variant>
      <vt:variant>
        <vt:i4>5</vt:i4>
      </vt:variant>
      <vt:variant>
        <vt:lpwstr/>
      </vt:variant>
      <vt:variant>
        <vt:lpwstr>_Toc104549229</vt:lpwstr>
      </vt:variant>
      <vt:variant>
        <vt:i4>1638451</vt:i4>
      </vt:variant>
      <vt:variant>
        <vt:i4>8</vt:i4>
      </vt:variant>
      <vt:variant>
        <vt:i4>0</vt:i4>
      </vt:variant>
      <vt:variant>
        <vt:i4>5</vt:i4>
      </vt:variant>
      <vt:variant>
        <vt:lpwstr/>
      </vt:variant>
      <vt:variant>
        <vt:lpwstr>_Toc104549228</vt:lpwstr>
      </vt:variant>
      <vt:variant>
        <vt:i4>1638451</vt:i4>
      </vt:variant>
      <vt:variant>
        <vt:i4>2</vt:i4>
      </vt:variant>
      <vt:variant>
        <vt:i4>0</vt:i4>
      </vt:variant>
      <vt:variant>
        <vt:i4>5</vt:i4>
      </vt:variant>
      <vt:variant>
        <vt:lpwstr/>
      </vt:variant>
      <vt:variant>
        <vt:lpwstr>_Toc104549227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2024-11-15T02:12:00Z</dcterms:created>
  <dcterms:modified xsi:type="dcterms:W3CDTF">2024-11-15T02:12:00Z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v=2022.1;a=SHA256;h=4F60179273F165542AEE436FAF498824FE24CEFE713D2B1AB369C9C95841F5B2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A98393FFED07439CA8F2BD6C153EC402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2022-08-04T01:18:47Z</vt:lpwstr>
  </property>
  <property fmtid="{D5CDD505-2E9C-101B-9397-08002B2CF9AE}" pid="13" name="MSIP_Label_eb34d90b-fc41-464d-af60-f74d721d0790_SetDate">
    <vt:lpwstr>2022-08-04T01:18:47Z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60AA15B174164ABDB0264835AB63BC4F</vt:lpwstr>
  </property>
  <property fmtid="{D5CDD505-2E9C-101B-9397-08002B2CF9AE}" pid="23" name="MSIP_Label_79d889eb-932f-4752-8739-64d25806ef64_SetDate">
    <vt:lpwstr>2022-08-04T02:12:15Z</vt:lpwstr>
  </property>
  <property fmtid="{D5CDD505-2E9C-101B-9397-08002B2CF9AE}" pid="24" name="PM_Hash_Salt">
    <vt:lpwstr>577D1706D356CA0FFBAD1FF6FB3A8F5C</vt:lpwstr>
  </property>
  <property fmtid="{D5CDD505-2E9C-101B-9397-08002B2CF9AE}" pid="25" name="PM_Hash_SHA1">
    <vt:lpwstr>FE6D301D6B9D815D90C8A2C273550095319C4CE4</vt:lpwstr>
  </property>
  <property fmtid="{D5CDD505-2E9C-101B-9397-08002B2CF9AE}" pid="26" name="PM_OriginatorUserAccountName_SHA256">
    <vt:lpwstr>56084DE7D87471392F5BD2235C8043EAEC8018D05D094D5A8468DE8533D8A2CE</vt:lpwstr>
  </property>
  <property fmtid="{D5CDD505-2E9C-101B-9397-08002B2CF9AE}" pid="27" name="MSIP_Label_79d889eb-932f-4752-8739-64d25806ef64_SiteId">
    <vt:lpwstr>dd0cfd15-4558-4b12-8bad-ea26984fc417</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79d889eb-932f-4752-8739-64d25806ef64_Enabled">
    <vt:lpwstr>true</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Method">
    <vt:lpwstr>Privileged</vt:lpwstr>
  </property>
  <property fmtid="{D5CDD505-2E9C-101B-9397-08002B2CF9AE}" pid="34" name="MSIP_Label_79d889eb-932f-4752-8739-64d25806ef64_ActionId">
    <vt:lpwstr>6f513b1f-5729-4ad6-9216-988ba7280f5c</vt:lpwstr>
  </property>
  <property fmtid="{D5CDD505-2E9C-101B-9397-08002B2CF9AE}" pid="35" name="MSIP_Label_79d889eb-932f-4752-8739-64d25806ef64_ContentBits">
    <vt:lpwstr>0</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Enabled">
    <vt:lpwstr>true</vt:lpwstr>
  </property>
  <property fmtid="{D5CDD505-2E9C-101B-9397-08002B2CF9AE}" pid="38" name="MSIP_Label_eb34d90b-fc41-464d-af60-f74d721d0790_ContentBits">
    <vt:lpwstr>0</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3e1c7545675b48fe9b36b3e7700e1322</vt:lpwstr>
  </property>
  <property fmtid="{D5CDD505-2E9C-101B-9397-08002B2CF9AE}" pid="41" name="PMUuid">
    <vt:lpwstr>v=2022.2;d=gov.au;g=46DD6D7C-8107-577B-BC6E-F348953B2E44</vt:lpwstr>
  </property>
  <property fmtid="{D5CDD505-2E9C-101B-9397-08002B2CF9AE}" pid="42" name="PM_Caveats_Count">
    <vt:lpwstr>0</vt:lpwstr>
  </property>
</Properties>
</file>