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CBD9" w14:textId="77777777" w:rsidR="00051119" w:rsidRPr="00D46290" w:rsidRDefault="00C973E5" w:rsidP="002F3336">
      <w:pPr>
        <w:spacing w:after="1440"/>
        <w:jc w:val="center"/>
      </w:pPr>
      <w:bookmarkStart w:id="0" w:name="Example"/>
      <w:r>
        <w:rPr>
          <w:noProof/>
        </w:rPr>
        <w:drawing>
          <wp:inline distT="0" distB="0" distL="0" distR="0" wp14:anchorId="46B87EC4" wp14:editId="2EE3F6CD">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8"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3B5F3A3" w14:textId="4AFB8EF8" w:rsidR="007073F5" w:rsidRPr="00FF5852" w:rsidRDefault="00AC50E9" w:rsidP="0047387D">
      <w:pPr>
        <w:pStyle w:val="Heading1"/>
        <w:spacing w:before="1320" w:after="0"/>
      </w:pPr>
      <w:bookmarkStart w:id="1" w:name="_Toc227571642"/>
      <w:bookmarkStart w:id="2" w:name="_Toc495402558"/>
      <w:bookmarkStart w:id="3" w:name="_Toc509842406"/>
      <w:bookmarkStart w:id="4" w:name="_Toc177568208"/>
      <w:bookmarkEnd w:id="0"/>
      <w:r w:rsidRPr="00AC50E9">
        <w:t>Targeted Compliance Framework</w:t>
      </w:r>
      <w:r w:rsidR="00D2337C">
        <w:t>: Mutual Obligation Failure</w:t>
      </w:r>
      <w:r w:rsidRPr="00AC50E9">
        <w:t xml:space="preserve"> </w:t>
      </w:r>
      <w:r w:rsidR="007073F5" w:rsidRPr="00FF5852">
        <w:t>Guideline</w:t>
      </w:r>
      <w:bookmarkEnd w:id="1"/>
      <w:bookmarkEnd w:id="2"/>
      <w:r w:rsidR="000B4BFE" w:rsidRPr="00FF5852">
        <w:t>s</w:t>
      </w:r>
      <w:bookmarkEnd w:id="3"/>
      <w:bookmarkEnd w:id="4"/>
    </w:p>
    <w:p w14:paraId="165089B6" w14:textId="09347DFE" w:rsidR="007073F5" w:rsidRPr="005B6382" w:rsidRDefault="007073F5" w:rsidP="005B6382">
      <w:pPr>
        <w:tabs>
          <w:tab w:val="right" w:pos="1701"/>
        </w:tabs>
        <w:jc w:val="center"/>
        <w:rPr>
          <w:rFonts w:asciiTheme="minorHAnsi" w:hAnsiTheme="minorHAnsi" w:cstheme="minorHAnsi"/>
          <w:sz w:val="36"/>
        </w:rPr>
      </w:pPr>
      <w:bookmarkStart w:id="5" w:name="_Toc495402559"/>
      <w:bookmarkStart w:id="6" w:name="_Toc509998600"/>
      <w:bookmarkStart w:id="7" w:name="_Toc509998874"/>
      <w:bookmarkStart w:id="8" w:name="_Toc517211838"/>
      <w:bookmarkStart w:id="9" w:name="_Toc517211961"/>
      <w:bookmarkStart w:id="10" w:name="_Toc517239262"/>
      <w:r w:rsidRPr="005B6382">
        <w:rPr>
          <w:rFonts w:asciiTheme="minorHAnsi" w:hAnsiTheme="minorHAnsi" w:cstheme="minorHAnsi"/>
          <w:b/>
          <w:sz w:val="36"/>
          <w:szCs w:val="36"/>
        </w:rPr>
        <w:t>V 1.</w:t>
      </w:r>
      <w:bookmarkEnd w:id="5"/>
      <w:bookmarkEnd w:id="6"/>
      <w:bookmarkEnd w:id="7"/>
      <w:bookmarkEnd w:id="8"/>
      <w:bookmarkEnd w:id="9"/>
      <w:bookmarkEnd w:id="10"/>
      <w:r w:rsidR="001E7665">
        <w:rPr>
          <w:rFonts w:asciiTheme="minorHAnsi" w:hAnsiTheme="minorHAnsi" w:cstheme="minorHAnsi"/>
          <w:b/>
          <w:sz w:val="36"/>
          <w:szCs w:val="36"/>
        </w:rPr>
        <w:t>5</w:t>
      </w:r>
    </w:p>
    <w:p w14:paraId="2ABFC843" w14:textId="77777777" w:rsidR="003757B3" w:rsidRPr="00AC50E9" w:rsidRDefault="00427E22" w:rsidP="00D60103">
      <w:pPr>
        <w:pStyle w:val="Disclaimer"/>
        <w:spacing w:before="408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11" w:name="_Toc495666001"/>
      <w:bookmarkStart w:id="12" w:name="_Toc487730649"/>
      <w:bookmarkStart w:id="13" w:name="_Toc486510119"/>
      <w:bookmarkStart w:id="14" w:name="_Toc425412073"/>
      <w:bookmarkStart w:id="15" w:name="_Toc316553411"/>
      <w:bookmarkStart w:id="16" w:name="_Toc316553386"/>
    </w:p>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Start w:id="17" w:name="_Toc177568209" w:displacedByCustomXml="next"/>
    <w:bookmarkStart w:id="18" w:name="_Toc509842407" w:displacedByCustomXml="next"/>
    <w:sdt>
      <w:sdtPr>
        <w:rPr>
          <w:b w:val="0"/>
          <w:sz w:val="22"/>
          <w:szCs w:val="24"/>
        </w:rPr>
        <w:id w:val="1370883962"/>
        <w:docPartObj>
          <w:docPartGallery w:val="Table of Contents"/>
          <w:docPartUnique/>
        </w:docPartObj>
      </w:sdtPr>
      <w:sdtEndPr>
        <w:rPr>
          <w:noProof/>
          <w:szCs w:val="22"/>
        </w:rPr>
      </w:sdtEndPr>
      <w:sdtContent>
        <w:p w14:paraId="1A726E36" w14:textId="77777777" w:rsidR="00E341A6" w:rsidRPr="00E341A6" w:rsidRDefault="00E341A6" w:rsidP="00427E22">
          <w:pPr>
            <w:pStyle w:val="Heading2"/>
            <w:spacing w:before="0" w:after="480"/>
          </w:pPr>
          <w:r w:rsidRPr="00E341A6">
            <w:t>Table of Contents</w:t>
          </w:r>
          <w:bookmarkEnd w:id="18"/>
          <w:bookmarkEnd w:id="17"/>
        </w:p>
        <w:p w14:paraId="3FB57C5E" w14:textId="5F8288C4" w:rsidR="00210809" w:rsidRDefault="009B4563">
          <w:pPr>
            <w:pStyle w:val="TOC1"/>
            <w:tabs>
              <w:tab w:val="right" w:leader="dot" w:pos="9016"/>
            </w:tabs>
            <w:rPr>
              <w:rFonts w:eastAsiaTheme="minorEastAsia"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77568208" w:history="1">
            <w:r w:rsidR="00210809" w:rsidRPr="000F0AB5">
              <w:rPr>
                <w:rStyle w:val="Hyperlink"/>
                <w:noProof/>
              </w:rPr>
              <w:t>Targeted Compliance Framework: Mutual Obligation Failure Guidelines</w:t>
            </w:r>
            <w:r w:rsidR="00210809">
              <w:rPr>
                <w:noProof/>
                <w:webHidden/>
              </w:rPr>
              <w:tab/>
            </w:r>
            <w:r w:rsidR="00210809">
              <w:rPr>
                <w:noProof/>
                <w:webHidden/>
              </w:rPr>
              <w:fldChar w:fldCharType="begin"/>
            </w:r>
            <w:r w:rsidR="00210809">
              <w:rPr>
                <w:noProof/>
                <w:webHidden/>
              </w:rPr>
              <w:instrText xml:space="preserve"> PAGEREF _Toc177568208 \h </w:instrText>
            </w:r>
            <w:r w:rsidR="00210809">
              <w:rPr>
                <w:noProof/>
                <w:webHidden/>
              </w:rPr>
            </w:r>
            <w:r w:rsidR="00210809">
              <w:rPr>
                <w:noProof/>
                <w:webHidden/>
              </w:rPr>
              <w:fldChar w:fldCharType="separate"/>
            </w:r>
            <w:r w:rsidR="00666D4F">
              <w:rPr>
                <w:noProof/>
                <w:webHidden/>
              </w:rPr>
              <w:t>1</w:t>
            </w:r>
            <w:r w:rsidR="00210809">
              <w:rPr>
                <w:noProof/>
                <w:webHidden/>
              </w:rPr>
              <w:fldChar w:fldCharType="end"/>
            </w:r>
          </w:hyperlink>
        </w:p>
        <w:p w14:paraId="3070FB50" w14:textId="309A93E5"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09" w:history="1">
            <w:r w:rsidRPr="000F0AB5">
              <w:rPr>
                <w:rStyle w:val="Hyperlink"/>
                <w:noProof/>
              </w:rPr>
              <w:t>Table of Contents</w:t>
            </w:r>
            <w:r>
              <w:rPr>
                <w:noProof/>
                <w:webHidden/>
              </w:rPr>
              <w:tab/>
            </w:r>
            <w:r>
              <w:rPr>
                <w:noProof/>
                <w:webHidden/>
              </w:rPr>
              <w:fldChar w:fldCharType="begin"/>
            </w:r>
            <w:r>
              <w:rPr>
                <w:noProof/>
                <w:webHidden/>
              </w:rPr>
              <w:instrText xml:space="preserve"> PAGEREF _Toc177568209 \h </w:instrText>
            </w:r>
            <w:r>
              <w:rPr>
                <w:noProof/>
                <w:webHidden/>
              </w:rPr>
            </w:r>
            <w:r>
              <w:rPr>
                <w:noProof/>
                <w:webHidden/>
              </w:rPr>
              <w:fldChar w:fldCharType="separate"/>
            </w:r>
            <w:r w:rsidR="00666D4F">
              <w:rPr>
                <w:noProof/>
                <w:webHidden/>
              </w:rPr>
              <w:t>2</w:t>
            </w:r>
            <w:r>
              <w:rPr>
                <w:noProof/>
                <w:webHidden/>
              </w:rPr>
              <w:fldChar w:fldCharType="end"/>
            </w:r>
          </w:hyperlink>
        </w:p>
        <w:p w14:paraId="79660BBE" w14:textId="70549021" w:rsidR="00210809" w:rsidRDefault="00210809">
          <w:pPr>
            <w:pStyle w:val="TOC3"/>
            <w:rPr>
              <w:rFonts w:eastAsiaTheme="minorEastAsia" w:cstheme="minorBidi"/>
              <w:noProof/>
              <w:kern w:val="2"/>
              <w:sz w:val="24"/>
              <w:szCs w:val="24"/>
              <w14:ligatures w14:val="standardContextual"/>
            </w:rPr>
          </w:pPr>
          <w:hyperlink w:anchor="_Toc177568210" w:history="1">
            <w:r w:rsidRPr="000F0AB5">
              <w:rPr>
                <w:rStyle w:val="Hyperlink"/>
                <w:noProof/>
              </w:rPr>
              <w:t>Document Change History</w:t>
            </w:r>
            <w:r>
              <w:rPr>
                <w:noProof/>
                <w:webHidden/>
              </w:rPr>
              <w:tab/>
            </w:r>
            <w:r>
              <w:rPr>
                <w:noProof/>
                <w:webHidden/>
              </w:rPr>
              <w:fldChar w:fldCharType="begin"/>
            </w:r>
            <w:r>
              <w:rPr>
                <w:noProof/>
                <w:webHidden/>
              </w:rPr>
              <w:instrText xml:space="preserve"> PAGEREF _Toc177568210 \h </w:instrText>
            </w:r>
            <w:r>
              <w:rPr>
                <w:noProof/>
                <w:webHidden/>
              </w:rPr>
            </w:r>
            <w:r>
              <w:rPr>
                <w:noProof/>
                <w:webHidden/>
              </w:rPr>
              <w:fldChar w:fldCharType="separate"/>
            </w:r>
            <w:r w:rsidR="00666D4F">
              <w:rPr>
                <w:noProof/>
                <w:webHidden/>
              </w:rPr>
              <w:t>3</w:t>
            </w:r>
            <w:r>
              <w:rPr>
                <w:noProof/>
                <w:webHidden/>
              </w:rPr>
              <w:fldChar w:fldCharType="end"/>
            </w:r>
          </w:hyperlink>
        </w:p>
        <w:p w14:paraId="5ADD7680" w14:textId="27129366" w:rsidR="00210809" w:rsidRDefault="00210809">
          <w:pPr>
            <w:pStyle w:val="TOC3"/>
            <w:rPr>
              <w:rFonts w:eastAsiaTheme="minorEastAsia" w:cstheme="minorBidi"/>
              <w:noProof/>
              <w:kern w:val="2"/>
              <w:sz w:val="24"/>
              <w:szCs w:val="24"/>
              <w14:ligatures w14:val="standardContextual"/>
            </w:rPr>
          </w:pPr>
          <w:hyperlink w:anchor="_Toc177568211" w:history="1">
            <w:r w:rsidRPr="000F0AB5">
              <w:rPr>
                <w:rStyle w:val="Hyperlink"/>
                <w:noProof/>
              </w:rPr>
              <w:t>Background</w:t>
            </w:r>
            <w:r>
              <w:rPr>
                <w:noProof/>
                <w:webHidden/>
              </w:rPr>
              <w:tab/>
            </w:r>
            <w:r>
              <w:rPr>
                <w:noProof/>
                <w:webHidden/>
              </w:rPr>
              <w:fldChar w:fldCharType="begin"/>
            </w:r>
            <w:r>
              <w:rPr>
                <w:noProof/>
                <w:webHidden/>
              </w:rPr>
              <w:instrText xml:space="preserve"> PAGEREF _Toc177568211 \h </w:instrText>
            </w:r>
            <w:r>
              <w:rPr>
                <w:noProof/>
                <w:webHidden/>
              </w:rPr>
            </w:r>
            <w:r>
              <w:rPr>
                <w:noProof/>
                <w:webHidden/>
              </w:rPr>
              <w:fldChar w:fldCharType="separate"/>
            </w:r>
            <w:r w:rsidR="00666D4F">
              <w:rPr>
                <w:noProof/>
                <w:webHidden/>
              </w:rPr>
              <w:t>3</w:t>
            </w:r>
            <w:r>
              <w:rPr>
                <w:noProof/>
                <w:webHidden/>
              </w:rPr>
              <w:fldChar w:fldCharType="end"/>
            </w:r>
          </w:hyperlink>
        </w:p>
        <w:p w14:paraId="7D17FDB7" w14:textId="32172D4C" w:rsidR="00210809" w:rsidRDefault="00210809">
          <w:pPr>
            <w:pStyle w:val="TOC3"/>
            <w:rPr>
              <w:rFonts w:eastAsiaTheme="minorEastAsia" w:cstheme="minorBidi"/>
              <w:noProof/>
              <w:kern w:val="2"/>
              <w:sz w:val="24"/>
              <w:szCs w:val="24"/>
              <w14:ligatures w14:val="standardContextual"/>
            </w:rPr>
          </w:pPr>
          <w:hyperlink w:anchor="_Toc177568212" w:history="1">
            <w:r w:rsidRPr="000F0AB5">
              <w:rPr>
                <w:rStyle w:val="Hyperlink"/>
                <w:noProof/>
              </w:rPr>
              <w:t>Disability Employment Services Grant Agreement Clauses:</w:t>
            </w:r>
            <w:r>
              <w:rPr>
                <w:noProof/>
                <w:webHidden/>
              </w:rPr>
              <w:tab/>
            </w:r>
            <w:r>
              <w:rPr>
                <w:noProof/>
                <w:webHidden/>
              </w:rPr>
              <w:fldChar w:fldCharType="begin"/>
            </w:r>
            <w:r>
              <w:rPr>
                <w:noProof/>
                <w:webHidden/>
              </w:rPr>
              <w:instrText xml:space="preserve"> PAGEREF _Toc177568212 \h </w:instrText>
            </w:r>
            <w:r>
              <w:rPr>
                <w:noProof/>
                <w:webHidden/>
              </w:rPr>
            </w:r>
            <w:r>
              <w:rPr>
                <w:noProof/>
                <w:webHidden/>
              </w:rPr>
              <w:fldChar w:fldCharType="separate"/>
            </w:r>
            <w:r w:rsidR="00666D4F">
              <w:rPr>
                <w:noProof/>
                <w:webHidden/>
              </w:rPr>
              <w:t>4</w:t>
            </w:r>
            <w:r>
              <w:rPr>
                <w:noProof/>
                <w:webHidden/>
              </w:rPr>
              <w:fldChar w:fldCharType="end"/>
            </w:r>
          </w:hyperlink>
        </w:p>
        <w:p w14:paraId="1C6D40EE" w14:textId="0C85AC8F" w:rsidR="00210809" w:rsidRDefault="00210809">
          <w:pPr>
            <w:pStyle w:val="TOC3"/>
            <w:rPr>
              <w:rFonts w:eastAsiaTheme="minorEastAsia" w:cstheme="minorBidi"/>
              <w:noProof/>
              <w:kern w:val="2"/>
              <w:sz w:val="24"/>
              <w:szCs w:val="24"/>
              <w14:ligatures w14:val="standardContextual"/>
            </w:rPr>
          </w:pPr>
          <w:hyperlink w:anchor="_Toc177568213" w:history="1">
            <w:r w:rsidRPr="000F0AB5">
              <w:rPr>
                <w:rStyle w:val="Hyperlink"/>
                <w:noProof/>
              </w:rPr>
              <w:t>Reference documents relevant to this Guideline:</w:t>
            </w:r>
            <w:r>
              <w:rPr>
                <w:noProof/>
                <w:webHidden/>
              </w:rPr>
              <w:tab/>
            </w:r>
            <w:r>
              <w:rPr>
                <w:noProof/>
                <w:webHidden/>
              </w:rPr>
              <w:fldChar w:fldCharType="begin"/>
            </w:r>
            <w:r>
              <w:rPr>
                <w:noProof/>
                <w:webHidden/>
              </w:rPr>
              <w:instrText xml:space="preserve"> PAGEREF _Toc177568213 \h </w:instrText>
            </w:r>
            <w:r>
              <w:rPr>
                <w:noProof/>
                <w:webHidden/>
              </w:rPr>
            </w:r>
            <w:r>
              <w:rPr>
                <w:noProof/>
                <w:webHidden/>
              </w:rPr>
              <w:fldChar w:fldCharType="separate"/>
            </w:r>
            <w:r w:rsidR="00666D4F">
              <w:rPr>
                <w:noProof/>
                <w:webHidden/>
              </w:rPr>
              <w:t>4</w:t>
            </w:r>
            <w:r>
              <w:rPr>
                <w:noProof/>
                <w:webHidden/>
              </w:rPr>
              <w:fldChar w:fldCharType="end"/>
            </w:r>
          </w:hyperlink>
        </w:p>
        <w:p w14:paraId="2660B039" w14:textId="6327CFF0" w:rsidR="00210809" w:rsidRDefault="00210809">
          <w:pPr>
            <w:pStyle w:val="TOC3"/>
            <w:rPr>
              <w:rFonts w:eastAsiaTheme="minorEastAsia" w:cstheme="minorBidi"/>
              <w:noProof/>
              <w:kern w:val="2"/>
              <w:sz w:val="24"/>
              <w:szCs w:val="24"/>
              <w14:ligatures w14:val="standardContextual"/>
            </w:rPr>
          </w:pPr>
          <w:hyperlink w:anchor="_Toc177568214" w:history="1">
            <w:r w:rsidRPr="000F0AB5">
              <w:rPr>
                <w:rStyle w:val="Hyperlink"/>
                <w:noProof/>
              </w:rPr>
              <w:t>Explanatory Note:</w:t>
            </w:r>
            <w:r>
              <w:rPr>
                <w:noProof/>
                <w:webHidden/>
              </w:rPr>
              <w:tab/>
            </w:r>
            <w:r>
              <w:rPr>
                <w:noProof/>
                <w:webHidden/>
              </w:rPr>
              <w:fldChar w:fldCharType="begin"/>
            </w:r>
            <w:r>
              <w:rPr>
                <w:noProof/>
                <w:webHidden/>
              </w:rPr>
              <w:instrText xml:space="preserve"> PAGEREF _Toc177568214 \h </w:instrText>
            </w:r>
            <w:r>
              <w:rPr>
                <w:noProof/>
                <w:webHidden/>
              </w:rPr>
            </w:r>
            <w:r>
              <w:rPr>
                <w:noProof/>
                <w:webHidden/>
              </w:rPr>
              <w:fldChar w:fldCharType="separate"/>
            </w:r>
            <w:r w:rsidR="00666D4F">
              <w:rPr>
                <w:noProof/>
                <w:webHidden/>
              </w:rPr>
              <w:t>4</w:t>
            </w:r>
            <w:r>
              <w:rPr>
                <w:noProof/>
                <w:webHidden/>
              </w:rPr>
              <w:fldChar w:fldCharType="end"/>
            </w:r>
          </w:hyperlink>
        </w:p>
        <w:p w14:paraId="6655324D" w14:textId="6AA7C96B" w:rsidR="00210809" w:rsidRDefault="00210809">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15" w:history="1">
            <w:r w:rsidRPr="000F0AB5">
              <w:rPr>
                <w:rStyle w:val="Hyperlink"/>
                <w:noProof/>
              </w:rPr>
              <w:t>1.</w:t>
            </w:r>
            <w:r>
              <w:rPr>
                <w:rFonts w:eastAsiaTheme="minorEastAsia" w:cstheme="minorBidi"/>
                <w:b w:val="0"/>
                <w:iCs w:val="0"/>
                <w:noProof/>
                <w:kern w:val="2"/>
                <w:sz w:val="24"/>
                <w:szCs w:val="24"/>
                <w14:ligatures w14:val="standardContextual"/>
              </w:rPr>
              <w:tab/>
            </w:r>
            <w:r w:rsidRPr="000F0AB5">
              <w:rPr>
                <w:rStyle w:val="Hyperlink"/>
                <w:noProof/>
              </w:rPr>
              <w:t>The Targeted Compliance Framework</w:t>
            </w:r>
            <w:r>
              <w:rPr>
                <w:noProof/>
                <w:webHidden/>
              </w:rPr>
              <w:tab/>
            </w:r>
            <w:r>
              <w:rPr>
                <w:noProof/>
                <w:webHidden/>
              </w:rPr>
              <w:fldChar w:fldCharType="begin"/>
            </w:r>
            <w:r>
              <w:rPr>
                <w:noProof/>
                <w:webHidden/>
              </w:rPr>
              <w:instrText xml:space="preserve"> PAGEREF _Toc177568215 \h </w:instrText>
            </w:r>
            <w:r>
              <w:rPr>
                <w:noProof/>
                <w:webHidden/>
              </w:rPr>
            </w:r>
            <w:r>
              <w:rPr>
                <w:noProof/>
                <w:webHidden/>
              </w:rPr>
              <w:fldChar w:fldCharType="separate"/>
            </w:r>
            <w:r w:rsidR="00666D4F">
              <w:rPr>
                <w:noProof/>
                <w:webHidden/>
              </w:rPr>
              <w:t>6</w:t>
            </w:r>
            <w:r>
              <w:rPr>
                <w:noProof/>
                <w:webHidden/>
              </w:rPr>
              <w:fldChar w:fldCharType="end"/>
            </w:r>
          </w:hyperlink>
        </w:p>
        <w:p w14:paraId="6D77ABA1" w14:textId="56421586" w:rsidR="00210809" w:rsidRDefault="00210809">
          <w:pPr>
            <w:pStyle w:val="TOC3"/>
            <w:rPr>
              <w:rFonts w:eastAsiaTheme="minorEastAsia" w:cstheme="minorBidi"/>
              <w:noProof/>
              <w:kern w:val="2"/>
              <w:sz w:val="24"/>
              <w:szCs w:val="24"/>
              <w14:ligatures w14:val="standardContextual"/>
            </w:rPr>
          </w:pPr>
          <w:hyperlink w:anchor="_Toc177568216" w:history="1">
            <w:r w:rsidRPr="000F0AB5">
              <w:rPr>
                <w:rStyle w:val="Hyperlink"/>
                <w:noProof/>
              </w:rPr>
              <w:t>The Three Zones</w:t>
            </w:r>
            <w:r>
              <w:rPr>
                <w:noProof/>
                <w:webHidden/>
              </w:rPr>
              <w:tab/>
            </w:r>
            <w:r>
              <w:rPr>
                <w:noProof/>
                <w:webHidden/>
              </w:rPr>
              <w:fldChar w:fldCharType="begin"/>
            </w:r>
            <w:r>
              <w:rPr>
                <w:noProof/>
                <w:webHidden/>
              </w:rPr>
              <w:instrText xml:space="preserve"> PAGEREF _Toc177568216 \h </w:instrText>
            </w:r>
            <w:r>
              <w:rPr>
                <w:noProof/>
                <w:webHidden/>
              </w:rPr>
            </w:r>
            <w:r>
              <w:rPr>
                <w:noProof/>
                <w:webHidden/>
              </w:rPr>
              <w:fldChar w:fldCharType="separate"/>
            </w:r>
            <w:r w:rsidR="00666D4F">
              <w:rPr>
                <w:noProof/>
                <w:webHidden/>
              </w:rPr>
              <w:t>6</w:t>
            </w:r>
            <w:r>
              <w:rPr>
                <w:noProof/>
                <w:webHidden/>
              </w:rPr>
              <w:fldChar w:fldCharType="end"/>
            </w:r>
          </w:hyperlink>
        </w:p>
        <w:p w14:paraId="230042C4" w14:textId="0A0D9920" w:rsidR="00210809" w:rsidRDefault="00210809">
          <w:pPr>
            <w:pStyle w:val="TOC3"/>
            <w:rPr>
              <w:rFonts w:eastAsiaTheme="minorEastAsia" w:cstheme="minorBidi"/>
              <w:noProof/>
              <w:kern w:val="2"/>
              <w:sz w:val="24"/>
              <w:szCs w:val="24"/>
              <w14:ligatures w14:val="standardContextual"/>
            </w:rPr>
          </w:pPr>
          <w:hyperlink w:anchor="_Toc177568217" w:history="1">
            <w:r w:rsidRPr="000F0AB5">
              <w:rPr>
                <w:rStyle w:val="Hyperlink"/>
                <w:noProof/>
              </w:rPr>
              <w:t>Recording participation by close of business</w:t>
            </w:r>
            <w:r>
              <w:rPr>
                <w:noProof/>
                <w:webHidden/>
              </w:rPr>
              <w:tab/>
            </w:r>
            <w:r>
              <w:rPr>
                <w:noProof/>
                <w:webHidden/>
              </w:rPr>
              <w:fldChar w:fldCharType="begin"/>
            </w:r>
            <w:r>
              <w:rPr>
                <w:noProof/>
                <w:webHidden/>
              </w:rPr>
              <w:instrText xml:space="preserve"> PAGEREF _Toc177568217 \h </w:instrText>
            </w:r>
            <w:r>
              <w:rPr>
                <w:noProof/>
                <w:webHidden/>
              </w:rPr>
            </w:r>
            <w:r>
              <w:rPr>
                <w:noProof/>
                <w:webHidden/>
              </w:rPr>
              <w:fldChar w:fldCharType="separate"/>
            </w:r>
            <w:r w:rsidR="00666D4F">
              <w:rPr>
                <w:noProof/>
                <w:webHidden/>
              </w:rPr>
              <w:t>9</w:t>
            </w:r>
            <w:r>
              <w:rPr>
                <w:noProof/>
                <w:webHidden/>
              </w:rPr>
              <w:fldChar w:fldCharType="end"/>
            </w:r>
          </w:hyperlink>
        </w:p>
        <w:p w14:paraId="5C0E15AB" w14:textId="21CD99C1" w:rsidR="00210809" w:rsidRDefault="00210809">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18" w:history="1">
            <w:r w:rsidRPr="000F0AB5">
              <w:rPr>
                <w:rStyle w:val="Hyperlink"/>
                <w:noProof/>
              </w:rPr>
              <w:t>2.</w:t>
            </w:r>
            <w:r>
              <w:rPr>
                <w:rFonts w:eastAsiaTheme="minorEastAsia" w:cstheme="minorBidi"/>
                <w:b w:val="0"/>
                <w:iCs w:val="0"/>
                <w:noProof/>
                <w:kern w:val="2"/>
                <w:sz w:val="24"/>
                <w:szCs w:val="24"/>
                <w14:ligatures w14:val="standardContextual"/>
              </w:rPr>
              <w:tab/>
            </w:r>
            <w:r w:rsidRPr="000F0AB5">
              <w:rPr>
                <w:rStyle w:val="Hyperlink"/>
                <w:noProof/>
              </w:rPr>
              <w:t>Committing Mutual Obligation Failures</w:t>
            </w:r>
            <w:r>
              <w:rPr>
                <w:noProof/>
                <w:webHidden/>
              </w:rPr>
              <w:tab/>
            </w:r>
            <w:r>
              <w:rPr>
                <w:noProof/>
                <w:webHidden/>
              </w:rPr>
              <w:fldChar w:fldCharType="begin"/>
            </w:r>
            <w:r>
              <w:rPr>
                <w:noProof/>
                <w:webHidden/>
              </w:rPr>
              <w:instrText xml:space="preserve"> PAGEREF _Toc177568218 \h </w:instrText>
            </w:r>
            <w:r>
              <w:rPr>
                <w:noProof/>
                <w:webHidden/>
              </w:rPr>
            </w:r>
            <w:r>
              <w:rPr>
                <w:noProof/>
                <w:webHidden/>
              </w:rPr>
              <w:fldChar w:fldCharType="separate"/>
            </w:r>
            <w:r w:rsidR="00666D4F">
              <w:rPr>
                <w:noProof/>
                <w:webHidden/>
              </w:rPr>
              <w:t>11</w:t>
            </w:r>
            <w:r>
              <w:rPr>
                <w:noProof/>
                <w:webHidden/>
              </w:rPr>
              <w:fldChar w:fldCharType="end"/>
            </w:r>
          </w:hyperlink>
        </w:p>
        <w:p w14:paraId="2362315E" w14:textId="23D0C46C" w:rsidR="00210809" w:rsidRDefault="00210809">
          <w:pPr>
            <w:pStyle w:val="TOC3"/>
            <w:rPr>
              <w:rFonts w:eastAsiaTheme="minorEastAsia" w:cstheme="minorBidi"/>
              <w:noProof/>
              <w:kern w:val="2"/>
              <w:sz w:val="24"/>
              <w:szCs w:val="24"/>
              <w14:ligatures w14:val="standardContextual"/>
            </w:rPr>
          </w:pPr>
          <w:hyperlink w:anchor="_Toc177568219" w:history="1">
            <w:r w:rsidRPr="000F0AB5">
              <w:rPr>
                <w:rStyle w:val="Hyperlink"/>
                <w:noProof/>
              </w:rPr>
              <w:t>Fast-track Mutual Obligation Failures</w:t>
            </w:r>
            <w:r>
              <w:rPr>
                <w:noProof/>
                <w:webHidden/>
              </w:rPr>
              <w:tab/>
            </w:r>
            <w:r>
              <w:rPr>
                <w:noProof/>
                <w:webHidden/>
              </w:rPr>
              <w:fldChar w:fldCharType="begin"/>
            </w:r>
            <w:r>
              <w:rPr>
                <w:noProof/>
                <w:webHidden/>
              </w:rPr>
              <w:instrText xml:space="preserve"> PAGEREF _Toc177568219 \h </w:instrText>
            </w:r>
            <w:r>
              <w:rPr>
                <w:noProof/>
                <w:webHidden/>
              </w:rPr>
            </w:r>
            <w:r>
              <w:rPr>
                <w:noProof/>
                <w:webHidden/>
              </w:rPr>
              <w:fldChar w:fldCharType="separate"/>
            </w:r>
            <w:r w:rsidR="00666D4F">
              <w:rPr>
                <w:noProof/>
                <w:webHidden/>
              </w:rPr>
              <w:t>11</w:t>
            </w:r>
            <w:r>
              <w:rPr>
                <w:noProof/>
                <w:webHidden/>
              </w:rPr>
              <w:fldChar w:fldCharType="end"/>
            </w:r>
          </w:hyperlink>
        </w:p>
        <w:p w14:paraId="090C9A60" w14:textId="3F4516F0" w:rsidR="00210809" w:rsidRDefault="00210809">
          <w:pPr>
            <w:pStyle w:val="TOC3"/>
            <w:rPr>
              <w:rFonts w:eastAsiaTheme="minorEastAsia" w:cstheme="minorBidi"/>
              <w:noProof/>
              <w:kern w:val="2"/>
              <w:sz w:val="24"/>
              <w:szCs w:val="24"/>
              <w14:ligatures w14:val="standardContextual"/>
            </w:rPr>
          </w:pPr>
          <w:hyperlink w:anchor="_Toc177568220" w:history="1">
            <w:r w:rsidRPr="000F0AB5">
              <w:rPr>
                <w:rStyle w:val="Hyperlink"/>
                <w:noProof/>
              </w:rPr>
              <w:t>Prior notice and Acceptable Reasons</w:t>
            </w:r>
            <w:r>
              <w:rPr>
                <w:noProof/>
                <w:webHidden/>
              </w:rPr>
              <w:tab/>
            </w:r>
            <w:r>
              <w:rPr>
                <w:noProof/>
                <w:webHidden/>
              </w:rPr>
              <w:fldChar w:fldCharType="begin"/>
            </w:r>
            <w:r>
              <w:rPr>
                <w:noProof/>
                <w:webHidden/>
              </w:rPr>
              <w:instrText xml:space="preserve"> PAGEREF _Toc177568220 \h </w:instrText>
            </w:r>
            <w:r>
              <w:rPr>
                <w:noProof/>
                <w:webHidden/>
              </w:rPr>
            </w:r>
            <w:r>
              <w:rPr>
                <w:noProof/>
                <w:webHidden/>
              </w:rPr>
              <w:fldChar w:fldCharType="separate"/>
            </w:r>
            <w:r w:rsidR="00666D4F">
              <w:rPr>
                <w:noProof/>
                <w:webHidden/>
              </w:rPr>
              <w:t>11</w:t>
            </w:r>
            <w:r>
              <w:rPr>
                <w:noProof/>
                <w:webHidden/>
              </w:rPr>
              <w:fldChar w:fldCharType="end"/>
            </w:r>
          </w:hyperlink>
        </w:p>
        <w:p w14:paraId="438B0355" w14:textId="520A1FB3" w:rsidR="00210809" w:rsidRDefault="00210809">
          <w:pPr>
            <w:pStyle w:val="TOC3"/>
            <w:rPr>
              <w:rFonts w:eastAsiaTheme="minorEastAsia" w:cstheme="minorBidi"/>
              <w:noProof/>
              <w:kern w:val="2"/>
              <w:sz w:val="24"/>
              <w:szCs w:val="24"/>
              <w14:ligatures w14:val="standardContextual"/>
            </w:rPr>
          </w:pPr>
          <w:hyperlink w:anchor="_Toc177568221" w:history="1">
            <w:r w:rsidRPr="000F0AB5">
              <w:rPr>
                <w:rStyle w:val="Hyperlink"/>
                <w:noProof/>
              </w:rPr>
              <w:t>Misconduct—Acting in an inappropriate manner</w:t>
            </w:r>
            <w:r>
              <w:rPr>
                <w:noProof/>
                <w:webHidden/>
              </w:rPr>
              <w:tab/>
            </w:r>
            <w:r>
              <w:rPr>
                <w:noProof/>
                <w:webHidden/>
              </w:rPr>
              <w:fldChar w:fldCharType="begin"/>
            </w:r>
            <w:r>
              <w:rPr>
                <w:noProof/>
                <w:webHidden/>
              </w:rPr>
              <w:instrText xml:space="preserve"> PAGEREF _Toc177568221 \h </w:instrText>
            </w:r>
            <w:r>
              <w:rPr>
                <w:noProof/>
                <w:webHidden/>
              </w:rPr>
            </w:r>
            <w:r>
              <w:rPr>
                <w:noProof/>
                <w:webHidden/>
              </w:rPr>
              <w:fldChar w:fldCharType="separate"/>
            </w:r>
            <w:r w:rsidR="00666D4F">
              <w:rPr>
                <w:noProof/>
                <w:webHidden/>
              </w:rPr>
              <w:t>12</w:t>
            </w:r>
            <w:r>
              <w:rPr>
                <w:noProof/>
                <w:webHidden/>
              </w:rPr>
              <w:fldChar w:fldCharType="end"/>
            </w:r>
          </w:hyperlink>
        </w:p>
        <w:p w14:paraId="470B9F08" w14:textId="6011A806" w:rsidR="00210809" w:rsidRDefault="00210809">
          <w:pPr>
            <w:pStyle w:val="TOC3"/>
            <w:rPr>
              <w:rFonts w:eastAsiaTheme="minorEastAsia" w:cstheme="minorBidi"/>
              <w:noProof/>
              <w:kern w:val="2"/>
              <w:sz w:val="24"/>
              <w:szCs w:val="24"/>
              <w14:ligatures w14:val="standardContextual"/>
            </w:rPr>
          </w:pPr>
          <w:hyperlink w:anchor="_Toc177568222" w:history="1">
            <w:r w:rsidRPr="000F0AB5">
              <w:rPr>
                <w:rStyle w:val="Hyperlink"/>
                <w:noProof/>
              </w:rPr>
              <w:t>Mutual Obligation Failures</w:t>
            </w:r>
            <w:r>
              <w:rPr>
                <w:noProof/>
                <w:webHidden/>
              </w:rPr>
              <w:tab/>
            </w:r>
            <w:r>
              <w:rPr>
                <w:noProof/>
                <w:webHidden/>
              </w:rPr>
              <w:fldChar w:fldCharType="begin"/>
            </w:r>
            <w:r>
              <w:rPr>
                <w:noProof/>
                <w:webHidden/>
              </w:rPr>
              <w:instrText xml:space="preserve"> PAGEREF _Toc177568222 \h </w:instrText>
            </w:r>
            <w:r>
              <w:rPr>
                <w:noProof/>
                <w:webHidden/>
              </w:rPr>
            </w:r>
            <w:r>
              <w:rPr>
                <w:noProof/>
                <w:webHidden/>
              </w:rPr>
              <w:fldChar w:fldCharType="separate"/>
            </w:r>
            <w:r w:rsidR="00666D4F">
              <w:rPr>
                <w:noProof/>
                <w:webHidden/>
              </w:rPr>
              <w:t>13</w:t>
            </w:r>
            <w:r>
              <w:rPr>
                <w:noProof/>
                <w:webHidden/>
              </w:rPr>
              <w:fldChar w:fldCharType="end"/>
            </w:r>
          </w:hyperlink>
        </w:p>
        <w:p w14:paraId="23E0D6DE" w14:textId="4DB27CF7" w:rsidR="00210809" w:rsidRDefault="00210809">
          <w:pPr>
            <w:pStyle w:val="TOC3"/>
            <w:rPr>
              <w:rFonts w:eastAsiaTheme="minorEastAsia" w:cstheme="minorBidi"/>
              <w:noProof/>
              <w:kern w:val="2"/>
              <w:sz w:val="24"/>
              <w:szCs w:val="24"/>
              <w14:ligatures w14:val="standardContextual"/>
            </w:rPr>
          </w:pPr>
          <w:hyperlink w:anchor="_Toc177568223" w:history="1">
            <w:r w:rsidRPr="000F0AB5">
              <w:rPr>
                <w:rStyle w:val="Hyperlink"/>
                <w:noProof/>
              </w:rPr>
              <w:t>When a Participant commits a Mutual Obligation Failure</w:t>
            </w:r>
            <w:r>
              <w:rPr>
                <w:noProof/>
                <w:webHidden/>
              </w:rPr>
              <w:tab/>
            </w:r>
            <w:r>
              <w:rPr>
                <w:noProof/>
                <w:webHidden/>
              </w:rPr>
              <w:fldChar w:fldCharType="begin"/>
            </w:r>
            <w:r>
              <w:rPr>
                <w:noProof/>
                <w:webHidden/>
              </w:rPr>
              <w:instrText xml:space="preserve"> PAGEREF _Toc177568223 \h </w:instrText>
            </w:r>
            <w:r>
              <w:rPr>
                <w:noProof/>
                <w:webHidden/>
              </w:rPr>
            </w:r>
            <w:r>
              <w:rPr>
                <w:noProof/>
                <w:webHidden/>
              </w:rPr>
              <w:fldChar w:fldCharType="separate"/>
            </w:r>
            <w:r w:rsidR="00666D4F">
              <w:rPr>
                <w:noProof/>
                <w:webHidden/>
              </w:rPr>
              <w:t>15</w:t>
            </w:r>
            <w:r>
              <w:rPr>
                <w:noProof/>
                <w:webHidden/>
              </w:rPr>
              <w:fldChar w:fldCharType="end"/>
            </w:r>
          </w:hyperlink>
        </w:p>
        <w:p w14:paraId="039FB7C7" w14:textId="2C19AA98" w:rsidR="00210809" w:rsidRDefault="00210809">
          <w:pPr>
            <w:pStyle w:val="TOC3"/>
            <w:rPr>
              <w:rFonts w:eastAsiaTheme="minorEastAsia" w:cstheme="minorBidi"/>
              <w:noProof/>
              <w:kern w:val="2"/>
              <w:sz w:val="24"/>
              <w:szCs w:val="24"/>
              <w14:ligatures w14:val="standardContextual"/>
            </w:rPr>
          </w:pPr>
          <w:hyperlink w:anchor="_Toc177568224" w:history="1">
            <w:r w:rsidRPr="000F0AB5">
              <w:rPr>
                <w:rStyle w:val="Hyperlink"/>
                <w:noProof/>
              </w:rPr>
              <w:t>Assessing Valid Reasons</w:t>
            </w:r>
            <w:r>
              <w:rPr>
                <w:noProof/>
                <w:webHidden/>
              </w:rPr>
              <w:tab/>
            </w:r>
            <w:r>
              <w:rPr>
                <w:noProof/>
                <w:webHidden/>
              </w:rPr>
              <w:fldChar w:fldCharType="begin"/>
            </w:r>
            <w:r>
              <w:rPr>
                <w:noProof/>
                <w:webHidden/>
              </w:rPr>
              <w:instrText xml:space="preserve"> PAGEREF _Toc177568224 \h </w:instrText>
            </w:r>
            <w:r>
              <w:rPr>
                <w:noProof/>
                <w:webHidden/>
              </w:rPr>
            </w:r>
            <w:r>
              <w:rPr>
                <w:noProof/>
                <w:webHidden/>
              </w:rPr>
              <w:fldChar w:fldCharType="separate"/>
            </w:r>
            <w:r w:rsidR="00666D4F">
              <w:rPr>
                <w:noProof/>
                <w:webHidden/>
              </w:rPr>
              <w:t>17</w:t>
            </w:r>
            <w:r>
              <w:rPr>
                <w:noProof/>
                <w:webHidden/>
              </w:rPr>
              <w:fldChar w:fldCharType="end"/>
            </w:r>
          </w:hyperlink>
        </w:p>
        <w:p w14:paraId="2159F874" w14:textId="27AC1DDA" w:rsidR="00210809" w:rsidRDefault="00210809">
          <w:pPr>
            <w:pStyle w:val="TOC3"/>
            <w:rPr>
              <w:rFonts w:eastAsiaTheme="minorEastAsia" w:cstheme="minorBidi"/>
              <w:noProof/>
              <w:kern w:val="2"/>
              <w:sz w:val="24"/>
              <w:szCs w:val="24"/>
              <w14:ligatures w14:val="standardContextual"/>
            </w:rPr>
          </w:pPr>
          <w:hyperlink w:anchor="_Toc177568225" w:history="1">
            <w:r w:rsidRPr="000F0AB5">
              <w:rPr>
                <w:rStyle w:val="Hyperlink"/>
                <w:noProof/>
              </w:rPr>
              <w:t>Manually removing Demerits</w:t>
            </w:r>
            <w:r>
              <w:rPr>
                <w:noProof/>
                <w:webHidden/>
              </w:rPr>
              <w:tab/>
            </w:r>
            <w:r>
              <w:rPr>
                <w:noProof/>
                <w:webHidden/>
              </w:rPr>
              <w:fldChar w:fldCharType="begin"/>
            </w:r>
            <w:r>
              <w:rPr>
                <w:noProof/>
                <w:webHidden/>
              </w:rPr>
              <w:instrText xml:space="preserve"> PAGEREF _Toc177568225 \h </w:instrText>
            </w:r>
            <w:r>
              <w:rPr>
                <w:noProof/>
                <w:webHidden/>
              </w:rPr>
            </w:r>
            <w:r>
              <w:rPr>
                <w:noProof/>
                <w:webHidden/>
              </w:rPr>
              <w:fldChar w:fldCharType="separate"/>
            </w:r>
            <w:r w:rsidR="00666D4F">
              <w:rPr>
                <w:noProof/>
                <w:webHidden/>
              </w:rPr>
              <w:t>21</w:t>
            </w:r>
            <w:r>
              <w:rPr>
                <w:noProof/>
                <w:webHidden/>
              </w:rPr>
              <w:fldChar w:fldCharType="end"/>
            </w:r>
          </w:hyperlink>
        </w:p>
        <w:p w14:paraId="139D4599" w14:textId="115B0093" w:rsidR="00210809" w:rsidRDefault="00210809">
          <w:pPr>
            <w:pStyle w:val="TOC3"/>
            <w:rPr>
              <w:rFonts w:eastAsiaTheme="minorEastAsia" w:cstheme="minorBidi"/>
              <w:noProof/>
              <w:kern w:val="2"/>
              <w:sz w:val="24"/>
              <w:szCs w:val="24"/>
              <w14:ligatures w14:val="standardContextual"/>
            </w:rPr>
          </w:pPr>
          <w:hyperlink w:anchor="_Toc177568226" w:history="1">
            <w:r w:rsidRPr="000F0AB5">
              <w:rPr>
                <w:rStyle w:val="Hyperlink"/>
                <w:noProof/>
              </w:rPr>
              <w:t>Participants cannot appeal Demerit decisions under Social Security Law</w:t>
            </w:r>
            <w:r>
              <w:rPr>
                <w:noProof/>
                <w:webHidden/>
              </w:rPr>
              <w:tab/>
            </w:r>
            <w:r>
              <w:rPr>
                <w:noProof/>
                <w:webHidden/>
              </w:rPr>
              <w:fldChar w:fldCharType="begin"/>
            </w:r>
            <w:r>
              <w:rPr>
                <w:noProof/>
                <w:webHidden/>
              </w:rPr>
              <w:instrText xml:space="preserve"> PAGEREF _Toc177568226 \h </w:instrText>
            </w:r>
            <w:r>
              <w:rPr>
                <w:noProof/>
                <w:webHidden/>
              </w:rPr>
            </w:r>
            <w:r>
              <w:rPr>
                <w:noProof/>
                <w:webHidden/>
              </w:rPr>
              <w:fldChar w:fldCharType="separate"/>
            </w:r>
            <w:r w:rsidR="00666D4F">
              <w:rPr>
                <w:noProof/>
                <w:webHidden/>
              </w:rPr>
              <w:t>22</w:t>
            </w:r>
            <w:r>
              <w:rPr>
                <w:noProof/>
                <w:webHidden/>
              </w:rPr>
              <w:fldChar w:fldCharType="end"/>
            </w:r>
          </w:hyperlink>
        </w:p>
        <w:p w14:paraId="1383AEB0" w14:textId="6CEF6603" w:rsidR="00210809" w:rsidRDefault="00210809">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27" w:history="1">
            <w:r w:rsidRPr="000F0AB5">
              <w:rPr>
                <w:rStyle w:val="Hyperlink"/>
                <w:noProof/>
              </w:rPr>
              <w:t>3.</w:t>
            </w:r>
            <w:r>
              <w:rPr>
                <w:rFonts w:eastAsiaTheme="minorEastAsia" w:cstheme="minorBidi"/>
                <w:b w:val="0"/>
                <w:iCs w:val="0"/>
                <w:noProof/>
                <w:kern w:val="2"/>
                <w:sz w:val="24"/>
                <w:szCs w:val="24"/>
                <w14:ligatures w14:val="standardContextual"/>
              </w:rPr>
              <w:tab/>
            </w:r>
            <w:r w:rsidRPr="000F0AB5">
              <w:rPr>
                <w:rStyle w:val="Hyperlink"/>
                <w:noProof/>
              </w:rPr>
              <w:t>Reconnection Requirements</w:t>
            </w:r>
            <w:r>
              <w:rPr>
                <w:noProof/>
                <w:webHidden/>
              </w:rPr>
              <w:tab/>
            </w:r>
            <w:r>
              <w:rPr>
                <w:noProof/>
                <w:webHidden/>
              </w:rPr>
              <w:fldChar w:fldCharType="begin"/>
            </w:r>
            <w:r>
              <w:rPr>
                <w:noProof/>
                <w:webHidden/>
              </w:rPr>
              <w:instrText xml:space="preserve"> PAGEREF _Toc177568227 \h </w:instrText>
            </w:r>
            <w:r>
              <w:rPr>
                <w:noProof/>
                <w:webHidden/>
              </w:rPr>
            </w:r>
            <w:r>
              <w:rPr>
                <w:noProof/>
                <w:webHidden/>
              </w:rPr>
              <w:fldChar w:fldCharType="separate"/>
            </w:r>
            <w:r w:rsidR="00666D4F">
              <w:rPr>
                <w:noProof/>
                <w:webHidden/>
              </w:rPr>
              <w:t>23</w:t>
            </w:r>
            <w:r>
              <w:rPr>
                <w:noProof/>
                <w:webHidden/>
              </w:rPr>
              <w:fldChar w:fldCharType="end"/>
            </w:r>
          </w:hyperlink>
        </w:p>
        <w:p w14:paraId="3DD160F1" w14:textId="4D26F971" w:rsidR="00210809" w:rsidRDefault="00210809">
          <w:pPr>
            <w:pStyle w:val="TOC3"/>
            <w:rPr>
              <w:rFonts w:eastAsiaTheme="minorEastAsia" w:cstheme="minorBidi"/>
              <w:noProof/>
              <w:kern w:val="2"/>
              <w:sz w:val="24"/>
              <w:szCs w:val="24"/>
              <w14:ligatures w14:val="standardContextual"/>
            </w:rPr>
          </w:pPr>
          <w:hyperlink w:anchor="_Toc177568228" w:history="1">
            <w:r w:rsidRPr="000F0AB5">
              <w:rPr>
                <w:rStyle w:val="Hyperlink"/>
                <w:noProof/>
              </w:rPr>
              <w:t>Reconnection Requirements - No Longer Required</w:t>
            </w:r>
            <w:r>
              <w:rPr>
                <w:noProof/>
                <w:webHidden/>
              </w:rPr>
              <w:tab/>
            </w:r>
            <w:r>
              <w:rPr>
                <w:noProof/>
                <w:webHidden/>
              </w:rPr>
              <w:fldChar w:fldCharType="begin"/>
            </w:r>
            <w:r>
              <w:rPr>
                <w:noProof/>
                <w:webHidden/>
              </w:rPr>
              <w:instrText xml:space="preserve"> PAGEREF _Toc177568228 \h </w:instrText>
            </w:r>
            <w:r>
              <w:rPr>
                <w:noProof/>
                <w:webHidden/>
              </w:rPr>
            </w:r>
            <w:r>
              <w:rPr>
                <w:noProof/>
                <w:webHidden/>
              </w:rPr>
              <w:fldChar w:fldCharType="separate"/>
            </w:r>
            <w:r w:rsidR="00666D4F">
              <w:rPr>
                <w:noProof/>
                <w:webHidden/>
              </w:rPr>
              <w:t>23</w:t>
            </w:r>
            <w:r>
              <w:rPr>
                <w:noProof/>
                <w:webHidden/>
              </w:rPr>
              <w:fldChar w:fldCharType="end"/>
            </w:r>
          </w:hyperlink>
        </w:p>
        <w:p w14:paraId="2480D093" w14:textId="03162EDF" w:rsidR="00210809" w:rsidRDefault="00210809">
          <w:pPr>
            <w:pStyle w:val="TOC3"/>
            <w:rPr>
              <w:rFonts w:eastAsiaTheme="minorEastAsia" w:cstheme="minorBidi"/>
              <w:noProof/>
              <w:kern w:val="2"/>
              <w:sz w:val="24"/>
              <w:szCs w:val="24"/>
              <w14:ligatures w14:val="standardContextual"/>
            </w:rPr>
          </w:pPr>
          <w:hyperlink w:anchor="_Toc177568229" w:history="1">
            <w:r w:rsidRPr="000F0AB5">
              <w:rPr>
                <w:rStyle w:val="Hyperlink"/>
                <w:noProof/>
              </w:rPr>
              <w:t>Setting a Reconnection Requirement</w:t>
            </w:r>
            <w:r>
              <w:rPr>
                <w:noProof/>
                <w:webHidden/>
              </w:rPr>
              <w:tab/>
            </w:r>
            <w:r>
              <w:rPr>
                <w:noProof/>
                <w:webHidden/>
              </w:rPr>
              <w:fldChar w:fldCharType="begin"/>
            </w:r>
            <w:r>
              <w:rPr>
                <w:noProof/>
                <w:webHidden/>
              </w:rPr>
              <w:instrText xml:space="preserve"> PAGEREF _Toc177568229 \h </w:instrText>
            </w:r>
            <w:r>
              <w:rPr>
                <w:noProof/>
                <w:webHidden/>
              </w:rPr>
            </w:r>
            <w:r>
              <w:rPr>
                <w:noProof/>
                <w:webHidden/>
              </w:rPr>
              <w:fldChar w:fldCharType="separate"/>
            </w:r>
            <w:r w:rsidR="00666D4F">
              <w:rPr>
                <w:noProof/>
                <w:webHidden/>
              </w:rPr>
              <w:t>24</w:t>
            </w:r>
            <w:r>
              <w:rPr>
                <w:noProof/>
                <w:webHidden/>
              </w:rPr>
              <w:fldChar w:fldCharType="end"/>
            </w:r>
          </w:hyperlink>
        </w:p>
        <w:p w14:paraId="7CCE54C4" w14:textId="72CE4468" w:rsidR="00210809" w:rsidRDefault="00210809">
          <w:pPr>
            <w:pStyle w:val="TOC2"/>
            <w:tabs>
              <w:tab w:val="left" w:pos="660"/>
              <w:tab w:val="right" w:leader="dot" w:pos="9016"/>
            </w:tabs>
            <w:rPr>
              <w:rFonts w:eastAsiaTheme="minorEastAsia" w:cstheme="minorBidi"/>
              <w:b w:val="0"/>
              <w:iCs w:val="0"/>
              <w:noProof/>
              <w:kern w:val="2"/>
              <w:sz w:val="24"/>
              <w:szCs w:val="24"/>
              <w14:ligatures w14:val="standardContextual"/>
            </w:rPr>
          </w:pPr>
          <w:hyperlink w:anchor="_Toc177568230" w:history="1">
            <w:r w:rsidRPr="000F0AB5">
              <w:rPr>
                <w:rStyle w:val="Hyperlink"/>
                <w:noProof/>
              </w:rPr>
              <w:t>4.</w:t>
            </w:r>
            <w:r>
              <w:rPr>
                <w:rFonts w:eastAsiaTheme="minorEastAsia" w:cstheme="minorBidi"/>
                <w:b w:val="0"/>
                <w:iCs w:val="0"/>
                <w:noProof/>
                <w:kern w:val="2"/>
                <w:sz w:val="24"/>
                <w:szCs w:val="24"/>
                <w14:ligatures w14:val="standardContextual"/>
              </w:rPr>
              <w:tab/>
            </w:r>
            <w:r w:rsidRPr="000F0AB5">
              <w:rPr>
                <w:rStyle w:val="Hyperlink"/>
                <w:noProof/>
              </w:rPr>
              <w:t>The Penalty Zone</w:t>
            </w:r>
            <w:r>
              <w:rPr>
                <w:noProof/>
                <w:webHidden/>
              </w:rPr>
              <w:tab/>
            </w:r>
            <w:r>
              <w:rPr>
                <w:noProof/>
                <w:webHidden/>
              </w:rPr>
              <w:fldChar w:fldCharType="begin"/>
            </w:r>
            <w:r>
              <w:rPr>
                <w:noProof/>
                <w:webHidden/>
              </w:rPr>
              <w:instrText xml:space="preserve"> PAGEREF _Toc177568230 \h </w:instrText>
            </w:r>
            <w:r>
              <w:rPr>
                <w:noProof/>
                <w:webHidden/>
              </w:rPr>
            </w:r>
            <w:r>
              <w:rPr>
                <w:noProof/>
                <w:webHidden/>
              </w:rPr>
              <w:fldChar w:fldCharType="separate"/>
            </w:r>
            <w:r w:rsidR="00666D4F">
              <w:rPr>
                <w:noProof/>
                <w:webHidden/>
              </w:rPr>
              <w:t>28</w:t>
            </w:r>
            <w:r>
              <w:rPr>
                <w:noProof/>
                <w:webHidden/>
              </w:rPr>
              <w:fldChar w:fldCharType="end"/>
            </w:r>
          </w:hyperlink>
        </w:p>
        <w:p w14:paraId="1296DA58" w14:textId="5B32DA59" w:rsidR="00210809" w:rsidRDefault="00210809">
          <w:pPr>
            <w:pStyle w:val="TOC3"/>
            <w:rPr>
              <w:rFonts w:eastAsiaTheme="minorEastAsia" w:cstheme="minorBidi"/>
              <w:noProof/>
              <w:kern w:val="2"/>
              <w:sz w:val="24"/>
              <w:szCs w:val="24"/>
              <w14:ligatures w14:val="standardContextual"/>
            </w:rPr>
          </w:pPr>
          <w:hyperlink w:anchor="_Toc177568231" w:history="1">
            <w:r w:rsidRPr="000F0AB5">
              <w:rPr>
                <w:rStyle w:val="Hyperlink"/>
                <w:noProof/>
              </w:rPr>
              <w:t>Non-compliance reports</w:t>
            </w:r>
            <w:r>
              <w:rPr>
                <w:noProof/>
                <w:webHidden/>
              </w:rPr>
              <w:tab/>
            </w:r>
            <w:r>
              <w:rPr>
                <w:noProof/>
                <w:webHidden/>
              </w:rPr>
              <w:fldChar w:fldCharType="begin"/>
            </w:r>
            <w:r>
              <w:rPr>
                <w:noProof/>
                <w:webHidden/>
              </w:rPr>
              <w:instrText xml:space="preserve"> PAGEREF _Toc177568231 \h </w:instrText>
            </w:r>
            <w:r>
              <w:rPr>
                <w:noProof/>
                <w:webHidden/>
              </w:rPr>
            </w:r>
            <w:r>
              <w:rPr>
                <w:noProof/>
                <w:webHidden/>
              </w:rPr>
              <w:fldChar w:fldCharType="separate"/>
            </w:r>
            <w:r w:rsidR="00666D4F">
              <w:rPr>
                <w:noProof/>
                <w:webHidden/>
              </w:rPr>
              <w:t>28</w:t>
            </w:r>
            <w:r>
              <w:rPr>
                <w:noProof/>
                <w:webHidden/>
              </w:rPr>
              <w:fldChar w:fldCharType="end"/>
            </w:r>
          </w:hyperlink>
        </w:p>
        <w:p w14:paraId="40430E40" w14:textId="226805BA" w:rsidR="00210809" w:rsidRDefault="00210809">
          <w:pPr>
            <w:pStyle w:val="TOC3"/>
            <w:rPr>
              <w:rFonts w:eastAsiaTheme="minorEastAsia" w:cstheme="minorBidi"/>
              <w:noProof/>
              <w:kern w:val="2"/>
              <w:sz w:val="24"/>
              <w:szCs w:val="24"/>
              <w14:ligatures w14:val="standardContextual"/>
            </w:rPr>
          </w:pPr>
          <w:hyperlink w:anchor="_Toc177568232" w:history="1">
            <w:r w:rsidRPr="000F0AB5">
              <w:rPr>
                <w:rStyle w:val="Hyperlink"/>
                <w:noProof/>
              </w:rPr>
              <w:t>Summary of required Documentary Evidence</w:t>
            </w:r>
            <w:r>
              <w:rPr>
                <w:noProof/>
                <w:webHidden/>
              </w:rPr>
              <w:tab/>
            </w:r>
            <w:r>
              <w:rPr>
                <w:noProof/>
                <w:webHidden/>
              </w:rPr>
              <w:fldChar w:fldCharType="begin"/>
            </w:r>
            <w:r>
              <w:rPr>
                <w:noProof/>
                <w:webHidden/>
              </w:rPr>
              <w:instrText xml:space="preserve"> PAGEREF _Toc177568232 \h </w:instrText>
            </w:r>
            <w:r>
              <w:rPr>
                <w:noProof/>
                <w:webHidden/>
              </w:rPr>
            </w:r>
            <w:r>
              <w:rPr>
                <w:noProof/>
                <w:webHidden/>
              </w:rPr>
              <w:fldChar w:fldCharType="separate"/>
            </w:r>
            <w:r w:rsidR="00666D4F">
              <w:rPr>
                <w:noProof/>
                <w:webHidden/>
              </w:rPr>
              <w:t>28</w:t>
            </w:r>
            <w:r>
              <w:rPr>
                <w:noProof/>
                <w:webHidden/>
              </w:rPr>
              <w:fldChar w:fldCharType="end"/>
            </w:r>
          </w:hyperlink>
        </w:p>
        <w:p w14:paraId="67869480" w14:textId="0D0B8338"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3" w:history="1">
            <w:r w:rsidRPr="000F0AB5">
              <w:rPr>
                <w:rStyle w:val="Hyperlink"/>
                <w:noProof/>
              </w:rPr>
              <w:t>Attachment A - System steps that affect: creation and confirmation of Demerits; suspension of Income Support Payment; lifting of Income Support Payment suspensions</w:t>
            </w:r>
            <w:r>
              <w:rPr>
                <w:noProof/>
                <w:webHidden/>
              </w:rPr>
              <w:tab/>
            </w:r>
            <w:r>
              <w:rPr>
                <w:noProof/>
                <w:webHidden/>
              </w:rPr>
              <w:fldChar w:fldCharType="begin"/>
            </w:r>
            <w:r>
              <w:rPr>
                <w:noProof/>
                <w:webHidden/>
              </w:rPr>
              <w:instrText xml:space="preserve"> PAGEREF _Toc177568233 \h </w:instrText>
            </w:r>
            <w:r>
              <w:rPr>
                <w:noProof/>
                <w:webHidden/>
              </w:rPr>
            </w:r>
            <w:r>
              <w:rPr>
                <w:noProof/>
                <w:webHidden/>
              </w:rPr>
              <w:fldChar w:fldCharType="separate"/>
            </w:r>
            <w:r w:rsidR="00666D4F">
              <w:rPr>
                <w:noProof/>
                <w:webHidden/>
              </w:rPr>
              <w:t>29</w:t>
            </w:r>
            <w:r>
              <w:rPr>
                <w:noProof/>
                <w:webHidden/>
              </w:rPr>
              <w:fldChar w:fldCharType="end"/>
            </w:r>
          </w:hyperlink>
        </w:p>
        <w:p w14:paraId="30FBD7E1" w14:textId="0E95F93D"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4" w:history="1">
            <w:r w:rsidRPr="000F0AB5">
              <w:rPr>
                <w:rStyle w:val="Hyperlink"/>
                <w:noProof/>
              </w:rPr>
              <w:t>Attachment B - Overview of the Targeted Compliance Framework</w:t>
            </w:r>
            <w:r>
              <w:rPr>
                <w:noProof/>
                <w:webHidden/>
              </w:rPr>
              <w:tab/>
            </w:r>
            <w:r>
              <w:rPr>
                <w:noProof/>
                <w:webHidden/>
              </w:rPr>
              <w:fldChar w:fldCharType="begin"/>
            </w:r>
            <w:r>
              <w:rPr>
                <w:noProof/>
                <w:webHidden/>
              </w:rPr>
              <w:instrText xml:space="preserve"> PAGEREF _Toc177568234 \h </w:instrText>
            </w:r>
            <w:r>
              <w:rPr>
                <w:noProof/>
                <w:webHidden/>
              </w:rPr>
            </w:r>
            <w:r>
              <w:rPr>
                <w:noProof/>
                <w:webHidden/>
              </w:rPr>
              <w:fldChar w:fldCharType="separate"/>
            </w:r>
            <w:r w:rsidR="00666D4F">
              <w:rPr>
                <w:noProof/>
                <w:webHidden/>
              </w:rPr>
              <w:t>38</w:t>
            </w:r>
            <w:r>
              <w:rPr>
                <w:noProof/>
                <w:webHidden/>
              </w:rPr>
              <w:fldChar w:fldCharType="end"/>
            </w:r>
          </w:hyperlink>
        </w:p>
        <w:p w14:paraId="4895A35C" w14:textId="25E4003F"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5" w:history="1">
            <w:r w:rsidRPr="000F0AB5">
              <w:rPr>
                <w:rStyle w:val="Hyperlink"/>
                <w:noProof/>
              </w:rPr>
              <w:t>Attachment C—‘Rescheduled’, ‘No Longer Required’ and ‘Requirement no longer needs to be met’ reason options</w:t>
            </w:r>
            <w:r>
              <w:rPr>
                <w:noProof/>
                <w:webHidden/>
              </w:rPr>
              <w:tab/>
            </w:r>
            <w:r>
              <w:rPr>
                <w:noProof/>
                <w:webHidden/>
              </w:rPr>
              <w:fldChar w:fldCharType="begin"/>
            </w:r>
            <w:r>
              <w:rPr>
                <w:noProof/>
                <w:webHidden/>
              </w:rPr>
              <w:instrText xml:space="preserve"> PAGEREF _Toc177568235 \h </w:instrText>
            </w:r>
            <w:r>
              <w:rPr>
                <w:noProof/>
                <w:webHidden/>
              </w:rPr>
            </w:r>
            <w:r>
              <w:rPr>
                <w:noProof/>
                <w:webHidden/>
              </w:rPr>
              <w:fldChar w:fldCharType="separate"/>
            </w:r>
            <w:r w:rsidR="00666D4F">
              <w:rPr>
                <w:noProof/>
                <w:webHidden/>
              </w:rPr>
              <w:t>39</w:t>
            </w:r>
            <w:r>
              <w:rPr>
                <w:noProof/>
                <w:webHidden/>
              </w:rPr>
              <w:fldChar w:fldCharType="end"/>
            </w:r>
          </w:hyperlink>
        </w:p>
        <w:p w14:paraId="2FA8EB59" w14:textId="54729C8D"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6" w:history="1">
            <w:r w:rsidRPr="000F0AB5">
              <w:rPr>
                <w:rStyle w:val="Hyperlink"/>
                <w:noProof/>
              </w:rPr>
              <w:t>Attachment D – Targeted Compliance Framework (TCF) workflow</w:t>
            </w:r>
            <w:r>
              <w:rPr>
                <w:noProof/>
                <w:webHidden/>
              </w:rPr>
              <w:tab/>
            </w:r>
            <w:r>
              <w:rPr>
                <w:noProof/>
                <w:webHidden/>
              </w:rPr>
              <w:fldChar w:fldCharType="begin"/>
            </w:r>
            <w:r>
              <w:rPr>
                <w:noProof/>
                <w:webHidden/>
              </w:rPr>
              <w:instrText xml:space="preserve"> PAGEREF _Toc177568236 \h </w:instrText>
            </w:r>
            <w:r>
              <w:rPr>
                <w:noProof/>
                <w:webHidden/>
              </w:rPr>
            </w:r>
            <w:r>
              <w:rPr>
                <w:noProof/>
                <w:webHidden/>
              </w:rPr>
              <w:fldChar w:fldCharType="separate"/>
            </w:r>
            <w:r w:rsidR="00666D4F">
              <w:rPr>
                <w:noProof/>
                <w:webHidden/>
              </w:rPr>
              <w:t>40</w:t>
            </w:r>
            <w:r>
              <w:rPr>
                <w:noProof/>
                <w:webHidden/>
              </w:rPr>
              <w:fldChar w:fldCharType="end"/>
            </w:r>
          </w:hyperlink>
        </w:p>
        <w:p w14:paraId="7E597086" w14:textId="54F972A2"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7" w:history="1">
            <w:r w:rsidRPr="000F0AB5">
              <w:rPr>
                <w:rStyle w:val="Hyperlink"/>
                <w:noProof/>
              </w:rPr>
              <w:t>Attachment E—Valid Reason assessment options</w:t>
            </w:r>
            <w:r>
              <w:rPr>
                <w:noProof/>
                <w:webHidden/>
              </w:rPr>
              <w:tab/>
            </w:r>
            <w:r>
              <w:rPr>
                <w:noProof/>
                <w:webHidden/>
              </w:rPr>
              <w:fldChar w:fldCharType="begin"/>
            </w:r>
            <w:r>
              <w:rPr>
                <w:noProof/>
                <w:webHidden/>
              </w:rPr>
              <w:instrText xml:space="preserve"> PAGEREF _Toc177568237 \h </w:instrText>
            </w:r>
            <w:r>
              <w:rPr>
                <w:noProof/>
                <w:webHidden/>
              </w:rPr>
            </w:r>
            <w:r>
              <w:rPr>
                <w:noProof/>
                <w:webHidden/>
              </w:rPr>
              <w:fldChar w:fldCharType="separate"/>
            </w:r>
            <w:r w:rsidR="00666D4F">
              <w:rPr>
                <w:noProof/>
                <w:webHidden/>
              </w:rPr>
              <w:t>42</w:t>
            </w:r>
            <w:r>
              <w:rPr>
                <w:noProof/>
                <w:webHidden/>
              </w:rPr>
              <w:fldChar w:fldCharType="end"/>
            </w:r>
          </w:hyperlink>
        </w:p>
        <w:p w14:paraId="483EB18D" w14:textId="6ACCE9EF"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8" w:history="1">
            <w:r w:rsidRPr="000F0AB5">
              <w:rPr>
                <w:rStyle w:val="Hyperlink"/>
                <w:noProof/>
              </w:rPr>
              <w:t>Attachment F—Manual Demerit removal options</w:t>
            </w:r>
            <w:r>
              <w:rPr>
                <w:noProof/>
                <w:webHidden/>
              </w:rPr>
              <w:tab/>
            </w:r>
            <w:r>
              <w:rPr>
                <w:noProof/>
                <w:webHidden/>
              </w:rPr>
              <w:fldChar w:fldCharType="begin"/>
            </w:r>
            <w:r>
              <w:rPr>
                <w:noProof/>
                <w:webHidden/>
              </w:rPr>
              <w:instrText xml:space="preserve"> PAGEREF _Toc177568238 \h </w:instrText>
            </w:r>
            <w:r>
              <w:rPr>
                <w:noProof/>
                <w:webHidden/>
              </w:rPr>
            </w:r>
            <w:r>
              <w:rPr>
                <w:noProof/>
                <w:webHidden/>
              </w:rPr>
              <w:fldChar w:fldCharType="separate"/>
            </w:r>
            <w:r w:rsidR="00666D4F">
              <w:rPr>
                <w:noProof/>
                <w:webHidden/>
              </w:rPr>
              <w:t>47</w:t>
            </w:r>
            <w:r>
              <w:rPr>
                <w:noProof/>
                <w:webHidden/>
              </w:rPr>
              <w:fldChar w:fldCharType="end"/>
            </w:r>
          </w:hyperlink>
        </w:p>
        <w:p w14:paraId="282E4537" w14:textId="32CF1DD1"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39" w:history="1">
            <w:r w:rsidRPr="000F0AB5">
              <w:rPr>
                <w:rStyle w:val="Hyperlink"/>
                <w:noProof/>
              </w:rPr>
              <w:t>Attachment G—‘Unable to Re-engage Within 2 Business Days’ reason options</w:t>
            </w:r>
            <w:r>
              <w:rPr>
                <w:noProof/>
                <w:webHidden/>
              </w:rPr>
              <w:tab/>
            </w:r>
            <w:r>
              <w:rPr>
                <w:noProof/>
                <w:webHidden/>
              </w:rPr>
              <w:fldChar w:fldCharType="begin"/>
            </w:r>
            <w:r>
              <w:rPr>
                <w:noProof/>
                <w:webHidden/>
              </w:rPr>
              <w:instrText xml:space="preserve"> PAGEREF _Toc177568239 \h </w:instrText>
            </w:r>
            <w:r>
              <w:rPr>
                <w:noProof/>
                <w:webHidden/>
              </w:rPr>
            </w:r>
            <w:r>
              <w:rPr>
                <w:noProof/>
                <w:webHidden/>
              </w:rPr>
              <w:fldChar w:fldCharType="separate"/>
            </w:r>
            <w:r w:rsidR="00666D4F">
              <w:rPr>
                <w:noProof/>
                <w:webHidden/>
              </w:rPr>
              <w:t>50</w:t>
            </w:r>
            <w:r>
              <w:rPr>
                <w:noProof/>
                <w:webHidden/>
              </w:rPr>
              <w:fldChar w:fldCharType="end"/>
            </w:r>
          </w:hyperlink>
        </w:p>
        <w:p w14:paraId="12222467" w14:textId="7531DC51"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40" w:history="1">
            <w:r w:rsidRPr="000F0AB5">
              <w:rPr>
                <w:rStyle w:val="Hyperlink"/>
                <w:noProof/>
              </w:rPr>
              <w:t>Attachment H—‘Re</w:t>
            </w:r>
            <w:r w:rsidRPr="000F0AB5">
              <w:rPr>
                <w:rStyle w:val="Hyperlink"/>
                <w:rFonts w:ascii="Cambria Math" w:hAnsi="Cambria Math" w:cs="Cambria Math"/>
                <w:noProof/>
              </w:rPr>
              <w:t>‑</w:t>
            </w:r>
            <w:r w:rsidRPr="000F0AB5">
              <w:rPr>
                <w:rStyle w:val="Hyperlink"/>
                <w:noProof/>
              </w:rPr>
              <w:t>engagement Not Required’ reason options</w:t>
            </w:r>
            <w:r>
              <w:rPr>
                <w:noProof/>
                <w:webHidden/>
              </w:rPr>
              <w:tab/>
            </w:r>
            <w:r>
              <w:rPr>
                <w:noProof/>
                <w:webHidden/>
              </w:rPr>
              <w:fldChar w:fldCharType="begin"/>
            </w:r>
            <w:r>
              <w:rPr>
                <w:noProof/>
                <w:webHidden/>
              </w:rPr>
              <w:instrText xml:space="preserve"> PAGEREF _Toc177568240 \h </w:instrText>
            </w:r>
            <w:r>
              <w:rPr>
                <w:noProof/>
                <w:webHidden/>
              </w:rPr>
            </w:r>
            <w:r>
              <w:rPr>
                <w:noProof/>
                <w:webHidden/>
              </w:rPr>
              <w:fldChar w:fldCharType="separate"/>
            </w:r>
            <w:r w:rsidR="00666D4F">
              <w:rPr>
                <w:noProof/>
                <w:webHidden/>
              </w:rPr>
              <w:t>51</w:t>
            </w:r>
            <w:r>
              <w:rPr>
                <w:noProof/>
                <w:webHidden/>
              </w:rPr>
              <w:fldChar w:fldCharType="end"/>
            </w:r>
          </w:hyperlink>
        </w:p>
        <w:p w14:paraId="42DB3997" w14:textId="249D5596" w:rsidR="00210809" w:rsidRDefault="00210809">
          <w:pPr>
            <w:pStyle w:val="TOC2"/>
            <w:tabs>
              <w:tab w:val="right" w:leader="dot" w:pos="9016"/>
            </w:tabs>
            <w:rPr>
              <w:rFonts w:eastAsiaTheme="minorEastAsia" w:cstheme="minorBidi"/>
              <w:b w:val="0"/>
              <w:iCs w:val="0"/>
              <w:noProof/>
              <w:kern w:val="2"/>
              <w:sz w:val="24"/>
              <w:szCs w:val="24"/>
              <w14:ligatures w14:val="standardContextual"/>
            </w:rPr>
          </w:pPr>
          <w:hyperlink w:anchor="_Toc177568241" w:history="1">
            <w:r w:rsidRPr="000F0AB5">
              <w:rPr>
                <w:rStyle w:val="Hyperlink"/>
                <w:noProof/>
              </w:rPr>
              <w:t>Attachment I—‘Compliance Action No Longer Appropriate’ reason options</w:t>
            </w:r>
            <w:r>
              <w:rPr>
                <w:noProof/>
                <w:webHidden/>
              </w:rPr>
              <w:tab/>
            </w:r>
            <w:r>
              <w:rPr>
                <w:noProof/>
                <w:webHidden/>
              </w:rPr>
              <w:fldChar w:fldCharType="begin"/>
            </w:r>
            <w:r>
              <w:rPr>
                <w:noProof/>
                <w:webHidden/>
              </w:rPr>
              <w:instrText xml:space="preserve"> PAGEREF _Toc177568241 \h </w:instrText>
            </w:r>
            <w:r>
              <w:rPr>
                <w:noProof/>
                <w:webHidden/>
              </w:rPr>
            </w:r>
            <w:r>
              <w:rPr>
                <w:noProof/>
                <w:webHidden/>
              </w:rPr>
              <w:fldChar w:fldCharType="separate"/>
            </w:r>
            <w:r w:rsidR="00666D4F">
              <w:rPr>
                <w:noProof/>
                <w:webHidden/>
              </w:rPr>
              <w:t>52</w:t>
            </w:r>
            <w:r>
              <w:rPr>
                <w:noProof/>
                <w:webHidden/>
              </w:rPr>
              <w:fldChar w:fldCharType="end"/>
            </w:r>
          </w:hyperlink>
        </w:p>
        <w:p w14:paraId="682B5830" w14:textId="6F3D3C34" w:rsidR="00E341A6" w:rsidRDefault="009B4563">
          <w:r>
            <w:rPr>
              <w:rFonts w:asciiTheme="minorHAnsi" w:hAnsiTheme="minorHAnsi" w:cstheme="minorHAnsi"/>
              <w:sz w:val="20"/>
              <w:szCs w:val="20"/>
            </w:rPr>
            <w:fldChar w:fldCharType="end"/>
          </w:r>
        </w:p>
      </w:sdtContent>
    </w:sdt>
    <w:p w14:paraId="61E31BA0"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60A7C26F" w14:textId="77777777" w:rsidR="00CD68CC" w:rsidRPr="00D43353" w:rsidRDefault="00AC50E9" w:rsidP="00F5063C">
      <w:pPr>
        <w:rPr>
          <w:rFonts w:eastAsiaTheme="minorEastAsia"/>
          <w:b/>
          <w:noProof/>
          <w:szCs w:val="22"/>
        </w:rPr>
      </w:pPr>
      <w:r w:rsidRPr="00AC50E9">
        <w:rPr>
          <w:rFonts w:eastAsiaTheme="minorEastAsia"/>
          <w:b/>
          <w:noProof/>
          <w:szCs w:val="22"/>
        </w:rPr>
        <w:t>Targeted Compliance Framework</w:t>
      </w:r>
      <w:r w:rsidR="005B30B5" w:rsidRPr="00427E22">
        <w:rPr>
          <w:rFonts w:eastAsiaTheme="minorEastAsia"/>
          <w:b/>
          <w:noProof/>
          <w:szCs w:val="22"/>
        </w:rPr>
        <w:t xml:space="preserve"> Guidelines</w:t>
      </w:r>
    </w:p>
    <w:p w14:paraId="1EDAF916"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19" w:name="_Toc227571645"/>
      <w:bookmarkStart w:id="20" w:name="_Toc495402560"/>
      <w:bookmarkStart w:id="21" w:name="_Toc177568210"/>
      <w:r w:rsidR="007073F5" w:rsidRPr="00D701EF">
        <w:t>Document Change History</w:t>
      </w:r>
      <w:bookmarkEnd w:id="19"/>
      <w:bookmarkEnd w:id="20"/>
      <w:bookmarkEnd w:id="2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070"/>
        <w:gridCol w:w="1134"/>
        <w:gridCol w:w="5953"/>
      </w:tblGrid>
      <w:tr w:rsidR="003F4C74" w:rsidRPr="003F4C74" w14:paraId="3CFBC31C" w14:textId="77777777" w:rsidTr="67EE9B0E">
        <w:trPr>
          <w:cantSplit/>
          <w:tblHeader/>
        </w:trPr>
        <w:tc>
          <w:tcPr>
            <w:tcW w:w="915" w:type="dxa"/>
            <w:shd w:val="clear" w:color="auto" w:fill="auto"/>
          </w:tcPr>
          <w:p w14:paraId="519295E3" w14:textId="77777777" w:rsidR="003F4C74" w:rsidRPr="00D43353" w:rsidRDefault="003F4C74" w:rsidP="00A4647B">
            <w:pPr>
              <w:pStyle w:val="TableHeading"/>
              <w:rPr>
                <w:color w:val="auto"/>
                <w:szCs w:val="22"/>
              </w:rPr>
            </w:pPr>
            <w:r w:rsidRPr="00D43353">
              <w:rPr>
                <w:color w:val="auto"/>
                <w:szCs w:val="22"/>
              </w:rPr>
              <w:t>Version</w:t>
            </w:r>
          </w:p>
        </w:tc>
        <w:tc>
          <w:tcPr>
            <w:tcW w:w="1070" w:type="dxa"/>
            <w:shd w:val="clear" w:color="auto" w:fill="auto"/>
          </w:tcPr>
          <w:p w14:paraId="7F8CF795" w14:textId="77777777" w:rsidR="003F4C74" w:rsidRPr="00D43353" w:rsidRDefault="003F4C74" w:rsidP="00A4647B">
            <w:pPr>
              <w:pStyle w:val="TableHeading"/>
              <w:rPr>
                <w:color w:val="auto"/>
                <w:szCs w:val="22"/>
              </w:rPr>
            </w:pPr>
            <w:r w:rsidRPr="00D43353">
              <w:rPr>
                <w:color w:val="auto"/>
                <w:szCs w:val="22"/>
              </w:rPr>
              <w:t>Effective Date</w:t>
            </w:r>
          </w:p>
        </w:tc>
        <w:tc>
          <w:tcPr>
            <w:tcW w:w="1134" w:type="dxa"/>
            <w:shd w:val="clear" w:color="auto" w:fill="auto"/>
          </w:tcPr>
          <w:p w14:paraId="5E031254" w14:textId="77777777" w:rsidR="003F4C74" w:rsidRPr="00D43353" w:rsidRDefault="003F4C74" w:rsidP="00A4647B">
            <w:pPr>
              <w:pStyle w:val="TableHeading"/>
              <w:rPr>
                <w:color w:val="auto"/>
                <w:szCs w:val="22"/>
              </w:rPr>
            </w:pPr>
            <w:r w:rsidRPr="00D43353">
              <w:rPr>
                <w:color w:val="auto"/>
                <w:szCs w:val="22"/>
              </w:rPr>
              <w:t>End Date</w:t>
            </w:r>
          </w:p>
        </w:tc>
        <w:tc>
          <w:tcPr>
            <w:tcW w:w="5953" w:type="dxa"/>
            <w:shd w:val="clear" w:color="auto" w:fill="auto"/>
          </w:tcPr>
          <w:p w14:paraId="36E2FC74" w14:textId="77777777" w:rsidR="003F4C74" w:rsidRPr="00D43353" w:rsidRDefault="003F4C74" w:rsidP="00A4647B">
            <w:pPr>
              <w:pStyle w:val="TableHeading"/>
              <w:rPr>
                <w:color w:val="auto"/>
                <w:szCs w:val="22"/>
              </w:rPr>
            </w:pPr>
            <w:r w:rsidRPr="00D43353">
              <w:rPr>
                <w:color w:val="auto"/>
                <w:szCs w:val="22"/>
              </w:rPr>
              <w:t>Change &amp; Location</w:t>
            </w:r>
          </w:p>
        </w:tc>
      </w:tr>
      <w:tr w:rsidR="00D4777B" w:rsidRPr="00770C98" w14:paraId="403926C8" w14:textId="77777777" w:rsidTr="67EE9B0E">
        <w:trPr>
          <w:cantSplit/>
        </w:trPr>
        <w:tc>
          <w:tcPr>
            <w:tcW w:w="915" w:type="dxa"/>
          </w:tcPr>
          <w:p w14:paraId="144BBDCF" w14:textId="7746B1A9" w:rsidR="00D4777B" w:rsidRPr="005B6382" w:rsidRDefault="004D6A1A">
            <w:pPr>
              <w:jc w:val="center"/>
              <w:rPr>
                <w:sz w:val="20"/>
                <w:szCs w:val="20"/>
              </w:rPr>
            </w:pPr>
            <w:r>
              <w:rPr>
                <w:sz w:val="20"/>
                <w:szCs w:val="20"/>
              </w:rPr>
              <w:t>1.5</w:t>
            </w:r>
          </w:p>
        </w:tc>
        <w:tc>
          <w:tcPr>
            <w:tcW w:w="1070" w:type="dxa"/>
          </w:tcPr>
          <w:p w14:paraId="38BD7768" w14:textId="3B64E2D4" w:rsidR="00D4777B" w:rsidRDefault="763B872B">
            <w:pPr>
              <w:jc w:val="center"/>
              <w:rPr>
                <w:sz w:val="20"/>
                <w:szCs w:val="20"/>
              </w:rPr>
            </w:pPr>
            <w:r w:rsidRPr="67EE9B0E">
              <w:rPr>
                <w:sz w:val="20"/>
                <w:szCs w:val="20"/>
              </w:rPr>
              <w:t>1 Oct 24</w:t>
            </w:r>
          </w:p>
        </w:tc>
        <w:tc>
          <w:tcPr>
            <w:tcW w:w="1134" w:type="dxa"/>
          </w:tcPr>
          <w:p w14:paraId="579A9604" w14:textId="77777777" w:rsidR="00D4777B" w:rsidRPr="005B6382" w:rsidRDefault="00D4777B" w:rsidP="00000132">
            <w:pPr>
              <w:jc w:val="center"/>
              <w:rPr>
                <w:rFonts w:cs="Arial"/>
                <w:sz w:val="20"/>
                <w:szCs w:val="20"/>
              </w:rPr>
            </w:pPr>
          </w:p>
        </w:tc>
        <w:tc>
          <w:tcPr>
            <w:tcW w:w="5953" w:type="dxa"/>
          </w:tcPr>
          <w:p w14:paraId="5CBB43E3" w14:textId="77777777" w:rsidR="00D4777B" w:rsidRDefault="00532CDE">
            <w:pPr>
              <w:rPr>
                <w:sz w:val="20"/>
                <w:szCs w:val="20"/>
              </w:rPr>
            </w:pPr>
            <w:r>
              <w:rPr>
                <w:sz w:val="20"/>
                <w:szCs w:val="20"/>
              </w:rPr>
              <w:t>Updated Resolution Time for Mutual Obligation Failures to 5 business days (from two business days).</w:t>
            </w:r>
          </w:p>
          <w:p w14:paraId="6079EAFF" w14:textId="43651325" w:rsidR="00532CDE" w:rsidRPr="005B6382" w:rsidRDefault="00532CDE">
            <w:pPr>
              <w:rPr>
                <w:sz w:val="20"/>
                <w:szCs w:val="20"/>
              </w:rPr>
            </w:pPr>
            <w:r>
              <w:rPr>
                <w:sz w:val="20"/>
                <w:szCs w:val="20"/>
              </w:rPr>
              <w:t>Updated advice about Reconnection Requirements.</w:t>
            </w:r>
          </w:p>
        </w:tc>
      </w:tr>
      <w:tr w:rsidR="009B4563" w:rsidRPr="00770C98" w14:paraId="5725BE65" w14:textId="77777777" w:rsidTr="67EE9B0E">
        <w:trPr>
          <w:cantSplit/>
        </w:trPr>
        <w:tc>
          <w:tcPr>
            <w:tcW w:w="915" w:type="dxa"/>
          </w:tcPr>
          <w:p w14:paraId="6966767D" w14:textId="558B0475" w:rsidR="009B4563" w:rsidRPr="005B6382" w:rsidRDefault="009B4563">
            <w:pPr>
              <w:jc w:val="center"/>
              <w:rPr>
                <w:sz w:val="20"/>
                <w:szCs w:val="20"/>
              </w:rPr>
            </w:pPr>
            <w:r w:rsidRPr="005B6382">
              <w:rPr>
                <w:sz w:val="20"/>
                <w:szCs w:val="20"/>
              </w:rPr>
              <w:t>1.4</w:t>
            </w:r>
          </w:p>
        </w:tc>
        <w:tc>
          <w:tcPr>
            <w:tcW w:w="1070" w:type="dxa"/>
          </w:tcPr>
          <w:p w14:paraId="1ADC97AB" w14:textId="37EB6117" w:rsidR="009B4563" w:rsidRPr="005B6382" w:rsidRDefault="00BD6572">
            <w:pPr>
              <w:jc w:val="center"/>
              <w:rPr>
                <w:sz w:val="20"/>
                <w:szCs w:val="20"/>
              </w:rPr>
            </w:pPr>
            <w:r>
              <w:rPr>
                <w:sz w:val="20"/>
                <w:szCs w:val="20"/>
              </w:rPr>
              <w:t>8</w:t>
            </w:r>
            <w:r w:rsidR="009B4563" w:rsidRPr="00770C98">
              <w:rPr>
                <w:sz w:val="20"/>
                <w:szCs w:val="20"/>
              </w:rPr>
              <w:t xml:space="preserve"> </w:t>
            </w:r>
            <w:r>
              <w:rPr>
                <w:sz w:val="20"/>
                <w:szCs w:val="20"/>
              </w:rPr>
              <w:t>Aug</w:t>
            </w:r>
            <w:r w:rsidR="009B4563" w:rsidRPr="00770C98">
              <w:rPr>
                <w:sz w:val="20"/>
                <w:szCs w:val="20"/>
              </w:rPr>
              <w:t xml:space="preserve"> 22</w:t>
            </w:r>
          </w:p>
        </w:tc>
        <w:tc>
          <w:tcPr>
            <w:tcW w:w="1134" w:type="dxa"/>
          </w:tcPr>
          <w:p w14:paraId="1BB33112" w14:textId="3AF9F69B" w:rsidR="009B4563" w:rsidRPr="005B6382" w:rsidRDefault="22F6F915" w:rsidP="00000132">
            <w:pPr>
              <w:jc w:val="center"/>
              <w:rPr>
                <w:rFonts w:cs="Arial"/>
                <w:sz w:val="20"/>
                <w:szCs w:val="20"/>
              </w:rPr>
            </w:pPr>
            <w:r w:rsidRPr="67EE9B0E">
              <w:rPr>
                <w:rFonts w:cs="Arial"/>
                <w:sz w:val="20"/>
                <w:szCs w:val="20"/>
              </w:rPr>
              <w:t>30 Sep 24</w:t>
            </w:r>
          </w:p>
        </w:tc>
        <w:tc>
          <w:tcPr>
            <w:tcW w:w="5953" w:type="dxa"/>
          </w:tcPr>
          <w:p w14:paraId="44717CEF" w14:textId="77777777" w:rsidR="009B4563" w:rsidRPr="005B6382" w:rsidRDefault="00FA67EC">
            <w:pPr>
              <w:rPr>
                <w:sz w:val="20"/>
                <w:szCs w:val="20"/>
              </w:rPr>
            </w:pPr>
            <w:r w:rsidRPr="005B6382">
              <w:rPr>
                <w:sz w:val="20"/>
                <w:szCs w:val="20"/>
              </w:rPr>
              <w:t>Distinguished between outcome of no result recorded for Provider Appointments and other Engagements.</w:t>
            </w:r>
          </w:p>
          <w:p w14:paraId="7CCCAE52" w14:textId="77777777" w:rsidR="00770C98" w:rsidRPr="005B6382" w:rsidRDefault="00770C98">
            <w:pPr>
              <w:rPr>
                <w:sz w:val="20"/>
                <w:szCs w:val="20"/>
              </w:rPr>
            </w:pPr>
            <w:r w:rsidRPr="005B6382">
              <w:rPr>
                <w:sz w:val="20"/>
                <w:szCs w:val="20"/>
              </w:rPr>
              <w:t>Provided more detail on:</w:t>
            </w:r>
          </w:p>
          <w:p w14:paraId="65B5489C"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Treatment of participants in different TCF Zones</w:t>
            </w:r>
          </w:p>
          <w:p w14:paraId="654F4227"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Two-day delay before applying payment suspensions</w:t>
            </w:r>
          </w:p>
          <w:p w14:paraId="22739740"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Application of Mutual Obligation Failures</w:t>
            </w:r>
          </w:p>
          <w:p w14:paraId="690EF70B" w14:textId="77777777" w:rsidR="00770C98" w:rsidRPr="005B6382" w:rsidRDefault="00770C98" w:rsidP="005B6382">
            <w:pPr>
              <w:pStyle w:val="ListParagraph"/>
              <w:numPr>
                <w:ilvl w:val="0"/>
                <w:numId w:val="60"/>
              </w:numPr>
              <w:rPr>
                <w:rStyle w:val="Strong"/>
                <w:b w:val="0"/>
                <w:sz w:val="20"/>
                <w:szCs w:val="20"/>
              </w:rPr>
            </w:pPr>
            <w:r w:rsidRPr="005B6382">
              <w:rPr>
                <w:rStyle w:val="Strong"/>
                <w:b w:val="0"/>
                <w:sz w:val="20"/>
                <w:szCs w:val="20"/>
              </w:rPr>
              <w:t>Processes for specific failure types</w:t>
            </w:r>
          </w:p>
          <w:p w14:paraId="5EAA5D25" w14:textId="77777777" w:rsidR="00770C98" w:rsidRPr="005B6382" w:rsidRDefault="00770C98">
            <w:pPr>
              <w:rPr>
                <w:rStyle w:val="Strong"/>
                <w:b w:val="0"/>
                <w:sz w:val="20"/>
                <w:szCs w:val="20"/>
              </w:rPr>
            </w:pPr>
            <w:r w:rsidRPr="005B6382">
              <w:rPr>
                <w:rStyle w:val="Strong"/>
                <w:b w:val="0"/>
                <w:sz w:val="20"/>
                <w:szCs w:val="20"/>
              </w:rPr>
              <w:t>Added information about the Employer Reporting Line.</w:t>
            </w:r>
          </w:p>
          <w:p w14:paraId="7A0953DA" w14:textId="77777777" w:rsidR="00770C98" w:rsidRPr="005B6382" w:rsidRDefault="00770C98">
            <w:pPr>
              <w:rPr>
                <w:rStyle w:val="Strong"/>
                <w:b w:val="0"/>
                <w:sz w:val="20"/>
                <w:szCs w:val="20"/>
              </w:rPr>
            </w:pPr>
            <w:r w:rsidRPr="005B6382">
              <w:rPr>
                <w:rStyle w:val="Strong"/>
                <w:b w:val="0"/>
                <w:sz w:val="20"/>
                <w:szCs w:val="20"/>
              </w:rPr>
              <w:t>Added Attachment D – TCF Workflow</w:t>
            </w:r>
          </w:p>
          <w:p w14:paraId="446E50FC" w14:textId="7FC64BAE" w:rsidR="00770C98" w:rsidRPr="005B6382" w:rsidRDefault="00770C98">
            <w:pPr>
              <w:rPr>
                <w:rStyle w:val="Strong"/>
                <w:b w:val="0"/>
                <w:sz w:val="20"/>
                <w:szCs w:val="20"/>
              </w:rPr>
            </w:pPr>
            <w:r w:rsidRPr="005B6382">
              <w:rPr>
                <w:rStyle w:val="Strong"/>
                <w:b w:val="0"/>
                <w:sz w:val="20"/>
                <w:szCs w:val="20"/>
              </w:rPr>
              <w:t xml:space="preserve">Updated information on </w:t>
            </w:r>
            <w:r w:rsidR="00E273F1" w:rsidRPr="00E273F1">
              <w:rPr>
                <w:rStyle w:val="Strong"/>
                <w:b w:val="0"/>
                <w:sz w:val="20"/>
                <w:szCs w:val="20"/>
              </w:rPr>
              <w:t>lifting</w:t>
            </w:r>
            <w:r w:rsidRPr="005B6382">
              <w:rPr>
                <w:rStyle w:val="Strong"/>
                <w:b w:val="0"/>
                <w:sz w:val="20"/>
                <w:szCs w:val="20"/>
              </w:rPr>
              <w:t xml:space="preserve"> income support suspensions at Attachment A.</w:t>
            </w:r>
          </w:p>
        </w:tc>
      </w:tr>
      <w:tr w:rsidR="00F10AFA" w:rsidRPr="009B4563" w14:paraId="19064925" w14:textId="77777777" w:rsidTr="67EE9B0E">
        <w:trPr>
          <w:cantSplit/>
        </w:trPr>
        <w:tc>
          <w:tcPr>
            <w:tcW w:w="915" w:type="dxa"/>
          </w:tcPr>
          <w:p w14:paraId="0E1E48A4" w14:textId="59A172C7" w:rsidR="00F10AFA" w:rsidRPr="005B6382" w:rsidRDefault="00F10AFA" w:rsidP="00F10AFA">
            <w:pPr>
              <w:jc w:val="center"/>
              <w:rPr>
                <w:sz w:val="20"/>
                <w:szCs w:val="20"/>
              </w:rPr>
            </w:pPr>
            <w:r w:rsidRPr="005B6382">
              <w:rPr>
                <w:sz w:val="20"/>
                <w:szCs w:val="20"/>
              </w:rPr>
              <w:t>1.3</w:t>
            </w:r>
          </w:p>
        </w:tc>
        <w:tc>
          <w:tcPr>
            <w:tcW w:w="1070" w:type="dxa"/>
          </w:tcPr>
          <w:p w14:paraId="3AD57BB8" w14:textId="75523EA1" w:rsidR="00F10AFA" w:rsidRPr="009B4563" w:rsidRDefault="007A66C1">
            <w:pPr>
              <w:jc w:val="center"/>
              <w:rPr>
                <w:sz w:val="20"/>
                <w:szCs w:val="20"/>
              </w:rPr>
            </w:pPr>
            <w:r w:rsidRPr="009B4563">
              <w:rPr>
                <w:sz w:val="20"/>
                <w:szCs w:val="20"/>
              </w:rPr>
              <w:t>9</w:t>
            </w:r>
            <w:r w:rsidR="00973A61" w:rsidRPr="009B4563">
              <w:rPr>
                <w:sz w:val="20"/>
                <w:szCs w:val="20"/>
              </w:rPr>
              <w:t xml:space="preserve"> Mar 20</w:t>
            </w:r>
          </w:p>
        </w:tc>
        <w:tc>
          <w:tcPr>
            <w:tcW w:w="1134" w:type="dxa"/>
          </w:tcPr>
          <w:p w14:paraId="2AF807E7" w14:textId="0A2031D5" w:rsidR="00F10AFA" w:rsidRPr="005B6382" w:rsidRDefault="009B4563" w:rsidP="00F10AFA">
            <w:pPr>
              <w:jc w:val="center"/>
              <w:rPr>
                <w:rFonts w:cs="Arial"/>
                <w:sz w:val="20"/>
                <w:szCs w:val="20"/>
              </w:rPr>
            </w:pPr>
            <w:r w:rsidRPr="005B6382">
              <w:rPr>
                <w:rFonts w:cs="Arial"/>
                <w:sz w:val="20"/>
                <w:szCs w:val="20"/>
              </w:rPr>
              <w:t>30 Jun 22</w:t>
            </w:r>
          </w:p>
        </w:tc>
        <w:tc>
          <w:tcPr>
            <w:tcW w:w="5953" w:type="dxa"/>
          </w:tcPr>
          <w:p w14:paraId="5D00285B" w14:textId="78ECCB1C" w:rsidR="00F10AFA" w:rsidRPr="005B6382" w:rsidRDefault="00F10AFA" w:rsidP="00973A61">
            <w:pPr>
              <w:rPr>
                <w:sz w:val="20"/>
                <w:szCs w:val="20"/>
              </w:rPr>
            </w:pPr>
            <w:r w:rsidRPr="005B6382">
              <w:rPr>
                <w:sz w:val="20"/>
                <w:szCs w:val="20"/>
              </w:rPr>
              <w:t>This guideline has been restructured and rewritten for clarity, accuracy, consistency with the DES Grant Agreement and comprehensiveness.</w:t>
            </w:r>
          </w:p>
          <w:p w14:paraId="0853FC64" w14:textId="6A1906EB" w:rsidR="00F10AFA" w:rsidRPr="005B6382" w:rsidRDefault="00F10AFA" w:rsidP="00F10AFA">
            <w:pPr>
              <w:rPr>
                <w:sz w:val="20"/>
                <w:szCs w:val="20"/>
              </w:rPr>
            </w:pPr>
            <w:r w:rsidRPr="005B6382">
              <w:rPr>
                <w:sz w:val="20"/>
                <w:szCs w:val="20"/>
              </w:rPr>
              <w:t>References to the ‘Department of Human Services (DHS)’ have been updated to ‘Services Australia’</w:t>
            </w:r>
          </w:p>
        </w:tc>
      </w:tr>
      <w:tr w:rsidR="00397BCE" w:rsidRPr="009B4563" w14:paraId="459D02BD" w14:textId="77777777" w:rsidTr="67EE9B0E">
        <w:trPr>
          <w:cantSplit/>
        </w:trPr>
        <w:tc>
          <w:tcPr>
            <w:tcW w:w="915" w:type="dxa"/>
          </w:tcPr>
          <w:p w14:paraId="4E170A79" w14:textId="0201FEE3" w:rsidR="00397BCE" w:rsidRPr="005B6382" w:rsidRDefault="00397BCE" w:rsidP="00F10AFA">
            <w:pPr>
              <w:jc w:val="center"/>
              <w:rPr>
                <w:sz w:val="20"/>
                <w:szCs w:val="20"/>
              </w:rPr>
            </w:pPr>
            <w:r w:rsidRPr="005B6382">
              <w:rPr>
                <w:sz w:val="20"/>
                <w:szCs w:val="20"/>
              </w:rPr>
              <w:t>1.2</w:t>
            </w:r>
          </w:p>
        </w:tc>
        <w:tc>
          <w:tcPr>
            <w:tcW w:w="1070" w:type="dxa"/>
          </w:tcPr>
          <w:p w14:paraId="64F9B5EC" w14:textId="6F39A065" w:rsidR="00397BCE" w:rsidRPr="005B6382" w:rsidRDefault="00397BCE">
            <w:pPr>
              <w:jc w:val="center"/>
              <w:rPr>
                <w:sz w:val="20"/>
                <w:szCs w:val="20"/>
              </w:rPr>
            </w:pPr>
            <w:r w:rsidRPr="009B4563">
              <w:rPr>
                <w:sz w:val="20"/>
                <w:szCs w:val="20"/>
              </w:rPr>
              <w:t>1 Jul 19</w:t>
            </w:r>
          </w:p>
        </w:tc>
        <w:tc>
          <w:tcPr>
            <w:tcW w:w="1134" w:type="dxa"/>
          </w:tcPr>
          <w:p w14:paraId="5AC50323" w14:textId="10CB30EA" w:rsidR="00397BCE" w:rsidRPr="005B6382" w:rsidRDefault="00973A61">
            <w:pPr>
              <w:jc w:val="center"/>
              <w:rPr>
                <w:rFonts w:cs="Arial"/>
                <w:sz w:val="20"/>
                <w:szCs w:val="20"/>
              </w:rPr>
            </w:pPr>
            <w:r w:rsidRPr="005B6382">
              <w:rPr>
                <w:rFonts w:cs="Arial"/>
                <w:sz w:val="20"/>
                <w:szCs w:val="20"/>
              </w:rPr>
              <w:t>8 Mar 20</w:t>
            </w:r>
          </w:p>
        </w:tc>
        <w:tc>
          <w:tcPr>
            <w:tcW w:w="5953" w:type="dxa"/>
          </w:tcPr>
          <w:p w14:paraId="146A1B10" w14:textId="2D29FFE5" w:rsidR="00397BCE" w:rsidRPr="005B6382" w:rsidRDefault="00397BCE" w:rsidP="00F10AFA">
            <w:pPr>
              <w:rPr>
                <w:rStyle w:val="Strong"/>
                <w:b w:val="0"/>
                <w:sz w:val="20"/>
                <w:szCs w:val="20"/>
              </w:rPr>
            </w:pPr>
            <w:r w:rsidRPr="005B6382">
              <w:rPr>
                <w:sz w:val="20"/>
                <w:szCs w:val="20"/>
              </w:rPr>
              <w:t>Included new attachments B, H and J, and renumbered attachments accordingly.</w:t>
            </w:r>
          </w:p>
        </w:tc>
      </w:tr>
      <w:tr w:rsidR="00560B43" w:rsidRPr="009B4563" w14:paraId="35BBBDDF" w14:textId="77777777" w:rsidTr="67EE9B0E">
        <w:trPr>
          <w:cantSplit/>
        </w:trPr>
        <w:tc>
          <w:tcPr>
            <w:tcW w:w="915" w:type="dxa"/>
          </w:tcPr>
          <w:p w14:paraId="44344496" w14:textId="77777777" w:rsidR="00560B43" w:rsidRPr="005B6382" w:rsidRDefault="00560B43" w:rsidP="00560B43">
            <w:pPr>
              <w:jc w:val="center"/>
              <w:rPr>
                <w:sz w:val="20"/>
                <w:szCs w:val="20"/>
              </w:rPr>
            </w:pPr>
            <w:r w:rsidRPr="005B6382">
              <w:rPr>
                <w:sz w:val="20"/>
                <w:szCs w:val="20"/>
              </w:rPr>
              <w:t>1.1</w:t>
            </w:r>
          </w:p>
        </w:tc>
        <w:tc>
          <w:tcPr>
            <w:tcW w:w="1070" w:type="dxa"/>
          </w:tcPr>
          <w:p w14:paraId="2438088F" w14:textId="5E203BFA" w:rsidR="00560B43" w:rsidRPr="005B6382" w:rsidRDefault="00560B43">
            <w:pPr>
              <w:jc w:val="center"/>
              <w:rPr>
                <w:sz w:val="20"/>
                <w:szCs w:val="20"/>
              </w:rPr>
            </w:pPr>
            <w:r w:rsidRPr="009B4563">
              <w:rPr>
                <w:sz w:val="20"/>
                <w:szCs w:val="20"/>
              </w:rPr>
              <w:t>3 Dec 18</w:t>
            </w:r>
          </w:p>
        </w:tc>
        <w:tc>
          <w:tcPr>
            <w:tcW w:w="1134" w:type="dxa"/>
          </w:tcPr>
          <w:p w14:paraId="14AD162A" w14:textId="15A9BDCA" w:rsidR="00560B43" w:rsidRPr="005B6382" w:rsidRDefault="00397BCE">
            <w:pPr>
              <w:jc w:val="center"/>
              <w:rPr>
                <w:rFonts w:cs="Arial"/>
                <w:sz w:val="20"/>
                <w:szCs w:val="20"/>
              </w:rPr>
            </w:pPr>
            <w:r w:rsidRPr="005B6382">
              <w:rPr>
                <w:rFonts w:cs="Arial"/>
                <w:sz w:val="20"/>
                <w:szCs w:val="20"/>
              </w:rPr>
              <w:t>30 Jun 18</w:t>
            </w:r>
          </w:p>
        </w:tc>
        <w:tc>
          <w:tcPr>
            <w:tcW w:w="5953" w:type="dxa"/>
          </w:tcPr>
          <w:p w14:paraId="6E7EE157" w14:textId="77777777" w:rsidR="00560B43" w:rsidRPr="005B6382" w:rsidRDefault="00560B43" w:rsidP="00560B43">
            <w:pPr>
              <w:rPr>
                <w:sz w:val="20"/>
                <w:szCs w:val="20"/>
              </w:rPr>
            </w:pPr>
            <w:r w:rsidRPr="005B6382">
              <w:rPr>
                <w:sz w:val="20"/>
                <w:szCs w:val="20"/>
              </w:rPr>
              <w:t>Updated the Guidelines name to Targeted Compliance Framework: Mutual Obligation Failures Guidelines</w:t>
            </w:r>
          </w:p>
          <w:p w14:paraId="4009DD33" w14:textId="458EAB51" w:rsidR="00560B43" w:rsidRPr="005B6382" w:rsidRDefault="00560B43" w:rsidP="00560B43">
            <w:pPr>
              <w:rPr>
                <w:sz w:val="20"/>
                <w:szCs w:val="20"/>
              </w:rPr>
            </w:pPr>
            <w:r w:rsidRPr="005B6382">
              <w:rPr>
                <w:sz w:val="20"/>
                <w:szCs w:val="20"/>
              </w:rPr>
              <w:t>Clarified that income support can be suspende</w:t>
            </w:r>
            <w:r w:rsidR="007F38D5" w:rsidRPr="005B6382">
              <w:rPr>
                <w:sz w:val="20"/>
                <w:szCs w:val="20"/>
              </w:rPr>
              <w:t>d</w:t>
            </w:r>
            <w:r w:rsidRPr="005B6382">
              <w:rPr>
                <w:sz w:val="20"/>
                <w:szCs w:val="20"/>
              </w:rPr>
              <w:t xml:space="preserve"> for unsatisfactory Job Search</w:t>
            </w:r>
          </w:p>
          <w:p w14:paraId="4F381649" w14:textId="21FB8CE2" w:rsidR="00560B43" w:rsidRPr="005B6382" w:rsidRDefault="00560B43" w:rsidP="00560B43">
            <w:pPr>
              <w:rPr>
                <w:rStyle w:val="Strong"/>
                <w:b w:val="0"/>
                <w:sz w:val="20"/>
                <w:szCs w:val="20"/>
              </w:rPr>
            </w:pPr>
            <w:r w:rsidRPr="005B6382">
              <w:rPr>
                <w:sz w:val="20"/>
                <w:szCs w:val="20"/>
              </w:rPr>
              <w:t>Updated all ‘should’ to ‘must’ when discussing scheduling of Mutual Obligation Requirements</w:t>
            </w:r>
          </w:p>
        </w:tc>
      </w:tr>
      <w:tr w:rsidR="00560B43" w:rsidRPr="009B4563" w14:paraId="7EF36F9A" w14:textId="77777777" w:rsidTr="67EE9B0E">
        <w:trPr>
          <w:cantSplit/>
        </w:trPr>
        <w:tc>
          <w:tcPr>
            <w:tcW w:w="915" w:type="dxa"/>
          </w:tcPr>
          <w:p w14:paraId="2178E244" w14:textId="77777777" w:rsidR="00560B43" w:rsidRPr="005B6382" w:rsidRDefault="00560B43" w:rsidP="00560B43">
            <w:pPr>
              <w:jc w:val="center"/>
              <w:rPr>
                <w:sz w:val="20"/>
                <w:szCs w:val="20"/>
              </w:rPr>
            </w:pPr>
            <w:r w:rsidRPr="005B6382">
              <w:rPr>
                <w:sz w:val="20"/>
                <w:szCs w:val="20"/>
              </w:rPr>
              <w:t>1.0</w:t>
            </w:r>
          </w:p>
        </w:tc>
        <w:tc>
          <w:tcPr>
            <w:tcW w:w="1070" w:type="dxa"/>
          </w:tcPr>
          <w:p w14:paraId="358CFD0E" w14:textId="2BE2AB4D" w:rsidR="00560B43" w:rsidRPr="005B6382" w:rsidRDefault="00560B43">
            <w:pPr>
              <w:jc w:val="center"/>
              <w:rPr>
                <w:sz w:val="20"/>
                <w:szCs w:val="20"/>
              </w:rPr>
            </w:pPr>
            <w:r w:rsidRPr="005B6382">
              <w:rPr>
                <w:sz w:val="20"/>
                <w:szCs w:val="20"/>
              </w:rPr>
              <w:t>01 Jul 18</w:t>
            </w:r>
          </w:p>
        </w:tc>
        <w:tc>
          <w:tcPr>
            <w:tcW w:w="1134" w:type="dxa"/>
          </w:tcPr>
          <w:p w14:paraId="7CD4DE52" w14:textId="31D2764D" w:rsidR="00560B43" w:rsidRPr="005B6382" w:rsidRDefault="00560B43">
            <w:pPr>
              <w:jc w:val="center"/>
              <w:rPr>
                <w:rFonts w:cs="Arial"/>
                <w:sz w:val="20"/>
                <w:szCs w:val="20"/>
              </w:rPr>
            </w:pPr>
            <w:r w:rsidRPr="009B4563">
              <w:rPr>
                <w:sz w:val="20"/>
                <w:szCs w:val="20"/>
              </w:rPr>
              <w:t>2 Dec 18</w:t>
            </w:r>
          </w:p>
        </w:tc>
        <w:tc>
          <w:tcPr>
            <w:tcW w:w="5953" w:type="dxa"/>
          </w:tcPr>
          <w:p w14:paraId="0D61E0A2" w14:textId="77777777" w:rsidR="00560B43" w:rsidRPr="005B6382" w:rsidRDefault="00560B43" w:rsidP="00560B43">
            <w:pPr>
              <w:rPr>
                <w:rStyle w:val="Strong"/>
                <w:sz w:val="20"/>
                <w:szCs w:val="20"/>
              </w:rPr>
            </w:pPr>
            <w:r w:rsidRPr="005B6382">
              <w:rPr>
                <w:rStyle w:val="Strong"/>
                <w:b w:val="0"/>
                <w:sz w:val="20"/>
                <w:szCs w:val="20"/>
              </w:rPr>
              <w:t>Original version of document</w:t>
            </w:r>
          </w:p>
        </w:tc>
      </w:tr>
    </w:tbl>
    <w:p w14:paraId="5C0D7575" w14:textId="77777777" w:rsidR="00427E22" w:rsidRDefault="00427E22" w:rsidP="0047387D">
      <w:pPr>
        <w:spacing w:before="0" w:after="240"/>
      </w:pPr>
      <w:bookmarkStart w:id="22" w:name="_Toc495402564"/>
    </w:p>
    <w:p w14:paraId="0B5FF5EE" w14:textId="77777777" w:rsidR="007073F5" w:rsidRPr="00FF5852" w:rsidRDefault="00DB4CA4" w:rsidP="00427E22">
      <w:pPr>
        <w:pStyle w:val="Heading3"/>
        <w:spacing w:before="0"/>
      </w:pPr>
      <w:bookmarkStart w:id="23" w:name="_Toc177568211"/>
      <w:r w:rsidRPr="002F3336">
        <w:t>Background</w:t>
      </w:r>
      <w:bookmarkEnd w:id="22"/>
      <w:bookmarkEnd w:id="23"/>
    </w:p>
    <w:p w14:paraId="7B6A5891" w14:textId="62ED04E9" w:rsidR="00AC50E9" w:rsidRDefault="00F10AFA" w:rsidP="003639A3">
      <w:pPr>
        <w:tabs>
          <w:tab w:val="right" w:pos="1701"/>
        </w:tabs>
        <w:rPr>
          <w:rFonts w:asciiTheme="minorHAnsi" w:hAnsiTheme="minorHAnsi" w:cstheme="minorHAnsi"/>
          <w:szCs w:val="22"/>
        </w:rPr>
      </w:pPr>
      <w:r>
        <w:rPr>
          <w:rFonts w:asciiTheme="minorHAnsi" w:hAnsiTheme="minorHAnsi" w:cstheme="minorHAnsi"/>
          <w:szCs w:val="22"/>
        </w:rPr>
        <w:t>T</w:t>
      </w:r>
      <w:r w:rsidR="00AC50E9" w:rsidRPr="00AC50E9">
        <w:rPr>
          <w:rFonts w:asciiTheme="minorHAnsi" w:hAnsiTheme="minorHAnsi" w:cstheme="minorHAnsi"/>
          <w:szCs w:val="22"/>
        </w:rPr>
        <w:t xml:space="preserve">he Targeted Compliance Framework (TCF) is designed to </w:t>
      </w:r>
      <w:r w:rsidRPr="003639A3">
        <w:rPr>
          <w:rFonts w:asciiTheme="minorHAnsi" w:hAnsiTheme="minorHAnsi" w:cstheme="minorHAnsi"/>
          <w:szCs w:val="22"/>
        </w:rPr>
        <w:t xml:space="preserve">target financial penalties towards </w:t>
      </w:r>
      <w:r w:rsidR="00AC50E9" w:rsidRPr="00AC50E9">
        <w:rPr>
          <w:rFonts w:asciiTheme="minorHAnsi" w:hAnsiTheme="minorHAnsi" w:cstheme="minorHAnsi"/>
          <w:szCs w:val="22"/>
        </w:rPr>
        <w:t xml:space="preserve">only those </w:t>
      </w:r>
      <w:r>
        <w:rPr>
          <w:rFonts w:asciiTheme="minorHAnsi" w:hAnsiTheme="minorHAnsi" w:cstheme="minorHAnsi"/>
          <w:szCs w:val="22"/>
        </w:rPr>
        <w:t>Participants</w:t>
      </w:r>
      <w:r w:rsidR="00AC50E9" w:rsidRPr="00AC50E9">
        <w:rPr>
          <w:rFonts w:asciiTheme="minorHAnsi" w:hAnsiTheme="minorHAnsi" w:cstheme="minorHAnsi"/>
          <w:szCs w:val="22"/>
        </w:rPr>
        <w:t xml:space="preserve"> who persistently </w:t>
      </w:r>
      <w:r w:rsidRPr="003639A3">
        <w:rPr>
          <w:rFonts w:asciiTheme="minorHAnsi" w:hAnsiTheme="minorHAnsi" w:cstheme="minorHAnsi"/>
          <w:szCs w:val="22"/>
        </w:rPr>
        <w:t>commit Mutual Obligation Failures without a Valid Reason or Reasonable Excuse,</w:t>
      </w:r>
      <w:r w:rsidR="007A66C1" w:rsidRPr="003639A3">
        <w:rPr>
          <w:rFonts w:asciiTheme="minorHAnsi" w:hAnsiTheme="minorHAnsi" w:cstheme="minorHAnsi"/>
          <w:szCs w:val="22"/>
        </w:rPr>
        <w:t xml:space="preserve"> </w:t>
      </w:r>
      <w:r w:rsidR="00AC50E9" w:rsidRPr="00AC50E9">
        <w:rPr>
          <w:rFonts w:asciiTheme="minorHAnsi" w:hAnsiTheme="minorHAnsi" w:cstheme="minorHAnsi"/>
          <w:szCs w:val="22"/>
        </w:rPr>
        <w:t xml:space="preserve">while providing protections for the most vulnerable. It is designed to encourage </w:t>
      </w:r>
      <w:r>
        <w:rPr>
          <w:rFonts w:asciiTheme="minorHAnsi" w:hAnsiTheme="minorHAnsi" w:cstheme="minorHAnsi"/>
          <w:szCs w:val="22"/>
        </w:rPr>
        <w:lastRenderedPageBreak/>
        <w:t>Participants</w:t>
      </w:r>
      <w:r w:rsidR="00AC50E9" w:rsidRPr="00AC50E9">
        <w:rPr>
          <w:rFonts w:asciiTheme="minorHAnsi" w:hAnsiTheme="minorHAnsi" w:cstheme="minorHAnsi"/>
          <w:szCs w:val="22"/>
        </w:rPr>
        <w:t xml:space="preserve"> to engage with their employment services provider (Provider), take personal responsibility for managing and meeting their Mutual Obligation Requirements, and actively look for work.</w:t>
      </w:r>
    </w:p>
    <w:p w14:paraId="47D7AF11" w14:textId="11C4F7E4" w:rsidR="00F10AFA" w:rsidRPr="003639A3" w:rsidRDefault="00F10AFA" w:rsidP="00F10AFA">
      <w:pPr>
        <w:tabs>
          <w:tab w:val="right" w:pos="1701"/>
        </w:tabs>
        <w:rPr>
          <w:rFonts w:asciiTheme="minorHAnsi" w:hAnsiTheme="minorHAnsi" w:cstheme="minorHAnsi"/>
          <w:szCs w:val="22"/>
        </w:rPr>
      </w:pPr>
      <w:r w:rsidRPr="003639A3">
        <w:rPr>
          <w:rFonts w:asciiTheme="minorHAnsi" w:hAnsiTheme="minorHAnsi" w:cstheme="minorHAnsi"/>
          <w:szCs w:val="22"/>
        </w:rPr>
        <w:t xml:space="preserve">Participants commit Mutual Obligation Failures when they fail to comply with any one of a range of </w:t>
      </w:r>
      <w:proofErr w:type="gramStart"/>
      <w:r w:rsidRPr="003639A3">
        <w:rPr>
          <w:rFonts w:asciiTheme="minorHAnsi" w:hAnsiTheme="minorHAnsi" w:cstheme="minorHAnsi"/>
          <w:szCs w:val="22"/>
        </w:rPr>
        <w:t>particular requirements</w:t>
      </w:r>
      <w:proofErr w:type="gramEnd"/>
      <w:r w:rsidRPr="003639A3">
        <w:rPr>
          <w:rFonts w:asciiTheme="minorHAnsi" w:hAnsiTheme="minorHAnsi" w:cstheme="minorHAnsi"/>
          <w:szCs w:val="22"/>
        </w:rPr>
        <w:t xml:space="preserve"> specified in the Social Security Law. Broadly speaking, these requirements include, among other things:</w:t>
      </w:r>
    </w:p>
    <w:p w14:paraId="3863F352" w14:textId="075C372C" w:rsidR="00F10AFA" w:rsidRDefault="00F10AFA" w:rsidP="003639A3">
      <w:pPr>
        <w:pStyle w:val="guidelinetext"/>
        <w:numPr>
          <w:ilvl w:val="0"/>
          <w:numId w:val="22"/>
        </w:numPr>
        <w:spacing w:before="60" w:line="240" w:lineRule="auto"/>
        <w:ind w:left="714" w:hanging="357"/>
      </w:pPr>
      <w:proofErr w:type="gramStart"/>
      <w:r>
        <w:t>en</w:t>
      </w:r>
      <w:r w:rsidR="000F4929">
        <w:t>tering into</w:t>
      </w:r>
      <w:proofErr w:type="gramEnd"/>
      <w:r w:rsidR="000F4929">
        <w:t xml:space="preserve"> a Job Plan</w:t>
      </w:r>
    </w:p>
    <w:p w14:paraId="6D7A69F4" w14:textId="75EB06A3" w:rsidR="00F10AFA" w:rsidRDefault="00F10AFA" w:rsidP="003639A3">
      <w:pPr>
        <w:pStyle w:val="guidelinetext"/>
        <w:numPr>
          <w:ilvl w:val="0"/>
          <w:numId w:val="22"/>
        </w:numPr>
        <w:spacing w:before="60" w:line="240" w:lineRule="auto"/>
        <w:ind w:left="714" w:hanging="357"/>
      </w:pPr>
      <w:r>
        <w:t>attending appointments, a</w:t>
      </w:r>
      <w:r w:rsidR="000F4929">
        <w:t>nd participating in activities</w:t>
      </w:r>
    </w:p>
    <w:p w14:paraId="0C3F9554" w14:textId="6EB6F4D3" w:rsidR="00F10AFA" w:rsidRDefault="00F10AFA" w:rsidP="003639A3">
      <w:pPr>
        <w:pStyle w:val="guidelinetext"/>
        <w:numPr>
          <w:ilvl w:val="0"/>
          <w:numId w:val="22"/>
        </w:numPr>
        <w:spacing w:before="60" w:line="240" w:lineRule="auto"/>
        <w:ind w:left="714" w:hanging="357"/>
      </w:pPr>
      <w:r>
        <w:t>acting appropriately during those appointments and while pa</w:t>
      </w:r>
      <w:r w:rsidR="000F4929">
        <w:t>rticipating in those activities</w:t>
      </w:r>
    </w:p>
    <w:p w14:paraId="7E506957" w14:textId="645ED85E" w:rsidR="00F10AFA" w:rsidRDefault="00F10AFA" w:rsidP="003639A3">
      <w:pPr>
        <w:pStyle w:val="guidelinetext"/>
        <w:numPr>
          <w:ilvl w:val="0"/>
          <w:numId w:val="22"/>
        </w:numPr>
        <w:spacing w:before="60" w:line="240" w:lineRule="auto"/>
        <w:ind w:left="714" w:hanging="357"/>
      </w:pPr>
      <w:r>
        <w:t>undertaking adequate Job Searches, w</w:t>
      </w:r>
      <w:r w:rsidR="000F4929">
        <w:t>here required by their Job Plan</w:t>
      </w:r>
    </w:p>
    <w:p w14:paraId="6DE626CA" w14:textId="6E613FA5" w:rsidR="00F10AFA" w:rsidRDefault="00F10AFA" w:rsidP="003639A3">
      <w:pPr>
        <w:pStyle w:val="guidelinetext"/>
        <w:numPr>
          <w:ilvl w:val="0"/>
          <w:numId w:val="22"/>
        </w:numPr>
        <w:spacing w:before="60" w:line="240" w:lineRule="auto"/>
        <w:ind w:left="714" w:hanging="357"/>
      </w:pPr>
      <w:r>
        <w:t xml:space="preserve">attending job </w:t>
      </w:r>
      <w:r w:rsidR="000F4929">
        <w:t>interviews</w:t>
      </w:r>
    </w:p>
    <w:p w14:paraId="316AFAB6" w14:textId="67261857" w:rsidR="00F10AFA" w:rsidRDefault="00F10AFA" w:rsidP="003639A3">
      <w:pPr>
        <w:pStyle w:val="guidelinetext"/>
        <w:numPr>
          <w:ilvl w:val="0"/>
          <w:numId w:val="22"/>
        </w:numPr>
        <w:spacing w:before="60" w:line="240" w:lineRule="auto"/>
        <w:ind w:left="714" w:hanging="357"/>
      </w:pPr>
      <w:r>
        <w:t>acting on job opportunities when reques</w:t>
      </w:r>
      <w:r w:rsidR="000F4929">
        <w:t>ted to do so by their Provider.</w:t>
      </w:r>
    </w:p>
    <w:p w14:paraId="7020DE2C" w14:textId="77777777" w:rsidR="00F10AFA" w:rsidRDefault="00F10AFA" w:rsidP="00973A61">
      <w:pPr>
        <w:keepNext/>
        <w:tabs>
          <w:tab w:val="right" w:pos="1701"/>
        </w:tabs>
      </w:pPr>
      <w:r>
        <w:t>If a Participant persistently commits Mutual Obligation Failures, they progress through the compliance framework. The Participant may eventually incur financial penalties after they:</w:t>
      </w:r>
    </w:p>
    <w:p w14:paraId="37F837D2" w14:textId="19EEC5EF" w:rsidR="00F10AFA" w:rsidRDefault="00F10AFA" w:rsidP="000F4929">
      <w:pPr>
        <w:pStyle w:val="guidelinetext"/>
        <w:numPr>
          <w:ilvl w:val="0"/>
          <w:numId w:val="22"/>
        </w:numPr>
        <w:spacing w:before="60" w:line="240" w:lineRule="auto"/>
        <w:ind w:left="714" w:hanging="357"/>
      </w:pPr>
      <w:r>
        <w:t>have participated in a Capability Interview with their Provider, and a Capability Assessment with Services Australia, to ensure that the Mutual Obligation Requirements specified in their Job Plan are appropriate for their personal circumstances and that they a</w:t>
      </w:r>
      <w:r w:rsidR="000F4929">
        <w:t>re capable of meeting them; and</w:t>
      </w:r>
    </w:p>
    <w:p w14:paraId="48823440" w14:textId="468A0F1E" w:rsidR="00F10AFA" w:rsidRDefault="00F10AFA" w:rsidP="000F4929">
      <w:pPr>
        <w:pStyle w:val="guidelinetext"/>
        <w:numPr>
          <w:ilvl w:val="0"/>
          <w:numId w:val="22"/>
        </w:numPr>
        <w:spacing w:before="60" w:line="240" w:lineRule="auto"/>
        <w:ind w:left="714" w:hanging="357"/>
      </w:pPr>
      <w:r>
        <w:t>have continued to com</w:t>
      </w:r>
      <w:r w:rsidR="000F4929">
        <w:t>mit Mutual Obligation Failures.</w:t>
      </w:r>
    </w:p>
    <w:p w14:paraId="461B6799" w14:textId="7D0ADEC4" w:rsidR="00F10AFA" w:rsidRDefault="00F10AFA" w:rsidP="000F4929">
      <w:pPr>
        <w:tabs>
          <w:tab w:val="right" w:pos="1701"/>
        </w:tabs>
      </w:pPr>
      <w:r>
        <w:t xml:space="preserve">That Participant may also face financial penalties if, at any time, they commit a Work Refusal Failure or an </w:t>
      </w:r>
      <w:r w:rsidRPr="000F4929">
        <w:rPr>
          <w:rFonts w:asciiTheme="minorHAnsi" w:hAnsiTheme="minorHAnsi" w:cstheme="minorHAnsi"/>
          <w:szCs w:val="22"/>
        </w:rPr>
        <w:t>Unemployment</w:t>
      </w:r>
      <w:r>
        <w:t xml:space="preserve"> Failure. See the </w:t>
      </w:r>
      <w:r w:rsidRPr="000F4929">
        <w:t>Work Refusal Failures and Unemployment Failures Guideline</w:t>
      </w:r>
      <w:r>
        <w:rPr>
          <w:i/>
        </w:rPr>
        <w:t xml:space="preserve"> </w:t>
      </w:r>
      <w:r>
        <w:t>for more information.</w:t>
      </w:r>
    </w:p>
    <w:p w14:paraId="2511040F" w14:textId="12E0343F" w:rsidR="00FF05F6" w:rsidRPr="00010B5E" w:rsidRDefault="00FF05F6" w:rsidP="000F4929">
      <w:pPr>
        <w:tabs>
          <w:tab w:val="right" w:pos="1701"/>
        </w:tabs>
      </w:pPr>
      <w:r>
        <w:t xml:space="preserve">These Guidelines outline a Provider’s responsibilities when managing Mutual Obligation Failures under the </w:t>
      </w:r>
      <w:r w:rsidR="00A60521">
        <w:t>TCF</w:t>
      </w:r>
      <w:r>
        <w:t>. Providers are responsible for ensuring staff understand their responsibilities</w:t>
      </w:r>
      <w:r w:rsidR="00A60521">
        <w:t>.</w:t>
      </w:r>
      <w:r>
        <w:t xml:space="preserve"> </w:t>
      </w:r>
      <w:r w:rsidRPr="005B6382">
        <w:t>Provider staff must successfully complete all mandatory TCF training identified on the Targeted Compliance Framework page, on the Learning Centre, at least every 12 months.</w:t>
      </w:r>
    </w:p>
    <w:p w14:paraId="34D1F861" w14:textId="77777777" w:rsidR="00D9721F" w:rsidRDefault="00D9721F" w:rsidP="00427E22">
      <w:pPr>
        <w:spacing w:before="0" w:after="0"/>
        <w:rPr>
          <w:rFonts w:asciiTheme="minorHAnsi" w:hAnsiTheme="minorHAnsi" w:cstheme="minorHAnsi"/>
          <w:szCs w:val="22"/>
        </w:rPr>
      </w:pPr>
    </w:p>
    <w:p w14:paraId="7632638C" w14:textId="77777777" w:rsidR="00AC50E9" w:rsidRDefault="00AC50E9" w:rsidP="00427E22">
      <w:pPr>
        <w:spacing w:before="0" w:after="0"/>
        <w:rPr>
          <w:rFonts w:asciiTheme="minorHAnsi" w:hAnsiTheme="minorHAnsi" w:cstheme="minorHAnsi"/>
          <w:szCs w:val="22"/>
        </w:rPr>
      </w:pPr>
    </w:p>
    <w:p w14:paraId="0621E88D" w14:textId="77777777" w:rsidR="00794BC0" w:rsidRPr="00D43353" w:rsidRDefault="00794BC0" w:rsidP="00427E22">
      <w:pPr>
        <w:pStyle w:val="Heading3"/>
        <w:spacing w:before="0"/>
      </w:pPr>
      <w:bookmarkStart w:id="24" w:name="_Toc495402561"/>
      <w:bookmarkStart w:id="25" w:name="_Toc177568212"/>
      <w:r w:rsidRPr="00D43353">
        <w:t>Disability Employment Services Grant Agreement Clauses:</w:t>
      </w:r>
      <w:bookmarkEnd w:id="24"/>
      <w:bookmarkEnd w:id="25"/>
    </w:p>
    <w:p w14:paraId="3B4030C7" w14:textId="77777777" w:rsidR="00FF7E9C" w:rsidRPr="0024551B" w:rsidRDefault="00FF7E9C" w:rsidP="00FF7E9C">
      <w:pPr>
        <w:spacing w:before="0" w:after="0"/>
      </w:pPr>
      <w:r w:rsidRPr="0024551B">
        <w:t>Section 3C – Control of Information</w:t>
      </w:r>
    </w:p>
    <w:p w14:paraId="289C1D68" w14:textId="77777777" w:rsidR="00FF7E9C" w:rsidRPr="0024551B" w:rsidRDefault="00FF7E9C" w:rsidP="00FF7E9C">
      <w:pPr>
        <w:spacing w:before="0" w:after="0"/>
      </w:pPr>
      <w:r w:rsidRPr="0024551B">
        <w:t>Section 3D – Records management</w:t>
      </w:r>
    </w:p>
    <w:p w14:paraId="0820F3D4" w14:textId="77777777" w:rsidR="00FF7E9C" w:rsidRPr="0024551B" w:rsidRDefault="00FF7E9C" w:rsidP="00FF7E9C">
      <w:pPr>
        <w:spacing w:before="0" w:after="0"/>
      </w:pPr>
      <w:r w:rsidRPr="0024551B">
        <w:t>Section 5G – Job Plans</w:t>
      </w:r>
    </w:p>
    <w:p w14:paraId="7336C5B5" w14:textId="7086FDF8" w:rsidR="00FF7E9C" w:rsidRDefault="008A7253" w:rsidP="00FF7E9C">
      <w:pPr>
        <w:spacing w:before="0" w:after="0"/>
      </w:pPr>
      <w:r>
        <w:t xml:space="preserve">Section 5H </w:t>
      </w:r>
      <w:r w:rsidR="00E273F1">
        <w:t>– Targeted</w:t>
      </w:r>
      <w:r>
        <w:t xml:space="preserve"> Compliance Framework and activities</w:t>
      </w:r>
    </w:p>
    <w:p w14:paraId="174BABB7" w14:textId="77777777" w:rsidR="00FF7E9C" w:rsidRPr="0012082D" w:rsidRDefault="00FF7E9C" w:rsidP="00FF7E9C">
      <w:pPr>
        <w:spacing w:before="0"/>
      </w:pPr>
      <w:r>
        <w:t>Annexure</w:t>
      </w:r>
      <w:r w:rsidRPr="0024551B">
        <w:t xml:space="preserve"> A - Definitions</w:t>
      </w:r>
    </w:p>
    <w:p w14:paraId="32F17FB0"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75BC5787" w14:textId="77777777" w:rsidR="00794BC0" w:rsidRPr="002F3336" w:rsidRDefault="00794BC0" w:rsidP="00427E22">
      <w:pPr>
        <w:pStyle w:val="Heading3"/>
        <w:spacing w:before="0"/>
      </w:pPr>
      <w:bookmarkStart w:id="26" w:name="_Toc495402562"/>
      <w:bookmarkStart w:id="27" w:name="_Toc177568213"/>
      <w:r w:rsidRPr="002F3336">
        <w:t>Reference documents relevant to this Guideline:</w:t>
      </w:r>
      <w:bookmarkEnd w:id="26"/>
      <w:bookmarkEnd w:id="27"/>
    </w:p>
    <w:p w14:paraId="5576D904" w14:textId="406CFEC4" w:rsidR="00AC50E9" w:rsidRPr="00AC50E9"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Job Plan and Setting Mutual Obligation Requirements Guideline</w:t>
      </w:r>
      <w:r w:rsidR="005210F9">
        <w:rPr>
          <w:rFonts w:asciiTheme="minorHAnsi" w:hAnsiTheme="minorHAnsi" w:cstheme="minorHAnsi"/>
          <w:szCs w:val="22"/>
        </w:rPr>
        <w:t>s</w:t>
      </w:r>
    </w:p>
    <w:p w14:paraId="4B705BC6" w14:textId="2589B589" w:rsidR="00AC50E9" w:rsidRPr="00AC50E9" w:rsidRDefault="005210F9" w:rsidP="00AC50E9">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Work Refusal and Unemployment Failures G</w:t>
      </w:r>
      <w:r w:rsidR="00AC50E9" w:rsidRPr="00AC50E9">
        <w:rPr>
          <w:rFonts w:asciiTheme="minorHAnsi" w:hAnsiTheme="minorHAnsi" w:cstheme="minorHAnsi"/>
          <w:szCs w:val="22"/>
        </w:rPr>
        <w:t>uideline</w:t>
      </w:r>
      <w:r>
        <w:rPr>
          <w:rFonts w:asciiTheme="minorHAnsi" w:hAnsiTheme="minorHAnsi" w:cstheme="minorHAnsi"/>
          <w:szCs w:val="22"/>
        </w:rPr>
        <w:t>s</w:t>
      </w:r>
    </w:p>
    <w:p w14:paraId="5CD53A55" w14:textId="487DFC7F" w:rsidR="00AC50E9" w:rsidRPr="00AC50E9"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Capability Assessment Guideline</w:t>
      </w:r>
      <w:r w:rsidR="005210F9">
        <w:rPr>
          <w:rFonts w:asciiTheme="minorHAnsi" w:hAnsiTheme="minorHAnsi" w:cstheme="minorHAnsi"/>
          <w:szCs w:val="22"/>
        </w:rPr>
        <w:t>s</w:t>
      </w:r>
    </w:p>
    <w:p w14:paraId="7B2BB1C8" w14:textId="12498E57" w:rsidR="00794BC0" w:rsidRDefault="00AC50E9" w:rsidP="00AC50E9">
      <w:pPr>
        <w:pStyle w:val="ListBullet"/>
        <w:numPr>
          <w:ilvl w:val="0"/>
          <w:numId w:val="0"/>
        </w:numPr>
        <w:spacing w:before="0" w:after="0"/>
        <w:rPr>
          <w:rFonts w:asciiTheme="minorHAnsi" w:hAnsiTheme="minorHAnsi" w:cstheme="minorHAnsi"/>
          <w:szCs w:val="22"/>
        </w:rPr>
      </w:pPr>
      <w:r w:rsidRPr="00AC50E9">
        <w:rPr>
          <w:rFonts w:asciiTheme="minorHAnsi" w:hAnsiTheme="minorHAnsi" w:cstheme="minorHAnsi"/>
          <w:szCs w:val="22"/>
        </w:rPr>
        <w:t>Capability Interview Guideline</w:t>
      </w:r>
      <w:r w:rsidR="005210F9">
        <w:rPr>
          <w:rFonts w:asciiTheme="minorHAnsi" w:hAnsiTheme="minorHAnsi" w:cstheme="minorHAnsi"/>
          <w:szCs w:val="22"/>
        </w:rPr>
        <w:t>s</w:t>
      </w:r>
    </w:p>
    <w:p w14:paraId="56503CDE"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5F3BEA30" w14:textId="77777777" w:rsidR="00794BC0" w:rsidRPr="00427E22" w:rsidRDefault="00794BC0" w:rsidP="00427E22">
      <w:pPr>
        <w:pStyle w:val="Heading3"/>
        <w:spacing w:before="0"/>
      </w:pPr>
      <w:bookmarkStart w:id="28" w:name="_Toc177568214"/>
      <w:r w:rsidRPr="00427E22">
        <w:t>Explanatory Note:</w:t>
      </w:r>
      <w:bookmarkEnd w:id="28"/>
    </w:p>
    <w:p w14:paraId="18940F9A"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03274A76" w14:textId="78E7BBDB" w:rsidR="00794BC0" w:rsidRDefault="00794BC0" w:rsidP="000F4929">
      <w:pPr>
        <w:tabs>
          <w:tab w:val="right" w:pos="1701"/>
        </w:tabs>
        <w:rPr>
          <w:rFonts w:asciiTheme="minorHAnsi" w:hAnsiTheme="minorHAnsi" w:cstheme="minorHAnsi"/>
          <w:szCs w:val="22"/>
        </w:rPr>
      </w:pPr>
      <w:r w:rsidRPr="008D19BF">
        <w:rPr>
          <w:rFonts w:asciiTheme="minorHAnsi" w:hAnsiTheme="minorHAnsi" w:cstheme="minorHAnsi"/>
          <w:szCs w:val="22"/>
        </w:rPr>
        <w:t>In this document, “must” means that compliance is mandatory and “should” means that compliance represents best practice.</w:t>
      </w:r>
    </w:p>
    <w:p w14:paraId="34E227DB" w14:textId="198131FF" w:rsidR="00F10AFA" w:rsidRPr="009D6F9F" w:rsidRDefault="00F10AFA" w:rsidP="000F4929">
      <w:pPr>
        <w:tabs>
          <w:tab w:val="right" w:pos="1701"/>
        </w:tabs>
      </w:pPr>
      <w:r w:rsidRPr="00973A61">
        <w:rPr>
          <w:rFonts w:asciiTheme="minorHAnsi" w:hAnsiTheme="minorHAnsi" w:cstheme="minorHAnsi"/>
          <w:szCs w:val="22"/>
        </w:rPr>
        <w:t>Unless</w:t>
      </w:r>
      <w:r w:rsidRPr="000F4929">
        <w:rPr>
          <w:rFonts w:asciiTheme="minorHAnsi" w:hAnsiTheme="minorHAnsi" w:cstheme="minorHAnsi"/>
          <w:szCs w:val="22"/>
        </w:rPr>
        <w:t xml:space="preserve"> otherwise</w:t>
      </w:r>
      <w:r>
        <w:t xml:space="preserve"> specified, </w:t>
      </w:r>
      <w:r w:rsidRPr="009D6F9F">
        <w:t>all references in th</w:t>
      </w:r>
      <w:r>
        <w:t>ese</w:t>
      </w:r>
      <w:r w:rsidRPr="009D6F9F">
        <w:t xml:space="preserve"> </w:t>
      </w:r>
      <w:r>
        <w:t>Guidelines</w:t>
      </w:r>
      <w:r w:rsidRPr="009D6F9F">
        <w:t xml:space="preserve"> to:</w:t>
      </w:r>
    </w:p>
    <w:p w14:paraId="485F095F" w14:textId="05CA1540" w:rsidR="00F10AFA" w:rsidRPr="00576A67" w:rsidRDefault="00F10AFA" w:rsidP="000F4929">
      <w:pPr>
        <w:pStyle w:val="guidelinetext"/>
        <w:numPr>
          <w:ilvl w:val="0"/>
          <w:numId w:val="22"/>
        </w:numPr>
        <w:spacing w:before="60" w:line="240" w:lineRule="auto"/>
        <w:ind w:left="714" w:hanging="357"/>
      </w:pPr>
      <w:r w:rsidRPr="00576A67">
        <w:t xml:space="preserve"> ‘</w:t>
      </w:r>
      <w:r>
        <w:t xml:space="preserve">3 </w:t>
      </w:r>
      <w:r w:rsidRPr="00576A67">
        <w:t>active month</w:t>
      </w:r>
      <w:r>
        <w:t xml:space="preserve">s’ are, broadly speaking, references to </w:t>
      </w:r>
      <w:r w:rsidRPr="00576A67">
        <w:t xml:space="preserve">91 days, but prolonged for the time the </w:t>
      </w:r>
      <w:r>
        <w:t>Participant</w:t>
      </w:r>
      <w:r w:rsidRPr="00576A67">
        <w:t xml:space="preserve"> is in a penalty period or has an Exemption (up to a maximum of </w:t>
      </w:r>
      <w:r>
        <w:t xml:space="preserve">12 </w:t>
      </w:r>
      <w:r w:rsidRPr="00576A67">
        <w:t>months)</w:t>
      </w:r>
    </w:p>
    <w:p w14:paraId="6D1EA7CF" w14:textId="349DD8FF" w:rsidR="00F10AFA" w:rsidRPr="00000132" w:rsidRDefault="00F10AFA" w:rsidP="00FF05F6">
      <w:pPr>
        <w:pStyle w:val="guidelinetext"/>
        <w:numPr>
          <w:ilvl w:val="0"/>
          <w:numId w:val="22"/>
        </w:numPr>
        <w:spacing w:before="60" w:line="240" w:lineRule="auto"/>
        <w:ind w:left="714" w:hanging="357"/>
        <w:rPr>
          <w:rFonts w:cstheme="minorHAnsi"/>
        </w:rPr>
      </w:pPr>
      <w:r w:rsidRPr="00576A67">
        <w:t>‘</w:t>
      </w:r>
      <w:r>
        <w:t xml:space="preserve">6 </w:t>
      </w:r>
      <w:r w:rsidRPr="00576A67">
        <w:t>active month</w:t>
      </w:r>
      <w:r>
        <w:t xml:space="preserve">s’ are, broadly speaking, references to </w:t>
      </w:r>
      <w:r w:rsidRPr="00576A67">
        <w:t xml:space="preserve">182 days, but prolonged for the time the </w:t>
      </w:r>
      <w:r>
        <w:t>Participant</w:t>
      </w:r>
      <w:r w:rsidRPr="00576A67">
        <w:t xml:space="preserve"> is in a penalty period or has an Exemption (up to a maximum of </w:t>
      </w:r>
      <w:r>
        <w:t xml:space="preserve">12 </w:t>
      </w:r>
      <w:r w:rsidRPr="00576A67">
        <w:t>months)</w:t>
      </w:r>
    </w:p>
    <w:p w14:paraId="1560373C" w14:textId="77777777" w:rsidR="007F595F"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9" w:name="_Toc495402565"/>
    </w:p>
    <w:p w14:paraId="2733AC47" w14:textId="77777777" w:rsidR="008D6B0D" w:rsidRPr="00D43353" w:rsidRDefault="008D6B0D" w:rsidP="008D6B0D">
      <w:pPr>
        <w:rPr>
          <w:rFonts w:eastAsiaTheme="minorEastAsia"/>
          <w:b/>
          <w:noProof/>
          <w:szCs w:val="22"/>
        </w:rPr>
      </w:pPr>
      <w:r w:rsidRPr="00AC50E9">
        <w:rPr>
          <w:rFonts w:eastAsiaTheme="minorEastAsia"/>
          <w:b/>
          <w:noProof/>
          <w:szCs w:val="22"/>
        </w:rPr>
        <w:t>Targeted Compliance Framework</w:t>
      </w:r>
      <w:r w:rsidRPr="00427E22">
        <w:rPr>
          <w:rFonts w:eastAsiaTheme="minorEastAsia"/>
          <w:b/>
          <w:noProof/>
          <w:szCs w:val="22"/>
        </w:rPr>
        <w:t xml:space="preserve"> Guidelines</w:t>
      </w:r>
    </w:p>
    <w:p w14:paraId="0464E21C" w14:textId="77777777" w:rsidR="00B661F0" w:rsidRDefault="00B661F0" w:rsidP="00B661F0">
      <w:pPr>
        <w:pStyle w:val="guidelinetext"/>
        <w:pBdr>
          <w:top w:val="single" w:sz="4" w:space="1" w:color="auto"/>
        </w:pBdr>
        <w:spacing w:line="240" w:lineRule="auto"/>
        <w:ind w:left="0"/>
      </w:pPr>
    </w:p>
    <w:p w14:paraId="2D42F622" w14:textId="57B821C0" w:rsidR="00B661F0" w:rsidRPr="000F4929" w:rsidRDefault="00B661F0" w:rsidP="000F4929">
      <w:pPr>
        <w:pStyle w:val="Heading2"/>
        <w:numPr>
          <w:ilvl w:val="0"/>
          <w:numId w:val="10"/>
        </w:numPr>
        <w:spacing w:before="0"/>
        <w:ind w:left="567" w:hanging="567"/>
        <w:rPr>
          <w:sz w:val="28"/>
        </w:rPr>
      </w:pPr>
      <w:bookmarkStart w:id="30" w:name="_Toc511137916"/>
      <w:bookmarkStart w:id="31" w:name="_Toc177568215"/>
      <w:r w:rsidRPr="000F4929">
        <w:rPr>
          <w:sz w:val="28"/>
        </w:rPr>
        <w:t>The Targeted Compliance Framework</w:t>
      </w:r>
      <w:bookmarkEnd w:id="30"/>
      <w:bookmarkEnd w:id="31"/>
    </w:p>
    <w:p w14:paraId="53572092" w14:textId="3D21C0A0" w:rsidR="00F10AFA" w:rsidRPr="000E48AD" w:rsidRDefault="00F10AFA" w:rsidP="000E48AD">
      <w:pPr>
        <w:tabs>
          <w:tab w:val="right" w:pos="1701"/>
        </w:tabs>
        <w:rPr>
          <w:rFonts w:asciiTheme="minorHAnsi" w:hAnsiTheme="minorHAnsi" w:cstheme="minorHAnsi"/>
          <w:szCs w:val="22"/>
        </w:rPr>
      </w:pPr>
      <w:r w:rsidRPr="0008789F">
        <w:t>Providers</w:t>
      </w:r>
      <w:r>
        <w:t xml:space="preserve">’ main obligations relating to the Targeted </w:t>
      </w:r>
      <w:r w:rsidR="000E48AD" w:rsidRPr="007C45B4">
        <w:t xml:space="preserve">Compliance Framework (TCF) are set </w:t>
      </w:r>
      <w:r w:rsidR="000E48AD" w:rsidRPr="00712C40">
        <w:t xml:space="preserve">out in </w:t>
      </w:r>
      <w:r>
        <w:t xml:space="preserve">Section 5H of </w:t>
      </w:r>
      <w:r w:rsidRPr="00656F75">
        <w:t xml:space="preserve">the </w:t>
      </w:r>
      <w:r>
        <w:t xml:space="preserve">Disability Employment Services Grant Agreement 2018–2022. One of the key obligations </w:t>
      </w:r>
      <w:r w:rsidRPr="000E48AD">
        <w:rPr>
          <w:rFonts w:asciiTheme="minorHAnsi" w:hAnsiTheme="minorHAnsi" w:cstheme="minorHAnsi"/>
          <w:szCs w:val="22"/>
        </w:rPr>
        <w:t xml:space="preserve">is that Providers must actively monitor and record each Participant’s compliance against their Mutual Obligation Requirements (see </w:t>
      </w:r>
      <w:r w:rsidR="007A66C1" w:rsidRPr="000E48AD">
        <w:rPr>
          <w:rFonts w:asciiTheme="minorHAnsi" w:hAnsiTheme="minorHAnsi" w:cstheme="minorHAnsi"/>
          <w:szCs w:val="22"/>
        </w:rPr>
        <w:t>clause</w:t>
      </w:r>
      <w:r w:rsidRPr="000E48AD">
        <w:rPr>
          <w:rFonts w:asciiTheme="minorHAnsi" w:hAnsiTheme="minorHAnsi" w:cstheme="minorHAnsi"/>
          <w:szCs w:val="22"/>
        </w:rPr>
        <w:t xml:space="preserve"> 108 of the DES Grant Agreement). This includes recording compliance against requirements that, if not complied with, would result in a Mutual Obligation Failure, Work Refusal Failure or Unemployment Failure.</w:t>
      </w:r>
    </w:p>
    <w:p w14:paraId="72C749B9" w14:textId="6BE7D361" w:rsidR="00F10AFA" w:rsidRDefault="00F10AFA" w:rsidP="000E48AD">
      <w:pPr>
        <w:tabs>
          <w:tab w:val="right" w:pos="1701"/>
        </w:tabs>
        <w:rPr>
          <w:i/>
        </w:rPr>
      </w:pPr>
      <w:r w:rsidRPr="000E48AD">
        <w:rPr>
          <w:rFonts w:asciiTheme="minorHAnsi" w:hAnsiTheme="minorHAnsi" w:cstheme="minorHAnsi"/>
          <w:szCs w:val="22"/>
        </w:rPr>
        <w:t>For more information</w:t>
      </w:r>
      <w:r>
        <w:t xml:space="preserve"> on the meaning of the term ‘Mutual Obligation Failure’, see section 3 below. For more information on Work Refusal Failures and Unemployment Failures, see the </w:t>
      </w:r>
      <w:r w:rsidRPr="000E48AD">
        <w:rPr>
          <w:i/>
        </w:rPr>
        <w:t>Targeted Compliance Framework: Work Refusal and Unemployment Failures Guideline</w:t>
      </w:r>
      <w:r>
        <w:rPr>
          <w:i/>
        </w:rPr>
        <w:t>.</w:t>
      </w:r>
    </w:p>
    <w:p w14:paraId="77A27766" w14:textId="09F6EDBD" w:rsidR="005C537B" w:rsidRDefault="00F10AFA" w:rsidP="000E48AD">
      <w:pPr>
        <w:tabs>
          <w:tab w:val="right" w:pos="1701"/>
        </w:tabs>
      </w:pPr>
      <w:r>
        <w:t>In summary, a</w:t>
      </w:r>
      <w:r w:rsidR="005C537B">
        <w:t xml:space="preserve"> </w:t>
      </w:r>
      <w:r w:rsidR="005C537B" w:rsidRPr="000E48AD">
        <w:rPr>
          <w:rFonts w:asciiTheme="minorHAnsi" w:hAnsiTheme="minorHAnsi" w:cstheme="minorHAnsi"/>
          <w:szCs w:val="22"/>
        </w:rPr>
        <w:t>Participant’s</w:t>
      </w:r>
      <w:r w:rsidR="005C537B">
        <w:t xml:space="preserve"> Income Support Payment </w:t>
      </w:r>
      <w:r>
        <w:t xml:space="preserve">potentially </w:t>
      </w:r>
      <w:r w:rsidR="005C537B">
        <w:t>may be:</w:t>
      </w:r>
    </w:p>
    <w:p w14:paraId="2ECB6FCE" w14:textId="0733D38C" w:rsidR="005C537B" w:rsidRDefault="005C537B" w:rsidP="000E48AD">
      <w:pPr>
        <w:pStyle w:val="guidelinetext"/>
        <w:numPr>
          <w:ilvl w:val="0"/>
          <w:numId w:val="9"/>
        </w:numPr>
        <w:spacing w:before="60" w:line="240" w:lineRule="auto"/>
        <w:ind w:left="714" w:hanging="357"/>
      </w:pPr>
      <w:r>
        <w:t>suspended, reduced and/or cancelled if they commit a Mutual Obligation Failure</w:t>
      </w:r>
      <w:r w:rsidR="00F10AFA">
        <w:t xml:space="preserve"> (see </w:t>
      </w:r>
      <w:r w:rsidR="000E48AD">
        <w:t>‘</w:t>
      </w:r>
      <w:r w:rsidR="00F10AFA">
        <w:t xml:space="preserve">Committing </w:t>
      </w:r>
      <w:r w:rsidR="007A66C1">
        <w:t>Mutual</w:t>
      </w:r>
      <w:r w:rsidR="00F10AFA">
        <w:t xml:space="preserve"> Obligation Failures</w:t>
      </w:r>
      <w:r w:rsidR="000E48AD">
        <w:t>’</w:t>
      </w:r>
      <w:r w:rsidR="00F10AFA">
        <w:t xml:space="preserve"> in this document)</w:t>
      </w:r>
    </w:p>
    <w:p w14:paraId="4D8CED1B" w14:textId="1C2486CC" w:rsidR="005C537B" w:rsidRDefault="005C537B" w:rsidP="000E48AD">
      <w:pPr>
        <w:pStyle w:val="guidelinetext"/>
        <w:numPr>
          <w:ilvl w:val="0"/>
          <w:numId w:val="9"/>
        </w:numPr>
        <w:spacing w:before="60" w:line="240" w:lineRule="auto"/>
        <w:ind w:left="714" w:hanging="357"/>
      </w:pPr>
      <w:r>
        <w:t>suspended and</w:t>
      </w:r>
      <w:r w:rsidR="00F10AFA">
        <w:t>/or</w:t>
      </w:r>
      <w:r>
        <w:t xml:space="preserve"> cancelled if they commit a Work Refusal Failure</w:t>
      </w:r>
      <w:r w:rsidR="00F10AFA">
        <w:t xml:space="preserve"> (</w:t>
      </w:r>
      <w:r>
        <w:t xml:space="preserve">that is, </w:t>
      </w:r>
      <w:r w:rsidR="00F10AFA">
        <w:t xml:space="preserve">they </w:t>
      </w:r>
      <w:r>
        <w:t>refuse or fail to accept an offer of suitable employment</w:t>
      </w:r>
      <w:r w:rsidR="00F10AFA">
        <w:t>, subject to certain exceptions)</w:t>
      </w:r>
    </w:p>
    <w:p w14:paraId="3270F249" w14:textId="7A2BEDE8" w:rsidR="005C537B" w:rsidRDefault="005C537B" w:rsidP="000E48AD">
      <w:pPr>
        <w:pStyle w:val="guidelinetext"/>
        <w:numPr>
          <w:ilvl w:val="0"/>
          <w:numId w:val="9"/>
        </w:numPr>
        <w:spacing w:before="60" w:line="240" w:lineRule="auto"/>
        <w:ind w:left="714" w:hanging="357"/>
      </w:pPr>
      <w:r>
        <w:t>cancelled if they commit an Unemployment Failure</w:t>
      </w:r>
      <w:r w:rsidR="00F10AFA">
        <w:t xml:space="preserve"> (</w:t>
      </w:r>
      <w:r>
        <w:t xml:space="preserve">that is, </w:t>
      </w:r>
      <w:r w:rsidR="00F10AFA">
        <w:t xml:space="preserve">they </w:t>
      </w:r>
      <w:r>
        <w:t xml:space="preserve">become unemployed </w:t>
      </w:r>
      <w:proofErr w:type="gramStart"/>
      <w:r w:rsidR="00F10AFA">
        <w:t xml:space="preserve">as a result </w:t>
      </w:r>
      <w:r>
        <w:t>of</w:t>
      </w:r>
      <w:proofErr w:type="gramEnd"/>
      <w:r>
        <w:t xml:space="preserve"> a voluntary act or misconduct</w:t>
      </w:r>
      <w:r w:rsidR="00F10AFA">
        <w:t>, subject to certain exceptions)</w:t>
      </w:r>
      <w:r>
        <w:t>.</w:t>
      </w:r>
    </w:p>
    <w:p w14:paraId="0C632B71" w14:textId="66431918" w:rsidR="00236186" w:rsidRPr="000E48AD" w:rsidRDefault="00F10AFA" w:rsidP="000E48AD">
      <w:pPr>
        <w:tabs>
          <w:tab w:val="right" w:pos="1701"/>
        </w:tabs>
        <w:rPr>
          <w:rFonts w:asciiTheme="minorHAnsi" w:hAnsiTheme="minorHAnsi" w:cstheme="minorHAnsi"/>
          <w:szCs w:val="22"/>
        </w:rPr>
      </w:pPr>
      <w:r>
        <w:t xml:space="preserve">Note that, if a </w:t>
      </w:r>
      <w:r w:rsidRPr="005B6382">
        <w:rPr>
          <w:rFonts w:asciiTheme="minorHAnsi" w:hAnsiTheme="minorHAnsi" w:cstheme="minorHAnsi"/>
          <w:szCs w:val="22"/>
        </w:rPr>
        <w:t>Participant’s</w:t>
      </w:r>
      <w:r>
        <w:t xml:space="preserve"> Income Support Payment</w:t>
      </w:r>
      <w:r w:rsidR="007F595F" w:rsidRPr="00C14B06">
        <w:t xml:space="preserve"> is </w:t>
      </w:r>
      <w:r w:rsidR="00236186">
        <w:t xml:space="preserve">cancelled, the Participant must serve a four-week preclusion period before </w:t>
      </w:r>
      <w:r w:rsidR="00236186" w:rsidRPr="000E48AD">
        <w:rPr>
          <w:rFonts w:asciiTheme="minorHAnsi" w:hAnsiTheme="minorHAnsi" w:cstheme="minorHAnsi"/>
          <w:szCs w:val="22"/>
        </w:rPr>
        <w:t>they may be paid again (after reapplying for income support).</w:t>
      </w:r>
    </w:p>
    <w:p w14:paraId="320BAD51" w14:textId="0EED492C" w:rsidR="007F595F" w:rsidRPr="00C14B06" w:rsidRDefault="00236186" w:rsidP="000E48AD">
      <w:pPr>
        <w:tabs>
          <w:tab w:val="right" w:pos="1701"/>
        </w:tabs>
      </w:pPr>
      <w:r w:rsidRPr="000E48AD">
        <w:rPr>
          <w:rFonts w:asciiTheme="minorHAnsi" w:hAnsiTheme="minorHAnsi" w:cstheme="minorHAnsi"/>
          <w:szCs w:val="22"/>
        </w:rPr>
        <w:t xml:space="preserve">A key principle of the TCF is </w:t>
      </w:r>
      <w:r w:rsidR="007F595F" w:rsidRPr="000E48AD">
        <w:rPr>
          <w:rFonts w:asciiTheme="minorHAnsi" w:hAnsiTheme="minorHAnsi" w:cstheme="minorHAnsi"/>
          <w:szCs w:val="22"/>
        </w:rPr>
        <w:t xml:space="preserve">personal responsibility. </w:t>
      </w:r>
      <w:r w:rsidR="005C537B" w:rsidRPr="000E48AD">
        <w:rPr>
          <w:rFonts w:asciiTheme="minorHAnsi" w:hAnsiTheme="minorHAnsi" w:cstheme="minorHAnsi"/>
          <w:szCs w:val="22"/>
        </w:rPr>
        <w:t>Participants</w:t>
      </w:r>
      <w:r w:rsidR="007F595F" w:rsidRPr="000E48AD">
        <w:rPr>
          <w:rFonts w:asciiTheme="minorHAnsi" w:hAnsiTheme="minorHAnsi" w:cstheme="minorHAnsi"/>
          <w:szCs w:val="22"/>
        </w:rPr>
        <w:t xml:space="preserve"> </w:t>
      </w:r>
      <w:r w:rsidRPr="000E48AD">
        <w:rPr>
          <w:rFonts w:asciiTheme="minorHAnsi" w:hAnsiTheme="minorHAnsi" w:cstheme="minorHAnsi"/>
          <w:szCs w:val="22"/>
        </w:rPr>
        <w:t>are held</w:t>
      </w:r>
      <w:r w:rsidR="007F595F" w:rsidRPr="000E48AD">
        <w:rPr>
          <w:rFonts w:asciiTheme="minorHAnsi" w:hAnsiTheme="minorHAnsi" w:cstheme="minorHAnsi"/>
          <w:szCs w:val="22"/>
        </w:rPr>
        <w:t xml:space="preserve"> personally responsible for managing</w:t>
      </w:r>
      <w:r w:rsidRPr="000E48AD">
        <w:rPr>
          <w:rFonts w:asciiTheme="minorHAnsi" w:hAnsiTheme="minorHAnsi" w:cstheme="minorHAnsi"/>
          <w:szCs w:val="22"/>
        </w:rPr>
        <w:t>,</w:t>
      </w:r>
      <w:r w:rsidR="007F595F" w:rsidRPr="000E48AD">
        <w:rPr>
          <w:rFonts w:asciiTheme="minorHAnsi" w:hAnsiTheme="minorHAnsi" w:cstheme="minorHAnsi"/>
          <w:szCs w:val="22"/>
        </w:rPr>
        <w:t xml:space="preserve"> meeting</w:t>
      </w:r>
      <w:r w:rsidRPr="000E48AD">
        <w:rPr>
          <w:rFonts w:asciiTheme="minorHAnsi" w:hAnsiTheme="minorHAnsi" w:cstheme="minorHAnsi"/>
          <w:szCs w:val="22"/>
        </w:rPr>
        <w:t xml:space="preserve"> and reporting on</w:t>
      </w:r>
      <w:r w:rsidR="007F595F" w:rsidRPr="00C14B06">
        <w:t xml:space="preserve"> their Mutual Obligation Requirements each fortnight in return for their Income Support Payment. This means that </w:t>
      </w:r>
      <w:r w:rsidR="005C537B">
        <w:t>Participants</w:t>
      </w:r>
      <w:r w:rsidR="005C537B" w:rsidRPr="00C14B06">
        <w:t xml:space="preserve"> </w:t>
      </w:r>
      <w:r>
        <w:t>are</w:t>
      </w:r>
      <w:r w:rsidR="007F595F" w:rsidRPr="00C14B06">
        <w:t xml:space="preserve"> responsible for:</w:t>
      </w:r>
    </w:p>
    <w:p w14:paraId="0247F75C" w14:textId="40540AE3" w:rsidR="00236186" w:rsidRDefault="007F595F" w:rsidP="000E48AD">
      <w:pPr>
        <w:pStyle w:val="guidelinetext"/>
        <w:numPr>
          <w:ilvl w:val="0"/>
          <w:numId w:val="9"/>
        </w:numPr>
        <w:spacing w:before="60" w:line="240" w:lineRule="auto"/>
        <w:ind w:left="714" w:hanging="357"/>
      </w:pPr>
      <w:r>
        <w:t>m</w:t>
      </w:r>
      <w:r w:rsidRPr="00C14B06">
        <w:t xml:space="preserve">eeting their </w:t>
      </w:r>
      <w:r w:rsidR="005C537B" w:rsidRPr="005C537B">
        <w:t>Mutual Obligation Requirements</w:t>
      </w:r>
      <w:r w:rsidR="00236186">
        <w:t>, including those set out</w:t>
      </w:r>
      <w:r w:rsidR="005C537B" w:rsidRPr="005C537B">
        <w:t xml:space="preserve"> in their Job Plan</w:t>
      </w:r>
    </w:p>
    <w:p w14:paraId="23F63363" w14:textId="75092FA4" w:rsidR="007F595F" w:rsidRPr="00C14B06" w:rsidRDefault="00236186" w:rsidP="000E48AD">
      <w:pPr>
        <w:pStyle w:val="guidelinetext"/>
        <w:numPr>
          <w:ilvl w:val="0"/>
          <w:numId w:val="9"/>
        </w:numPr>
        <w:spacing w:before="60" w:line="240" w:lineRule="auto"/>
        <w:ind w:left="714" w:hanging="357"/>
      </w:pPr>
      <w:r>
        <w:t>self-reporting participation against their Mutual Obligation Requirements as they are scheduled in their</w:t>
      </w:r>
      <w:r w:rsidR="00D2337C" w:rsidRPr="00D2337C">
        <w:t xml:space="preserve"> Electronic Calendar</w:t>
      </w:r>
      <w:r w:rsidRPr="000E48AD">
        <w:t xml:space="preserve"> when</w:t>
      </w:r>
      <w:r w:rsidR="007F595F" w:rsidRPr="000E48AD">
        <w:t xml:space="preserve"> they are </w:t>
      </w:r>
      <w:r w:rsidRPr="000E48AD">
        <w:t xml:space="preserve">found to be </w:t>
      </w:r>
      <w:r w:rsidR="007F595F" w:rsidRPr="000E48AD">
        <w:t>reasonably capable of doing so</w:t>
      </w:r>
    </w:p>
    <w:p w14:paraId="371E2E56" w14:textId="2A9E659D" w:rsidR="007F595F" w:rsidRPr="00035383" w:rsidRDefault="007F595F" w:rsidP="000E48AD">
      <w:pPr>
        <w:pStyle w:val="guidelinetext"/>
        <w:numPr>
          <w:ilvl w:val="0"/>
          <w:numId w:val="9"/>
        </w:numPr>
        <w:spacing w:before="60" w:line="240" w:lineRule="auto"/>
        <w:ind w:left="714" w:hanging="357"/>
      </w:pPr>
      <w:r w:rsidRPr="00C14B06">
        <w:t>looking for work and reporting their Job Search</w:t>
      </w:r>
      <w:r w:rsidR="00236186">
        <w:t xml:space="preserve">es </w:t>
      </w:r>
      <w:r w:rsidRPr="00C14B06">
        <w:t>on time each month</w:t>
      </w:r>
      <w:r w:rsidRPr="000003BC">
        <w:rPr>
          <w:rFonts w:cstheme="minorHAnsi"/>
        </w:rPr>
        <w:t xml:space="preserve"> (whe</w:t>
      </w:r>
      <w:r w:rsidR="00236186">
        <w:rPr>
          <w:rFonts w:cstheme="minorHAnsi"/>
        </w:rPr>
        <w:t>n</w:t>
      </w:r>
      <w:r w:rsidRPr="000003BC">
        <w:rPr>
          <w:rFonts w:cstheme="minorHAnsi"/>
        </w:rPr>
        <w:t xml:space="preserve"> required to do so)</w:t>
      </w:r>
      <w:r w:rsidR="00580CB3">
        <w:rPr>
          <w:rFonts w:cstheme="minorHAnsi"/>
        </w:rPr>
        <w:t>.</w:t>
      </w:r>
    </w:p>
    <w:p w14:paraId="56BEB8B7" w14:textId="0C01CB06" w:rsidR="00035383" w:rsidRDefault="00FF05F6" w:rsidP="00973A61">
      <w:pPr>
        <w:pStyle w:val="guidelinetext"/>
        <w:spacing w:line="240" w:lineRule="auto"/>
        <w:ind w:left="0"/>
      </w:pPr>
      <w:r>
        <w:t>Providers have</w:t>
      </w:r>
    </w:p>
    <w:p w14:paraId="59D0993B" w14:textId="77777777" w:rsidR="00FF05F6" w:rsidRPr="00C14B06" w:rsidRDefault="00FF05F6" w:rsidP="00973A61">
      <w:pPr>
        <w:pStyle w:val="guidelinetext"/>
        <w:spacing w:line="240" w:lineRule="auto"/>
        <w:ind w:left="0"/>
      </w:pPr>
    </w:p>
    <w:p w14:paraId="6CC33579" w14:textId="0A2A4E50" w:rsidR="00236186" w:rsidRDefault="00236186" w:rsidP="005B6382">
      <w:pPr>
        <w:pStyle w:val="Heading3"/>
        <w:spacing w:before="0"/>
      </w:pPr>
      <w:bookmarkStart w:id="32" w:name="_Toc177568216"/>
      <w:r>
        <w:t>The Three Zones</w:t>
      </w:r>
      <w:bookmarkEnd w:id="32"/>
    </w:p>
    <w:p w14:paraId="294CEDA1" w14:textId="75236E14" w:rsidR="000E48AD" w:rsidRDefault="00236186" w:rsidP="005B6382">
      <w:pPr>
        <w:tabs>
          <w:tab w:val="right" w:pos="1701"/>
        </w:tabs>
      </w:pPr>
      <w:r>
        <w:t>The TCF comprises three zones for Participants:</w:t>
      </w:r>
    </w:p>
    <w:p w14:paraId="7AA40CBC" w14:textId="77777777" w:rsidR="000E48AD" w:rsidRDefault="00236186" w:rsidP="000E48AD">
      <w:pPr>
        <w:pStyle w:val="guidelinetext"/>
        <w:numPr>
          <w:ilvl w:val="0"/>
          <w:numId w:val="9"/>
        </w:numPr>
        <w:spacing w:before="60" w:line="240" w:lineRule="auto"/>
        <w:ind w:left="714" w:hanging="357"/>
      </w:pPr>
      <w:r>
        <w:t>the Green Zone</w:t>
      </w:r>
    </w:p>
    <w:p w14:paraId="6C699B26" w14:textId="77777777" w:rsidR="000E48AD" w:rsidRDefault="00236186" w:rsidP="000E48AD">
      <w:pPr>
        <w:pStyle w:val="guidelinetext"/>
        <w:numPr>
          <w:ilvl w:val="0"/>
          <w:numId w:val="9"/>
        </w:numPr>
        <w:spacing w:before="60" w:line="240" w:lineRule="auto"/>
        <w:ind w:left="714" w:hanging="357"/>
      </w:pPr>
      <w:r>
        <w:t>the Warning Zone</w:t>
      </w:r>
    </w:p>
    <w:p w14:paraId="51EA8F93" w14:textId="77777777" w:rsidR="000E48AD" w:rsidRDefault="000E48AD" w:rsidP="000E48AD">
      <w:pPr>
        <w:pStyle w:val="guidelinetext"/>
        <w:numPr>
          <w:ilvl w:val="0"/>
          <w:numId w:val="9"/>
        </w:numPr>
        <w:spacing w:before="60" w:line="240" w:lineRule="auto"/>
        <w:ind w:left="714" w:hanging="357"/>
      </w:pPr>
      <w:r>
        <w:t>the Penalty Zone.</w:t>
      </w:r>
    </w:p>
    <w:p w14:paraId="0F7BC7BB" w14:textId="1B8B8142" w:rsidR="00236186" w:rsidRDefault="00236186" w:rsidP="005B6382">
      <w:pPr>
        <w:tabs>
          <w:tab w:val="right" w:pos="1701"/>
        </w:tabs>
      </w:pPr>
      <w:r>
        <w:t>The key things that influence whether a Participant moves from one zone to another are:</w:t>
      </w:r>
    </w:p>
    <w:p w14:paraId="137BCA3A" w14:textId="2C28C6B9" w:rsidR="007F595F" w:rsidRDefault="00236186" w:rsidP="005B6382">
      <w:pPr>
        <w:pStyle w:val="guidelinetext"/>
        <w:numPr>
          <w:ilvl w:val="0"/>
          <w:numId w:val="9"/>
        </w:numPr>
        <w:spacing w:before="60" w:line="240" w:lineRule="auto"/>
        <w:ind w:left="714" w:hanging="357"/>
      </w:pPr>
      <w:r>
        <w:t xml:space="preserve">whether they accrue a Demerit. </w:t>
      </w:r>
      <w:r w:rsidRPr="00F2535F">
        <w:t xml:space="preserve">See </w:t>
      </w:r>
      <w:r w:rsidR="000E48AD" w:rsidRPr="005B6382">
        <w:t>Attachment A</w:t>
      </w:r>
      <w:r>
        <w:t xml:space="preserve"> for information on the circumstances in which a Participant will accrue a Demerit. Broadly speaking, it is intended that a Participant will accrue a Demerit when they </w:t>
      </w:r>
      <w:r w:rsidR="007F595F" w:rsidRPr="00C14B06">
        <w:t>commit a Mutual Obligation Failure without a Valid Reason</w:t>
      </w:r>
    </w:p>
    <w:p w14:paraId="5CCE34C6" w14:textId="335C6BB1" w:rsidR="00236186" w:rsidRDefault="00236186" w:rsidP="005B6382">
      <w:pPr>
        <w:pStyle w:val="guidelinetext"/>
        <w:numPr>
          <w:ilvl w:val="0"/>
          <w:numId w:val="9"/>
        </w:numPr>
        <w:spacing w:before="60" w:line="240" w:lineRule="auto"/>
        <w:ind w:left="714" w:hanging="357"/>
      </w:pPr>
      <w:r>
        <w:t xml:space="preserve">how many Demerits they accrue in a particular </w:t>
      </w:r>
      <w:proofErr w:type="gramStart"/>
      <w:r>
        <w:t>time period</w:t>
      </w:r>
      <w:proofErr w:type="gramEnd"/>
    </w:p>
    <w:p w14:paraId="5E6CFB7D" w14:textId="7B9C3FE3" w:rsidR="00236186" w:rsidRDefault="00236186" w:rsidP="005B6382">
      <w:pPr>
        <w:pStyle w:val="guidelinetext"/>
        <w:numPr>
          <w:ilvl w:val="0"/>
          <w:numId w:val="9"/>
        </w:numPr>
        <w:spacing w:before="60" w:line="240" w:lineRule="auto"/>
        <w:ind w:left="714" w:hanging="357"/>
      </w:pPr>
      <w:r>
        <w:t>the types of Mutual Obligation Failures that lead to the accrual of the Demerits</w:t>
      </w:r>
    </w:p>
    <w:p w14:paraId="552895F6" w14:textId="5CBBD70B" w:rsidR="00035383" w:rsidRDefault="00035383" w:rsidP="005B6382">
      <w:pPr>
        <w:pStyle w:val="guidelinetext"/>
        <w:numPr>
          <w:ilvl w:val="0"/>
          <w:numId w:val="9"/>
        </w:numPr>
        <w:spacing w:before="60" w:line="240" w:lineRule="auto"/>
        <w:ind w:left="714" w:hanging="357"/>
      </w:pPr>
      <w:r>
        <w:t xml:space="preserve">the outcomes of any Capability Interview or Capability Assessment that the Participant participates in. </w:t>
      </w:r>
      <w:r w:rsidRPr="00E30A04">
        <w:t xml:space="preserve">See </w:t>
      </w:r>
      <w:r>
        <w:t xml:space="preserve">the </w:t>
      </w:r>
      <w:r w:rsidR="000E48AD" w:rsidRPr="005B6382">
        <w:rPr>
          <w:rFonts w:ascii="Calibri" w:eastAsia="Times New Roman" w:hAnsi="Calibri" w:cs="Times New Roman"/>
          <w:i/>
          <w:szCs w:val="24"/>
          <w:lang w:eastAsia="en-AU"/>
        </w:rPr>
        <w:t>Capability Interview</w:t>
      </w:r>
      <w:r w:rsidR="000E48AD" w:rsidRPr="005B6382">
        <w:rPr>
          <w:rFonts w:ascii="Calibri" w:eastAsia="Times New Roman" w:hAnsi="Calibri" w:cs="Times New Roman"/>
          <w:szCs w:val="24"/>
          <w:lang w:eastAsia="en-AU"/>
        </w:rPr>
        <w:t xml:space="preserve"> </w:t>
      </w:r>
      <w:r w:rsidR="000E48AD" w:rsidRPr="005B6382">
        <w:rPr>
          <w:rFonts w:ascii="Calibri" w:eastAsia="Times New Roman" w:hAnsi="Calibri" w:cs="Times New Roman"/>
          <w:i/>
          <w:szCs w:val="24"/>
          <w:lang w:eastAsia="en-AU"/>
        </w:rPr>
        <w:t>Guideline</w:t>
      </w:r>
      <w:r w:rsidR="009D0C6A" w:rsidRPr="005B6382">
        <w:rPr>
          <w:rFonts w:ascii="Calibri" w:eastAsia="Times New Roman" w:hAnsi="Calibri" w:cs="Times New Roman"/>
          <w:i/>
          <w:szCs w:val="24"/>
          <w:lang w:eastAsia="en-AU"/>
        </w:rPr>
        <w:t>s</w:t>
      </w:r>
      <w:r>
        <w:t xml:space="preserve"> and the </w:t>
      </w:r>
      <w:r w:rsidR="000E48AD" w:rsidRPr="005B6382">
        <w:rPr>
          <w:rFonts w:ascii="Calibri" w:eastAsia="Times New Roman" w:hAnsi="Calibri" w:cs="Times New Roman"/>
          <w:i/>
          <w:szCs w:val="24"/>
          <w:lang w:eastAsia="en-AU"/>
        </w:rPr>
        <w:t>Capability Assessment Guideline</w:t>
      </w:r>
      <w:r w:rsidR="009D0C6A" w:rsidRPr="005B6382">
        <w:rPr>
          <w:rFonts w:ascii="Calibri" w:eastAsia="Times New Roman" w:hAnsi="Calibri" w:cs="Times New Roman"/>
          <w:i/>
          <w:szCs w:val="24"/>
          <w:lang w:eastAsia="en-AU"/>
        </w:rPr>
        <w:t>s</w:t>
      </w:r>
      <w:r w:rsidRPr="00256676">
        <w:t xml:space="preserve"> for more information on Capability Interviews or</w:t>
      </w:r>
      <w:r>
        <w:t xml:space="preserve"> Capability Assessments.</w:t>
      </w:r>
    </w:p>
    <w:p w14:paraId="110DE7CB" w14:textId="5AEB5CB5" w:rsidR="00035383" w:rsidRDefault="00035383" w:rsidP="000E48AD">
      <w:pPr>
        <w:tabs>
          <w:tab w:val="right" w:pos="1701"/>
        </w:tabs>
      </w:pPr>
      <w:r>
        <w:t xml:space="preserve">Each of the </w:t>
      </w:r>
      <w:r w:rsidRPr="005B6382">
        <w:rPr>
          <w:rFonts w:asciiTheme="minorHAnsi" w:hAnsiTheme="minorHAnsi" w:cstheme="minorHAnsi"/>
          <w:szCs w:val="22"/>
        </w:rPr>
        <w:t>three</w:t>
      </w:r>
      <w:r>
        <w:t xml:space="preserve"> zones are describe</w:t>
      </w:r>
      <w:r w:rsidR="000E48AD">
        <w:t>d in further detail below.</w:t>
      </w:r>
    </w:p>
    <w:p w14:paraId="5D822006" w14:textId="2D35B955" w:rsidR="00035383" w:rsidRDefault="00035383" w:rsidP="000E48AD">
      <w:pPr>
        <w:tabs>
          <w:tab w:val="right" w:pos="1701"/>
        </w:tabs>
      </w:pPr>
      <w:r>
        <w:t xml:space="preserve">For a diagram illustrating the three zones in the TCF, see </w:t>
      </w:r>
      <w:r w:rsidR="000E48AD" w:rsidRPr="005B6382">
        <w:t>Attachment B</w:t>
      </w:r>
      <w:r>
        <w:t>.</w:t>
      </w:r>
    </w:p>
    <w:p w14:paraId="1F1AAD65" w14:textId="77777777" w:rsidR="00035383" w:rsidRPr="000E48AD" w:rsidRDefault="00035383" w:rsidP="000E48AD">
      <w:pPr>
        <w:spacing w:before="240"/>
        <w:rPr>
          <w:sz w:val="24"/>
          <w:u w:val="single"/>
        </w:rPr>
      </w:pPr>
      <w:bookmarkStart w:id="33" w:name="_Toc21095855"/>
      <w:r w:rsidRPr="00973A61">
        <w:rPr>
          <w:sz w:val="24"/>
          <w:u w:val="single"/>
        </w:rPr>
        <w:t>The Green Zone</w:t>
      </w:r>
      <w:bookmarkEnd w:id="33"/>
    </w:p>
    <w:p w14:paraId="5D7AB2D6" w14:textId="14B5D737" w:rsidR="00035383" w:rsidRDefault="00035383" w:rsidP="000E48AD">
      <w:pPr>
        <w:tabs>
          <w:tab w:val="right" w:pos="1701"/>
        </w:tabs>
      </w:pPr>
      <w:r>
        <w:t xml:space="preserve">All Participants begin in the Green Zone. </w:t>
      </w:r>
      <w:proofErr w:type="gramStart"/>
      <w:r>
        <w:t>As long as</w:t>
      </w:r>
      <w:proofErr w:type="gramEnd"/>
      <w:r>
        <w:t xml:space="preserve"> they do not commit any Mutual Obligation Failures </w:t>
      </w:r>
      <w:r w:rsidRPr="005B6382">
        <w:rPr>
          <w:rFonts w:asciiTheme="minorHAnsi" w:hAnsiTheme="minorHAnsi" w:cstheme="minorHAnsi"/>
          <w:szCs w:val="22"/>
        </w:rPr>
        <w:t>without</w:t>
      </w:r>
      <w:r>
        <w:t xml:space="preserve"> a Valid Reason, they will remain in this zon</w:t>
      </w:r>
      <w:r w:rsidR="000E48AD">
        <w:t>e.</w:t>
      </w:r>
    </w:p>
    <w:p w14:paraId="472BAFF5" w14:textId="77777777" w:rsidR="00035383" w:rsidRPr="00973A61" w:rsidRDefault="00035383" w:rsidP="000E48AD">
      <w:pPr>
        <w:spacing w:before="240"/>
        <w:rPr>
          <w:u w:val="single"/>
        </w:rPr>
      </w:pPr>
      <w:bookmarkStart w:id="34" w:name="_The_Warning_Zone"/>
      <w:bookmarkStart w:id="35" w:name="_Toc21095856"/>
      <w:bookmarkEnd w:id="34"/>
      <w:r w:rsidRPr="00973A61">
        <w:rPr>
          <w:sz w:val="24"/>
          <w:u w:val="single"/>
        </w:rPr>
        <w:t>The Warning Zone</w:t>
      </w:r>
      <w:bookmarkEnd w:id="35"/>
    </w:p>
    <w:p w14:paraId="720A1946" w14:textId="5B336A22" w:rsidR="00035383" w:rsidRDefault="00035383" w:rsidP="000E48AD">
      <w:pPr>
        <w:tabs>
          <w:tab w:val="right" w:pos="1701"/>
        </w:tabs>
      </w:pPr>
      <w:r>
        <w:t xml:space="preserve">Moving into </w:t>
      </w:r>
      <w:r w:rsidRPr="005B6382">
        <w:rPr>
          <w:rFonts w:asciiTheme="minorHAnsi" w:hAnsiTheme="minorHAnsi" w:cstheme="minorHAnsi"/>
          <w:szCs w:val="22"/>
        </w:rPr>
        <w:t>the</w:t>
      </w:r>
      <w:r>
        <w:t xml:space="preserve"> Warning Zone helps to reinforce the importance of meeting Mutual Obligation Requirements and discourages Participants from committing any further Mutual Obli</w:t>
      </w:r>
      <w:r w:rsidR="000E48AD">
        <w:t>gation Failures.</w:t>
      </w:r>
    </w:p>
    <w:p w14:paraId="08789961" w14:textId="77777777" w:rsidR="00035383" w:rsidRDefault="00035383" w:rsidP="000E48AD">
      <w:pPr>
        <w:tabs>
          <w:tab w:val="right" w:pos="1701"/>
        </w:tabs>
      </w:pPr>
      <w:r>
        <w:t xml:space="preserve">When a </w:t>
      </w:r>
      <w:r w:rsidRPr="005B6382">
        <w:rPr>
          <w:rFonts w:asciiTheme="minorHAnsi" w:hAnsiTheme="minorHAnsi" w:cstheme="minorHAnsi"/>
          <w:szCs w:val="22"/>
        </w:rPr>
        <w:t>Participant</w:t>
      </w:r>
      <w:r>
        <w:t xml:space="preserve"> in the Green Zone accrues a Demerit, they move into the Warning Zone. Each Demerit has a lifespan of 6 active months, after which they are automatically removed by the Department’s IT Systems.</w:t>
      </w:r>
    </w:p>
    <w:p w14:paraId="15A0D6F6" w14:textId="77777777" w:rsidR="00035383" w:rsidRPr="00973A61" w:rsidRDefault="00035383" w:rsidP="000E48AD">
      <w:pPr>
        <w:tabs>
          <w:tab w:val="right" w:pos="1701"/>
        </w:tabs>
      </w:pPr>
      <w:r>
        <w:t xml:space="preserve">In some </w:t>
      </w:r>
      <w:r w:rsidRPr="005B6382">
        <w:rPr>
          <w:rFonts w:asciiTheme="minorHAnsi" w:hAnsiTheme="minorHAnsi" w:cstheme="minorHAnsi"/>
          <w:szCs w:val="22"/>
        </w:rPr>
        <w:t>circumstances</w:t>
      </w:r>
      <w:r>
        <w:t xml:space="preserve"> (discussed below), w</w:t>
      </w:r>
      <w:r w:rsidRPr="00ED7F0C">
        <w:t xml:space="preserve">hen a </w:t>
      </w:r>
      <w:r>
        <w:t>Participant</w:t>
      </w:r>
      <w:r w:rsidRPr="00ED7F0C">
        <w:t xml:space="preserve"> i</w:t>
      </w:r>
      <w:r>
        <w:t xml:space="preserve">s in the Warning Zone, the </w:t>
      </w:r>
      <w:r w:rsidRPr="00973A61">
        <w:t xml:space="preserve">Provider must conduct a Capability Interview with the Participant. The Provider must do this when the Department’s IT Systems </w:t>
      </w:r>
      <w:r w:rsidRPr="00951190">
        <w:t>specif</w:t>
      </w:r>
      <w:r>
        <w:t>y</w:t>
      </w:r>
      <w:r w:rsidRPr="00951190">
        <w:t xml:space="preserve"> that the </w:t>
      </w:r>
      <w:r>
        <w:t>Participant</w:t>
      </w:r>
      <w:r w:rsidRPr="00951190">
        <w:t>’s Reconnection Requirement is a Capability Interview</w:t>
      </w:r>
      <w:r>
        <w:t xml:space="preserve"> (the timing of when this occurs is discussed below)</w:t>
      </w:r>
      <w:r w:rsidRPr="00973A61">
        <w:t xml:space="preserve">. </w:t>
      </w:r>
      <w:r>
        <w:t>Note that the Department’s IT Systems refer to a Reconnection Requirement as a ‘re</w:t>
      </w:r>
      <w:r w:rsidRPr="000E48AD">
        <w:rPr>
          <w:rFonts w:ascii="Cambria Math" w:hAnsi="Cambria Math" w:cs="Cambria Math"/>
        </w:rPr>
        <w:t>‑</w:t>
      </w:r>
      <w:r>
        <w:t>engagement requirement’.</w:t>
      </w:r>
    </w:p>
    <w:p w14:paraId="70BAD300" w14:textId="77777777" w:rsidR="000E48AD" w:rsidRPr="005B6382" w:rsidRDefault="000E48AD" w:rsidP="005B6382">
      <w:pPr>
        <w:tabs>
          <w:tab w:val="right" w:pos="1701"/>
        </w:tabs>
      </w:pPr>
      <w:r w:rsidRPr="007C45B4">
        <w:t xml:space="preserve">See the </w:t>
      </w:r>
      <w:hyperlink w:anchor="_Reconnection_Requirements" w:history="1">
        <w:r w:rsidRPr="005B6382">
          <w:t>Reconnection Requirements</w:t>
        </w:r>
      </w:hyperlink>
      <w:r w:rsidRPr="007C45B4">
        <w:t xml:space="preserve"> section of this Guideline for more information on setting Reconnection Requirements.</w:t>
      </w:r>
    </w:p>
    <w:p w14:paraId="56636219" w14:textId="0113C0C8" w:rsidR="00035383" w:rsidRDefault="0070386A" w:rsidP="000E48AD">
      <w:pPr>
        <w:tabs>
          <w:tab w:val="right" w:pos="1701"/>
        </w:tabs>
      </w:pPr>
      <w:r>
        <w:t>T</w:t>
      </w:r>
      <w:r w:rsidR="00035383" w:rsidRPr="00ED7F0C">
        <w:t xml:space="preserve">he outcome of a Capability Interview determines whether the </w:t>
      </w:r>
      <w:r w:rsidR="00035383">
        <w:t>Participant</w:t>
      </w:r>
      <w:r w:rsidR="00035383" w:rsidRPr="00ED7F0C">
        <w:t xml:space="preserve"> will remain in the Warning </w:t>
      </w:r>
      <w:r w:rsidR="00035383" w:rsidRPr="005B6382">
        <w:rPr>
          <w:rFonts w:asciiTheme="minorHAnsi" w:hAnsiTheme="minorHAnsi" w:cstheme="minorHAnsi"/>
          <w:szCs w:val="22"/>
        </w:rPr>
        <w:t>Zone</w:t>
      </w:r>
      <w:r w:rsidR="00035383" w:rsidRPr="00ED7F0C">
        <w:t xml:space="preserve"> or will go back to the Green Zone with their Demerits reset to zero. The purpose of a Capability Interview is to determine whether a </w:t>
      </w:r>
      <w:r w:rsidR="00035383">
        <w:t>Participant</w:t>
      </w:r>
      <w:r w:rsidR="00035383" w:rsidRPr="00ED7F0C">
        <w:t xml:space="preserve">’s Job Plan is suitable for the </w:t>
      </w:r>
      <w:r w:rsidR="00035383">
        <w:t>Participant, and to provide an additional opportunity for the Participant to disclose information that may be affecting their capacity to comply with their Mutual Obligation Requirements</w:t>
      </w:r>
      <w:r w:rsidR="00035383" w:rsidRPr="00ED7F0C">
        <w:t xml:space="preserve">. A Job Plan will be suitable for a </w:t>
      </w:r>
      <w:r w:rsidR="00035383">
        <w:t>Participant</w:t>
      </w:r>
      <w:r w:rsidR="00035383" w:rsidRPr="00ED7F0C">
        <w:t xml:space="preserve"> if the Mutual Obligation Requirements specified in the </w:t>
      </w:r>
      <w:r w:rsidR="00035383">
        <w:t>Participant</w:t>
      </w:r>
      <w:r w:rsidR="00035383" w:rsidRPr="00ED7F0C">
        <w:t>’s Job Plan are</w:t>
      </w:r>
      <w:r w:rsidR="00035383" w:rsidRPr="008D0885">
        <w:t xml:space="preserve"> appropriate for their </w:t>
      </w:r>
      <w:r w:rsidR="00035383">
        <w:t xml:space="preserve">individual </w:t>
      </w:r>
      <w:r w:rsidR="00035383" w:rsidRPr="008D0885">
        <w:t xml:space="preserve">circumstances and the </w:t>
      </w:r>
      <w:r w:rsidR="00035383">
        <w:t>Participant</w:t>
      </w:r>
      <w:r w:rsidR="00035383" w:rsidRPr="008D0885">
        <w:t xml:space="preserve"> </w:t>
      </w:r>
      <w:proofErr w:type="gramStart"/>
      <w:r w:rsidR="00035383" w:rsidRPr="008D0885">
        <w:t>is capable of meeting</w:t>
      </w:r>
      <w:proofErr w:type="gramEnd"/>
      <w:r w:rsidR="00035383" w:rsidRPr="008D0885">
        <w:t xml:space="preserve"> them.</w:t>
      </w:r>
    </w:p>
    <w:p w14:paraId="0AF53E67" w14:textId="77777777" w:rsidR="0070386A" w:rsidRDefault="00035383" w:rsidP="000E48AD">
      <w:pPr>
        <w:tabs>
          <w:tab w:val="right" w:pos="1701"/>
        </w:tabs>
      </w:pPr>
      <w:r w:rsidRPr="00336098">
        <w:t xml:space="preserve">Broadly speaking, the Department’s IT Systems will specify that the </w:t>
      </w:r>
      <w:r>
        <w:t>Participant</w:t>
      </w:r>
      <w:r w:rsidRPr="00336098">
        <w:t xml:space="preserve">’s Reconnection Requirement is a Capability Interview when the </w:t>
      </w:r>
      <w:r>
        <w:t>Participant</w:t>
      </w:r>
      <w:r w:rsidRPr="00336098">
        <w:t xml:space="preserve"> has, in 6 active months, incurred three Demerits or a Demerit for a ‘fast-track’ Mutual Obligation Failure. </w:t>
      </w:r>
    </w:p>
    <w:p w14:paraId="3DB744E8" w14:textId="00A9BE46" w:rsidR="00035383" w:rsidRPr="00336098" w:rsidRDefault="00035383" w:rsidP="000E48AD">
      <w:pPr>
        <w:tabs>
          <w:tab w:val="right" w:pos="1701"/>
        </w:tabs>
      </w:pPr>
      <w:r w:rsidRPr="00336098">
        <w:t>A fast-track Mutual Obligation Failure is one of the following:</w:t>
      </w:r>
    </w:p>
    <w:p w14:paraId="3ADB3A5E" w14:textId="6DD77665" w:rsidR="00035383" w:rsidRPr="00035383" w:rsidRDefault="00035383" w:rsidP="005B6382">
      <w:pPr>
        <w:pStyle w:val="guidelinetext"/>
        <w:numPr>
          <w:ilvl w:val="0"/>
          <w:numId w:val="9"/>
        </w:numPr>
        <w:spacing w:before="60" w:line="240" w:lineRule="auto"/>
        <w:ind w:left="714" w:hanging="357"/>
      </w:pPr>
      <w:r w:rsidRPr="00035383">
        <w:t>acting in a manner that could result in an offer of employment not being made to the Participant</w:t>
      </w:r>
    </w:p>
    <w:p w14:paraId="075B09EF" w14:textId="7DE5F44E" w:rsidR="00035383" w:rsidRPr="00035383" w:rsidRDefault="00035383" w:rsidP="005B6382">
      <w:pPr>
        <w:pStyle w:val="guidelinetext"/>
        <w:numPr>
          <w:ilvl w:val="0"/>
          <w:numId w:val="9"/>
        </w:numPr>
        <w:spacing w:before="60" w:line="240" w:lineRule="auto"/>
        <w:ind w:left="714" w:hanging="357"/>
      </w:pPr>
      <w:r w:rsidRPr="00035383">
        <w:t>failing to attend a job interview</w:t>
      </w:r>
    </w:p>
    <w:p w14:paraId="4A98CAE0" w14:textId="77777777" w:rsidR="00035383" w:rsidRPr="00035383" w:rsidRDefault="00035383" w:rsidP="005B6382">
      <w:pPr>
        <w:pStyle w:val="guidelinetext"/>
        <w:numPr>
          <w:ilvl w:val="0"/>
          <w:numId w:val="9"/>
        </w:numPr>
        <w:spacing w:before="60" w:line="240" w:lineRule="auto"/>
        <w:ind w:left="714" w:hanging="357"/>
      </w:pPr>
      <w:r w:rsidRPr="00035383">
        <w:t>failing to act on a Job Referral.</w:t>
      </w:r>
    </w:p>
    <w:p w14:paraId="62ABBDED" w14:textId="77777777" w:rsidR="00035383" w:rsidRDefault="00035383" w:rsidP="0070386A">
      <w:pPr>
        <w:tabs>
          <w:tab w:val="right" w:pos="1701"/>
        </w:tabs>
      </w:pPr>
      <w:r>
        <w:t xml:space="preserve">Note that, </w:t>
      </w:r>
      <w:r w:rsidRPr="005B6382">
        <w:rPr>
          <w:rFonts w:asciiTheme="minorHAnsi" w:hAnsiTheme="minorHAnsi" w:cstheme="minorHAnsi"/>
          <w:szCs w:val="22"/>
        </w:rPr>
        <w:t>if</w:t>
      </w:r>
      <w:r>
        <w:t xml:space="preserve"> a Participant has less than three Demerits when they incur a Demerit for a fast-track Mutual Obligation Failure, the Department’s IT Systems will automatically increase the number of Demerits to three.</w:t>
      </w:r>
    </w:p>
    <w:p w14:paraId="7426E65C" w14:textId="77777777" w:rsidR="00035383" w:rsidRDefault="00035383" w:rsidP="0070386A">
      <w:pPr>
        <w:tabs>
          <w:tab w:val="right" w:pos="1701"/>
        </w:tabs>
      </w:pPr>
      <w:r>
        <w:t xml:space="preserve">A factor </w:t>
      </w:r>
      <w:r w:rsidRPr="005B6382">
        <w:rPr>
          <w:rFonts w:asciiTheme="minorHAnsi" w:hAnsiTheme="minorHAnsi" w:cstheme="minorHAnsi"/>
          <w:szCs w:val="22"/>
        </w:rPr>
        <w:t>that</w:t>
      </w:r>
      <w:r>
        <w:t xml:space="preserve"> influences whether a Provider must conduct a Capability Interview in the circumstances described above is the outcome of any Capability Interview or Capability Assessment that has been conducted in relation to the Participant in the last 60 days.</w:t>
      </w:r>
    </w:p>
    <w:p w14:paraId="13604C63" w14:textId="2FE20881" w:rsidR="00035383" w:rsidRDefault="00035383" w:rsidP="0070386A">
      <w:pPr>
        <w:tabs>
          <w:tab w:val="right" w:pos="1701"/>
        </w:tabs>
      </w:pPr>
      <w:r>
        <w:t xml:space="preserve">Providers’ </w:t>
      </w:r>
      <w:r w:rsidRPr="005B6382">
        <w:rPr>
          <w:rFonts w:asciiTheme="minorHAnsi" w:hAnsiTheme="minorHAnsi" w:cstheme="minorHAnsi"/>
          <w:szCs w:val="22"/>
        </w:rPr>
        <w:t>main</w:t>
      </w:r>
      <w:r>
        <w:t xml:space="preserve"> obligations regarding Capability Interviews are set out in clauses </w:t>
      </w:r>
      <w:r w:rsidR="006F5CCD">
        <w:t>111.7, 111.8 and 111.9 of the DES Grant Agreement</w:t>
      </w:r>
      <w:r>
        <w:t xml:space="preserve">. See also the </w:t>
      </w:r>
      <w:r w:rsidR="006F5CCD" w:rsidRPr="005B6382">
        <w:rPr>
          <w:i/>
        </w:rPr>
        <w:t xml:space="preserve">DES </w:t>
      </w:r>
      <w:hyperlink r:id="rId9" w:history="1">
        <w:r w:rsidRPr="005B6382">
          <w:rPr>
            <w:i/>
          </w:rPr>
          <w:t>Capability Interview Guideline</w:t>
        </w:r>
      </w:hyperlink>
      <w:r w:rsidR="006F5CCD" w:rsidRPr="005B6382">
        <w:rPr>
          <w:i/>
        </w:rPr>
        <w:t>s</w:t>
      </w:r>
      <w:r w:rsidRPr="00AF54C7">
        <w:t xml:space="preserve"> for more information</w:t>
      </w:r>
      <w:r>
        <w:t>.</w:t>
      </w:r>
    </w:p>
    <w:p w14:paraId="705F3A45" w14:textId="77777777" w:rsidR="00035383" w:rsidRDefault="00035383" w:rsidP="0070386A">
      <w:pPr>
        <w:tabs>
          <w:tab w:val="right" w:pos="1701"/>
        </w:tabs>
      </w:pPr>
      <w:r>
        <w:t xml:space="preserve">The </w:t>
      </w:r>
      <w:r w:rsidRPr="005B6382">
        <w:rPr>
          <w:rFonts w:asciiTheme="minorHAnsi" w:hAnsiTheme="minorHAnsi" w:cstheme="minorHAnsi"/>
          <w:szCs w:val="22"/>
        </w:rPr>
        <w:t>Department’s</w:t>
      </w:r>
      <w:r>
        <w:t xml:space="preserve"> IT System will determine whether the Participant will remain in the Warning </w:t>
      </w:r>
      <w:proofErr w:type="gramStart"/>
      <w:r>
        <w:t>Zone, or</w:t>
      </w:r>
      <w:proofErr w:type="gramEnd"/>
      <w:r>
        <w:t xml:space="preserve"> go back to the Green Zone with their Demerits reset to zero. This is based on the information that the Provider records in the Department’s IT Systems regarding the outcome of the Capability Interview. It is intended that, if the result of the Capability Interview is that:</w:t>
      </w:r>
    </w:p>
    <w:p w14:paraId="104B4DC6" w14:textId="79DA4433" w:rsidR="00035383" w:rsidRPr="00035383" w:rsidRDefault="00035383" w:rsidP="005B6382">
      <w:pPr>
        <w:pStyle w:val="guidelinetext"/>
        <w:numPr>
          <w:ilvl w:val="0"/>
          <w:numId w:val="9"/>
        </w:numPr>
        <w:spacing w:before="60" w:line="240" w:lineRule="auto"/>
        <w:ind w:left="714" w:hanging="357"/>
      </w:pPr>
      <w:r w:rsidRPr="00035383">
        <w:t xml:space="preserve">the Participant’s Job Plan is </w:t>
      </w:r>
      <w:r w:rsidRPr="00973A61">
        <w:rPr>
          <w:u w:val="single"/>
        </w:rPr>
        <w:t>not</w:t>
      </w:r>
      <w:r w:rsidRPr="00035383">
        <w:t xml:space="preserve"> suitable for the Participant (i.e. the Mutual Obligation Requirements specified in the Participant’s Job Plan are </w:t>
      </w:r>
      <w:r w:rsidRPr="00973A61">
        <w:rPr>
          <w:u w:val="single"/>
        </w:rPr>
        <w:t>not</w:t>
      </w:r>
      <w:r w:rsidRPr="00035383">
        <w:t xml:space="preserve"> appropriate for their circumstances, and/or the Participant is </w:t>
      </w:r>
      <w:r w:rsidRPr="00973A61">
        <w:rPr>
          <w:u w:val="single"/>
        </w:rPr>
        <w:t>not</w:t>
      </w:r>
      <w:r w:rsidRPr="00035383">
        <w:t xml:space="preserve"> capable of meeting them), the Participant will go back to the Green Zone with their Demerits reset to zero</w:t>
      </w:r>
    </w:p>
    <w:p w14:paraId="33F35D34" w14:textId="77777777" w:rsidR="00035383" w:rsidRPr="00035383" w:rsidRDefault="00035383" w:rsidP="005B6382">
      <w:pPr>
        <w:pStyle w:val="guidelinetext"/>
        <w:numPr>
          <w:ilvl w:val="0"/>
          <w:numId w:val="9"/>
        </w:numPr>
        <w:spacing w:before="60" w:line="240" w:lineRule="auto"/>
        <w:ind w:left="714" w:hanging="357"/>
      </w:pPr>
      <w:r w:rsidRPr="00035383">
        <w:t xml:space="preserve">the Participant’s Job Plan </w:t>
      </w:r>
      <w:r w:rsidRPr="009D0C6A">
        <w:rPr>
          <w:u w:val="single"/>
        </w:rPr>
        <w:t>is</w:t>
      </w:r>
      <w:r w:rsidRPr="00035383">
        <w:t xml:space="preserve"> suitable for the Participant (i.e. the Mutual Obligation Requirements specified in the Participant’s Job Plan </w:t>
      </w:r>
      <w:r w:rsidRPr="009D0C6A">
        <w:rPr>
          <w:u w:val="single"/>
        </w:rPr>
        <w:t>are</w:t>
      </w:r>
      <w:r w:rsidRPr="00035383">
        <w:t xml:space="preserve"> appropriate for their circumstances and the Participant </w:t>
      </w:r>
      <w:r w:rsidRPr="009D0C6A">
        <w:rPr>
          <w:u w:val="single"/>
        </w:rPr>
        <w:t>is</w:t>
      </w:r>
      <w:r w:rsidRPr="00035383">
        <w:t xml:space="preserve"> capable of meeting them), the Participant will continue in the Warning Zone with their confirmed Demerits.</w:t>
      </w:r>
    </w:p>
    <w:p w14:paraId="1A4B572E" w14:textId="77777777" w:rsidR="00035383" w:rsidRDefault="00035383" w:rsidP="005B6382">
      <w:pPr>
        <w:tabs>
          <w:tab w:val="right" w:pos="1701"/>
        </w:tabs>
      </w:pPr>
      <w:r>
        <w:t>In some circumstances (discussed below), w</w:t>
      </w:r>
      <w:r w:rsidRPr="00ED7F0C">
        <w:t xml:space="preserve">hen a </w:t>
      </w:r>
      <w:r>
        <w:t>Participant</w:t>
      </w:r>
      <w:r w:rsidRPr="00ED7F0C">
        <w:t xml:space="preserve"> i</w:t>
      </w:r>
      <w:r>
        <w:t>s in the Warning Zone, Services Australia will</w:t>
      </w:r>
      <w:r w:rsidRPr="00A550D2">
        <w:t xml:space="preserve"> </w:t>
      </w:r>
      <w:r w:rsidRPr="005B6382">
        <w:rPr>
          <w:rFonts w:asciiTheme="minorHAnsi" w:hAnsiTheme="minorHAnsi" w:cstheme="minorHAnsi"/>
          <w:szCs w:val="22"/>
        </w:rPr>
        <w:t>conduct</w:t>
      </w:r>
      <w:r w:rsidRPr="00A550D2">
        <w:t xml:space="preserve"> a Capability </w:t>
      </w:r>
      <w:r>
        <w:t>Assessment</w:t>
      </w:r>
      <w:r w:rsidRPr="00A550D2">
        <w:t xml:space="preserve"> with </w:t>
      </w:r>
      <w:r>
        <w:t>the</w:t>
      </w:r>
      <w:r w:rsidRPr="00A550D2">
        <w:t xml:space="preserve"> </w:t>
      </w:r>
      <w:r>
        <w:t>Participant</w:t>
      </w:r>
      <w:r w:rsidRPr="00A550D2">
        <w:t>. The Department’s IT</w:t>
      </w:r>
      <w:r>
        <w:t> </w:t>
      </w:r>
      <w:r w:rsidRPr="00A550D2">
        <w:t xml:space="preserve">System will notify the Provider when </w:t>
      </w:r>
      <w:r>
        <w:t xml:space="preserve">this </w:t>
      </w:r>
      <w:proofErr w:type="gramStart"/>
      <w:r>
        <w:t>will occur</w:t>
      </w:r>
      <w:proofErr w:type="gramEnd"/>
      <w:r w:rsidRPr="00A550D2">
        <w:t>.</w:t>
      </w:r>
    </w:p>
    <w:p w14:paraId="575C3788" w14:textId="45776013" w:rsidR="00035383" w:rsidRDefault="00035383" w:rsidP="005B6382">
      <w:pPr>
        <w:pStyle w:val="DeedReferences"/>
      </w:pPr>
      <w:r>
        <w:t>(</w:t>
      </w:r>
      <w:r w:rsidR="006F5CCD">
        <w:t xml:space="preserve">Grant Agreement </w:t>
      </w:r>
      <w:r w:rsidR="005C62B3">
        <w:t xml:space="preserve">references: </w:t>
      </w:r>
      <w:r w:rsidR="006F5CCD">
        <w:t>clauses 111.7, 111.8 and 111.9</w:t>
      </w:r>
      <w:r>
        <w:t>)</w:t>
      </w:r>
    </w:p>
    <w:p w14:paraId="07CB429D" w14:textId="77777777" w:rsidR="00035383" w:rsidRPr="0070386A" w:rsidRDefault="00035383" w:rsidP="0070386A">
      <w:pPr>
        <w:spacing w:before="240"/>
        <w:rPr>
          <w:sz w:val="24"/>
          <w:u w:val="single"/>
        </w:rPr>
      </w:pPr>
      <w:bookmarkStart w:id="36" w:name="_Toc21095857"/>
      <w:r w:rsidRPr="00973A61">
        <w:rPr>
          <w:sz w:val="24"/>
          <w:u w:val="single"/>
        </w:rPr>
        <w:t>The Penalty Zone</w:t>
      </w:r>
      <w:bookmarkEnd w:id="36"/>
    </w:p>
    <w:p w14:paraId="1BC72B39" w14:textId="77777777" w:rsidR="00035383" w:rsidRDefault="00035383" w:rsidP="0070386A">
      <w:pPr>
        <w:tabs>
          <w:tab w:val="right" w:pos="1701"/>
        </w:tabs>
      </w:pPr>
      <w:r>
        <w:t xml:space="preserve">There are </w:t>
      </w:r>
      <w:proofErr w:type="gramStart"/>
      <w:r>
        <w:t>a number of</w:t>
      </w:r>
      <w:proofErr w:type="gramEnd"/>
      <w:r>
        <w:t xml:space="preserve"> criteria that must be satisfied before a Participant will enter the Penalty Zone. The first is that the Participant has attended a Capability </w:t>
      </w:r>
      <w:proofErr w:type="gramStart"/>
      <w:r>
        <w:t>Interview</w:t>
      </w:r>
      <w:proofErr w:type="gramEnd"/>
      <w:r>
        <w:t xml:space="preserve"> and the outcome of that Capability Interview is that the Participant’s Job Plan is suitable for the Participant.</w:t>
      </w:r>
    </w:p>
    <w:p w14:paraId="42D1E74C" w14:textId="77777777" w:rsidR="00035383" w:rsidRDefault="00035383" w:rsidP="0070386A">
      <w:pPr>
        <w:tabs>
          <w:tab w:val="right" w:pos="1701"/>
        </w:tabs>
      </w:pPr>
      <w:r>
        <w:t xml:space="preserve">The second </w:t>
      </w:r>
      <w:r w:rsidRPr="005B6382">
        <w:rPr>
          <w:rFonts w:asciiTheme="minorHAnsi" w:hAnsiTheme="minorHAnsi" w:cstheme="minorHAnsi"/>
          <w:szCs w:val="22"/>
        </w:rPr>
        <w:t>criterion</w:t>
      </w:r>
      <w:r>
        <w:t xml:space="preserve"> that must be satisfied before a Participant will enter the Penalty Zone is that </w:t>
      </w:r>
      <w:r w:rsidRPr="00973A61">
        <w:t>the Participant has incurred five Demerits in 6 active months</w:t>
      </w:r>
      <w:r>
        <w:t>. When this occurs, the Services Australia will arrange for the Participant to attend a Capability Assessment with Services Australia. Note that, if a Participant has three or four Demerits when they incur a Demerit for a fast-track Mutual Obligation Failure (discussed above), the Department’s IT Systems will automatically increase the Participant’s total number of Demerits to five.</w:t>
      </w:r>
    </w:p>
    <w:p w14:paraId="09A3344A" w14:textId="076FB8EA" w:rsidR="00035383" w:rsidRDefault="00035383" w:rsidP="0070386A">
      <w:pPr>
        <w:tabs>
          <w:tab w:val="right" w:pos="1701"/>
        </w:tabs>
      </w:pPr>
      <w:r>
        <w:t xml:space="preserve">The final criterion is that the outcome of the Capability Assessment is that the Participant’s Job Plan is suitable for the Participant. This means that the outcome of a Capability Assessment determines whether the </w:t>
      </w:r>
      <w:r w:rsidRPr="005B6382">
        <w:rPr>
          <w:rFonts w:asciiTheme="minorHAnsi" w:hAnsiTheme="minorHAnsi" w:cstheme="minorHAnsi"/>
          <w:szCs w:val="22"/>
        </w:rPr>
        <w:t>Participant</w:t>
      </w:r>
      <w:r>
        <w:t xml:space="preserve"> will enter the Penalty Zone or will go back to the Green Zone with their Demerits reset to zero.</w:t>
      </w:r>
    </w:p>
    <w:p w14:paraId="5519C104" w14:textId="60B9DC2E" w:rsidR="00035383" w:rsidRDefault="00035383" w:rsidP="0070386A">
      <w:pPr>
        <w:tabs>
          <w:tab w:val="right" w:pos="1701"/>
        </w:tabs>
      </w:pPr>
      <w:r>
        <w:t xml:space="preserve">The Capability Assessment has the same goals as the Capability </w:t>
      </w:r>
      <w:r w:rsidRPr="008D0885">
        <w:t xml:space="preserve">Interview: to assess </w:t>
      </w:r>
      <w:r>
        <w:t>whether a Participant’s Job Plan is suitable for the Participant</w:t>
      </w:r>
      <w:r w:rsidRPr="008D0885">
        <w:t xml:space="preserve"> </w:t>
      </w:r>
      <w:r>
        <w:t xml:space="preserve">(i.e. </w:t>
      </w:r>
      <w:r w:rsidRPr="008D0885">
        <w:t xml:space="preserve">whether the Mutual Obligation Requirements specified in the </w:t>
      </w:r>
      <w:r>
        <w:t>Participant</w:t>
      </w:r>
      <w:r w:rsidRPr="008D0885">
        <w:t xml:space="preserve">’s Job Plan are appropriate for their circumstances and whether the </w:t>
      </w:r>
      <w:r>
        <w:t>Participant</w:t>
      </w:r>
      <w:r w:rsidRPr="008D0885">
        <w:t xml:space="preserve"> is capable of meeting them</w:t>
      </w:r>
      <w:r>
        <w:t>)</w:t>
      </w:r>
      <w:r w:rsidRPr="008D0885">
        <w:t>.</w:t>
      </w:r>
    </w:p>
    <w:p w14:paraId="580E90E4" w14:textId="34CE80E3" w:rsidR="00035383" w:rsidRDefault="00035383" w:rsidP="0070386A">
      <w:pPr>
        <w:tabs>
          <w:tab w:val="right" w:pos="1701"/>
        </w:tabs>
      </w:pPr>
      <w:r>
        <w:t>The Department’s IT System</w:t>
      </w:r>
      <w:r w:rsidR="0070386A">
        <w:t>s</w:t>
      </w:r>
      <w:r>
        <w:t xml:space="preserve"> will determine whether the Participant will enter the Penalty Zone or will go back to the Green Zone with their Demerits reset to zero. It does this based on the information </w:t>
      </w:r>
      <w:r w:rsidRPr="005B6382">
        <w:rPr>
          <w:rFonts w:asciiTheme="minorHAnsi" w:hAnsiTheme="minorHAnsi" w:cstheme="minorHAnsi"/>
          <w:szCs w:val="22"/>
        </w:rPr>
        <w:t>that</w:t>
      </w:r>
      <w:r>
        <w:t xml:space="preserve"> Services Australia records in the Department’s IT Systems regarding the outcome of the Capability Assessment. It is intended that, if the result of the Capability Assessment is that:</w:t>
      </w:r>
    </w:p>
    <w:p w14:paraId="41D95DE2" w14:textId="0FAD8302" w:rsidR="00035383" w:rsidRPr="008D0885" w:rsidRDefault="00035383" w:rsidP="005B6382">
      <w:pPr>
        <w:pStyle w:val="guidelinetext"/>
        <w:numPr>
          <w:ilvl w:val="0"/>
          <w:numId w:val="9"/>
        </w:numPr>
        <w:spacing w:before="60" w:line="240" w:lineRule="auto"/>
        <w:ind w:left="714" w:hanging="357"/>
      </w:pPr>
      <w:r w:rsidRPr="008D0885">
        <w:t xml:space="preserve">the </w:t>
      </w:r>
      <w:r>
        <w:t>Participant</w:t>
      </w:r>
      <w:r w:rsidRPr="008D0885">
        <w:t xml:space="preserve">’s Job Plan is </w:t>
      </w:r>
      <w:r w:rsidRPr="008D0885">
        <w:rPr>
          <w:u w:val="single"/>
        </w:rPr>
        <w:t>not</w:t>
      </w:r>
      <w:r w:rsidRPr="008D0885">
        <w:t xml:space="preserve"> suitable for the </w:t>
      </w:r>
      <w:r>
        <w:t>Participant</w:t>
      </w:r>
      <w:r w:rsidRPr="008D0885">
        <w:t xml:space="preserve"> (i.e. the Mutual Obligation </w:t>
      </w:r>
      <w:r w:rsidRPr="006F5CCD">
        <w:t>Requirements</w:t>
      </w:r>
      <w:r w:rsidRPr="008D0885">
        <w:t xml:space="preserve"> specified in the </w:t>
      </w:r>
      <w:r>
        <w:t>Participant</w:t>
      </w:r>
      <w:r w:rsidRPr="008D0885">
        <w:t xml:space="preserve">’s Job Plan are </w:t>
      </w:r>
      <w:r w:rsidRPr="008D0885">
        <w:rPr>
          <w:u w:val="single"/>
        </w:rPr>
        <w:t>not</w:t>
      </w:r>
      <w:r w:rsidRPr="008D0885">
        <w:t xml:space="preserve"> appropriate for their circumstances, and/or the </w:t>
      </w:r>
      <w:r>
        <w:t>Participant</w:t>
      </w:r>
      <w:r w:rsidRPr="008D0885">
        <w:t xml:space="preserve"> is </w:t>
      </w:r>
      <w:r w:rsidRPr="008D0885">
        <w:rPr>
          <w:u w:val="single"/>
        </w:rPr>
        <w:t>not</w:t>
      </w:r>
      <w:r w:rsidRPr="008D0885">
        <w:t xml:space="preserve"> capable of meeting them), the </w:t>
      </w:r>
      <w:r>
        <w:t>Participant</w:t>
      </w:r>
      <w:r w:rsidRPr="008D0885">
        <w:t xml:space="preserve"> will go back to the Green Zone with their Demerits reset to zero</w:t>
      </w:r>
    </w:p>
    <w:p w14:paraId="4AF385E3" w14:textId="77777777" w:rsidR="00035383" w:rsidRPr="008D0885" w:rsidRDefault="00035383" w:rsidP="005B6382">
      <w:pPr>
        <w:pStyle w:val="guidelinetext"/>
        <w:numPr>
          <w:ilvl w:val="0"/>
          <w:numId w:val="9"/>
        </w:numPr>
        <w:spacing w:before="60" w:line="240" w:lineRule="auto"/>
        <w:ind w:left="714" w:hanging="357"/>
      </w:pPr>
      <w:r w:rsidRPr="008D0885">
        <w:t xml:space="preserve">the </w:t>
      </w:r>
      <w:r w:rsidRPr="006F5CCD">
        <w:t>Participant’s</w:t>
      </w:r>
      <w:r w:rsidRPr="008D0885">
        <w:t xml:space="preserve"> Job Plan </w:t>
      </w:r>
      <w:r w:rsidRPr="008D0885">
        <w:rPr>
          <w:u w:val="single"/>
        </w:rPr>
        <w:t>is</w:t>
      </w:r>
      <w:r w:rsidRPr="008D0885">
        <w:t xml:space="preserve"> suitable for the </w:t>
      </w:r>
      <w:r>
        <w:t>Participant</w:t>
      </w:r>
      <w:r w:rsidRPr="008D0885">
        <w:t xml:space="preserve"> (i.e. the Mutual Obligation Requirements specified in the </w:t>
      </w:r>
      <w:r>
        <w:t>Participant</w:t>
      </w:r>
      <w:r w:rsidRPr="008D0885">
        <w:t xml:space="preserve">’s Job Plan </w:t>
      </w:r>
      <w:r w:rsidRPr="008D0885">
        <w:rPr>
          <w:u w:val="single"/>
        </w:rPr>
        <w:t>are</w:t>
      </w:r>
      <w:r w:rsidRPr="008D0885">
        <w:t xml:space="preserve"> appropriate for their circumstances and the </w:t>
      </w:r>
      <w:r>
        <w:t>Participant</w:t>
      </w:r>
      <w:r w:rsidRPr="008D0885">
        <w:t xml:space="preserve"> </w:t>
      </w:r>
      <w:r w:rsidRPr="008D0885">
        <w:rPr>
          <w:u w:val="single"/>
        </w:rPr>
        <w:t>is</w:t>
      </w:r>
      <w:r w:rsidRPr="008D0885">
        <w:t xml:space="preserve"> capable of meeting them), the </w:t>
      </w:r>
      <w:r>
        <w:t>Participant</w:t>
      </w:r>
      <w:r w:rsidRPr="008D0885">
        <w:t xml:space="preserve"> will enter the Penalty Zone.</w:t>
      </w:r>
    </w:p>
    <w:p w14:paraId="7B6426AF" w14:textId="77777777" w:rsidR="00035383" w:rsidRDefault="00035383" w:rsidP="0070386A">
      <w:pPr>
        <w:tabs>
          <w:tab w:val="right" w:pos="1701"/>
        </w:tabs>
      </w:pPr>
      <w:r>
        <w:t xml:space="preserve">Broadly </w:t>
      </w:r>
      <w:r w:rsidRPr="005B6382">
        <w:rPr>
          <w:rFonts w:asciiTheme="minorHAnsi" w:hAnsiTheme="minorHAnsi" w:cstheme="minorHAnsi"/>
          <w:szCs w:val="22"/>
        </w:rPr>
        <w:t>speaking</w:t>
      </w:r>
      <w:r>
        <w:t xml:space="preserve">, it is intended that a Participant in the Penalty Zone will incur the following financial </w:t>
      </w:r>
      <w:r w:rsidRPr="005B6382">
        <w:rPr>
          <w:rFonts w:asciiTheme="minorHAnsi" w:hAnsiTheme="minorHAnsi" w:cstheme="minorHAnsi"/>
          <w:szCs w:val="22"/>
        </w:rPr>
        <w:t>penalties</w:t>
      </w:r>
      <w:r>
        <w:t xml:space="preserve"> in succession if they continue to commit Mutual Obligation Failures:</w:t>
      </w:r>
    </w:p>
    <w:p w14:paraId="4C2D03E1" w14:textId="77777777" w:rsidR="00035383" w:rsidRPr="006F5CCD" w:rsidRDefault="00035383" w:rsidP="0070386A">
      <w:pPr>
        <w:pStyle w:val="guidelinetext"/>
        <w:numPr>
          <w:ilvl w:val="0"/>
          <w:numId w:val="9"/>
        </w:numPr>
        <w:spacing w:before="60" w:line="240" w:lineRule="auto"/>
        <w:ind w:left="714" w:hanging="357"/>
      </w:pPr>
      <w:r>
        <w:t xml:space="preserve">first </w:t>
      </w:r>
      <w:r w:rsidRPr="006F5CCD">
        <w:t>Mutual Obligation Failure without a Reasonable Excuse in the Penalty Zone—loss of one week’s Income Support Payment</w:t>
      </w:r>
    </w:p>
    <w:p w14:paraId="75FAB5C3" w14:textId="77777777" w:rsidR="00035383" w:rsidRPr="006F5CCD" w:rsidRDefault="00035383" w:rsidP="0070386A">
      <w:pPr>
        <w:pStyle w:val="guidelinetext"/>
        <w:numPr>
          <w:ilvl w:val="0"/>
          <w:numId w:val="9"/>
        </w:numPr>
        <w:spacing w:before="60" w:line="240" w:lineRule="auto"/>
        <w:ind w:left="714" w:hanging="357"/>
      </w:pPr>
      <w:r w:rsidRPr="006F5CCD">
        <w:t>second Mutual Obligation Failure without a Reasonable Excuse in the Penalty Zone—loss of two weeks’ Income Support Payment</w:t>
      </w:r>
    </w:p>
    <w:p w14:paraId="2E1BF0AD" w14:textId="77777777" w:rsidR="00035383" w:rsidRDefault="00035383" w:rsidP="0070386A">
      <w:pPr>
        <w:pStyle w:val="guidelinetext"/>
        <w:numPr>
          <w:ilvl w:val="0"/>
          <w:numId w:val="9"/>
        </w:numPr>
        <w:spacing w:before="60" w:line="240" w:lineRule="auto"/>
        <w:ind w:left="714" w:hanging="357"/>
      </w:pPr>
      <w:r w:rsidRPr="006F5CCD">
        <w:t>third Mutual Obligation Failure without a Reasonable Excuse in the Penalty Zone—Income Support Payment is cancelled, and the Participant must serve a four-week preclusion</w:t>
      </w:r>
      <w:r>
        <w:t xml:space="preserve"> period before they may be paid again (after reapplying for income support). The preclusion period referred to here is called a ‘post-cancellation non-payment period’ in the relevant legislation.</w:t>
      </w:r>
    </w:p>
    <w:p w14:paraId="00ECF9FD" w14:textId="77777777" w:rsidR="00035383" w:rsidRPr="005B6382" w:rsidRDefault="00035383" w:rsidP="0070386A">
      <w:pPr>
        <w:tabs>
          <w:tab w:val="right" w:pos="1701"/>
        </w:tabs>
        <w:rPr>
          <w:rFonts w:asciiTheme="minorHAnsi" w:hAnsiTheme="minorHAnsi" w:cstheme="minorHAnsi"/>
          <w:szCs w:val="22"/>
        </w:rPr>
      </w:pPr>
      <w:r w:rsidRPr="005B6382">
        <w:rPr>
          <w:rFonts w:asciiTheme="minorHAnsi" w:hAnsiTheme="minorHAnsi" w:cstheme="minorHAnsi"/>
          <w:szCs w:val="22"/>
        </w:rPr>
        <w:t>Once a Participant’s Income Support Payment has been cancelled, the Participant must reapply for income support—they will not automatically receive an Income Support Payment again once the four-week preclusion period has ended. If a Participant has had their Income Support Payment cancelled, but they return to payment within 3 active months of cancellation, they will return to the beginning of the Penalty Zone. In other words, their next Mutual Obligation Failure without a Reasonable Excuse (committed within 3 active months after cancellation) would result in another loss of one week’s payment.</w:t>
      </w:r>
    </w:p>
    <w:p w14:paraId="1E3F09EC" w14:textId="77777777" w:rsidR="00035383" w:rsidRPr="005B6382" w:rsidRDefault="00035383" w:rsidP="0070386A">
      <w:pPr>
        <w:tabs>
          <w:tab w:val="right" w:pos="1701"/>
        </w:tabs>
        <w:rPr>
          <w:rFonts w:asciiTheme="minorHAnsi" w:hAnsiTheme="minorHAnsi" w:cstheme="minorHAnsi"/>
          <w:szCs w:val="22"/>
        </w:rPr>
      </w:pPr>
      <w:r w:rsidRPr="005B6382">
        <w:rPr>
          <w:rFonts w:asciiTheme="minorHAnsi" w:hAnsiTheme="minorHAnsi" w:cstheme="minorHAnsi"/>
          <w:szCs w:val="22"/>
        </w:rPr>
        <w:t>It is intended that a Participant in the Penalty Zone will return to the Green Zone if they do not commit any further Mutual Obligation Failures for 3 active months. The potential to return to the Green Zone through demonstrating compliance provides a further incentive for Participants to change their behaviour and meet their Mutual Obligation Requirements.</w:t>
      </w:r>
    </w:p>
    <w:p w14:paraId="736C6040" w14:textId="2A292473" w:rsidR="00035383" w:rsidRDefault="00035383" w:rsidP="0070386A">
      <w:pPr>
        <w:tabs>
          <w:tab w:val="right" w:pos="1701"/>
        </w:tabs>
      </w:pPr>
      <w:r>
        <w:t xml:space="preserve">Note that, although </w:t>
      </w:r>
      <w:r w:rsidRPr="005B6382">
        <w:rPr>
          <w:rFonts w:asciiTheme="minorHAnsi" w:hAnsiTheme="minorHAnsi" w:cstheme="minorHAnsi"/>
          <w:szCs w:val="22"/>
        </w:rPr>
        <w:t>Participants</w:t>
      </w:r>
      <w:r>
        <w:t xml:space="preserve"> can incur financial penalties while they are in the Penalty Zone (as discussed above), they do not accrue further Demerits.</w:t>
      </w:r>
    </w:p>
    <w:p w14:paraId="076826EC" w14:textId="77777777" w:rsidR="006F5CCD" w:rsidRDefault="006F5CCD" w:rsidP="00973A61">
      <w:pPr>
        <w:pStyle w:val="guidelinetext"/>
        <w:spacing w:line="240" w:lineRule="auto"/>
        <w:ind w:left="0"/>
      </w:pPr>
    </w:p>
    <w:p w14:paraId="1FB56177" w14:textId="77777777" w:rsidR="00035383" w:rsidRDefault="00035383" w:rsidP="005B6382">
      <w:pPr>
        <w:pStyle w:val="Heading3"/>
        <w:spacing w:before="0"/>
      </w:pPr>
      <w:bookmarkStart w:id="37" w:name="_Toc21095858"/>
      <w:bookmarkStart w:id="38" w:name="_Toc177568217"/>
      <w:r w:rsidRPr="00C5516F">
        <w:t xml:space="preserve">Recording </w:t>
      </w:r>
      <w:r>
        <w:t>participation</w:t>
      </w:r>
      <w:r w:rsidRPr="00C5516F">
        <w:t xml:space="preserve"> by close of business</w:t>
      </w:r>
      <w:bookmarkEnd w:id="37"/>
      <w:bookmarkEnd w:id="38"/>
    </w:p>
    <w:p w14:paraId="6AF16B51" w14:textId="77777777" w:rsidR="0070386A" w:rsidRPr="00712C40" w:rsidRDefault="00035383" w:rsidP="005B6382">
      <w:pPr>
        <w:tabs>
          <w:tab w:val="right" w:pos="1701"/>
        </w:tabs>
      </w:pPr>
      <w:r>
        <w:t xml:space="preserve">Providers have an obligation to record Engagements in each Participant’s Electronic Calendar (see clause </w:t>
      </w:r>
      <w:r w:rsidR="006F5CCD">
        <w:t xml:space="preserve">91.6 </w:t>
      </w:r>
      <w:r>
        <w:t xml:space="preserve">of the </w:t>
      </w:r>
      <w:r w:rsidR="006F5CCD">
        <w:t>DES Grant Agreement</w:t>
      </w:r>
      <w:r>
        <w:t>). The types of Engagements that must be recorded include all Mutual Obligation Requirements</w:t>
      </w:r>
      <w:r w:rsidR="0070386A" w:rsidRPr="00712C40">
        <w:t>, except for those that involve a requirement to:</w:t>
      </w:r>
    </w:p>
    <w:p w14:paraId="4AAEE615" w14:textId="77777777" w:rsidR="0070386A" w:rsidRPr="007C45B4" w:rsidRDefault="0070386A" w:rsidP="005B6382">
      <w:pPr>
        <w:pStyle w:val="guidelinetext"/>
        <w:numPr>
          <w:ilvl w:val="0"/>
          <w:numId w:val="9"/>
        </w:numPr>
        <w:spacing w:before="60" w:line="240" w:lineRule="auto"/>
        <w:ind w:left="714" w:hanging="357"/>
      </w:pPr>
      <w:r w:rsidRPr="00712C40">
        <w:t>undertake adequate Job Searches</w:t>
      </w:r>
    </w:p>
    <w:p w14:paraId="32BD7D96" w14:textId="6D28E2C1" w:rsidR="0070386A" w:rsidRPr="007C45B4" w:rsidRDefault="0070386A" w:rsidP="005B6382">
      <w:pPr>
        <w:pStyle w:val="guidelinetext"/>
        <w:numPr>
          <w:ilvl w:val="0"/>
          <w:numId w:val="9"/>
        </w:numPr>
        <w:spacing w:before="60" w:line="240" w:lineRule="auto"/>
        <w:ind w:left="714" w:hanging="357"/>
      </w:pPr>
      <w:proofErr w:type="gramStart"/>
      <w:r w:rsidRPr="007C45B4">
        <w:t>enter into</w:t>
      </w:r>
      <w:proofErr w:type="gramEnd"/>
      <w:r w:rsidRPr="007C45B4">
        <w:t xml:space="preserve"> a Job Plan</w:t>
      </w:r>
    </w:p>
    <w:p w14:paraId="2A87A1AF" w14:textId="77777777" w:rsidR="0070386A" w:rsidRPr="007C45B4" w:rsidRDefault="0070386A" w:rsidP="005B6382">
      <w:pPr>
        <w:pStyle w:val="guidelinetext"/>
        <w:numPr>
          <w:ilvl w:val="0"/>
          <w:numId w:val="9"/>
        </w:numPr>
        <w:spacing w:before="60" w:line="240" w:lineRule="auto"/>
        <w:ind w:left="714" w:hanging="357"/>
      </w:pPr>
      <w:r w:rsidRPr="007C45B4">
        <w:t>act on a job opportunity.</w:t>
      </w:r>
    </w:p>
    <w:p w14:paraId="2A5303FB" w14:textId="335CF10A" w:rsidR="00035383" w:rsidRDefault="00035383" w:rsidP="0070386A">
      <w:pPr>
        <w:tabs>
          <w:tab w:val="right" w:pos="1701"/>
        </w:tabs>
      </w:pPr>
      <w:r>
        <w:t xml:space="preserve">Providers also have an obligation to confirm or record participation against each Mutual Obligation Requirement </w:t>
      </w:r>
      <w:r w:rsidRPr="005B6382">
        <w:rPr>
          <w:rFonts w:asciiTheme="minorHAnsi" w:hAnsiTheme="minorHAnsi" w:cstheme="minorHAnsi"/>
          <w:szCs w:val="22"/>
        </w:rPr>
        <w:t>scheduled</w:t>
      </w:r>
      <w:r>
        <w:t xml:space="preserve"> in a Participant’s Electronic Calendar. This must be done no later than close of business on the day that the Mutual Obligation Requirement is scheduled to occur in the Participant’s Electronic Calendar (see clause </w:t>
      </w:r>
      <w:r w:rsidR="004276BF">
        <w:t>108.2</w:t>
      </w:r>
      <w:r>
        <w:t xml:space="preserve"> of the </w:t>
      </w:r>
      <w:r w:rsidR="004276BF">
        <w:t>DES Grant Agreement</w:t>
      </w:r>
      <w:r>
        <w:t>).</w:t>
      </w:r>
    </w:p>
    <w:p w14:paraId="144DA08F" w14:textId="37D8A315" w:rsidR="00A96814" w:rsidRDefault="00A96814" w:rsidP="0070386A">
      <w:pPr>
        <w:tabs>
          <w:tab w:val="right" w:pos="1701"/>
        </w:tabs>
      </w:pPr>
      <w:r>
        <w:t xml:space="preserve">Where neither the Provider </w:t>
      </w:r>
      <w:proofErr w:type="gramStart"/>
      <w:r>
        <w:t>or</w:t>
      </w:r>
      <w:proofErr w:type="gramEnd"/>
      <w:r>
        <w:t xml:space="preserve"> Participant record the result of an Engagement by the end of business on the day the </w:t>
      </w:r>
      <w:r w:rsidRPr="005B6382">
        <w:rPr>
          <w:rFonts w:asciiTheme="minorHAnsi" w:hAnsiTheme="minorHAnsi" w:cstheme="minorHAnsi"/>
          <w:szCs w:val="22"/>
        </w:rPr>
        <w:t>appointment</w:t>
      </w:r>
      <w:r>
        <w:t xml:space="preserve"> was scheduled to occur</w:t>
      </w:r>
      <w:r w:rsidR="007C20AD">
        <w:t xml:space="preserve"> in the Participant’s Electronic Calendar</w:t>
      </w:r>
      <w:r>
        <w:t>:</w:t>
      </w:r>
    </w:p>
    <w:p w14:paraId="09A77891" w14:textId="12A6DA98" w:rsidR="00A96814" w:rsidRDefault="007C20AD" w:rsidP="005B6382">
      <w:pPr>
        <w:pStyle w:val="guidelinetext"/>
        <w:numPr>
          <w:ilvl w:val="0"/>
          <w:numId w:val="9"/>
        </w:numPr>
        <w:spacing w:before="60" w:line="240" w:lineRule="auto"/>
        <w:ind w:left="714" w:hanging="357"/>
      </w:pPr>
      <w:r>
        <w:t xml:space="preserve">for </w:t>
      </w:r>
      <w:r w:rsidR="00A96814">
        <w:t>Provider Appointments</w:t>
      </w:r>
      <w:r>
        <w:t>,</w:t>
      </w:r>
      <w:r w:rsidR="00A96814">
        <w:t xml:space="preserve"> </w:t>
      </w:r>
      <w:r>
        <w:t xml:space="preserve">no compliance </w:t>
      </w:r>
      <w:r w:rsidR="00A96814">
        <w:t xml:space="preserve">action </w:t>
      </w:r>
      <w:r>
        <w:t xml:space="preserve">can </w:t>
      </w:r>
      <w:r w:rsidR="00A96814">
        <w:t>be taken</w:t>
      </w:r>
      <w:r>
        <w:t>, even if the Participant did not attend the appointment and did not have a Valid Reason</w:t>
      </w:r>
    </w:p>
    <w:p w14:paraId="4DCC724C" w14:textId="525BBD27" w:rsidR="00035383" w:rsidRDefault="007C20AD" w:rsidP="005B6382">
      <w:pPr>
        <w:pStyle w:val="guidelinetext"/>
        <w:numPr>
          <w:ilvl w:val="0"/>
          <w:numId w:val="9"/>
        </w:numPr>
        <w:spacing w:before="60" w:line="240" w:lineRule="auto"/>
        <w:ind w:left="714" w:hanging="357"/>
      </w:pPr>
      <w:r>
        <w:t>f</w:t>
      </w:r>
      <w:r w:rsidR="00A96814">
        <w:t>or all other Engagement</w:t>
      </w:r>
      <w:r>
        <w:t xml:space="preserve"> types</w:t>
      </w:r>
      <w:r w:rsidR="00A96814" w:rsidRPr="007C45B4">
        <w:t>,</w:t>
      </w:r>
      <w:r>
        <w:t xml:space="preserve"> </w:t>
      </w:r>
      <w:r w:rsidR="00035383" w:rsidRPr="00F10C46">
        <w:t xml:space="preserve">the Department’s IT systems will automatically suspend the </w:t>
      </w:r>
      <w:r w:rsidR="00035383">
        <w:t>Participant</w:t>
      </w:r>
      <w:r w:rsidR="00035383" w:rsidRPr="00F10C46">
        <w:t>’s Income Support Payment</w:t>
      </w:r>
      <w:r w:rsidR="00A96814" w:rsidRPr="00A96814">
        <w:t xml:space="preserve"> </w:t>
      </w:r>
      <w:r w:rsidR="00A96814">
        <w:t>in the Green Zone and the Warning Zone</w:t>
      </w:r>
      <w:r w:rsidR="00A96814" w:rsidRPr="007C45B4">
        <w:t xml:space="preserve"> after </w:t>
      </w:r>
      <w:r w:rsidR="00FC42EB">
        <w:t>five</w:t>
      </w:r>
      <w:r w:rsidR="00A96814" w:rsidRPr="007C45B4">
        <w:t xml:space="preserve"> Business Days</w:t>
      </w:r>
      <w:r>
        <w:t xml:space="preserve">, unless </w:t>
      </w:r>
      <w:r w:rsidR="00A96814" w:rsidRPr="007C45B4">
        <w:t xml:space="preserve">the Participant </w:t>
      </w:r>
      <w:proofErr w:type="gramStart"/>
      <w:r w:rsidR="00A96814" w:rsidRPr="007C45B4">
        <w:t xml:space="preserve">make </w:t>
      </w:r>
      <w:r w:rsidR="00E273F1" w:rsidRPr="007C45B4">
        <w:t>contact</w:t>
      </w:r>
      <w:r>
        <w:t xml:space="preserve"> with</w:t>
      </w:r>
      <w:proofErr w:type="gramEnd"/>
      <w:r>
        <w:t xml:space="preserve"> a Valid Reason</w:t>
      </w:r>
      <w:r w:rsidR="00A96814" w:rsidRPr="007C45B4">
        <w:t xml:space="preserve"> or meet</w:t>
      </w:r>
      <w:r>
        <w:t>s</w:t>
      </w:r>
      <w:r w:rsidR="00A96814" w:rsidRPr="007C45B4">
        <w:t xml:space="preserve"> a Reconnection Requirement. See the </w:t>
      </w:r>
      <w:r w:rsidR="00A96814" w:rsidRPr="005B6382">
        <w:t>Payment Suspension</w:t>
      </w:r>
      <w:r w:rsidR="00A96814" w:rsidRPr="007C45B4">
        <w:t xml:space="preserve"> section of this Guideline for more information on payment suspensions</w:t>
      </w:r>
      <w:r w:rsidR="00035383" w:rsidRPr="00F10C46">
        <w:t>.</w:t>
      </w:r>
    </w:p>
    <w:p w14:paraId="3749BDB4" w14:textId="5B21E16B" w:rsidR="00035383" w:rsidRDefault="00035383" w:rsidP="0070386A">
      <w:pPr>
        <w:tabs>
          <w:tab w:val="right" w:pos="1701"/>
        </w:tabs>
      </w:pPr>
      <w:r w:rsidRPr="003D06AF">
        <w:t xml:space="preserve">Although </w:t>
      </w:r>
      <w:r>
        <w:t>a Participant</w:t>
      </w:r>
      <w:r w:rsidRPr="003D06AF">
        <w:t xml:space="preserve"> do</w:t>
      </w:r>
      <w:r>
        <w:t>es</w:t>
      </w:r>
      <w:r w:rsidRPr="003D06AF">
        <w:t xml:space="preserve"> not </w:t>
      </w:r>
      <w:r>
        <w:t xml:space="preserve">necessarily </w:t>
      </w:r>
      <w:r w:rsidRPr="003D06AF">
        <w:t xml:space="preserve">accrue </w:t>
      </w:r>
      <w:r>
        <w:t xml:space="preserve">a </w:t>
      </w:r>
      <w:r w:rsidRPr="003D06AF">
        <w:t xml:space="preserve">Demerit for failing to </w:t>
      </w:r>
      <w:r w:rsidRPr="005B6382">
        <w:rPr>
          <w:u w:val="single"/>
        </w:rPr>
        <w:t>record</w:t>
      </w:r>
      <w:r w:rsidRPr="003D06AF">
        <w:t xml:space="preserve"> their participation against a </w:t>
      </w:r>
      <w:r w:rsidRPr="005B6382">
        <w:rPr>
          <w:rFonts w:asciiTheme="minorHAnsi" w:hAnsiTheme="minorHAnsi" w:cstheme="minorHAnsi"/>
          <w:szCs w:val="22"/>
        </w:rPr>
        <w:t>Mutual</w:t>
      </w:r>
      <w:r w:rsidRPr="003D06AF">
        <w:t xml:space="preserve"> Obligation Requirement, they may potentially accrue a Demerit if they did not attend or participate in the Mutual Obligation Requirement</w:t>
      </w:r>
      <w:r>
        <w:t xml:space="preserve"> when it was reasonable to expect them to do so</w:t>
      </w:r>
      <w:r w:rsidRPr="003D06AF">
        <w:t xml:space="preserve">. </w:t>
      </w:r>
      <w:r w:rsidRPr="00F2535F">
        <w:t xml:space="preserve">See </w:t>
      </w:r>
      <w:r w:rsidR="007C20AD" w:rsidRPr="005B6382">
        <w:t>Attachment A</w:t>
      </w:r>
      <w:r>
        <w:t xml:space="preserve"> for information on the circumstances in which a Participant will accrue a Demerit.</w:t>
      </w:r>
    </w:p>
    <w:p w14:paraId="22FF720B" w14:textId="3DD1B956" w:rsidR="00035383" w:rsidRDefault="00035383" w:rsidP="005B6382">
      <w:pPr>
        <w:pStyle w:val="DeedReferences"/>
      </w:pPr>
      <w:r>
        <w:t>(</w:t>
      </w:r>
      <w:r w:rsidR="004276BF">
        <w:t xml:space="preserve">Grant Agreement </w:t>
      </w:r>
      <w:r w:rsidR="005C62B3">
        <w:t xml:space="preserve">references: </w:t>
      </w:r>
      <w:r w:rsidR="004276BF">
        <w:t>clauses 91.6 and 108.2</w:t>
      </w:r>
      <w:r>
        <w:t>)</w:t>
      </w:r>
    </w:p>
    <w:p w14:paraId="3CC6C6B2" w14:textId="77777777" w:rsidR="00035383" w:rsidRPr="007C20AD" w:rsidRDefault="00035383" w:rsidP="007C20AD">
      <w:pPr>
        <w:spacing w:before="240"/>
        <w:rPr>
          <w:sz w:val="24"/>
          <w:u w:val="single"/>
        </w:rPr>
      </w:pPr>
      <w:bookmarkStart w:id="39" w:name="_Toc21095859"/>
      <w:r w:rsidRPr="00973A61">
        <w:rPr>
          <w:sz w:val="24"/>
          <w:u w:val="single"/>
        </w:rPr>
        <w:t>Self-reporting participation</w:t>
      </w:r>
      <w:bookmarkEnd w:id="39"/>
    </w:p>
    <w:p w14:paraId="30C16512" w14:textId="2541E61C" w:rsidR="00035383" w:rsidRDefault="00035383" w:rsidP="005B6382">
      <w:pPr>
        <w:tabs>
          <w:tab w:val="right" w:pos="1701"/>
        </w:tabs>
      </w:pPr>
      <w:r>
        <w:t xml:space="preserve">Providers must assess whether each individual Participant </w:t>
      </w:r>
      <w:proofErr w:type="gramStart"/>
      <w:r>
        <w:t>is capable of taking</w:t>
      </w:r>
      <w:proofErr w:type="gramEnd"/>
      <w:r>
        <w:t xml:space="preserve"> </w:t>
      </w:r>
      <w:r w:rsidRPr="00A848BB">
        <w:t>personal responsibility for</w:t>
      </w:r>
      <w:r>
        <w:t xml:space="preserve"> self-</w:t>
      </w:r>
      <w:r w:rsidRPr="005B6382">
        <w:rPr>
          <w:rFonts w:asciiTheme="minorHAnsi" w:hAnsiTheme="minorHAnsi" w:cstheme="minorHAnsi"/>
          <w:szCs w:val="22"/>
        </w:rPr>
        <w:t>reporting</w:t>
      </w:r>
      <w:r>
        <w:t xml:space="preserve"> </w:t>
      </w:r>
      <w:r w:rsidRPr="00A848BB">
        <w:t xml:space="preserve">participation against </w:t>
      </w:r>
      <w:r>
        <w:t xml:space="preserve">all </w:t>
      </w:r>
      <w:r w:rsidRPr="00A848BB">
        <w:t>the Mutual Obligation Requirements in their Job Plan</w:t>
      </w:r>
      <w:r>
        <w:t xml:space="preserve"> (see clause </w:t>
      </w:r>
      <w:r w:rsidR="004276BF">
        <w:t>108</w:t>
      </w:r>
      <w:r>
        <w:t xml:space="preserve">.1 of the </w:t>
      </w:r>
      <w:r w:rsidR="004276BF">
        <w:t>DES Grant Agreement</w:t>
      </w:r>
      <w:r>
        <w:t>).</w:t>
      </w:r>
    </w:p>
    <w:p w14:paraId="064F252E" w14:textId="31BFEE90" w:rsidR="00035383" w:rsidRDefault="00035383" w:rsidP="007C20AD">
      <w:pPr>
        <w:tabs>
          <w:tab w:val="right" w:pos="1701"/>
        </w:tabs>
      </w:pPr>
      <w:r>
        <w:t xml:space="preserve">If </w:t>
      </w:r>
      <w:r w:rsidRPr="00A848BB">
        <w:t xml:space="preserve">the Provider assesses that </w:t>
      </w:r>
      <w:r>
        <w:t xml:space="preserve">a Participant is not </w:t>
      </w:r>
      <w:r w:rsidRPr="00A848BB">
        <w:t>capable of self-reporting</w:t>
      </w:r>
      <w:r>
        <w:t xml:space="preserve"> as referred to above, </w:t>
      </w:r>
      <w:r w:rsidR="007C20AD" w:rsidRPr="007C45B4">
        <w:t>the Provider must remove the Job Plan code ‘Personal Responsibility to Record or Report Attendance (PA03)’ from the Participant’s Job Plan.</w:t>
      </w:r>
      <w:r w:rsidR="007C20AD">
        <w:t xml:space="preserve"> I</w:t>
      </w:r>
      <w:r>
        <w:t xml:space="preserve">t is </w:t>
      </w:r>
      <w:r w:rsidR="007C20AD">
        <w:t xml:space="preserve">then </w:t>
      </w:r>
      <w:r>
        <w:t xml:space="preserve">the Provider’s responsibility to record the Participant’s </w:t>
      </w:r>
      <w:r w:rsidRPr="00A848BB">
        <w:t xml:space="preserve">participation against each of the Mutual Obligation Requirements scheduled in their Electronic </w:t>
      </w:r>
      <w:r w:rsidRPr="005B6382">
        <w:rPr>
          <w:rFonts w:asciiTheme="minorHAnsi" w:hAnsiTheme="minorHAnsi" w:cstheme="minorHAnsi"/>
          <w:szCs w:val="22"/>
        </w:rPr>
        <w:t>Calendar</w:t>
      </w:r>
      <w:r>
        <w:t xml:space="preserve"> (see clause 10</w:t>
      </w:r>
      <w:r w:rsidR="004276BF">
        <w:t>8</w:t>
      </w:r>
      <w:r>
        <w:t xml:space="preserve">.2 of the </w:t>
      </w:r>
      <w:r w:rsidR="004276BF">
        <w:t>DES Grant Agreement</w:t>
      </w:r>
      <w:r>
        <w:t xml:space="preserve">). Providers are encouraged to work with Participants assessed as not capable </w:t>
      </w:r>
      <w:r w:rsidRPr="00A848BB">
        <w:t>of self-reporting</w:t>
      </w:r>
      <w:r>
        <w:t xml:space="preserve"> to help them build the required skills to be able to self-report their </w:t>
      </w:r>
      <w:r w:rsidRPr="00A848BB">
        <w:t>participation against each of the Mutual Obligation Requirements scheduled in their Electronic Calendar</w:t>
      </w:r>
      <w:r>
        <w:t>.</w:t>
      </w:r>
    </w:p>
    <w:p w14:paraId="25520DAF" w14:textId="77777777" w:rsidR="00035383" w:rsidRDefault="00035383" w:rsidP="007C20AD">
      <w:pPr>
        <w:tabs>
          <w:tab w:val="right" w:pos="1701"/>
        </w:tabs>
      </w:pPr>
      <w:r>
        <w:t xml:space="preserve">If </w:t>
      </w:r>
      <w:r w:rsidRPr="00A848BB">
        <w:t xml:space="preserve">the Provider assesses that </w:t>
      </w:r>
      <w:r>
        <w:t xml:space="preserve">a Participant is </w:t>
      </w:r>
      <w:r w:rsidRPr="00A848BB">
        <w:t>capable of self-reporting</w:t>
      </w:r>
      <w:r>
        <w:t xml:space="preserve"> as referred to above, the Provider must confirm with the Participant that they understand that this means:</w:t>
      </w:r>
    </w:p>
    <w:p w14:paraId="57E3C059" w14:textId="6300AF80" w:rsidR="00035383" w:rsidRPr="004276BF" w:rsidRDefault="00035383" w:rsidP="007C20AD">
      <w:pPr>
        <w:pStyle w:val="guidelinetext"/>
        <w:numPr>
          <w:ilvl w:val="0"/>
          <w:numId w:val="9"/>
        </w:numPr>
        <w:spacing w:before="60" w:line="240" w:lineRule="auto"/>
        <w:ind w:left="714" w:hanging="357"/>
      </w:pPr>
      <w:r>
        <w:t xml:space="preserve">the Participant must record their </w:t>
      </w:r>
      <w:r w:rsidRPr="00A848BB">
        <w:t xml:space="preserve">participation against each of the Mutual Obligation </w:t>
      </w:r>
      <w:r w:rsidRPr="004276BF">
        <w:t xml:space="preserve">Requirements scheduled in their Electronic Calendar themselves—either on the </w:t>
      </w:r>
      <w:r w:rsidR="00E273F1">
        <w:t>Workforce</w:t>
      </w:r>
      <w:r w:rsidR="007C20AD">
        <w:t xml:space="preserve"> Australia</w:t>
      </w:r>
      <w:r w:rsidR="007C20AD" w:rsidRPr="004276BF">
        <w:t xml:space="preserve"> </w:t>
      </w:r>
      <w:r w:rsidRPr="004276BF">
        <w:t>website, or by using the Job Seeker App; and</w:t>
      </w:r>
    </w:p>
    <w:p w14:paraId="57570500" w14:textId="77777777" w:rsidR="00035383" w:rsidRDefault="00035383" w:rsidP="007C20AD">
      <w:pPr>
        <w:pStyle w:val="guidelinetext"/>
        <w:numPr>
          <w:ilvl w:val="0"/>
          <w:numId w:val="9"/>
        </w:numPr>
        <w:spacing w:before="60" w:line="240" w:lineRule="auto"/>
        <w:ind w:left="714" w:hanging="357"/>
      </w:pPr>
      <w:r w:rsidRPr="004276BF">
        <w:t>if the Participant does not do this, their Income Support Payment will be suspended until</w:t>
      </w:r>
      <w:r>
        <w:t xml:space="preserve"> they contact their Provider to discuss.</w:t>
      </w:r>
    </w:p>
    <w:p w14:paraId="4067B5B4" w14:textId="2C59A47B" w:rsidR="00035383" w:rsidRDefault="00035383" w:rsidP="007C20AD">
      <w:pPr>
        <w:tabs>
          <w:tab w:val="right" w:pos="1701"/>
        </w:tabs>
      </w:pPr>
      <w:r>
        <w:t xml:space="preserve">For information on how Providers must assess whether each individual Participant </w:t>
      </w:r>
      <w:proofErr w:type="gramStart"/>
      <w:r>
        <w:t>is capable of taking</w:t>
      </w:r>
      <w:proofErr w:type="gramEnd"/>
      <w:r>
        <w:t xml:space="preserve"> </w:t>
      </w:r>
      <w:r w:rsidRPr="00A848BB">
        <w:t xml:space="preserve">personal </w:t>
      </w:r>
      <w:r w:rsidRPr="00050EF3">
        <w:t xml:space="preserve">responsibility for self-reporting participation against all the Mutual Obligation Requirements in their Job Plan, refer to the </w:t>
      </w:r>
      <w:r w:rsidR="007C20AD" w:rsidRPr="005B6382">
        <w:rPr>
          <w:i/>
        </w:rPr>
        <w:t>Job Plan and Scheduling Mutual Obligation Requirements Guideline</w:t>
      </w:r>
      <w:r w:rsidR="004276BF" w:rsidRPr="005B6382">
        <w:rPr>
          <w:i/>
        </w:rPr>
        <w:t>s</w:t>
      </w:r>
      <w:r w:rsidRPr="00050EF3">
        <w:t xml:space="preserve"> on the Provider Portal.</w:t>
      </w:r>
    </w:p>
    <w:p w14:paraId="65B29906" w14:textId="0607DA81" w:rsidR="00035383" w:rsidRDefault="00035383" w:rsidP="005B6382">
      <w:pPr>
        <w:pStyle w:val="DeedReferences"/>
      </w:pPr>
      <w:r>
        <w:t>(</w:t>
      </w:r>
      <w:r w:rsidR="004276BF">
        <w:t>Grant Agreement</w:t>
      </w:r>
      <w:r>
        <w:t xml:space="preserve"> </w:t>
      </w:r>
      <w:r w:rsidR="005C62B3">
        <w:t xml:space="preserve">references: </w:t>
      </w:r>
      <w:r>
        <w:t xml:space="preserve">clauses </w:t>
      </w:r>
      <w:r w:rsidR="004276BF">
        <w:t>108</w:t>
      </w:r>
      <w:r>
        <w:t xml:space="preserve">.1, </w:t>
      </w:r>
      <w:r w:rsidR="004276BF">
        <w:t>108</w:t>
      </w:r>
      <w:r>
        <w:t>.2)</w:t>
      </w:r>
    </w:p>
    <w:p w14:paraId="300C5053" w14:textId="2E1FEB3C" w:rsidR="004276BF" w:rsidRDefault="004276BF" w:rsidP="007C20AD">
      <w:pPr>
        <w:pStyle w:val="guidelinedeedref"/>
        <w:ind w:left="0"/>
      </w:pPr>
    </w:p>
    <w:p w14:paraId="08BF9F60" w14:textId="6A87D2FC" w:rsidR="000B406B" w:rsidRDefault="000B406B">
      <w:pPr>
        <w:spacing w:before="0" w:after="0"/>
        <w:rPr>
          <w:rFonts w:asciiTheme="minorHAnsi" w:eastAsiaTheme="minorHAnsi" w:hAnsiTheme="minorHAnsi" w:cstheme="minorBidi"/>
          <w:szCs w:val="22"/>
          <w:lang w:eastAsia="en-US"/>
        </w:rPr>
      </w:pPr>
      <w:r>
        <w:br w:type="page"/>
      </w:r>
    </w:p>
    <w:p w14:paraId="77B5F911" w14:textId="77777777" w:rsidR="004276BF" w:rsidRDefault="004276BF" w:rsidP="004276BF">
      <w:pPr>
        <w:pStyle w:val="guidelinetext"/>
        <w:pBdr>
          <w:top w:val="single" w:sz="4" w:space="1" w:color="auto"/>
        </w:pBdr>
        <w:spacing w:line="240" w:lineRule="auto"/>
        <w:ind w:left="0"/>
      </w:pPr>
    </w:p>
    <w:p w14:paraId="0FA564D5" w14:textId="77777777" w:rsidR="00035383" w:rsidRPr="005B6382" w:rsidRDefault="00035383" w:rsidP="005B6382">
      <w:pPr>
        <w:pStyle w:val="Heading2"/>
        <w:numPr>
          <w:ilvl w:val="0"/>
          <w:numId w:val="10"/>
        </w:numPr>
        <w:spacing w:before="0"/>
        <w:ind w:left="567" w:hanging="567"/>
        <w:rPr>
          <w:sz w:val="28"/>
        </w:rPr>
      </w:pPr>
      <w:bookmarkStart w:id="40" w:name="_Committing_Mutual_Obligation"/>
      <w:bookmarkStart w:id="41" w:name="_Toc21095860"/>
      <w:bookmarkStart w:id="42" w:name="_Toc177568218"/>
      <w:bookmarkEnd w:id="40"/>
      <w:r w:rsidRPr="005B6382">
        <w:rPr>
          <w:sz w:val="28"/>
        </w:rPr>
        <w:t>Committing Mutual Obligation Failures</w:t>
      </w:r>
      <w:bookmarkEnd w:id="41"/>
      <w:bookmarkEnd w:id="42"/>
    </w:p>
    <w:p w14:paraId="5719F733" w14:textId="765635D7" w:rsidR="00035383" w:rsidRPr="0096177A" w:rsidRDefault="00035383" w:rsidP="007C20AD">
      <w:pPr>
        <w:tabs>
          <w:tab w:val="right" w:pos="1701"/>
        </w:tabs>
      </w:pPr>
      <w:r w:rsidRPr="0096177A">
        <w:t xml:space="preserve">The term ‘Mutual Obligation Failure’ is defined in the </w:t>
      </w:r>
      <w:r w:rsidR="007C20AD">
        <w:t>DES Grant Agreement</w:t>
      </w:r>
      <w:r w:rsidR="007C20AD" w:rsidRPr="0096177A">
        <w:t xml:space="preserve"> </w:t>
      </w:r>
      <w:r w:rsidRPr="0096177A">
        <w:t xml:space="preserve">by reference to the meaning of that term in the </w:t>
      </w:r>
      <w:r w:rsidRPr="0096177A">
        <w:rPr>
          <w:i/>
        </w:rPr>
        <w:t xml:space="preserve">Social Security (Administration) Act </w:t>
      </w:r>
      <w:r w:rsidRPr="006B3BDD">
        <w:rPr>
          <w:i/>
        </w:rPr>
        <w:t>1999</w:t>
      </w:r>
      <w:r w:rsidRPr="0096177A">
        <w:t xml:space="preserve"> (see the definition of ‘mutual obligation failure’ in section 42AC of that Act). In summary, this means that a </w:t>
      </w:r>
      <w:r>
        <w:t>Participant</w:t>
      </w:r>
      <w:r w:rsidRPr="0096177A">
        <w:t xml:space="preserve"> will commit a Mutual Obligation Failure if they:</w:t>
      </w:r>
    </w:p>
    <w:p w14:paraId="1A2D45BB" w14:textId="645C7509" w:rsidR="00035383" w:rsidRPr="0096177A" w:rsidRDefault="00035383" w:rsidP="007C20AD">
      <w:pPr>
        <w:pStyle w:val="guidelinetext"/>
        <w:numPr>
          <w:ilvl w:val="0"/>
          <w:numId w:val="9"/>
        </w:numPr>
        <w:spacing w:before="60" w:line="240" w:lineRule="auto"/>
        <w:ind w:left="714" w:hanging="357"/>
      </w:pPr>
      <w:r w:rsidRPr="0096177A">
        <w:t xml:space="preserve">fail to </w:t>
      </w:r>
      <w:proofErr w:type="gramStart"/>
      <w:r w:rsidRPr="0096177A">
        <w:t>enter into</w:t>
      </w:r>
      <w:proofErr w:type="gramEnd"/>
      <w:r w:rsidRPr="0096177A">
        <w:t xml:space="preserve"> a Job Plan</w:t>
      </w:r>
    </w:p>
    <w:p w14:paraId="55D8E77B" w14:textId="4A02C4E4" w:rsidR="00035383" w:rsidRPr="0096177A" w:rsidRDefault="00035383" w:rsidP="007C20AD">
      <w:pPr>
        <w:pStyle w:val="guidelinetext"/>
        <w:numPr>
          <w:ilvl w:val="0"/>
          <w:numId w:val="9"/>
        </w:numPr>
        <w:spacing w:before="60" w:line="240" w:lineRule="auto"/>
        <w:ind w:left="714" w:hanging="357"/>
      </w:pPr>
      <w:r w:rsidRPr="0096177A">
        <w:t>fail to attend, or to be punctual for, an appointment that they are required to attend under their Job Plan</w:t>
      </w:r>
    </w:p>
    <w:p w14:paraId="7D353DA2" w14:textId="67484ADF" w:rsidR="00035383" w:rsidRPr="0096177A" w:rsidRDefault="00035383" w:rsidP="007C20AD">
      <w:pPr>
        <w:pStyle w:val="guidelinetext"/>
        <w:numPr>
          <w:ilvl w:val="0"/>
          <w:numId w:val="9"/>
        </w:numPr>
        <w:spacing w:before="60" w:line="240" w:lineRule="auto"/>
        <w:ind w:left="714" w:hanging="357"/>
      </w:pPr>
      <w:r w:rsidRPr="0096177A">
        <w:t>fail to attend, to be punctual for, or to participate in, an activity that they are required to undertake under their Job Plan</w:t>
      </w:r>
    </w:p>
    <w:p w14:paraId="7E8A7BE4" w14:textId="5B6D4A5E" w:rsidR="00035383" w:rsidRPr="0096177A" w:rsidRDefault="00035383" w:rsidP="007C20AD">
      <w:pPr>
        <w:pStyle w:val="guidelinetext"/>
        <w:numPr>
          <w:ilvl w:val="0"/>
          <w:numId w:val="9"/>
        </w:numPr>
        <w:spacing w:before="60" w:line="240" w:lineRule="auto"/>
        <w:ind w:left="714" w:hanging="357"/>
      </w:pPr>
      <w:r w:rsidRPr="0096177A">
        <w:t>fail to undertake adequate Job Searches</w:t>
      </w:r>
    </w:p>
    <w:p w14:paraId="21BFC667" w14:textId="0ACACD92" w:rsidR="00035383" w:rsidRPr="0096177A" w:rsidRDefault="00035383" w:rsidP="007C20AD">
      <w:pPr>
        <w:pStyle w:val="guidelinetext"/>
        <w:numPr>
          <w:ilvl w:val="0"/>
          <w:numId w:val="9"/>
        </w:numPr>
        <w:spacing w:before="60" w:line="240" w:lineRule="auto"/>
        <w:ind w:left="714" w:hanging="357"/>
      </w:pPr>
      <w:r w:rsidRPr="0096177A">
        <w:t>fail to comply with any other requirement in their Job Plan</w:t>
      </w:r>
    </w:p>
    <w:p w14:paraId="552B1889" w14:textId="213D1037" w:rsidR="00035383" w:rsidRPr="0096177A" w:rsidRDefault="00035383" w:rsidP="007C20AD">
      <w:pPr>
        <w:pStyle w:val="guidelinetext"/>
        <w:numPr>
          <w:ilvl w:val="0"/>
          <w:numId w:val="9"/>
        </w:numPr>
        <w:spacing w:before="60" w:line="240" w:lineRule="auto"/>
        <w:ind w:left="714" w:hanging="357"/>
      </w:pPr>
      <w:r w:rsidRPr="0096177A">
        <w:t>act in an inappropriate manner:</w:t>
      </w:r>
    </w:p>
    <w:p w14:paraId="715925AB" w14:textId="3EA3CDF8" w:rsidR="00035383" w:rsidRPr="0096177A" w:rsidRDefault="00035383" w:rsidP="004276BF">
      <w:pPr>
        <w:pStyle w:val="guidelinebullet"/>
        <w:numPr>
          <w:ilvl w:val="1"/>
          <w:numId w:val="6"/>
        </w:numPr>
        <w:ind w:left="1134"/>
      </w:pPr>
      <w:r w:rsidRPr="0096177A">
        <w:t>during an appointment that they are required to attend under their Job Plan</w:t>
      </w:r>
      <w:r w:rsidR="00C476FC">
        <w:t>,</w:t>
      </w:r>
      <w:r w:rsidR="00C476FC" w:rsidRPr="0096177A">
        <w:t xml:space="preserve"> </w:t>
      </w:r>
      <w:r w:rsidRPr="0096177A">
        <w:t>or</w:t>
      </w:r>
    </w:p>
    <w:p w14:paraId="04071287" w14:textId="2D218194" w:rsidR="00035383" w:rsidRPr="00D5647E" w:rsidRDefault="00035383" w:rsidP="004276BF">
      <w:pPr>
        <w:pStyle w:val="guidelinebullet"/>
        <w:numPr>
          <w:ilvl w:val="1"/>
          <w:numId w:val="6"/>
        </w:numPr>
        <w:ind w:left="1134"/>
      </w:pPr>
      <w:r w:rsidRPr="00D5647E">
        <w:t xml:space="preserve">while participating in an activity that </w:t>
      </w:r>
      <w:r>
        <w:t>they are</w:t>
      </w:r>
      <w:r w:rsidRPr="00D5647E">
        <w:t xml:space="preserve"> required to undertake </w:t>
      </w:r>
      <w:r>
        <w:t>under their Job Plan</w:t>
      </w:r>
    </w:p>
    <w:p w14:paraId="1E5E6CD5" w14:textId="7974E67A" w:rsidR="00035383" w:rsidRPr="00D5647E" w:rsidRDefault="00035383" w:rsidP="007C20AD">
      <w:pPr>
        <w:pStyle w:val="guidelinetext"/>
        <w:numPr>
          <w:ilvl w:val="0"/>
          <w:numId w:val="9"/>
        </w:numPr>
        <w:spacing w:before="60" w:line="240" w:lineRule="auto"/>
        <w:ind w:left="714" w:hanging="357"/>
      </w:pPr>
      <w:r>
        <w:t>intentionally act</w:t>
      </w:r>
      <w:r w:rsidRPr="00D5647E">
        <w:t xml:space="preserve"> in a manner</w:t>
      </w:r>
      <w:r>
        <w:t xml:space="preserve"> that </w:t>
      </w:r>
      <w:r w:rsidRPr="00D5647E">
        <w:t>could result in an offer of employment not being made to the person</w:t>
      </w:r>
    </w:p>
    <w:p w14:paraId="2781EC2A" w14:textId="77777777" w:rsidR="00035383" w:rsidRPr="00D5647E" w:rsidRDefault="00035383" w:rsidP="007C20AD">
      <w:pPr>
        <w:pStyle w:val="guidelinetext"/>
        <w:numPr>
          <w:ilvl w:val="0"/>
          <w:numId w:val="9"/>
        </w:numPr>
        <w:spacing w:before="60" w:line="240" w:lineRule="auto"/>
        <w:ind w:left="714" w:hanging="357"/>
      </w:pPr>
      <w:r>
        <w:t>fail</w:t>
      </w:r>
      <w:r w:rsidRPr="00D5647E">
        <w:t xml:space="preserve"> to:</w:t>
      </w:r>
    </w:p>
    <w:p w14:paraId="3E4DD75B" w14:textId="14BABCC0" w:rsidR="00035383" w:rsidRPr="00D5647E" w:rsidRDefault="00035383" w:rsidP="00973A61">
      <w:pPr>
        <w:pStyle w:val="guidelinebullet"/>
        <w:numPr>
          <w:ilvl w:val="1"/>
          <w:numId w:val="6"/>
        </w:numPr>
        <w:ind w:left="1134"/>
      </w:pPr>
      <w:r w:rsidRPr="00D5647E">
        <w:t>attend a job interview</w:t>
      </w:r>
      <w:r w:rsidR="00C476FC">
        <w:t>,</w:t>
      </w:r>
      <w:r w:rsidR="00C476FC" w:rsidRPr="00D5647E">
        <w:t xml:space="preserve"> </w:t>
      </w:r>
      <w:r w:rsidRPr="00D5647E">
        <w:t>or</w:t>
      </w:r>
    </w:p>
    <w:p w14:paraId="4B4B9E91" w14:textId="4D9EC980" w:rsidR="00035383" w:rsidRDefault="00035383" w:rsidP="00973A61">
      <w:pPr>
        <w:pStyle w:val="guidelinebullet"/>
        <w:numPr>
          <w:ilvl w:val="1"/>
          <w:numId w:val="6"/>
        </w:numPr>
        <w:ind w:left="1134"/>
      </w:pPr>
      <w:r w:rsidRPr="00D5647E">
        <w:t xml:space="preserve">act on a job opportunity when requested to do so by </w:t>
      </w:r>
      <w:r>
        <w:t>their Provider</w:t>
      </w:r>
      <w:r w:rsidRPr="00D5647E">
        <w:t>.</w:t>
      </w:r>
    </w:p>
    <w:p w14:paraId="5FA5126F" w14:textId="77777777" w:rsidR="004276BF" w:rsidRPr="00D5647E" w:rsidRDefault="004276BF" w:rsidP="005B6382">
      <w:pPr>
        <w:pStyle w:val="guidelinetext"/>
        <w:spacing w:line="240" w:lineRule="auto"/>
        <w:ind w:left="0"/>
      </w:pPr>
    </w:p>
    <w:p w14:paraId="2F0EF8B8" w14:textId="77777777" w:rsidR="00035383" w:rsidRDefault="00035383" w:rsidP="00973A61">
      <w:pPr>
        <w:pStyle w:val="Heading3"/>
        <w:spacing w:before="0" w:after="120"/>
      </w:pPr>
      <w:bookmarkStart w:id="43" w:name="_Toc21095861"/>
      <w:bookmarkStart w:id="44" w:name="_Toc177568219"/>
      <w:r>
        <w:t>Fast-track Mutual Obligation Failures</w:t>
      </w:r>
      <w:bookmarkEnd w:id="43"/>
      <w:bookmarkEnd w:id="44"/>
    </w:p>
    <w:p w14:paraId="6C686EBA" w14:textId="5AE7D0EA" w:rsidR="00035383" w:rsidRDefault="00035383" w:rsidP="00C476FC">
      <w:pPr>
        <w:tabs>
          <w:tab w:val="right" w:pos="1701"/>
        </w:tabs>
      </w:pPr>
      <w:proofErr w:type="gramStart"/>
      <w:r>
        <w:t>Particular types</w:t>
      </w:r>
      <w:proofErr w:type="gramEnd"/>
      <w:r>
        <w:t xml:space="preserve"> of Mutual Obligation Failures are referred to as ‘fast-track’ Mutual Obligations Failures </w:t>
      </w:r>
      <w:r w:rsidRPr="005B6382">
        <w:rPr>
          <w:rFonts w:asciiTheme="minorHAnsi" w:hAnsiTheme="minorHAnsi" w:cstheme="minorHAnsi"/>
          <w:szCs w:val="22"/>
        </w:rPr>
        <w:t>because</w:t>
      </w:r>
      <w:r>
        <w:t xml:space="preserve"> they can result in a Participant having a Capability Interview or Capability Assessment more quickly than would otherwise be the case. See </w:t>
      </w:r>
      <w:r w:rsidR="00C476FC" w:rsidRPr="005B6382">
        <w:t>The Warning Zone</w:t>
      </w:r>
      <w:r w:rsidRPr="00C14B20">
        <w:t xml:space="preserve"> section</w:t>
      </w:r>
      <w:r>
        <w:t xml:space="preserve"> of this Guideline for more information on ‘fast-track’ Mutual Obligations Failures.</w:t>
      </w:r>
    </w:p>
    <w:p w14:paraId="1C867461" w14:textId="77777777" w:rsidR="004276BF" w:rsidRDefault="004276BF" w:rsidP="00973A61">
      <w:pPr>
        <w:pStyle w:val="guidelinetext"/>
        <w:spacing w:line="240" w:lineRule="auto"/>
        <w:ind w:left="0"/>
      </w:pPr>
    </w:p>
    <w:p w14:paraId="7D6CC523" w14:textId="77777777" w:rsidR="00035383" w:rsidRDefault="00035383" w:rsidP="00973A61">
      <w:pPr>
        <w:pStyle w:val="Heading3"/>
        <w:spacing w:before="0" w:after="120"/>
      </w:pPr>
      <w:bookmarkStart w:id="45" w:name="_Prior_notice_and"/>
      <w:bookmarkStart w:id="46" w:name="_Toc21095862"/>
      <w:bookmarkStart w:id="47" w:name="_Toc177568220"/>
      <w:bookmarkEnd w:id="45"/>
      <w:r>
        <w:t>Prior notice and Acceptable Reasons</w:t>
      </w:r>
      <w:bookmarkEnd w:id="46"/>
      <w:bookmarkEnd w:id="47"/>
    </w:p>
    <w:p w14:paraId="50D3BB63" w14:textId="619937DD" w:rsidR="00035383" w:rsidRDefault="00035383" w:rsidP="00C476FC">
      <w:pPr>
        <w:tabs>
          <w:tab w:val="right" w:pos="1701"/>
        </w:tabs>
        <w:rPr>
          <w:rFonts w:cstheme="minorHAnsi"/>
          <w:iCs/>
        </w:rPr>
      </w:pPr>
      <w:r>
        <w:rPr>
          <w:rFonts w:cstheme="minorHAnsi"/>
          <w:iCs/>
        </w:rPr>
        <w:t xml:space="preserve">A Participant may notify the Provider, before the start time scheduled for a Mutual Obligation Requirement, that they are unable to comply with their Mutual Obligation </w:t>
      </w:r>
      <w:r w:rsidRPr="004276BF">
        <w:t>Requirement</w:t>
      </w:r>
      <w:r>
        <w:t xml:space="preserve">. Providers must then assess whether the Participant’s reason for being unable to comply with the Mutual Obligation Requirement is </w:t>
      </w:r>
      <w:r>
        <w:rPr>
          <w:rFonts w:cstheme="minorHAnsi"/>
          <w:iCs/>
        </w:rPr>
        <w:t xml:space="preserve">an </w:t>
      </w:r>
      <w:r>
        <w:t xml:space="preserve">Acceptable Reason. If </w:t>
      </w:r>
      <w:r>
        <w:rPr>
          <w:rFonts w:cstheme="minorHAnsi"/>
          <w:iCs/>
        </w:rPr>
        <w:t xml:space="preserve">the Provider is satisfied that the Participant has an Acceptable Reason for being unable to comply with the Mutual Obligation Requirement, they have an obligation to </w:t>
      </w:r>
      <w:r w:rsidRPr="00A848BB">
        <w:t>reschedule or remove the Mutual Obligation Requirement from the Electronic Calendar</w:t>
      </w:r>
      <w:r>
        <w:t xml:space="preserve">. See clause </w:t>
      </w:r>
      <w:r w:rsidR="009C34FE">
        <w:t>109</w:t>
      </w:r>
      <w:r>
        <w:t>.1</w:t>
      </w:r>
      <w:r w:rsidR="009C34FE">
        <w:t xml:space="preserve"> and </w:t>
      </w:r>
      <w:r>
        <w:t xml:space="preserve">the definition of ‘Acceptable Reason’ in Annexure A1 in the </w:t>
      </w:r>
      <w:r w:rsidR="009C34FE">
        <w:t>DES Grant Agreement</w:t>
      </w:r>
      <w:r>
        <w:rPr>
          <w:rFonts w:cstheme="minorHAnsi"/>
          <w:iCs/>
        </w:rPr>
        <w:t>.</w:t>
      </w:r>
    </w:p>
    <w:p w14:paraId="5773FABF" w14:textId="77777777" w:rsidR="00512085" w:rsidRDefault="00512085" w:rsidP="00C476FC">
      <w:pPr>
        <w:tabs>
          <w:tab w:val="right" w:pos="1701"/>
        </w:tabs>
        <w:rPr>
          <w:rFonts w:cstheme="minorHAnsi"/>
          <w:iCs/>
        </w:rPr>
      </w:pPr>
    </w:p>
    <w:p w14:paraId="75CEC64A" w14:textId="77777777" w:rsidR="00512085" w:rsidRDefault="00512085" w:rsidP="00C476FC">
      <w:pPr>
        <w:tabs>
          <w:tab w:val="right" w:pos="1701"/>
        </w:tabs>
        <w:rPr>
          <w:rFonts w:cstheme="minorHAnsi"/>
          <w:iCs/>
        </w:rPr>
      </w:pPr>
    </w:p>
    <w:p w14:paraId="25C9E7E5" w14:textId="77777777" w:rsidR="00512085" w:rsidRDefault="00512085" w:rsidP="00C476FC">
      <w:pPr>
        <w:tabs>
          <w:tab w:val="right" w:pos="1701"/>
        </w:tabs>
        <w:rPr>
          <w:rFonts w:cstheme="minorHAnsi"/>
          <w:iCs/>
        </w:rPr>
      </w:pPr>
    </w:p>
    <w:p w14:paraId="6CDCEC53" w14:textId="77777777" w:rsidR="00512085" w:rsidRDefault="00512085" w:rsidP="00C476FC">
      <w:pPr>
        <w:tabs>
          <w:tab w:val="right" w:pos="1701"/>
        </w:tabs>
        <w:rPr>
          <w:rFonts w:cstheme="minorHAnsi"/>
          <w:iCs/>
        </w:rPr>
      </w:pPr>
    </w:p>
    <w:p w14:paraId="62F5833E" w14:textId="77777777" w:rsidR="00512085" w:rsidRDefault="00512085" w:rsidP="00C476FC">
      <w:pPr>
        <w:tabs>
          <w:tab w:val="right" w:pos="1701"/>
        </w:tabs>
      </w:pPr>
    </w:p>
    <w:p w14:paraId="65C89F8D" w14:textId="77777777" w:rsidR="00035383" w:rsidRDefault="00035383" w:rsidP="00C476FC">
      <w:pPr>
        <w:tabs>
          <w:tab w:val="right" w:pos="1701"/>
        </w:tabs>
      </w:pPr>
      <w:r>
        <w:t xml:space="preserve">For the purposes of the above, the Provider must determine that a </w:t>
      </w:r>
      <w:r>
        <w:rPr>
          <w:rFonts w:cstheme="minorHAnsi"/>
          <w:iCs/>
        </w:rPr>
        <w:t xml:space="preserve">Participant has an Acceptable Reason for </w:t>
      </w:r>
      <w:r w:rsidRPr="005B6382">
        <w:rPr>
          <w:rFonts w:asciiTheme="minorHAnsi" w:hAnsiTheme="minorHAnsi" w:cstheme="minorHAnsi"/>
          <w:szCs w:val="22"/>
        </w:rPr>
        <w:t>being</w:t>
      </w:r>
      <w:r>
        <w:rPr>
          <w:rFonts w:cstheme="minorHAnsi"/>
          <w:iCs/>
        </w:rPr>
        <w:t xml:space="preserve"> unable to satisfy a Mutual Obligation Requirement </w:t>
      </w:r>
      <w:r>
        <w:t>if:</w:t>
      </w:r>
    </w:p>
    <w:p w14:paraId="5C9DD537" w14:textId="0A467F92" w:rsidR="00035383" w:rsidRPr="001209FB" w:rsidRDefault="00035383" w:rsidP="00C476FC">
      <w:pPr>
        <w:pStyle w:val="guidelinetext"/>
        <w:numPr>
          <w:ilvl w:val="0"/>
          <w:numId w:val="9"/>
        </w:numPr>
        <w:spacing w:before="60" w:line="240" w:lineRule="auto"/>
        <w:ind w:left="714" w:hanging="357"/>
      </w:pPr>
      <w:r>
        <w:t xml:space="preserve">the Participant </w:t>
      </w:r>
      <w:r w:rsidRPr="001209FB">
        <w:t xml:space="preserve">notified the Provider, before the start time scheduled for a Mutual Obligation Requirement, that the </w:t>
      </w:r>
      <w:r>
        <w:t>Participant</w:t>
      </w:r>
      <w:r w:rsidRPr="001209FB">
        <w:t xml:space="preserve"> is unable to satisfy the Mutual Obligation Requirement</w:t>
      </w:r>
      <w:r w:rsidR="00C476FC">
        <w:t>,</w:t>
      </w:r>
      <w:r w:rsidR="00C476FC" w:rsidRPr="001209FB">
        <w:t xml:space="preserve"> </w:t>
      </w:r>
      <w:r w:rsidRPr="001209FB">
        <w:t>and</w:t>
      </w:r>
    </w:p>
    <w:p w14:paraId="2E097586" w14:textId="77777777" w:rsidR="00035383" w:rsidRDefault="00035383" w:rsidP="00C476FC">
      <w:pPr>
        <w:pStyle w:val="guidelinetext"/>
        <w:numPr>
          <w:ilvl w:val="0"/>
          <w:numId w:val="9"/>
        </w:numPr>
        <w:spacing w:before="60" w:line="240" w:lineRule="auto"/>
        <w:ind w:left="714" w:hanging="357"/>
      </w:pPr>
      <w:r w:rsidRPr="001209FB">
        <w:t xml:space="preserve">the Provider is satisfied that the </w:t>
      </w:r>
      <w:r>
        <w:t>Participant</w:t>
      </w:r>
      <w:r w:rsidRPr="001209FB">
        <w:t xml:space="preserve"> has a Valid Reason for being unable to satisfy the Mutual Obligation Requirement.</w:t>
      </w:r>
    </w:p>
    <w:p w14:paraId="3BEE67A7" w14:textId="77777777" w:rsidR="00035383" w:rsidRDefault="00035383" w:rsidP="00C476FC">
      <w:pPr>
        <w:tabs>
          <w:tab w:val="right" w:pos="1701"/>
        </w:tabs>
      </w:pPr>
      <w:r>
        <w:t xml:space="preserve">A Provider </w:t>
      </w:r>
      <w:r w:rsidRPr="005B6382">
        <w:rPr>
          <w:rFonts w:asciiTheme="minorHAnsi" w:hAnsiTheme="minorHAnsi" w:cstheme="minorHAnsi"/>
          <w:szCs w:val="22"/>
        </w:rPr>
        <w:t>must</w:t>
      </w:r>
      <w:r>
        <w:t xml:space="preserve"> determine </w:t>
      </w:r>
      <w:r>
        <w:rPr>
          <w:rFonts w:cstheme="minorHAnsi"/>
          <w:iCs/>
        </w:rPr>
        <w:t>that the Participant has a Valid Reason</w:t>
      </w:r>
      <w:r>
        <w:t xml:space="preserve"> for a Mutual Obligation Failure when they are satisfied that </w:t>
      </w:r>
      <w:r w:rsidRPr="00E62DD4">
        <w:t>the reason th</w:t>
      </w:r>
      <w:r>
        <w:t>e Participant</w:t>
      </w:r>
      <w:r w:rsidRPr="00E62DD4">
        <w:t xml:space="preserve"> </w:t>
      </w:r>
      <w:r>
        <w:t>provides:</w:t>
      </w:r>
    </w:p>
    <w:p w14:paraId="440B4091" w14:textId="4D98C05B" w:rsidR="00035383" w:rsidRDefault="00035383" w:rsidP="00C476FC">
      <w:pPr>
        <w:pStyle w:val="guidelinetext"/>
        <w:numPr>
          <w:ilvl w:val="0"/>
          <w:numId w:val="9"/>
        </w:numPr>
        <w:spacing w:before="60" w:line="240" w:lineRule="auto"/>
        <w:ind w:left="714" w:hanging="357"/>
      </w:pPr>
      <w:r>
        <w:t xml:space="preserve">would </w:t>
      </w:r>
      <w:r w:rsidRPr="00890C6A">
        <w:t>d</w:t>
      </w:r>
      <w:r>
        <w:t>irectly prevent</w:t>
      </w:r>
      <w:r w:rsidRPr="00890C6A">
        <w:t xml:space="preserve"> the </w:t>
      </w:r>
      <w:r>
        <w:t>Participant</w:t>
      </w:r>
      <w:r w:rsidRPr="00890C6A">
        <w:t xml:space="preserve"> from meeting the </w:t>
      </w:r>
      <w:r>
        <w:t>Mutual Obligation R</w:t>
      </w:r>
      <w:r w:rsidRPr="00890C6A">
        <w:t xml:space="preserve">equirement at the time that the </w:t>
      </w:r>
      <w:r>
        <w:t>Mutual Obligation Requirement</w:t>
      </w:r>
      <w:r w:rsidRPr="00890C6A">
        <w:t xml:space="preserve"> </w:t>
      </w:r>
      <w:r>
        <w:t xml:space="preserve">is scheduled to </w:t>
      </w:r>
      <w:r w:rsidRPr="00890C6A">
        <w:t>occur</w:t>
      </w:r>
    </w:p>
    <w:p w14:paraId="7EB8DEC7" w14:textId="5629E69D" w:rsidR="00035383" w:rsidRPr="00E62DD4" w:rsidRDefault="00035383" w:rsidP="00C476FC">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r w:rsidR="00C476FC">
        <w:t xml:space="preserve">, </w:t>
      </w:r>
      <w:r>
        <w:t>and</w:t>
      </w:r>
    </w:p>
    <w:p w14:paraId="15476BE9" w14:textId="77777777" w:rsidR="00035383" w:rsidRDefault="00035383" w:rsidP="00C476FC">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7003879C" w14:textId="016A96A3" w:rsidR="00035383" w:rsidRPr="009D0C6A" w:rsidRDefault="00035383" w:rsidP="00C476FC">
      <w:pPr>
        <w:tabs>
          <w:tab w:val="right" w:pos="1701"/>
        </w:tabs>
        <w:rPr>
          <w:rFonts w:cstheme="minorHAnsi"/>
          <w:iCs/>
        </w:rPr>
      </w:pPr>
      <w:r>
        <w:t xml:space="preserve">However, note </w:t>
      </w:r>
      <w:r w:rsidRPr="00973A61">
        <w:rPr>
          <w:rFonts w:asciiTheme="minorHAnsi" w:eastAsiaTheme="minorHAnsi" w:hAnsiTheme="minorHAnsi" w:cstheme="minorHAnsi"/>
          <w:iCs/>
          <w:szCs w:val="22"/>
          <w:lang w:eastAsia="en-US"/>
        </w:rPr>
        <w:t xml:space="preserve">the exception to the above discussed below in the </w:t>
      </w:r>
      <w:r w:rsidR="00C476FC">
        <w:rPr>
          <w:rFonts w:asciiTheme="minorHAnsi" w:eastAsiaTheme="minorHAnsi" w:hAnsiTheme="minorHAnsi" w:cstheme="minorHAnsi"/>
          <w:iCs/>
          <w:szCs w:val="22"/>
          <w:lang w:eastAsia="en-US"/>
        </w:rPr>
        <w:t>‘</w:t>
      </w:r>
      <w:hyperlink w:anchor="_Drug_and_alcohol" w:history="1">
        <w:r w:rsidRPr="00973A61">
          <w:rPr>
            <w:rFonts w:cstheme="minorHAnsi"/>
            <w:iCs/>
          </w:rPr>
          <w:t>Drug and alcohol dependency or misuse</w:t>
        </w:r>
      </w:hyperlink>
      <w:r w:rsidR="00C476FC">
        <w:rPr>
          <w:rFonts w:cstheme="minorHAnsi"/>
          <w:iCs/>
        </w:rPr>
        <w:t>’</w:t>
      </w:r>
      <w:r w:rsidRPr="00973A61">
        <w:rPr>
          <w:rFonts w:asciiTheme="minorHAnsi" w:eastAsiaTheme="minorHAnsi" w:hAnsiTheme="minorHAnsi" w:cstheme="minorHAnsi"/>
          <w:iCs/>
          <w:szCs w:val="22"/>
          <w:lang w:eastAsia="en-US"/>
        </w:rPr>
        <w:t xml:space="preserve"> </w:t>
      </w:r>
      <w:r w:rsidRPr="005B6382">
        <w:rPr>
          <w:rFonts w:asciiTheme="minorHAnsi" w:hAnsiTheme="minorHAnsi" w:cstheme="minorHAnsi"/>
          <w:szCs w:val="22"/>
        </w:rPr>
        <w:t>section</w:t>
      </w:r>
      <w:r w:rsidRPr="00973A61">
        <w:rPr>
          <w:rFonts w:asciiTheme="minorHAnsi" w:eastAsiaTheme="minorHAnsi" w:hAnsiTheme="minorHAnsi" w:cstheme="minorHAnsi"/>
          <w:iCs/>
          <w:szCs w:val="22"/>
          <w:lang w:eastAsia="en-US"/>
        </w:rPr>
        <w:t xml:space="preserve"> of </w:t>
      </w:r>
      <w:r w:rsidRPr="00C476FC">
        <w:t>th</w:t>
      </w:r>
      <w:r w:rsidR="009C34FE" w:rsidRPr="00C476FC">
        <w:t>ese</w:t>
      </w:r>
      <w:r w:rsidRPr="00973A61">
        <w:rPr>
          <w:rFonts w:asciiTheme="minorHAnsi" w:eastAsiaTheme="minorHAnsi" w:hAnsiTheme="minorHAnsi" w:cstheme="minorHAnsi"/>
          <w:iCs/>
          <w:szCs w:val="22"/>
          <w:lang w:eastAsia="en-US"/>
        </w:rPr>
        <w:t xml:space="preserve"> Guideline</w:t>
      </w:r>
      <w:r w:rsidR="009C34FE">
        <w:rPr>
          <w:rFonts w:asciiTheme="minorHAnsi" w:eastAsiaTheme="minorHAnsi" w:hAnsiTheme="minorHAnsi" w:cstheme="minorHAnsi"/>
          <w:iCs/>
          <w:szCs w:val="22"/>
          <w:lang w:eastAsia="en-US"/>
        </w:rPr>
        <w:t>s</w:t>
      </w:r>
      <w:r w:rsidRPr="00973A61">
        <w:rPr>
          <w:rFonts w:asciiTheme="minorHAnsi" w:eastAsiaTheme="minorHAnsi" w:hAnsiTheme="minorHAnsi" w:cstheme="minorHAnsi"/>
          <w:iCs/>
          <w:szCs w:val="22"/>
          <w:lang w:eastAsia="en-US"/>
        </w:rPr>
        <w:t>.</w:t>
      </w:r>
    </w:p>
    <w:p w14:paraId="52764DD4" w14:textId="595A021E" w:rsidR="00035383" w:rsidRPr="00C476FC" w:rsidRDefault="00035383" w:rsidP="00C476FC">
      <w:pPr>
        <w:tabs>
          <w:tab w:val="right" w:pos="1701"/>
        </w:tabs>
      </w:pPr>
      <w:r w:rsidRPr="009C34FE">
        <w:rPr>
          <w:rFonts w:cstheme="minorHAnsi"/>
          <w:iCs/>
        </w:rPr>
        <w:t xml:space="preserve">Where a </w:t>
      </w:r>
      <w:r w:rsidRPr="005B6382">
        <w:rPr>
          <w:rFonts w:asciiTheme="minorHAnsi" w:hAnsiTheme="minorHAnsi" w:cstheme="minorHAnsi"/>
          <w:szCs w:val="22"/>
        </w:rPr>
        <w:t>Provider</w:t>
      </w:r>
      <w:r w:rsidRPr="009C34FE">
        <w:rPr>
          <w:rFonts w:cstheme="minorHAnsi"/>
          <w:iCs/>
        </w:rPr>
        <w:t xml:space="preserve"> has an </w:t>
      </w:r>
      <w:r>
        <w:rPr>
          <w:rFonts w:cstheme="minorHAnsi"/>
          <w:iCs/>
        </w:rPr>
        <w:t xml:space="preserve">obligation to </w:t>
      </w:r>
      <w:r w:rsidRPr="009C34FE">
        <w:rPr>
          <w:rFonts w:cstheme="minorHAnsi"/>
          <w:iCs/>
        </w:rPr>
        <w:t xml:space="preserve">reschedule or remove a Mutual Obligation Requirement under clause </w:t>
      </w:r>
      <w:r w:rsidR="009C34FE">
        <w:rPr>
          <w:rFonts w:cstheme="minorHAnsi"/>
          <w:iCs/>
        </w:rPr>
        <w:t>109</w:t>
      </w:r>
      <w:r w:rsidRPr="009C34FE">
        <w:rPr>
          <w:rFonts w:cstheme="minorHAnsi"/>
          <w:iCs/>
        </w:rPr>
        <w:t>.1</w:t>
      </w:r>
      <w:r w:rsidR="009C34FE">
        <w:rPr>
          <w:rFonts w:cstheme="minorHAnsi"/>
          <w:iCs/>
        </w:rPr>
        <w:t xml:space="preserve"> of the DES Grant Agreement</w:t>
      </w:r>
      <w:r w:rsidRPr="009C34FE">
        <w:rPr>
          <w:rFonts w:cstheme="minorHAnsi"/>
          <w:iCs/>
        </w:rPr>
        <w:t xml:space="preserve">, the Provider must select ‘No Longer Required’ or ‘Rescheduled’ (as appropriate) in relation to the Mutual Obligation Requirement in the Participant’s Electronic Calendar. </w:t>
      </w:r>
      <w:r w:rsidRPr="00C476FC">
        <w:t>This will either remove the Mutual Obligation Requirement from the Participant’s Electronic Calendar or allow the Mutual Obligation Requirement to be re-scheduled in the Participant’s Electronic Calendar.</w:t>
      </w:r>
    </w:p>
    <w:p w14:paraId="1F94960F" w14:textId="77777777" w:rsidR="00035383" w:rsidRDefault="00035383" w:rsidP="00C476FC">
      <w:pPr>
        <w:tabs>
          <w:tab w:val="right" w:pos="1701"/>
        </w:tabs>
      </w:pPr>
      <w:r w:rsidRPr="00C476FC">
        <w:t xml:space="preserve">Despite the above, the Provider must select ‘No Longer Required’ in relation to the Mutual Obligation </w:t>
      </w:r>
      <w:r w:rsidRPr="005B6382">
        <w:rPr>
          <w:rFonts w:asciiTheme="minorHAnsi" w:hAnsiTheme="minorHAnsi" w:cstheme="minorHAnsi"/>
          <w:szCs w:val="22"/>
        </w:rPr>
        <w:t>Requirement</w:t>
      </w:r>
      <w:r>
        <w:t xml:space="preserve"> in the Participant’s Electronic Calendar if the Mutual Obligation Requirement in question is a requirement to undertake Job Searches or a requirement to attend a job interview or act on a job opportunity.</w:t>
      </w:r>
    </w:p>
    <w:p w14:paraId="40117E73" w14:textId="2080E92F" w:rsidR="00FA67EC" w:rsidRDefault="00035383" w:rsidP="00C476FC">
      <w:pPr>
        <w:tabs>
          <w:tab w:val="right" w:pos="1701"/>
        </w:tabs>
      </w:pPr>
      <w:r>
        <w:t xml:space="preserve">If the Provider selects ‘No Longer Required’ or ‘Rescheduled’ in relation to a Mutual Obligation Requirement in the Participant’s Electronic Calendar as referred to above, the Provider must also select a description of the relevant Valid Reason from the drop-down menu that will appear. In selecting a Valid Reason option from the drop-down menu, the Provider must select the option that is most </w:t>
      </w:r>
      <w:proofErr w:type="gramStart"/>
      <w:r>
        <w:t>similar to</w:t>
      </w:r>
      <w:proofErr w:type="gramEnd"/>
      <w:r>
        <w:t xml:space="preserve"> the Participant’s Valid Reason as they described it to the Provider. The Provider must not use the options in the drop-down menus to prompt or elicit responses from the Participant.</w:t>
      </w:r>
      <w:r w:rsidR="00C476FC" w:rsidRPr="00C476FC">
        <w:t xml:space="preserve"> </w:t>
      </w:r>
      <w:r w:rsidR="00C476FC">
        <w:t xml:space="preserve">A full list of these drop-down menu options can be found </w:t>
      </w:r>
      <w:r w:rsidR="00C476FC" w:rsidRPr="00FE62FB">
        <w:t xml:space="preserve">at </w:t>
      </w:r>
      <w:r w:rsidR="00C476FC" w:rsidRPr="005B6382">
        <w:t>Attachment C</w:t>
      </w:r>
      <w:r w:rsidR="00FA67EC">
        <w:t>.</w:t>
      </w:r>
    </w:p>
    <w:p w14:paraId="12678973" w14:textId="67A40B0E" w:rsidR="00035383" w:rsidRDefault="00035383" w:rsidP="00C476FC">
      <w:pPr>
        <w:tabs>
          <w:tab w:val="right" w:pos="1701"/>
        </w:tabs>
      </w:pPr>
      <w:r>
        <w:t xml:space="preserve">If the Provider is </w:t>
      </w:r>
      <w:r w:rsidRPr="009C110B">
        <w:rPr>
          <w:u w:val="single"/>
        </w:rPr>
        <w:t>not</w:t>
      </w:r>
      <w:r>
        <w:t xml:space="preserve"> </w:t>
      </w:r>
      <w:r>
        <w:rPr>
          <w:rFonts w:cstheme="minorHAnsi"/>
          <w:iCs/>
        </w:rPr>
        <w:t xml:space="preserve">satisfied that the Participant has a Valid </w:t>
      </w:r>
      <w:r w:rsidR="00E273F1">
        <w:t>r</w:t>
      </w:r>
      <w:r>
        <w:rPr>
          <w:rFonts w:cstheme="minorHAnsi"/>
          <w:iCs/>
        </w:rPr>
        <w:t xml:space="preserve">eason for being unable to satisfy the Mutual Obligation Requirement </w:t>
      </w:r>
      <w:r>
        <w:t xml:space="preserve">, the Provider must tell the Participant why. The Provider must then remind the </w:t>
      </w:r>
      <w:r w:rsidRPr="005B6382">
        <w:rPr>
          <w:rFonts w:asciiTheme="minorHAnsi" w:hAnsiTheme="minorHAnsi" w:cstheme="minorHAnsi"/>
          <w:szCs w:val="22"/>
        </w:rPr>
        <w:t>Participant</w:t>
      </w:r>
      <w:r>
        <w:t xml:space="preserve"> that they are still expected to meet the Mutual Obligation Requirement and must remind them about the consequences of non</w:t>
      </w:r>
      <w:r>
        <w:rPr>
          <w:rFonts w:ascii="Cambria Math" w:hAnsi="Cambria Math" w:cs="Cambria Math"/>
        </w:rPr>
        <w:t>‑</w:t>
      </w:r>
      <w:r>
        <w:t>compliance.</w:t>
      </w:r>
    </w:p>
    <w:p w14:paraId="038934A4" w14:textId="55938FA0" w:rsidR="00035383" w:rsidRDefault="00035383" w:rsidP="005B6382">
      <w:pPr>
        <w:pStyle w:val="DeedReferences"/>
      </w:pPr>
      <w:r>
        <w:t>(</w:t>
      </w:r>
      <w:r w:rsidR="009C34FE">
        <w:t xml:space="preserve"> Grant Agreement </w:t>
      </w:r>
      <w:r w:rsidR="005C62B3">
        <w:t xml:space="preserve">references: </w:t>
      </w:r>
      <w:r w:rsidR="009C34FE">
        <w:t>clause 109.1</w:t>
      </w:r>
      <w:r>
        <w:t>)</w:t>
      </w:r>
    </w:p>
    <w:p w14:paraId="58707BD1" w14:textId="77777777" w:rsidR="009C34FE" w:rsidRPr="00973A61" w:rsidRDefault="009C34FE" w:rsidP="005B6382">
      <w:pPr>
        <w:pStyle w:val="guidelinetext"/>
        <w:spacing w:line="240" w:lineRule="auto"/>
        <w:ind w:left="0"/>
      </w:pPr>
    </w:p>
    <w:p w14:paraId="41B518FF" w14:textId="77777777" w:rsidR="00035383" w:rsidRDefault="00035383" w:rsidP="00973A61">
      <w:pPr>
        <w:pStyle w:val="Heading3"/>
        <w:spacing w:before="0" w:after="120"/>
      </w:pPr>
      <w:bookmarkStart w:id="48" w:name="Misconduct"/>
      <w:bookmarkStart w:id="49" w:name="_Toc21095863"/>
      <w:bookmarkStart w:id="50" w:name="_Toc177568221"/>
      <w:r w:rsidRPr="00BF351D">
        <w:t>Misconduct</w:t>
      </w:r>
      <w:bookmarkEnd w:id="48"/>
      <w:r>
        <w:t>—Acting in an inappropriate manner</w:t>
      </w:r>
      <w:bookmarkEnd w:id="49"/>
      <w:bookmarkEnd w:id="50"/>
    </w:p>
    <w:p w14:paraId="5B8CC8ED" w14:textId="77777777" w:rsidR="00035383" w:rsidRPr="00973A61" w:rsidRDefault="00035383" w:rsidP="00C476FC">
      <w:pPr>
        <w:tabs>
          <w:tab w:val="right" w:pos="1701"/>
        </w:tabs>
        <w:rPr>
          <w:u w:val="single"/>
        </w:rPr>
      </w:pPr>
      <w:proofErr w:type="gramStart"/>
      <w:r>
        <w:t>Particular types</w:t>
      </w:r>
      <w:proofErr w:type="gramEnd"/>
      <w:r>
        <w:t xml:space="preserve"> of Mutual Obligations Failures are referred to as ‘misconduct’ in the Department’s IT Systems. The </w:t>
      </w:r>
      <w:r w:rsidRPr="005B6382">
        <w:rPr>
          <w:rFonts w:asciiTheme="minorHAnsi" w:hAnsiTheme="minorHAnsi" w:cstheme="minorHAnsi"/>
          <w:szCs w:val="22"/>
        </w:rPr>
        <w:t>circumstances</w:t>
      </w:r>
      <w:r>
        <w:t xml:space="preserve"> in which the Provider must select ‘</w:t>
      </w:r>
      <w:r w:rsidRPr="00511493">
        <w:t xml:space="preserve">misconduct’ are described below in the </w:t>
      </w:r>
      <w:hyperlink w:anchor="_When_the_Participant" w:history="1">
        <w:r w:rsidRPr="00973A61">
          <w:t>When the Participant does not have a Valid Reason</w:t>
        </w:r>
      </w:hyperlink>
      <w:r w:rsidRPr="00511493">
        <w:t xml:space="preserve"> section of this Guideline.</w:t>
      </w:r>
    </w:p>
    <w:p w14:paraId="43050137" w14:textId="77777777" w:rsidR="00035383" w:rsidRDefault="00035383" w:rsidP="00C476FC">
      <w:pPr>
        <w:tabs>
          <w:tab w:val="right" w:pos="1701"/>
        </w:tabs>
      </w:pPr>
      <w:r w:rsidRPr="00511493">
        <w:t>Misconduct</w:t>
      </w:r>
      <w:r>
        <w:t xml:space="preserve"> refers to:</w:t>
      </w:r>
    </w:p>
    <w:p w14:paraId="320C8202" w14:textId="77777777" w:rsidR="00035383" w:rsidRPr="00D5647E" w:rsidRDefault="00035383" w:rsidP="00C476FC">
      <w:pPr>
        <w:pStyle w:val="guidelinetext"/>
        <w:numPr>
          <w:ilvl w:val="0"/>
          <w:numId w:val="9"/>
        </w:numPr>
        <w:spacing w:before="60" w:line="240" w:lineRule="auto"/>
        <w:ind w:left="714" w:hanging="357"/>
      </w:pPr>
      <w:r>
        <w:t>inappropriate behaviour by the Participant</w:t>
      </w:r>
      <w:r w:rsidRPr="00D5647E">
        <w:t>:</w:t>
      </w:r>
    </w:p>
    <w:p w14:paraId="24E45734" w14:textId="18F9C6AB" w:rsidR="00035383" w:rsidRPr="00D5647E" w:rsidRDefault="00035383" w:rsidP="00973A61">
      <w:pPr>
        <w:pStyle w:val="guidelinebullet"/>
        <w:numPr>
          <w:ilvl w:val="1"/>
          <w:numId w:val="6"/>
        </w:numPr>
        <w:ind w:left="1134"/>
      </w:pPr>
      <w:r w:rsidRPr="00D5647E">
        <w:t xml:space="preserve">during an appointment </w:t>
      </w:r>
      <w:r>
        <w:t xml:space="preserve">that they are </w:t>
      </w:r>
      <w:r w:rsidRPr="00D5647E">
        <w:t xml:space="preserve">required to attend </w:t>
      </w:r>
      <w:r>
        <w:t>under their Job Plan</w:t>
      </w:r>
      <w:r w:rsidR="00C476FC">
        <w:t>,</w:t>
      </w:r>
      <w:r w:rsidR="00C476FC" w:rsidRPr="00D5647E">
        <w:t xml:space="preserve"> </w:t>
      </w:r>
      <w:r w:rsidRPr="00D5647E">
        <w:t>or</w:t>
      </w:r>
    </w:p>
    <w:p w14:paraId="66F21C83" w14:textId="414743EB" w:rsidR="00035383" w:rsidRDefault="00035383" w:rsidP="00973A61">
      <w:pPr>
        <w:pStyle w:val="guidelinebullet"/>
        <w:numPr>
          <w:ilvl w:val="1"/>
          <w:numId w:val="6"/>
        </w:numPr>
        <w:ind w:left="1134"/>
      </w:pPr>
      <w:r w:rsidRPr="00D5647E">
        <w:t xml:space="preserve">while participating in an activity that </w:t>
      </w:r>
      <w:r>
        <w:t>they are</w:t>
      </w:r>
      <w:r w:rsidRPr="00D5647E">
        <w:t xml:space="preserve"> required to undertake </w:t>
      </w:r>
      <w:r>
        <w:t>under their Job Plan</w:t>
      </w:r>
      <w:r w:rsidR="00C476FC">
        <w:t xml:space="preserve">, </w:t>
      </w:r>
      <w:r>
        <w:t>or</w:t>
      </w:r>
    </w:p>
    <w:p w14:paraId="713CB763" w14:textId="77777777" w:rsidR="00035383" w:rsidRPr="00D5647E" w:rsidRDefault="00035383" w:rsidP="00C476FC">
      <w:pPr>
        <w:pStyle w:val="guidelinetext"/>
        <w:numPr>
          <w:ilvl w:val="0"/>
          <w:numId w:val="9"/>
        </w:numPr>
        <w:spacing w:before="60" w:line="240" w:lineRule="auto"/>
        <w:ind w:left="714" w:hanging="357"/>
      </w:pPr>
      <w:r>
        <w:t>behaviour by a Participant, during a job interview, that could result in an offer of employment not being made to the Participant.</w:t>
      </w:r>
    </w:p>
    <w:p w14:paraId="41543D16" w14:textId="77777777" w:rsidR="00035383" w:rsidRDefault="00035383" w:rsidP="005B6382">
      <w:pPr>
        <w:tabs>
          <w:tab w:val="right" w:pos="1701"/>
        </w:tabs>
      </w:pPr>
      <w:r>
        <w:t xml:space="preserve">A Provider must determine that a Participant’s behaviour involved ‘misconduct’ in the circumstances </w:t>
      </w:r>
      <w:r w:rsidRPr="005B6382">
        <w:rPr>
          <w:rFonts w:asciiTheme="minorHAnsi" w:hAnsiTheme="minorHAnsi" w:cstheme="minorHAnsi"/>
          <w:szCs w:val="22"/>
        </w:rPr>
        <w:t>described</w:t>
      </w:r>
      <w:r>
        <w:t xml:space="preserve"> above when the Participant’s behaviour during the relevant appointment, activity or job interview:</w:t>
      </w:r>
    </w:p>
    <w:p w14:paraId="57B85307" w14:textId="6605783E" w:rsidR="00035383" w:rsidRDefault="00035383" w:rsidP="00C476FC">
      <w:pPr>
        <w:pStyle w:val="guidelinetext"/>
        <w:numPr>
          <w:ilvl w:val="0"/>
          <w:numId w:val="9"/>
        </w:numPr>
        <w:spacing w:before="60" w:line="240" w:lineRule="auto"/>
        <w:ind w:left="714" w:hanging="357"/>
      </w:pPr>
      <w:r>
        <w:t xml:space="preserve">was within the Participant’s control </w:t>
      </w:r>
    </w:p>
    <w:p w14:paraId="55560BCF" w14:textId="6B29C1DF" w:rsidR="00035383" w:rsidRDefault="00035383" w:rsidP="00C476FC">
      <w:pPr>
        <w:pStyle w:val="guidelinetext"/>
        <w:numPr>
          <w:ilvl w:val="0"/>
          <w:numId w:val="9"/>
        </w:numPr>
        <w:spacing w:before="60" w:line="240" w:lineRule="auto"/>
        <w:ind w:left="714" w:hanging="357"/>
      </w:pPr>
      <w:r>
        <w:t>prevented the purpose of the relevant appointment, activity or job interview from being met</w:t>
      </w:r>
    </w:p>
    <w:p w14:paraId="610FDCFD" w14:textId="77777777" w:rsidR="00035383" w:rsidRPr="009C12A3" w:rsidRDefault="00035383" w:rsidP="00C476FC">
      <w:pPr>
        <w:pStyle w:val="guidelinetext"/>
        <w:numPr>
          <w:ilvl w:val="0"/>
          <w:numId w:val="9"/>
        </w:numPr>
        <w:spacing w:before="60" w:line="240" w:lineRule="auto"/>
        <w:ind w:left="714" w:hanging="357"/>
      </w:pPr>
      <w:r>
        <w:t>would be judged by a reasonable person as being inappropriate in the circumstances.</w:t>
      </w:r>
    </w:p>
    <w:p w14:paraId="389DB91E" w14:textId="77777777" w:rsidR="00035383" w:rsidRDefault="00035383" w:rsidP="00C476FC">
      <w:pPr>
        <w:tabs>
          <w:tab w:val="right" w:pos="1701"/>
        </w:tabs>
      </w:pPr>
      <w:r>
        <w:t xml:space="preserve">This </w:t>
      </w:r>
      <w:r w:rsidRPr="005B6382">
        <w:rPr>
          <w:rFonts w:asciiTheme="minorHAnsi" w:hAnsiTheme="minorHAnsi" w:cstheme="minorHAnsi"/>
          <w:szCs w:val="22"/>
        </w:rPr>
        <w:t>behaviour</w:t>
      </w:r>
      <w:r>
        <w:t xml:space="preserve"> may include:</w:t>
      </w:r>
    </w:p>
    <w:p w14:paraId="15D37A42" w14:textId="3BFF801F" w:rsidR="00035383" w:rsidRDefault="00035383" w:rsidP="00C476FC">
      <w:pPr>
        <w:pStyle w:val="guidelinetext"/>
        <w:numPr>
          <w:ilvl w:val="0"/>
          <w:numId w:val="9"/>
        </w:numPr>
        <w:spacing w:before="60" w:line="240" w:lineRule="auto"/>
        <w:ind w:left="714" w:hanging="357"/>
      </w:pPr>
      <w:r>
        <w:t>dressing in a way that is clearly inappropriate for the relevant appointment, activity or job interview</w:t>
      </w:r>
    </w:p>
    <w:p w14:paraId="6D05FEF4" w14:textId="53E305B2" w:rsidR="00035383" w:rsidRDefault="00035383" w:rsidP="00C476FC">
      <w:pPr>
        <w:pStyle w:val="guidelinetext"/>
        <w:numPr>
          <w:ilvl w:val="0"/>
          <w:numId w:val="9"/>
        </w:numPr>
        <w:spacing w:before="60" w:line="240" w:lineRule="auto"/>
        <w:ind w:left="714" w:hanging="357"/>
      </w:pPr>
      <w:r>
        <w:t>using offensive language during the relevant appointment, activity or job interview</w:t>
      </w:r>
    </w:p>
    <w:p w14:paraId="1A12D3B3" w14:textId="475E4EBD" w:rsidR="00035383" w:rsidRDefault="00035383" w:rsidP="00C476FC">
      <w:pPr>
        <w:pStyle w:val="guidelinetext"/>
        <w:numPr>
          <w:ilvl w:val="0"/>
          <w:numId w:val="9"/>
        </w:numPr>
        <w:spacing w:before="60" w:line="240" w:lineRule="auto"/>
        <w:ind w:left="714" w:hanging="357"/>
      </w:pPr>
      <w:r>
        <w:t>showing an obvious lack of interest in the relevant appointment, activity or job interview</w:t>
      </w:r>
    </w:p>
    <w:p w14:paraId="5F5033A5" w14:textId="07FF70AC" w:rsidR="00035383" w:rsidRDefault="00035383" w:rsidP="00C476FC">
      <w:pPr>
        <w:pStyle w:val="guidelinetext"/>
        <w:numPr>
          <w:ilvl w:val="0"/>
          <w:numId w:val="9"/>
        </w:numPr>
        <w:spacing w:before="60" w:line="240" w:lineRule="auto"/>
        <w:ind w:left="714" w:hanging="357"/>
      </w:pPr>
      <w:r>
        <w:t>exaggerating the severity of an existing injury or illness to avoid fully participating in the relevant appointment, activity</w:t>
      </w:r>
      <w:r w:rsidRPr="0040412E">
        <w:t xml:space="preserve"> </w:t>
      </w:r>
      <w:r>
        <w:t>or job interview</w:t>
      </w:r>
    </w:p>
    <w:p w14:paraId="22DA34EF" w14:textId="77777777" w:rsidR="00035383" w:rsidRDefault="00035383" w:rsidP="00C476FC">
      <w:pPr>
        <w:pStyle w:val="guidelinetext"/>
        <w:numPr>
          <w:ilvl w:val="0"/>
          <w:numId w:val="9"/>
        </w:numPr>
        <w:spacing w:before="60" w:line="240" w:lineRule="auto"/>
        <w:ind w:left="714" w:hanging="357"/>
      </w:pPr>
      <w:r>
        <w:t>leaving the relevant appointment, activity</w:t>
      </w:r>
      <w:r w:rsidRPr="0040412E">
        <w:t xml:space="preserve"> </w:t>
      </w:r>
      <w:r>
        <w:t>or job interview before its completion.</w:t>
      </w:r>
    </w:p>
    <w:p w14:paraId="282D6F32" w14:textId="77777777" w:rsidR="00035383" w:rsidRDefault="00035383" w:rsidP="005B6382">
      <w:pPr>
        <w:tabs>
          <w:tab w:val="right" w:pos="1701"/>
        </w:tabs>
      </w:pPr>
      <w:r>
        <w:t>Behaviour that appears to be inappropriate but is out of the Participant’s control must not be determined by a Provider to be misconduct. For example, a Participant may act in an inappropriate manner because they:</w:t>
      </w:r>
    </w:p>
    <w:p w14:paraId="720F97BE" w14:textId="6D9218F3" w:rsidR="00035383" w:rsidRDefault="00035383" w:rsidP="00C476FC">
      <w:pPr>
        <w:pStyle w:val="guidelinetext"/>
        <w:numPr>
          <w:ilvl w:val="0"/>
          <w:numId w:val="9"/>
        </w:numPr>
        <w:spacing w:before="60" w:line="240" w:lineRule="auto"/>
        <w:ind w:left="714" w:hanging="357"/>
      </w:pPr>
      <w:r>
        <w:t>do not have appropriate clothes to wear to the relevant appointment, activity or job interview</w:t>
      </w:r>
    </w:p>
    <w:p w14:paraId="5B3D5845" w14:textId="18D41166" w:rsidR="00035383" w:rsidRDefault="00035383" w:rsidP="00C476FC">
      <w:pPr>
        <w:pStyle w:val="guidelinetext"/>
        <w:numPr>
          <w:ilvl w:val="0"/>
          <w:numId w:val="9"/>
        </w:numPr>
        <w:spacing w:before="60" w:line="240" w:lineRule="auto"/>
        <w:ind w:left="714" w:hanging="357"/>
      </w:pPr>
      <w:r>
        <w:t>are affected by a major personal crisis</w:t>
      </w:r>
    </w:p>
    <w:p w14:paraId="5B703FD5" w14:textId="59C28E3E" w:rsidR="00035383" w:rsidRDefault="00035383" w:rsidP="00C476FC">
      <w:pPr>
        <w:pStyle w:val="guidelinetext"/>
        <w:numPr>
          <w:ilvl w:val="0"/>
          <w:numId w:val="9"/>
        </w:numPr>
        <w:spacing w:before="60" w:line="240" w:lineRule="auto"/>
        <w:ind w:left="714" w:hanging="357"/>
      </w:pPr>
      <w:r>
        <w:t>are affected by a medical condition.</w:t>
      </w:r>
    </w:p>
    <w:p w14:paraId="17D7CCF3" w14:textId="77777777" w:rsidR="009C34FE" w:rsidRDefault="009C34FE" w:rsidP="005B6382">
      <w:pPr>
        <w:pStyle w:val="guidelinetext"/>
        <w:spacing w:line="240" w:lineRule="auto"/>
        <w:ind w:left="0"/>
      </w:pPr>
    </w:p>
    <w:p w14:paraId="7C4DB660" w14:textId="37BAEBC3" w:rsidR="00035383" w:rsidRDefault="00035383" w:rsidP="00973A61">
      <w:pPr>
        <w:pStyle w:val="Heading3"/>
        <w:spacing w:before="0" w:after="120"/>
      </w:pPr>
      <w:bookmarkStart w:id="51" w:name="_Toc21095864"/>
      <w:bookmarkStart w:id="52" w:name="_Toc177568222"/>
      <w:r>
        <w:t>Mutual Obligation Failure</w:t>
      </w:r>
      <w:bookmarkEnd w:id="51"/>
      <w:r w:rsidR="00AA2693">
        <w:t>s</w:t>
      </w:r>
      <w:bookmarkEnd w:id="52"/>
    </w:p>
    <w:p w14:paraId="6A13CAEC" w14:textId="18F373C8" w:rsidR="00AA2693" w:rsidRPr="00AA2693" w:rsidRDefault="00AA2693" w:rsidP="005B6382">
      <w:pPr>
        <w:spacing w:before="240"/>
        <w:rPr>
          <w:sz w:val="24"/>
          <w:u w:val="single"/>
        </w:rPr>
      </w:pPr>
      <w:r w:rsidRPr="00AA2693">
        <w:rPr>
          <w:sz w:val="24"/>
          <w:u w:val="single"/>
        </w:rPr>
        <w:t>Participant contact</w:t>
      </w:r>
    </w:p>
    <w:p w14:paraId="145CA4D1" w14:textId="180379DD" w:rsidR="00AA2693" w:rsidRPr="00AA2693" w:rsidRDefault="008909FF" w:rsidP="6C704F56">
      <w:pPr>
        <w:tabs>
          <w:tab w:val="right" w:pos="1701"/>
        </w:tabs>
        <w:rPr>
          <w:rFonts w:asciiTheme="minorHAnsi" w:hAnsiTheme="minorHAnsi" w:cstheme="minorBidi"/>
        </w:rPr>
      </w:pPr>
      <w:r w:rsidRPr="6C704F56">
        <w:rPr>
          <w:rFonts w:asciiTheme="minorHAnsi" w:hAnsiTheme="minorHAnsi" w:cstheme="minorBidi"/>
        </w:rPr>
        <w:t xml:space="preserve">In most cases, if the Provider becomes aware that a Participant has apparently committed a Mutual Obligation Failure, </w:t>
      </w:r>
      <w:r w:rsidR="00AA2693" w:rsidRPr="6C704F56">
        <w:rPr>
          <w:rFonts w:asciiTheme="minorHAnsi" w:hAnsiTheme="minorHAnsi" w:cstheme="minorBidi"/>
        </w:rPr>
        <w:t xml:space="preserve">the Provider must attempt to contact the </w:t>
      </w:r>
      <w:r w:rsidRPr="6C704F56">
        <w:rPr>
          <w:rFonts w:asciiTheme="minorHAnsi" w:hAnsiTheme="minorHAnsi" w:cstheme="minorBidi"/>
        </w:rPr>
        <w:t xml:space="preserve">Participant </w:t>
      </w:r>
      <w:r w:rsidR="00AA2693" w:rsidRPr="6C704F56">
        <w:rPr>
          <w:rFonts w:asciiTheme="minorHAnsi" w:hAnsiTheme="minorHAnsi" w:cstheme="minorBidi"/>
        </w:rPr>
        <w:t xml:space="preserve">on the same Business Day </w:t>
      </w:r>
      <w:r w:rsidRPr="6C704F56">
        <w:rPr>
          <w:rFonts w:asciiTheme="minorHAnsi" w:hAnsiTheme="minorHAnsi" w:cstheme="minorBidi"/>
        </w:rPr>
        <w:t xml:space="preserve">on which the Provider becomes aware of the apparent Mutual Obligation Failure. </w:t>
      </w:r>
      <w:r w:rsidR="00AA2693" w:rsidRPr="6C704F56">
        <w:rPr>
          <w:rFonts w:asciiTheme="minorHAnsi" w:hAnsiTheme="minorHAnsi" w:cstheme="minorBidi"/>
        </w:rPr>
        <w:t>If there is contact between the Provider and the Participant on that day, the Provider must</w:t>
      </w:r>
      <w:r w:rsidRPr="6C704F56">
        <w:rPr>
          <w:rFonts w:asciiTheme="minorHAnsi" w:hAnsiTheme="minorHAnsi" w:cstheme="minorBidi"/>
        </w:rPr>
        <w:t>:</w:t>
      </w:r>
    </w:p>
    <w:p w14:paraId="7C8704CE" w14:textId="6695FC80" w:rsidR="001E5B3C" w:rsidRDefault="00AA2693" w:rsidP="00496ED7">
      <w:pPr>
        <w:pStyle w:val="guidelinetext"/>
        <w:numPr>
          <w:ilvl w:val="0"/>
          <w:numId w:val="9"/>
        </w:numPr>
        <w:spacing w:before="60" w:line="240" w:lineRule="auto"/>
        <w:ind w:left="714" w:hanging="357"/>
      </w:pPr>
      <w:r w:rsidRPr="00A7509D">
        <w:t>discuss the circumstances of the apparent Mutual Obligation Failure</w:t>
      </w:r>
      <w:r>
        <w:t xml:space="preserve"> so that the Provider can determine whether </w:t>
      </w:r>
      <w:r w:rsidRPr="00A7509D">
        <w:t xml:space="preserve">a Mutual Obligation Failure has </w:t>
      </w:r>
      <w:proofErr w:type="gramStart"/>
      <w:r>
        <w:t xml:space="preserve">actually </w:t>
      </w:r>
      <w:r w:rsidRPr="00A7509D">
        <w:t>been</w:t>
      </w:r>
      <w:proofErr w:type="gramEnd"/>
      <w:r w:rsidRPr="00A7509D">
        <w:t xml:space="preserve"> committed</w:t>
      </w:r>
      <w:r>
        <w:t>; and</w:t>
      </w:r>
    </w:p>
    <w:p w14:paraId="40D9B3E4" w14:textId="49E1FBF4" w:rsidR="00AA2693" w:rsidRDefault="00AA2693" w:rsidP="00496ED7">
      <w:pPr>
        <w:pStyle w:val="guidelinetext"/>
        <w:numPr>
          <w:ilvl w:val="0"/>
          <w:numId w:val="9"/>
        </w:numPr>
        <w:spacing w:before="60" w:line="240" w:lineRule="auto"/>
        <w:ind w:left="714" w:hanging="357"/>
      </w:pPr>
      <w:r w:rsidRPr="00A7509D">
        <w:t>if the Provider considers that a Mutual Obligation Failure has been committed</w:t>
      </w:r>
      <w:r>
        <w:t>:</w:t>
      </w:r>
    </w:p>
    <w:p w14:paraId="7AD711E2" w14:textId="2C78FE7A" w:rsidR="00AA2693" w:rsidRDefault="00AA2693" w:rsidP="00496ED7">
      <w:pPr>
        <w:pStyle w:val="guidelinebullet"/>
        <w:numPr>
          <w:ilvl w:val="1"/>
          <w:numId w:val="6"/>
        </w:numPr>
        <w:ind w:left="1134"/>
      </w:pPr>
      <w:r w:rsidRPr="00841157">
        <w:t xml:space="preserve">discuss the </w:t>
      </w:r>
      <w:r>
        <w:t>Participant’s reasons</w:t>
      </w:r>
      <w:r w:rsidRPr="00841157">
        <w:t xml:space="preserve"> for </w:t>
      </w:r>
      <w:r>
        <w:t>the Mutual Obligation Failure, assess whether the Participant has a Valid Reason</w:t>
      </w:r>
      <w:r w:rsidRPr="007C45B4">
        <w:t xml:space="preserve">, and comply with the obligations set out below in the </w:t>
      </w:r>
      <w:r>
        <w:t>‘</w:t>
      </w:r>
      <w:r w:rsidRPr="005B6382">
        <w:t>Assessing Valid Reasons</w:t>
      </w:r>
      <w:r>
        <w:t>’</w:t>
      </w:r>
      <w:r w:rsidRPr="007C45B4">
        <w:t xml:space="preserve"> section in this Guideline</w:t>
      </w:r>
    </w:p>
    <w:p w14:paraId="27D60610" w14:textId="793F0AB0" w:rsidR="00AA2693" w:rsidRDefault="00AA2693" w:rsidP="00AA2693">
      <w:pPr>
        <w:pStyle w:val="guidelinebullet"/>
        <w:numPr>
          <w:ilvl w:val="1"/>
          <w:numId w:val="6"/>
        </w:numPr>
        <w:ind w:left="1134"/>
      </w:pPr>
      <w:r>
        <w:t xml:space="preserve">set an appropriate </w:t>
      </w:r>
      <w:r w:rsidRPr="00A7509D">
        <w:t>Reconnection Requirement</w:t>
      </w:r>
      <w:r>
        <w:t xml:space="preserve"> for the Participant (</w:t>
      </w:r>
      <w:r w:rsidRPr="007C45B4">
        <w:t xml:space="preserve">if they do not have a Valid Reason for the relevant Mutual Obligation Failure) in accordance with the </w:t>
      </w:r>
      <w:r>
        <w:rPr>
          <w:rStyle w:val="Hyperlink"/>
        </w:rPr>
        <w:t>‘</w:t>
      </w:r>
      <w:r w:rsidRPr="005B6382">
        <w:t>Reconnection Requirements</w:t>
      </w:r>
      <w:r>
        <w:t>’</w:t>
      </w:r>
      <w:r w:rsidRPr="007C45B4">
        <w:t xml:space="preserve"> section in this Guideline</w:t>
      </w:r>
      <w:r>
        <w:t>, or</w:t>
      </w:r>
    </w:p>
    <w:p w14:paraId="58B34A22" w14:textId="2A03FC85" w:rsidR="00AA2693" w:rsidRDefault="00AA2693" w:rsidP="00AA2693">
      <w:pPr>
        <w:pStyle w:val="guidelinetext"/>
        <w:numPr>
          <w:ilvl w:val="0"/>
          <w:numId w:val="9"/>
        </w:numPr>
        <w:spacing w:before="60" w:line="240" w:lineRule="auto"/>
        <w:ind w:left="714" w:hanging="357"/>
      </w:pPr>
      <w:r w:rsidRPr="00A7509D">
        <w:t xml:space="preserve">if the Provider considers that a Mutual Obligation Failure has </w:t>
      </w:r>
      <w:r>
        <w:t xml:space="preserve">not </w:t>
      </w:r>
      <w:r w:rsidRPr="00A7509D">
        <w:t>been committed</w:t>
      </w:r>
      <w:r>
        <w:t>, not take any further action</w:t>
      </w:r>
    </w:p>
    <w:p w14:paraId="404EE1C2" w14:textId="48FE96FC" w:rsidR="00AA2693" w:rsidRDefault="00AA2693" w:rsidP="005B6382">
      <w:pPr>
        <w:pStyle w:val="guidelinetext"/>
        <w:numPr>
          <w:ilvl w:val="0"/>
          <w:numId w:val="9"/>
        </w:numPr>
        <w:spacing w:before="60" w:line="240" w:lineRule="auto"/>
        <w:ind w:left="714" w:hanging="357"/>
      </w:pPr>
      <w:r>
        <w:t>if the Provider determines that the Participant has been non-</w:t>
      </w:r>
      <w:proofErr w:type="gramStart"/>
      <w:r>
        <w:t>compliant</w:t>
      </w:r>
      <w:proofErr w:type="gramEnd"/>
      <w:r>
        <w:t xml:space="preserve"> but the TCF cannot be applied, follow the TCF workflow at </w:t>
      </w:r>
      <w:r w:rsidRPr="00AA2693">
        <w:t>Attachment D.</w:t>
      </w:r>
    </w:p>
    <w:p w14:paraId="56E2DFD2" w14:textId="63887B9C" w:rsidR="00AA2693" w:rsidRDefault="00AA2693" w:rsidP="005B6382">
      <w:pPr>
        <w:tabs>
          <w:tab w:val="right" w:pos="1701"/>
        </w:tabs>
      </w:pPr>
      <w:r>
        <w:t xml:space="preserve">For </w:t>
      </w:r>
      <w:r w:rsidRPr="005B6382">
        <w:rPr>
          <w:rFonts w:asciiTheme="minorHAnsi" w:hAnsiTheme="minorHAnsi" w:cstheme="minorHAnsi"/>
          <w:szCs w:val="22"/>
        </w:rPr>
        <w:t>more</w:t>
      </w:r>
      <w:r>
        <w:t xml:space="preserve"> information on Valid Reasons, see the ‘</w:t>
      </w:r>
      <w:r w:rsidRPr="00AA2693">
        <w:t>Assessing Valid Reasons</w:t>
      </w:r>
      <w:r>
        <w:t>’ section in this document.</w:t>
      </w:r>
    </w:p>
    <w:p w14:paraId="58B157D3" w14:textId="7121A811" w:rsidR="00AA2693" w:rsidRDefault="00AA2693" w:rsidP="005B6382">
      <w:pPr>
        <w:tabs>
          <w:tab w:val="right" w:pos="1701"/>
        </w:tabs>
      </w:pPr>
      <w:r>
        <w:t xml:space="preserve">For </w:t>
      </w:r>
      <w:r w:rsidRPr="005B6382">
        <w:rPr>
          <w:rFonts w:asciiTheme="minorHAnsi" w:hAnsiTheme="minorHAnsi" w:cstheme="minorHAnsi"/>
          <w:szCs w:val="22"/>
        </w:rPr>
        <w:t>more</w:t>
      </w:r>
      <w:r>
        <w:t xml:space="preserve"> </w:t>
      </w:r>
      <w:r w:rsidRPr="005B6382">
        <w:rPr>
          <w:rFonts w:cstheme="minorHAnsi"/>
        </w:rPr>
        <w:t>information</w:t>
      </w:r>
      <w:r>
        <w:t xml:space="preserve"> on </w:t>
      </w:r>
      <w:r w:rsidRPr="00A7509D">
        <w:t>Reconnection Requirement</w:t>
      </w:r>
      <w:r>
        <w:t>s, see the ‘</w:t>
      </w:r>
      <w:r w:rsidRPr="00AA2693">
        <w:t>Reconnection Requirements</w:t>
      </w:r>
      <w:r>
        <w:t>’ section in this document.</w:t>
      </w:r>
    </w:p>
    <w:p w14:paraId="26832002" w14:textId="1B40D9C4" w:rsidR="00AA2693" w:rsidRDefault="00AA2693" w:rsidP="005B6382">
      <w:pPr>
        <w:pStyle w:val="DeedReferences"/>
      </w:pPr>
      <w:r w:rsidRPr="00BD41DE">
        <w:t>(</w:t>
      </w:r>
      <w:r>
        <w:t xml:space="preserve">Grant Agreement </w:t>
      </w:r>
      <w:r w:rsidR="005C62B3">
        <w:t xml:space="preserve">references: </w:t>
      </w:r>
      <w:r>
        <w:t>clause 111)</w:t>
      </w:r>
    </w:p>
    <w:p w14:paraId="4913F48B" w14:textId="77777777" w:rsidR="00AA2693" w:rsidRPr="00AA2693" w:rsidRDefault="00AA2693" w:rsidP="00AA2693">
      <w:pPr>
        <w:spacing w:before="240"/>
        <w:rPr>
          <w:sz w:val="24"/>
          <w:u w:val="single"/>
        </w:rPr>
      </w:pPr>
      <w:r w:rsidRPr="00973A61">
        <w:rPr>
          <w:sz w:val="24"/>
          <w:u w:val="single"/>
        </w:rPr>
        <w:t>Contact attempt not required</w:t>
      </w:r>
    </w:p>
    <w:p w14:paraId="1D995EED" w14:textId="4D154858" w:rsidR="00AA2693" w:rsidRDefault="00AA2693" w:rsidP="00AA2693">
      <w:pPr>
        <w:tabs>
          <w:tab w:val="right" w:pos="1701"/>
        </w:tabs>
      </w:pPr>
      <w:r>
        <w:t xml:space="preserve">The </w:t>
      </w:r>
      <w:r w:rsidRPr="005B6382">
        <w:rPr>
          <w:rFonts w:asciiTheme="minorHAnsi" w:hAnsiTheme="minorHAnsi" w:cstheme="minorHAnsi"/>
          <w:szCs w:val="22"/>
        </w:rPr>
        <w:t>Provider</w:t>
      </w:r>
      <w:r>
        <w:t xml:space="preserve"> is not required to contact the Participant if </w:t>
      </w:r>
      <w:r w:rsidR="006E4B69">
        <w:t xml:space="preserve">a </w:t>
      </w:r>
      <w:r w:rsidRPr="00A7509D">
        <w:t xml:space="preserve">Mutual Obligation Failure has </w:t>
      </w:r>
      <w:r w:rsidRPr="00AA2693">
        <w:rPr>
          <w:rFonts w:asciiTheme="minorHAnsi" w:hAnsiTheme="minorHAnsi" w:cstheme="minorHAnsi"/>
          <w:szCs w:val="22"/>
        </w:rPr>
        <w:t>occurred</w:t>
      </w:r>
      <w:r w:rsidRPr="00A7509D">
        <w:t xml:space="preserve"> because</w:t>
      </w:r>
      <w:r w:rsidDel="001218AD">
        <w:t xml:space="preserve"> </w:t>
      </w:r>
      <w:r>
        <w:t>the Participant:</w:t>
      </w:r>
    </w:p>
    <w:p w14:paraId="1FDB6931" w14:textId="21EEF253" w:rsidR="00AA2693" w:rsidRDefault="00AA2693" w:rsidP="005B6382">
      <w:pPr>
        <w:pStyle w:val="guidelinetext"/>
        <w:numPr>
          <w:ilvl w:val="0"/>
          <w:numId w:val="9"/>
        </w:numPr>
        <w:spacing w:before="60" w:line="240" w:lineRule="auto"/>
        <w:ind w:left="714" w:hanging="357"/>
      </w:pPr>
      <w:r>
        <w:t xml:space="preserve">failed to </w:t>
      </w:r>
      <w:r w:rsidRPr="007C45B4">
        <w:t>undertake adequate Job Searches</w:t>
      </w:r>
      <w:r>
        <w:t xml:space="preserve">, or </w:t>
      </w:r>
    </w:p>
    <w:p w14:paraId="3F5F2E07" w14:textId="66D31485" w:rsidR="00AA2693" w:rsidRDefault="00AA2693" w:rsidP="005B6382">
      <w:pPr>
        <w:pStyle w:val="guidelinetext"/>
        <w:numPr>
          <w:ilvl w:val="0"/>
          <w:numId w:val="9"/>
        </w:numPr>
        <w:spacing w:before="60" w:line="240" w:lineRule="auto"/>
        <w:ind w:left="714" w:hanging="357"/>
      </w:pPr>
      <w:r>
        <w:t>failed</w:t>
      </w:r>
      <w:r w:rsidRPr="00A7509D">
        <w:t xml:space="preserve"> to </w:t>
      </w:r>
      <w:proofErr w:type="gramStart"/>
      <w:r w:rsidRPr="00A7509D">
        <w:t>enter into</w:t>
      </w:r>
      <w:proofErr w:type="gramEnd"/>
      <w:r w:rsidRPr="00A7509D">
        <w:t xml:space="preserve"> a</w:t>
      </w:r>
      <w:r w:rsidDel="001218AD">
        <w:t xml:space="preserve"> </w:t>
      </w:r>
      <w:r>
        <w:t>Job Plan.</w:t>
      </w:r>
    </w:p>
    <w:p w14:paraId="2BF0872C" w14:textId="015D9D8D" w:rsidR="00C8271D" w:rsidRDefault="00AA2693" w:rsidP="00AA2693">
      <w:pPr>
        <w:tabs>
          <w:tab w:val="right" w:pos="1701"/>
        </w:tabs>
      </w:pPr>
      <w:r w:rsidRPr="004A49F4">
        <w:t xml:space="preserve">In these </w:t>
      </w:r>
      <w:r w:rsidRPr="005B6382">
        <w:rPr>
          <w:rFonts w:asciiTheme="minorHAnsi" w:hAnsiTheme="minorHAnsi" w:cstheme="minorHAnsi"/>
          <w:szCs w:val="22"/>
        </w:rPr>
        <w:t>instances</w:t>
      </w:r>
      <w:r w:rsidRPr="004A49F4">
        <w:t xml:space="preserve">, the Provider should wait for the </w:t>
      </w:r>
      <w:r>
        <w:t>Participant</w:t>
      </w:r>
      <w:r w:rsidRPr="004A49F4">
        <w:t xml:space="preserve"> to make contact.</w:t>
      </w:r>
      <w:r>
        <w:t xml:space="preserve"> Once the Participant has made </w:t>
      </w:r>
      <w:r w:rsidR="00E273F1">
        <w:t>contact,</w:t>
      </w:r>
      <w:r>
        <w:t xml:space="preserve"> the Provider must</w:t>
      </w:r>
      <w:r w:rsidR="00C8271D">
        <w:t>:</w:t>
      </w:r>
      <w:r>
        <w:t xml:space="preserve"> </w:t>
      </w:r>
    </w:p>
    <w:p w14:paraId="20640DE0" w14:textId="798A2CEA" w:rsidR="00C8271D" w:rsidRDefault="00AA2693" w:rsidP="00C8271D">
      <w:pPr>
        <w:pStyle w:val="guidelinetext"/>
        <w:numPr>
          <w:ilvl w:val="0"/>
          <w:numId w:val="9"/>
        </w:numPr>
        <w:spacing w:before="60" w:line="240" w:lineRule="auto"/>
        <w:ind w:left="714" w:hanging="357"/>
      </w:pPr>
      <w:r>
        <w:t>schedule a date and time for a Reconnection Requirement to occur</w:t>
      </w:r>
      <w:r w:rsidR="009C0A44">
        <w:t xml:space="preserve"> </w:t>
      </w:r>
      <w:r w:rsidR="00C8271D" w:rsidRPr="007C45B4">
        <w:t xml:space="preserve">(if the Participant does not have a Valid Reason for the relevant Mutual Obligation Failure) in accordance with the </w:t>
      </w:r>
      <w:hyperlink w:anchor="_Re-engagement_requirements" w:history="1">
        <w:r w:rsidR="00C8271D" w:rsidRPr="00C8271D">
          <w:t>Reconnection Requirements</w:t>
        </w:r>
      </w:hyperlink>
      <w:r w:rsidR="00C8271D" w:rsidRPr="007C45B4">
        <w:t xml:space="preserve"> section in this Guideline</w:t>
      </w:r>
    </w:p>
    <w:p w14:paraId="19A4F950" w14:textId="650C3D00" w:rsidR="00CB573D" w:rsidRDefault="00C8271D" w:rsidP="00496ED7">
      <w:pPr>
        <w:pStyle w:val="guidelinetext"/>
        <w:numPr>
          <w:ilvl w:val="0"/>
          <w:numId w:val="9"/>
        </w:numPr>
        <w:spacing w:before="60" w:line="240" w:lineRule="auto"/>
        <w:ind w:left="714" w:hanging="357"/>
      </w:pPr>
      <w:r>
        <w:t>otherwise comply with clause 111.2 of the DES Grant Agreement.</w:t>
      </w:r>
    </w:p>
    <w:p w14:paraId="2C543EE8" w14:textId="5882EA8D" w:rsidR="00AA2693" w:rsidRDefault="00AA2693" w:rsidP="005B6382">
      <w:pPr>
        <w:pStyle w:val="DeedReferences"/>
      </w:pPr>
      <w:r w:rsidRPr="00BD41DE">
        <w:t>(</w:t>
      </w:r>
      <w:r>
        <w:t xml:space="preserve">Grant Agreement </w:t>
      </w:r>
      <w:r w:rsidR="005C62B3">
        <w:t xml:space="preserve">references: </w:t>
      </w:r>
      <w:r>
        <w:t>clause 111.2)</w:t>
      </w:r>
    </w:p>
    <w:p w14:paraId="36FE0C98" w14:textId="77777777" w:rsidR="00AA2693" w:rsidRPr="00C8271D" w:rsidRDefault="00AA2693" w:rsidP="00C8271D">
      <w:pPr>
        <w:spacing w:before="240"/>
        <w:rPr>
          <w:sz w:val="24"/>
          <w:u w:val="single"/>
        </w:rPr>
      </w:pPr>
      <w:r w:rsidRPr="00973A61">
        <w:rPr>
          <w:sz w:val="24"/>
          <w:u w:val="single"/>
        </w:rPr>
        <w:t>Contact attempt not successful</w:t>
      </w:r>
    </w:p>
    <w:p w14:paraId="4B35F38B" w14:textId="79089CCA" w:rsidR="00AA2693" w:rsidRDefault="00AA2693" w:rsidP="005B6382">
      <w:pPr>
        <w:tabs>
          <w:tab w:val="right" w:pos="1701"/>
        </w:tabs>
      </w:pPr>
      <w:r>
        <w:t xml:space="preserve">As discussed above, in most cases, </w:t>
      </w:r>
      <w:r w:rsidRPr="00A7509D">
        <w:t xml:space="preserve">the Provider </w:t>
      </w:r>
      <w:r>
        <w:t xml:space="preserve">has an obligation to </w:t>
      </w:r>
      <w:r w:rsidRPr="00A7509D">
        <w:t xml:space="preserve">attempt to contact the </w:t>
      </w:r>
      <w:r>
        <w:t>Participant</w:t>
      </w:r>
      <w:r w:rsidRPr="00A7509D">
        <w:t xml:space="preserve"> on the same Business Day on which the Provider becomes aware of </w:t>
      </w:r>
      <w:r>
        <w:t>an</w:t>
      </w:r>
      <w:r w:rsidRPr="00A7509D">
        <w:t xml:space="preserve"> apparent Mutual Obligation Failure</w:t>
      </w:r>
      <w:r>
        <w:t>. When the Provider attempts to contact the Participant in accordance with that obligation and the attempt is not successful, the Provider must:</w:t>
      </w:r>
    </w:p>
    <w:p w14:paraId="6FCCEA8B" w14:textId="3D24A62F" w:rsidR="00AA2693" w:rsidRDefault="00C8271D" w:rsidP="00C8271D">
      <w:pPr>
        <w:pStyle w:val="guidelinetext"/>
        <w:numPr>
          <w:ilvl w:val="0"/>
          <w:numId w:val="9"/>
        </w:numPr>
        <w:spacing w:before="60" w:line="240" w:lineRule="auto"/>
        <w:ind w:left="714" w:hanging="357"/>
      </w:pPr>
      <w:r w:rsidRPr="007C45B4">
        <w:t xml:space="preserve">record that they are not in contact with the Participant and </w:t>
      </w:r>
      <w:r w:rsidR="00AA2693">
        <w:t>select ‘Did Not Attend—Invalid’ in relation to the relevant Mutual Obligation Requirement in the Participant’s Electronic Calendar. Doing so will suspend the Participant’s Income Support Payment and will:</w:t>
      </w:r>
    </w:p>
    <w:p w14:paraId="234EC88A" w14:textId="316CF8A4" w:rsidR="00AA2693" w:rsidRDefault="00AA2693" w:rsidP="00AA2693">
      <w:pPr>
        <w:pStyle w:val="guidelinebullet"/>
        <w:numPr>
          <w:ilvl w:val="1"/>
          <w:numId w:val="6"/>
        </w:numPr>
        <w:ind w:left="1134"/>
      </w:pPr>
      <w:r>
        <w:t>create a pending Demerit on the Participant’s record if the Participant is in the Warning Zone</w:t>
      </w:r>
      <w:r w:rsidR="00C8271D">
        <w:t>,</w:t>
      </w:r>
      <w:r>
        <w:t xml:space="preserve"> or</w:t>
      </w:r>
    </w:p>
    <w:p w14:paraId="20701B4B" w14:textId="3C8B881D" w:rsidR="00AA2693" w:rsidRDefault="00AA2693" w:rsidP="00AA2693">
      <w:pPr>
        <w:pStyle w:val="guidelinebullet"/>
        <w:numPr>
          <w:ilvl w:val="1"/>
          <w:numId w:val="6"/>
        </w:numPr>
        <w:ind w:left="1134"/>
      </w:pPr>
      <w:r>
        <w:t>create a pending Non-Compliance Report on the Participant’s record if the Participant is in the Penalty Zone</w:t>
      </w:r>
      <w:r w:rsidR="00C8271D">
        <w:t>,</w:t>
      </w:r>
      <w:r>
        <w:t xml:space="preserve"> and</w:t>
      </w:r>
    </w:p>
    <w:p w14:paraId="07D3D8D4" w14:textId="77777777" w:rsidR="00AA2693" w:rsidRDefault="00AA2693" w:rsidP="00C8271D">
      <w:pPr>
        <w:pStyle w:val="guidelinetext"/>
        <w:numPr>
          <w:ilvl w:val="0"/>
          <w:numId w:val="9"/>
        </w:numPr>
        <w:spacing w:before="60" w:line="240" w:lineRule="auto"/>
        <w:ind w:left="714" w:hanging="357"/>
      </w:pPr>
      <w:r w:rsidRPr="002116CD">
        <w:t>comply with clause 11</w:t>
      </w:r>
      <w:r>
        <w:t>1</w:t>
      </w:r>
      <w:r w:rsidRPr="002116CD">
        <w:t xml:space="preserve">.5 of the </w:t>
      </w:r>
      <w:r>
        <w:t>DES Grant Agreement</w:t>
      </w:r>
      <w:r w:rsidRPr="002116CD">
        <w:t>. This means that the Provider must set Reconnection Requirement, among other things.</w:t>
      </w:r>
    </w:p>
    <w:p w14:paraId="6531E28E" w14:textId="4FF1A6E3" w:rsidR="00AA2693" w:rsidRDefault="00AA2693" w:rsidP="005B6382">
      <w:pPr>
        <w:pStyle w:val="DeedReferences"/>
      </w:pPr>
      <w:r w:rsidRPr="00BD41DE">
        <w:t>(</w:t>
      </w:r>
      <w:r>
        <w:t xml:space="preserve">Grant Agreement </w:t>
      </w:r>
      <w:r w:rsidR="005C62B3">
        <w:t xml:space="preserve">references: </w:t>
      </w:r>
      <w:r>
        <w:t>clause 111.5)</w:t>
      </w:r>
    </w:p>
    <w:p w14:paraId="3AA8E4E7" w14:textId="23519819" w:rsidR="00C8271D" w:rsidRPr="007C45B4" w:rsidRDefault="00C8271D" w:rsidP="005B6382">
      <w:pPr>
        <w:tabs>
          <w:tab w:val="right" w:pos="1701"/>
        </w:tabs>
      </w:pPr>
      <w:bookmarkStart w:id="53" w:name="_Hlk54346877"/>
      <w:r>
        <w:t xml:space="preserve">If the Participant is in the Green Zone or the Warning Zone, the Department’s IT Systems will automatically </w:t>
      </w:r>
      <w:r w:rsidRPr="67EE9B0E">
        <w:rPr>
          <w:rFonts w:asciiTheme="minorHAnsi" w:hAnsiTheme="minorHAnsi" w:cstheme="minorBidi"/>
        </w:rPr>
        <w:t>suspend</w:t>
      </w:r>
      <w:r>
        <w:t xml:space="preserve"> the Participant’s Income Support Payment if, within </w:t>
      </w:r>
      <w:r w:rsidR="0E0F9F66">
        <w:t xml:space="preserve">five </w:t>
      </w:r>
      <w:r>
        <w:t>Business Days, the Participant does not make contact or does not meet a Reconnection Requirement (where the Participant does not have a Valid Reason).</w:t>
      </w:r>
    </w:p>
    <w:p w14:paraId="7C623DF8" w14:textId="77777777" w:rsidR="00C8271D" w:rsidRPr="007C45B4" w:rsidRDefault="00C8271D" w:rsidP="005B6382">
      <w:pPr>
        <w:tabs>
          <w:tab w:val="right" w:pos="1701"/>
        </w:tabs>
      </w:pPr>
      <w:r w:rsidRPr="007C45B4">
        <w:t xml:space="preserve">If the </w:t>
      </w:r>
      <w:r w:rsidRPr="005B6382">
        <w:rPr>
          <w:rFonts w:asciiTheme="minorHAnsi" w:hAnsiTheme="minorHAnsi" w:cstheme="minorHAnsi"/>
          <w:szCs w:val="22"/>
        </w:rPr>
        <w:t>Participant</w:t>
      </w:r>
      <w:r w:rsidRPr="007C45B4">
        <w:t xml:space="preserve"> is in the Penalty Zone, Income Support Payment suspension will occur when the Provider has recorded ‘Did Not Attend—Invalid’ in the Department’s IT Systems.</w:t>
      </w:r>
    </w:p>
    <w:bookmarkEnd w:id="53"/>
    <w:p w14:paraId="5FF03AF1" w14:textId="77777777" w:rsidR="00C8271D" w:rsidRPr="007C45B4" w:rsidRDefault="00C8271D" w:rsidP="005B6382">
      <w:pPr>
        <w:tabs>
          <w:tab w:val="right" w:pos="1701"/>
        </w:tabs>
      </w:pPr>
      <w:r w:rsidRPr="007C45B4">
        <w:t xml:space="preserve">If the </w:t>
      </w:r>
      <w:r w:rsidRPr="005B6382">
        <w:rPr>
          <w:rFonts w:asciiTheme="minorHAnsi" w:hAnsiTheme="minorHAnsi" w:cstheme="minorHAnsi"/>
          <w:szCs w:val="22"/>
        </w:rPr>
        <w:t>Participant</w:t>
      </w:r>
      <w:r w:rsidRPr="007C45B4">
        <w:t xml:space="preserve"> later contacts the Provider to discuss the Mutual Obligation Failure, the Provider must:</w:t>
      </w:r>
    </w:p>
    <w:p w14:paraId="1E122677" w14:textId="77777777" w:rsidR="00C8271D" w:rsidRPr="001759CA" w:rsidRDefault="00C8271D" w:rsidP="005B6382">
      <w:pPr>
        <w:pStyle w:val="guidelinetext"/>
        <w:numPr>
          <w:ilvl w:val="0"/>
          <w:numId w:val="9"/>
        </w:numPr>
        <w:spacing w:before="60" w:line="240" w:lineRule="auto"/>
        <w:ind w:left="714" w:hanging="357"/>
      </w:pPr>
      <w:r w:rsidRPr="007C45B4">
        <w:t xml:space="preserve">schedule a date and time for a Reconnection Requirement to occur (if the Participant does not have a Valid Reason for the relevant Mutual Obligation Failure) </w:t>
      </w:r>
      <w:r w:rsidRPr="001759CA">
        <w:t xml:space="preserve">in accordance with the </w:t>
      </w:r>
      <w:hyperlink w:anchor="_Re-engagement_requirements" w:history="1">
        <w:r w:rsidRPr="001759CA">
          <w:t>Reconnection Requirements</w:t>
        </w:r>
      </w:hyperlink>
      <w:r w:rsidRPr="001759CA">
        <w:t xml:space="preserve"> section in this Guideline; and</w:t>
      </w:r>
    </w:p>
    <w:p w14:paraId="395A60D2" w14:textId="4136D8CE" w:rsidR="00C8271D" w:rsidRDefault="00C8271D" w:rsidP="005B6382">
      <w:pPr>
        <w:pStyle w:val="guidelinetext"/>
        <w:numPr>
          <w:ilvl w:val="0"/>
          <w:numId w:val="9"/>
        </w:numPr>
        <w:spacing w:before="60" w:line="240" w:lineRule="auto"/>
        <w:ind w:left="714" w:hanging="357"/>
      </w:pPr>
      <w:r w:rsidRPr="001759CA">
        <w:t xml:space="preserve">otherwise comply with </w:t>
      </w:r>
      <w:r>
        <w:t>DES Grant Agreement</w:t>
      </w:r>
      <w:r w:rsidR="001A1F5C">
        <w:t>, as relevant.</w:t>
      </w:r>
    </w:p>
    <w:p w14:paraId="5B413DF7" w14:textId="3BF5CE39" w:rsidR="00C8271D" w:rsidRDefault="00C8271D" w:rsidP="005B6382">
      <w:pPr>
        <w:tabs>
          <w:tab w:val="right" w:pos="1701"/>
        </w:tabs>
      </w:pPr>
      <w:bookmarkStart w:id="54" w:name="_Hlk66784914"/>
      <w:r w:rsidRPr="009E3493">
        <w:t xml:space="preserve">Where the </w:t>
      </w:r>
      <w:r w:rsidRPr="005B6382">
        <w:rPr>
          <w:rFonts w:asciiTheme="minorHAnsi" w:hAnsiTheme="minorHAnsi" w:cstheme="minorHAnsi"/>
          <w:szCs w:val="22"/>
        </w:rPr>
        <w:t>TCF</w:t>
      </w:r>
      <w:r w:rsidRPr="009E3493">
        <w:t xml:space="preserve"> cannot be </w:t>
      </w:r>
      <w:r>
        <w:t>applied</w:t>
      </w:r>
      <w:r w:rsidRPr="009E3493">
        <w:t xml:space="preserve">, but </w:t>
      </w:r>
      <w:r>
        <w:t>the P</w:t>
      </w:r>
      <w:r w:rsidRPr="009E3493">
        <w:t>rovider ha</w:t>
      </w:r>
      <w:r>
        <w:t>s</w:t>
      </w:r>
      <w:r w:rsidRPr="009E3493">
        <w:t xml:space="preserve"> determined that the </w:t>
      </w:r>
      <w:r>
        <w:t>Participant</w:t>
      </w:r>
      <w:r w:rsidRPr="009E3493">
        <w:t xml:space="preserve"> has been non-compliant, </w:t>
      </w:r>
      <w:r>
        <w:t xml:space="preserve">follow the TCF workflow at </w:t>
      </w:r>
      <w:r w:rsidRPr="005B6382">
        <w:t>Attachment D.</w:t>
      </w:r>
    </w:p>
    <w:bookmarkEnd w:id="54"/>
    <w:p w14:paraId="70F31939" w14:textId="0FE6FA9C" w:rsidR="00C8271D" w:rsidRDefault="00C8271D" w:rsidP="005B6382">
      <w:pPr>
        <w:pStyle w:val="DeedReferences"/>
      </w:pPr>
      <w:r w:rsidRPr="001759CA">
        <w:t>(</w:t>
      </w:r>
      <w:r w:rsidR="005C62B3">
        <w:t>Grant Agreement</w:t>
      </w:r>
      <w:r w:rsidRPr="001759CA">
        <w:t xml:space="preserve"> references: clause </w:t>
      </w:r>
      <w:r w:rsidR="00770C98">
        <w:t>111.6</w:t>
      </w:r>
      <w:r w:rsidRPr="001759CA">
        <w:t>)</w:t>
      </w:r>
    </w:p>
    <w:p w14:paraId="1F4C1337" w14:textId="77777777" w:rsidR="00C8271D" w:rsidRPr="007C45B4" w:rsidRDefault="00C8271D" w:rsidP="005B6382">
      <w:pPr>
        <w:pStyle w:val="guidelinetext"/>
        <w:spacing w:line="240" w:lineRule="auto"/>
        <w:ind w:left="0"/>
      </w:pPr>
    </w:p>
    <w:p w14:paraId="319D12CF" w14:textId="77777777" w:rsidR="00C8271D" w:rsidRPr="007C45B4" w:rsidRDefault="00C8271D" w:rsidP="005B6382">
      <w:pPr>
        <w:pStyle w:val="Heading3"/>
        <w:spacing w:before="0" w:after="120"/>
      </w:pPr>
      <w:bookmarkStart w:id="55" w:name="_Toc57631503"/>
      <w:bookmarkStart w:id="56" w:name="_Toc70943987"/>
      <w:bookmarkStart w:id="57" w:name="_Toc177568223"/>
      <w:r>
        <w:t>When a Participant commits a Mutual Obligation Failure</w:t>
      </w:r>
      <w:bookmarkEnd w:id="55"/>
      <w:bookmarkEnd w:id="56"/>
      <w:bookmarkEnd w:id="57"/>
    </w:p>
    <w:p w14:paraId="623391A8" w14:textId="049C30F4" w:rsidR="00C8271D" w:rsidRDefault="00035383" w:rsidP="005B6382">
      <w:pPr>
        <w:tabs>
          <w:tab w:val="right" w:pos="1701"/>
        </w:tabs>
      </w:pPr>
      <w:r>
        <w:t xml:space="preserve">When a </w:t>
      </w:r>
      <w:r w:rsidRPr="005B6382">
        <w:rPr>
          <w:rFonts w:asciiTheme="minorHAnsi" w:hAnsiTheme="minorHAnsi" w:cstheme="minorHAnsi"/>
          <w:szCs w:val="22"/>
        </w:rPr>
        <w:t>Participant</w:t>
      </w:r>
      <w:r>
        <w:t xml:space="preserve"> commits a Mutual Obligation Failure, it is intended that there are a few </w:t>
      </w:r>
      <w:r w:rsidR="00C8271D">
        <w:t>consequences</w:t>
      </w:r>
      <w:r>
        <w:t xml:space="preserve">: </w:t>
      </w:r>
    </w:p>
    <w:p w14:paraId="210FC1AA" w14:textId="77777777" w:rsidR="00C8271D" w:rsidRDefault="00035383" w:rsidP="005B6382">
      <w:pPr>
        <w:pStyle w:val="guidelinetext"/>
        <w:numPr>
          <w:ilvl w:val="0"/>
          <w:numId w:val="9"/>
        </w:numPr>
        <w:spacing w:before="60" w:line="240" w:lineRule="auto"/>
        <w:ind w:left="714" w:hanging="357"/>
      </w:pPr>
      <w:r>
        <w:t>their Income Support Payment is suspended</w:t>
      </w:r>
    </w:p>
    <w:p w14:paraId="51C6AD81" w14:textId="380B0D25" w:rsidR="00C8271D" w:rsidRPr="007C45B4" w:rsidRDefault="00C8271D" w:rsidP="00C8271D">
      <w:pPr>
        <w:pStyle w:val="guidelinebullet"/>
        <w:numPr>
          <w:ilvl w:val="1"/>
          <w:numId w:val="6"/>
        </w:numPr>
        <w:ind w:left="1134"/>
      </w:pPr>
      <w:r>
        <w:t xml:space="preserve">If the Participant is in the Green Zone or the Warning Zone, payment suspension will occur if, within </w:t>
      </w:r>
      <w:r w:rsidR="348DC6B8">
        <w:t xml:space="preserve">five </w:t>
      </w:r>
      <w:r>
        <w:t xml:space="preserve">Business Days of the date of the Mutual Obligation Failure, they do not provide a Valid Reason or meet a Re-connection Requirement. </w:t>
      </w:r>
    </w:p>
    <w:p w14:paraId="4814A02D" w14:textId="770EB5FD" w:rsidR="00C8271D" w:rsidRDefault="00C8271D" w:rsidP="00C8271D">
      <w:pPr>
        <w:pStyle w:val="guidelinebullet"/>
        <w:numPr>
          <w:ilvl w:val="1"/>
          <w:numId w:val="6"/>
        </w:numPr>
        <w:ind w:left="1134"/>
      </w:pPr>
      <w:r w:rsidRPr="007C45B4">
        <w:t>If the Participant is in the Penalty Zone, payment suspension will occur at the time the Provider records that a Mutual Obligation Failure has occurred.</w:t>
      </w:r>
    </w:p>
    <w:p w14:paraId="142770EC" w14:textId="0A689157" w:rsidR="00C8271D" w:rsidRDefault="00035383" w:rsidP="00C8271D">
      <w:pPr>
        <w:pStyle w:val="guidelinetext"/>
        <w:numPr>
          <w:ilvl w:val="0"/>
          <w:numId w:val="9"/>
        </w:numPr>
        <w:spacing w:before="60" w:line="240" w:lineRule="auto"/>
        <w:ind w:left="714" w:hanging="357"/>
      </w:pPr>
      <w:r>
        <w:t>they also accrue a Demerit if they do not have a Valid Reason.</w:t>
      </w:r>
    </w:p>
    <w:p w14:paraId="4C5A8593" w14:textId="689C75C5" w:rsidR="00035383" w:rsidRDefault="00035383" w:rsidP="005B6382">
      <w:pPr>
        <w:tabs>
          <w:tab w:val="right" w:pos="1701"/>
        </w:tabs>
      </w:pPr>
      <w:r w:rsidRPr="00F2535F">
        <w:t xml:space="preserve">See </w:t>
      </w:r>
      <w:r w:rsidR="00C476FC" w:rsidRPr="00C8271D">
        <w:t>Attachment A</w:t>
      </w:r>
      <w:r>
        <w:t xml:space="preserve"> for </w:t>
      </w:r>
      <w:r w:rsidRPr="005B6382">
        <w:rPr>
          <w:rFonts w:asciiTheme="minorHAnsi" w:hAnsiTheme="minorHAnsi" w:cstheme="minorHAnsi"/>
          <w:szCs w:val="22"/>
        </w:rPr>
        <w:t>information</w:t>
      </w:r>
      <w:r>
        <w:t xml:space="preserve"> on the circumstances in which:</w:t>
      </w:r>
    </w:p>
    <w:p w14:paraId="47C32641" w14:textId="555EE520" w:rsidR="00035383" w:rsidRDefault="00035383" w:rsidP="00C476FC">
      <w:pPr>
        <w:pStyle w:val="guidelinetext"/>
        <w:numPr>
          <w:ilvl w:val="0"/>
          <w:numId w:val="9"/>
        </w:numPr>
        <w:spacing w:before="60" w:line="240" w:lineRule="auto"/>
        <w:ind w:left="714" w:hanging="357"/>
      </w:pPr>
      <w:r>
        <w:t>a Participant’s Income Support Payment is suspended</w:t>
      </w:r>
    </w:p>
    <w:p w14:paraId="249F5AE4" w14:textId="3488DF4E" w:rsidR="00035383" w:rsidRDefault="00035383" w:rsidP="00C476FC">
      <w:pPr>
        <w:pStyle w:val="guidelinetext"/>
        <w:numPr>
          <w:ilvl w:val="0"/>
          <w:numId w:val="9"/>
        </w:numPr>
        <w:spacing w:before="60" w:line="240" w:lineRule="auto"/>
        <w:ind w:left="714" w:hanging="357"/>
      </w:pPr>
      <w:r>
        <w:t>the suspension of a Participant’s Income Support Payment is lifted</w:t>
      </w:r>
    </w:p>
    <w:p w14:paraId="42DD9DBA" w14:textId="77777777" w:rsidR="00FF698E" w:rsidRDefault="00035383" w:rsidP="00C476FC">
      <w:pPr>
        <w:pStyle w:val="guidelinetext"/>
        <w:numPr>
          <w:ilvl w:val="0"/>
          <w:numId w:val="9"/>
        </w:numPr>
        <w:spacing w:before="60" w:line="240" w:lineRule="auto"/>
        <w:ind w:left="714" w:hanging="357"/>
      </w:pPr>
      <w:r>
        <w:t>a Participant will accrue a Demerit.</w:t>
      </w:r>
    </w:p>
    <w:p w14:paraId="20E8C5EC" w14:textId="68B236C1" w:rsidR="00FF698E" w:rsidRPr="00FF698E" w:rsidRDefault="7A33A47B" w:rsidP="67EE9B0E">
      <w:pPr>
        <w:spacing w:before="240"/>
        <w:rPr>
          <w:sz w:val="24"/>
          <w:u w:val="single"/>
        </w:rPr>
      </w:pPr>
      <w:bookmarkStart w:id="58" w:name="_Toc57631504"/>
      <w:bookmarkStart w:id="59" w:name="_Toc70943988"/>
      <w:r w:rsidRPr="67EE9B0E">
        <w:rPr>
          <w:sz w:val="24"/>
          <w:u w:val="single"/>
        </w:rPr>
        <w:t xml:space="preserve">Five </w:t>
      </w:r>
      <w:r w:rsidR="00FF698E" w:rsidRPr="67EE9B0E">
        <w:rPr>
          <w:sz w:val="24"/>
          <w:u w:val="single"/>
        </w:rPr>
        <w:t xml:space="preserve">Business Day </w:t>
      </w:r>
      <w:r w:rsidR="006E4B69">
        <w:rPr>
          <w:sz w:val="24"/>
          <w:u w:val="single"/>
        </w:rPr>
        <w:t xml:space="preserve">Resolution Time: </w:t>
      </w:r>
      <w:r w:rsidR="00FF698E" w:rsidRPr="67EE9B0E">
        <w:rPr>
          <w:sz w:val="24"/>
          <w:u w:val="single"/>
        </w:rPr>
        <w:t xml:space="preserve"> payment suspension</w:t>
      </w:r>
      <w:r w:rsidR="006E4B69">
        <w:rPr>
          <w:sz w:val="24"/>
          <w:u w:val="single"/>
        </w:rPr>
        <w:t>s in the</w:t>
      </w:r>
      <w:r w:rsidR="00FF698E" w:rsidRPr="67EE9B0E">
        <w:rPr>
          <w:sz w:val="24"/>
          <w:u w:val="single"/>
        </w:rPr>
        <w:t xml:space="preserve"> Green and Warning Zones</w:t>
      </w:r>
      <w:bookmarkEnd w:id="58"/>
      <w:bookmarkEnd w:id="59"/>
    </w:p>
    <w:p w14:paraId="4E150196" w14:textId="4CA44A96" w:rsidR="006E4B69" w:rsidRDefault="00FF698E" w:rsidP="67EE9B0E">
      <w:pPr>
        <w:tabs>
          <w:tab w:val="right" w:pos="1701"/>
        </w:tabs>
        <w:rPr>
          <w:rFonts w:asciiTheme="minorHAnsi" w:hAnsiTheme="minorHAnsi" w:cstheme="minorBidi"/>
        </w:rPr>
      </w:pPr>
      <w:r>
        <w:t xml:space="preserve">The purpose of </w:t>
      </w:r>
      <w:r w:rsidR="006E4B69">
        <w:t>Resolution Time</w:t>
      </w:r>
      <w:r>
        <w:t xml:space="preserve"> is to allow Participants </w:t>
      </w:r>
      <w:r w:rsidR="256DC73D">
        <w:t xml:space="preserve">five </w:t>
      </w:r>
      <w:r w:rsidRPr="67EE9B0E">
        <w:rPr>
          <w:rFonts w:asciiTheme="minorHAnsi" w:hAnsiTheme="minorHAnsi" w:cstheme="minorBidi"/>
        </w:rPr>
        <w:t xml:space="preserve">Business Days to contact their Provider, and to discuss and—when possible—resolve the Mutual Obligation Failure before a Participant’s payment is impacted. </w:t>
      </w:r>
    </w:p>
    <w:p w14:paraId="49B4DE3F" w14:textId="198F3016" w:rsidR="00FF698E" w:rsidRPr="00FF698E" w:rsidRDefault="00FF698E" w:rsidP="67EE9B0E">
      <w:pPr>
        <w:tabs>
          <w:tab w:val="right" w:pos="1701"/>
        </w:tabs>
        <w:rPr>
          <w:rFonts w:asciiTheme="minorHAnsi" w:hAnsiTheme="minorHAnsi" w:cstheme="minorBidi"/>
        </w:rPr>
      </w:pPr>
      <w:r w:rsidRPr="67EE9B0E">
        <w:rPr>
          <w:rFonts w:asciiTheme="minorHAnsi" w:hAnsiTheme="minorHAnsi" w:cstheme="minorBidi"/>
        </w:rPr>
        <w:t xml:space="preserve">In the Green Zone and the Warning Zone, a Participant’s Income Support Payment is </w:t>
      </w:r>
      <w:r w:rsidR="006E4B69">
        <w:rPr>
          <w:rFonts w:asciiTheme="minorHAnsi" w:hAnsiTheme="minorHAnsi" w:cstheme="minorBidi"/>
        </w:rPr>
        <w:t>may be</w:t>
      </w:r>
      <w:r w:rsidR="006E4B69" w:rsidRPr="67EE9B0E">
        <w:rPr>
          <w:rFonts w:asciiTheme="minorHAnsi" w:hAnsiTheme="minorHAnsi" w:cstheme="minorBidi"/>
        </w:rPr>
        <w:t xml:space="preserve"> </w:t>
      </w:r>
      <w:r w:rsidRPr="67EE9B0E">
        <w:rPr>
          <w:rFonts w:asciiTheme="minorHAnsi" w:hAnsiTheme="minorHAnsi" w:cstheme="minorBidi"/>
        </w:rPr>
        <w:t xml:space="preserve">suspended </w:t>
      </w:r>
      <w:r w:rsidR="0CF26094" w:rsidRPr="67EE9B0E">
        <w:rPr>
          <w:rFonts w:asciiTheme="minorHAnsi" w:hAnsiTheme="minorHAnsi" w:cstheme="minorBidi"/>
        </w:rPr>
        <w:t xml:space="preserve">five </w:t>
      </w:r>
      <w:r w:rsidRPr="67EE9B0E">
        <w:rPr>
          <w:rFonts w:asciiTheme="minorHAnsi" w:hAnsiTheme="minorHAnsi" w:cstheme="minorBidi"/>
        </w:rPr>
        <w:t xml:space="preserve">Business Days </w:t>
      </w:r>
      <w:r w:rsidR="006E4B69">
        <w:rPr>
          <w:rFonts w:asciiTheme="minorHAnsi" w:hAnsiTheme="minorHAnsi" w:cstheme="minorBidi"/>
        </w:rPr>
        <w:t>after</w:t>
      </w:r>
      <w:r w:rsidR="006E4B69" w:rsidRPr="67EE9B0E">
        <w:rPr>
          <w:rFonts w:asciiTheme="minorHAnsi" w:hAnsiTheme="minorHAnsi" w:cstheme="minorBidi"/>
        </w:rPr>
        <w:t xml:space="preserve"> </w:t>
      </w:r>
      <w:r w:rsidRPr="67EE9B0E">
        <w:rPr>
          <w:rFonts w:asciiTheme="minorHAnsi" w:hAnsiTheme="minorHAnsi" w:cstheme="minorBidi"/>
        </w:rPr>
        <w:t>the day a Mutual Obligation Failure is recorded in the Department’s IT Systems.</w:t>
      </w:r>
    </w:p>
    <w:p w14:paraId="3ABEE902" w14:textId="6E0BD017" w:rsidR="00FF698E" w:rsidRPr="007C45B4" w:rsidRDefault="00FF698E" w:rsidP="00FF698E">
      <w:pPr>
        <w:tabs>
          <w:tab w:val="right" w:pos="1701"/>
        </w:tabs>
      </w:pPr>
      <w:r w:rsidRPr="67EE9B0E">
        <w:rPr>
          <w:rFonts w:asciiTheme="minorHAnsi" w:hAnsiTheme="minorHAnsi" w:cstheme="minorBidi"/>
        </w:rPr>
        <w:t>Suspension of a Participant’s</w:t>
      </w:r>
      <w:r>
        <w:t xml:space="preserve"> Income Support Payment will not occur if, within those </w:t>
      </w:r>
      <w:r w:rsidR="3920EA3C">
        <w:t xml:space="preserve">five </w:t>
      </w:r>
      <w:r>
        <w:t xml:space="preserve">Business Days, the </w:t>
      </w:r>
      <w:r w:rsidRPr="67EE9B0E">
        <w:rPr>
          <w:rFonts w:asciiTheme="minorHAnsi" w:hAnsiTheme="minorHAnsi" w:cstheme="minorBidi"/>
        </w:rPr>
        <w:t>Participant</w:t>
      </w:r>
      <w:r>
        <w:t xml:space="preserve"> contacts the Provider and:</w:t>
      </w:r>
    </w:p>
    <w:p w14:paraId="48FDCE90" w14:textId="77777777" w:rsidR="00FF698E" w:rsidRPr="007C45B4" w:rsidRDefault="00FF698E" w:rsidP="00FF698E">
      <w:pPr>
        <w:pStyle w:val="guidelinetext"/>
        <w:numPr>
          <w:ilvl w:val="0"/>
          <w:numId w:val="9"/>
        </w:numPr>
        <w:spacing w:before="60" w:line="240" w:lineRule="auto"/>
        <w:ind w:left="714" w:hanging="357"/>
      </w:pPr>
      <w:r w:rsidRPr="007C45B4">
        <w:t>the Provider records that the Participant has a Valid Reason, or</w:t>
      </w:r>
    </w:p>
    <w:p w14:paraId="4BEA462D" w14:textId="533B046E" w:rsidR="00FF698E" w:rsidRPr="007C45B4" w:rsidRDefault="00FF698E" w:rsidP="00FF698E">
      <w:pPr>
        <w:pStyle w:val="guidelinetext"/>
        <w:numPr>
          <w:ilvl w:val="0"/>
          <w:numId w:val="9"/>
        </w:numPr>
        <w:spacing w:before="60" w:line="240" w:lineRule="auto"/>
        <w:ind w:left="714" w:hanging="357"/>
      </w:pPr>
      <w:r w:rsidRPr="007C45B4">
        <w:t xml:space="preserve">the Participant meets a Reconnection </w:t>
      </w:r>
      <w:r w:rsidR="006E4B69">
        <w:t xml:space="preserve">Requirement </w:t>
      </w:r>
      <w:bookmarkStart w:id="60" w:name="_Hlk173346314"/>
      <w:r w:rsidR="006E4B69">
        <w:t xml:space="preserve">for </w:t>
      </w:r>
      <w:r w:rsidR="00496ED7">
        <w:t xml:space="preserve">the </w:t>
      </w:r>
      <w:r w:rsidR="006E4B69">
        <w:t>associated Mutual Obligation Failure</w:t>
      </w:r>
      <w:bookmarkEnd w:id="60"/>
      <w:r w:rsidRPr="007C45B4">
        <w:t>.</w:t>
      </w:r>
    </w:p>
    <w:p w14:paraId="7592FA58" w14:textId="0D142385" w:rsidR="00FF698E" w:rsidRDefault="00FF698E" w:rsidP="005B6382">
      <w:pPr>
        <w:tabs>
          <w:tab w:val="right" w:pos="1701"/>
        </w:tabs>
      </w:pPr>
      <w:r w:rsidRPr="007C45B4">
        <w:t xml:space="preserve">See the </w:t>
      </w:r>
      <w:r>
        <w:t>‘</w:t>
      </w:r>
      <w:r w:rsidRPr="005B6382">
        <w:rPr>
          <w:rFonts w:cstheme="minorHAnsi"/>
        </w:rPr>
        <w:t>Reconnection</w:t>
      </w:r>
      <w:r w:rsidRPr="005B6382">
        <w:t xml:space="preserve"> Requirements</w:t>
      </w:r>
      <w:r>
        <w:t>’ and ‘</w:t>
      </w:r>
      <w:r w:rsidRPr="005B6382">
        <w:t>Assessing Valid Reasons</w:t>
      </w:r>
      <w:r>
        <w:t>’ s</w:t>
      </w:r>
      <w:r w:rsidRPr="007C45B4">
        <w:t>ection</w:t>
      </w:r>
      <w:r>
        <w:t>s</w:t>
      </w:r>
      <w:r w:rsidRPr="007C45B4">
        <w:t xml:space="preserve"> of this Guideline.</w:t>
      </w:r>
    </w:p>
    <w:p w14:paraId="229B058C" w14:textId="63517DBE" w:rsidR="00FF698E" w:rsidRDefault="00FF698E" w:rsidP="005B6382">
      <w:pPr>
        <w:tabs>
          <w:tab w:val="right" w:pos="1701"/>
        </w:tabs>
      </w:pPr>
      <w:r>
        <w:t xml:space="preserve">During the </w:t>
      </w:r>
      <w:r w:rsidR="1A10EAB5">
        <w:t xml:space="preserve">five </w:t>
      </w:r>
      <w:r>
        <w:t>Business Days that occur between:</w:t>
      </w:r>
    </w:p>
    <w:p w14:paraId="30307DD6" w14:textId="77777777" w:rsidR="00FF698E" w:rsidRDefault="00FF698E" w:rsidP="005B6382">
      <w:pPr>
        <w:pStyle w:val="guidelinetext"/>
        <w:numPr>
          <w:ilvl w:val="0"/>
          <w:numId w:val="9"/>
        </w:numPr>
        <w:spacing w:before="60" w:line="240" w:lineRule="auto"/>
        <w:ind w:left="714" w:hanging="357"/>
      </w:pPr>
      <w:r>
        <w:t>the recording of a Mutual Obligation Failure in the Department’s IT Systems, and</w:t>
      </w:r>
    </w:p>
    <w:p w14:paraId="4F585A80" w14:textId="77777777" w:rsidR="00FF698E" w:rsidRDefault="00FF698E" w:rsidP="005B6382">
      <w:pPr>
        <w:pStyle w:val="guidelinetext"/>
        <w:numPr>
          <w:ilvl w:val="0"/>
          <w:numId w:val="9"/>
        </w:numPr>
        <w:spacing w:before="60" w:line="240" w:lineRule="auto"/>
        <w:ind w:left="714" w:hanging="357"/>
      </w:pPr>
      <w:r>
        <w:t>the suspension of a Participant’s Income Support Payment</w:t>
      </w:r>
    </w:p>
    <w:p w14:paraId="0B94BF96" w14:textId="01EB95A5" w:rsidR="00FF698E" w:rsidRDefault="00E273F1" w:rsidP="005B6382">
      <w:pPr>
        <w:tabs>
          <w:tab w:val="right" w:pos="1701"/>
        </w:tabs>
      </w:pPr>
      <w:r>
        <w:t>T</w:t>
      </w:r>
      <w:r w:rsidR="00FF698E">
        <w:t>he Provider must be available to engage with Participants who make contact to discuss a Mutual Obligation Failure and the relevant delayed payment suspension.</w:t>
      </w:r>
    </w:p>
    <w:p w14:paraId="6486A439" w14:textId="77777777" w:rsidR="00FF698E" w:rsidRDefault="00FF698E" w:rsidP="005B6382">
      <w:pPr>
        <w:tabs>
          <w:tab w:val="right" w:pos="1701"/>
        </w:tabs>
      </w:pPr>
      <w:r>
        <w:t xml:space="preserve">During this discussion, the Provider must determine whether the Participant has a Valid Reason for the Mutual </w:t>
      </w:r>
      <w:r w:rsidRPr="005B6382">
        <w:rPr>
          <w:rFonts w:asciiTheme="minorHAnsi" w:hAnsiTheme="minorHAnsi" w:cstheme="minorHAnsi"/>
          <w:szCs w:val="22"/>
        </w:rPr>
        <w:t>Obligation</w:t>
      </w:r>
      <w:r>
        <w:t xml:space="preserve"> Failure and must immediately record this assessment in the Department’s IT Systems. As a result of this assessment:</w:t>
      </w:r>
    </w:p>
    <w:p w14:paraId="1C570A88" w14:textId="0515598E" w:rsidR="00FF698E" w:rsidRDefault="00FF698E" w:rsidP="005B6382">
      <w:pPr>
        <w:pStyle w:val="guidelinetext"/>
        <w:numPr>
          <w:ilvl w:val="0"/>
          <w:numId w:val="9"/>
        </w:numPr>
        <w:spacing w:before="60" w:line="240" w:lineRule="auto"/>
        <w:ind w:left="714" w:hanging="357"/>
      </w:pPr>
      <w:r>
        <w:t>If the Provider records that the Participant has a Valid Reason, the payment suspension will be avoided.</w:t>
      </w:r>
    </w:p>
    <w:p w14:paraId="523BC57E" w14:textId="77777777" w:rsidR="00FF698E" w:rsidRDefault="00FF698E" w:rsidP="005B6382">
      <w:pPr>
        <w:pStyle w:val="guidelinetext"/>
        <w:numPr>
          <w:ilvl w:val="0"/>
          <w:numId w:val="9"/>
        </w:numPr>
        <w:spacing w:before="60" w:line="240" w:lineRule="auto"/>
        <w:ind w:left="714" w:hanging="357"/>
      </w:pPr>
      <w:r>
        <w:t>If the Provider records that the Participant does not have a Valid Reason, the Participant must meet a Reconnection Requirement.</w:t>
      </w:r>
    </w:p>
    <w:p w14:paraId="5A14548E" w14:textId="1539F0FD" w:rsidR="00FF698E" w:rsidRDefault="00FF698E" w:rsidP="005B6382">
      <w:pPr>
        <w:pStyle w:val="guidelinebullet"/>
        <w:numPr>
          <w:ilvl w:val="1"/>
          <w:numId w:val="6"/>
        </w:numPr>
        <w:ind w:left="1134"/>
      </w:pPr>
      <w:r>
        <w:t xml:space="preserve">If the Participant meets the Reconnection Requirement before the </w:t>
      </w:r>
      <w:r w:rsidR="6ED5BD2E">
        <w:t xml:space="preserve">five </w:t>
      </w:r>
      <w:r>
        <w:t xml:space="preserve">Business Day </w:t>
      </w:r>
      <w:r w:rsidR="006E4B69">
        <w:t xml:space="preserve">Resolution </w:t>
      </w:r>
      <w:r>
        <w:t>timeframe has expired, the payment suspension will be avoided.</w:t>
      </w:r>
    </w:p>
    <w:p w14:paraId="58FCA6FF" w14:textId="14A1E322" w:rsidR="00FF698E" w:rsidRDefault="00FF698E" w:rsidP="001E7665">
      <w:pPr>
        <w:pStyle w:val="guidelinebullet"/>
        <w:numPr>
          <w:ilvl w:val="1"/>
          <w:numId w:val="6"/>
        </w:numPr>
        <w:spacing w:line="259" w:lineRule="auto"/>
        <w:ind w:left="1134"/>
      </w:pPr>
      <w:r>
        <w:t xml:space="preserve">If the Participant does not meet the Reconnection Requirement before the </w:t>
      </w:r>
      <w:r w:rsidR="595B25AA">
        <w:t xml:space="preserve">five </w:t>
      </w:r>
      <w:r>
        <w:t>Business Day</w:t>
      </w:r>
      <w:r w:rsidR="006E4B69">
        <w:t xml:space="preserve"> Resolution</w:t>
      </w:r>
      <w:r>
        <w:t xml:space="preserve"> timeframe has expired, the payment suspension will occur </w:t>
      </w:r>
      <w:r w:rsidR="34972FFA">
        <w:t xml:space="preserve">five </w:t>
      </w:r>
      <w:r>
        <w:t xml:space="preserve">Business Days following the day the </w:t>
      </w:r>
      <w:r w:rsidR="006E4B69">
        <w:t>Reconnection Requirement</w:t>
      </w:r>
      <w:r>
        <w:t xml:space="preserve"> was recorded</w:t>
      </w:r>
      <w:r w:rsidR="006E4B69">
        <w:t xml:space="preserve"> </w:t>
      </w:r>
      <w:bookmarkStart w:id="61" w:name="_Hlk173346387"/>
      <w:r w:rsidR="006E4B69">
        <w:t>in the Department's IT Systems as did not attend</w:t>
      </w:r>
      <w:bookmarkEnd w:id="61"/>
      <w:r w:rsidR="006E4B69">
        <w:t>.</w:t>
      </w:r>
      <w:r>
        <w:t xml:space="preserve"> This suspension will generally be maintained until the Participant meets the Reconnection Requirement.</w:t>
      </w:r>
    </w:p>
    <w:p w14:paraId="6F9F758D" w14:textId="77777777" w:rsidR="00FF698E" w:rsidRDefault="00FF698E" w:rsidP="005B6382">
      <w:pPr>
        <w:tabs>
          <w:tab w:val="right" w:pos="1701"/>
        </w:tabs>
      </w:pPr>
      <w:bookmarkStart w:id="62" w:name="_Hlk57216630"/>
      <w:r w:rsidRPr="00496ED7">
        <w:t xml:space="preserve">If the Provider has discussed the Mutual Obligation Failure with the Participant and is satisfied that a Reconnection Requirement is not necessary, the Provider must record either </w:t>
      </w:r>
      <w:proofErr w:type="spellStart"/>
      <w:r w:rsidRPr="00496ED7">
        <w:t>‘Re</w:t>
      </w:r>
      <w:proofErr w:type="spellEnd"/>
      <w:r w:rsidRPr="00496ED7">
        <w:t>-engagement Not Required’ or ‘Compliance Action No Longer Appropriate’.</w:t>
      </w:r>
      <w:bookmarkEnd w:id="62"/>
    </w:p>
    <w:p w14:paraId="536D9829" w14:textId="252ABBBF" w:rsidR="00FF698E" w:rsidRPr="00F059CA" w:rsidRDefault="00FF698E" w:rsidP="005B6382">
      <w:pPr>
        <w:tabs>
          <w:tab w:val="right" w:pos="1701"/>
        </w:tabs>
        <w:rPr>
          <w:b/>
          <w:bCs/>
        </w:rPr>
      </w:pPr>
      <w:r w:rsidRPr="007C45B4">
        <w:t xml:space="preserve">See the </w:t>
      </w:r>
      <w:r w:rsidRPr="005B6382">
        <w:t>‘</w:t>
      </w:r>
      <w:r w:rsidRPr="005B6382">
        <w:rPr>
          <w:rFonts w:cstheme="minorHAnsi"/>
        </w:rPr>
        <w:t>Reconnection</w:t>
      </w:r>
      <w:r w:rsidRPr="005B6382">
        <w:t xml:space="preserve"> Requirements</w:t>
      </w:r>
      <w:r>
        <w:t>’ s</w:t>
      </w:r>
      <w:r w:rsidRPr="007C45B4">
        <w:t>ection of this Guideline.</w:t>
      </w:r>
    </w:p>
    <w:p w14:paraId="44C79710" w14:textId="77777777" w:rsidR="00FF698E" w:rsidRPr="005B6382" w:rsidRDefault="00FF698E" w:rsidP="005B6382">
      <w:pPr>
        <w:spacing w:before="240"/>
        <w:rPr>
          <w:u w:val="single"/>
        </w:rPr>
      </w:pPr>
      <w:bookmarkStart w:id="63" w:name="_Toc57631505"/>
      <w:bookmarkStart w:id="64" w:name="_Toc70943989"/>
      <w:r w:rsidRPr="005B6382">
        <w:rPr>
          <w:sz w:val="24"/>
          <w:u w:val="single"/>
        </w:rPr>
        <w:t>Immediate payment suspension: Penalty Zone</w:t>
      </w:r>
      <w:bookmarkEnd w:id="63"/>
      <w:bookmarkEnd w:id="64"/>
    </w:p>
    <w:p w14:paraId="37FB1D80" w14:textId="77777777" w:rsidR="00FF698E" w:rsidRDefault="00FF698E" w:rsidP="00FF698E">
      <w:pPr>
        <w:tabs>
          <w:tab w:val="right" w:pos="1701"/>
        </w:tabs>
      </w:pPr>
      <w:r>
        <w:t xml:space="preserve">In the </w:t>
      </w:r>
      <w:r w:rsidRPr="005B6382">
        <w:rPr>
          <w:rFonts w:asciiTheme="minorHAnsi" w:hAnsiTheme="minorHAnsi" w:cstheme="minorHAnsi"/>
          <w:szCs w:val="22"/>
        </w:rPr>
        <w:t>Penalty</w:t>
      </w:r>
      <w:r>
        <w:t xml:space="preserve"> Zone, a Participant’s Income Support Payment is generally suspended at the time a Mutual Obligation Failure is recorded in the Department’s IT Systems. This immediate suspension is intended to encourage the Participant to contact their Provider and discuss the Mutual Obligation Failure.</w:t>
      </w:r>
    </w:p>
    <w:p w14:paraId="7C95FB50" w14:textId="77777777" w:rsidR="00DF235B" w:rsidRPr="001E7665" w:rsidRDefault="00DF235B" w:rsidP="00DF6BEA">
      <w:pPr>
        <w:spacing w:before="240"/>
        <w:rPr>
          <w:sz w:val="24"/>
          <w:u w:val="single"/>
        </w:rPr>
      </w:pPr>
      <w:bookmarkStart w:id="65" w:name="Notifications_of_Mutual_Ob_Failures"/>
      <w:r w:rsidRPr="001E7665">
        <w:rPr>
          <w:sz w:val="24"/>
          <w:u w:val="single"/>
        </w:rPr>
        <w:t>Notifications to Participants of Mutual Obligation Failures</w:t>
      </w:r>
      <w:bookmarkEnd w:id="65"/>
      <w:r w:rsidRPr="001E7665">
        <w:rPr>
          <w:sz w:val="24"/>
          <w:u w:val="single"/>
        </w:rPr>
        <w:t xml:space="preserve"> </w:t>
      </w:r>
    </w:p>
    <w:p w14:paraId="30B67CD7" w14:textId="77777777" w:rsidR="00FF698E" w:rsidRPr="007C45B4" w:rsidRDefault="00FF698E" w:rsidP="005B6382">
      <w:pPr>
        <w:tabs>
          <w:tab w:val="right" w:pos="1701"/>
        </w:tabs>
      </w:pPr>
      <w:r w:rsidRPr="007C45B4">
        <w:t xml:space="preserve">The effects of recording a Mutual Obligation Failure in the Department’s IT Systems differ depending on </w:t>
      </w:r>
      <w:r w:rsidRPr="005B6382">
        <w:rPr>
          <w:rFonts w:asciiTheme="minorHAnsi" w:hAnsiTheme="minorHAnsi" w:cstheme="minorHAnsi"/>
          <w:szCs w:val="22"/>
        </w:rPr>
        <w:t>whether</w:t>
      </w:r>
      <w:r w:rsidRPr="007C45B4">
        <w:t xml:space="preserve"> the Participant is in the Green Zone or Warning Zone, or whether they are in the Penalty Zone.</w:t>
      </w:r>
    </w:p>
    <w:p w14:paraId="63E02091" w14:textId="77777777" w:rsidR="00FF698E" w:rsidRPr="007C45B4" w:rsidRDefault="00FF698E" w:rsidP="005B6382">
      <w:pPr>
        <w:tabs>
          <w:tab w:val="right" w:pos="1701"/>
        </w:tabs>
      </w:pPr>
      <w:r w:rsidRPr="007C45B4">
        <w:t xml:space="preserve">When the Provider records in the Department’s IT Systems that a Participant has committed a Mutual </w:t>
      </w:r>
      <w:r w:rsidRPr="005B6382">
        <w:rPr>
          <w:rFonts w:asciiTheme="minorHAnsi" w:hAnsiTheme="minorHAnsi" w:cstheme="minorHAnsi"/>
          <w:szCs w:val="22"/>
        </w:rPr>
        <w:t>Obligation</w:t>
      </w:r>
      <w:r w:rsidRPr="007C45B4">
        <w:t xml:space="preserve"> Failure in the Green Zone or Warning Zone, the Department’s IT Systems send the Participant a notification to advise them:</w:t>
      </w:r>
    </w:p>
    <w:p w14:paraId="284E3A10" w14:textId="77777777" w:rsidR="00FF698E" w:rsidRPr="007C45B4" w:rsidRDefault="00FF698E" w:rsidP="00FF698E">
      <w:pPr>
        <w:pStyle w:val="guidelinetext"/>
        <w:numPr>
          <w:ilvl w:val="0"/>
          <w:numId w:val="9"/>
        </w:numPr>
        <w:spacing w:before="60" w:line="240" w:lineRule="auto"/>
        <w:ind w:left="714" w:hanging="357"/>
      </w:pPr>
      <w:r w:rsidRPr="007C45B4">
        <w:t>that it appears they have failed to meet a Mutual Obligation Requirement</w:t>
      </w:r>
    </w:p>
    <w:p w14:paraId="5C16340E" w14:textId="77777777" w:rsidR="00FF698E" w:rsidRPr="007C45B4" w:rsidRDefault="00FF698E" w:rsidP="00FF698E">
      <w:pPr>
        <w:pStyle w:val="guidelinetext"/>
        <w:numPr>
          <w:ilvl w:val="0"/>
          <w:numId w:val="9"/>
        </w:numPr>
        <w:spacing w:before="60" w:line="240" w:lineRule="auto"/>
        <w:ind w:left="714" w:hanging="357"/>
      </w:pPr>
      <w:r w:rsidRPr="007C45B4">
        <w:t>to contact their Provider as soon as possible</w:t>
      </w:r>
    </w:p>
    <w:p w14:paraId="5AD7D86C" w14:textId="4E2F2592" w:rsidR="00FF698E" w:rsidRPr="007C45B4" w:rsidRDefault="00FF698E" w:rsidP="00FF698E">
      <w:pPr>
        <w:pStyle w:val="guidelinetext"/>
        <w:numPr>
          <w:ilvl w:val="0"/>
          <w:numId w:val="9"/>
        </w:numPr>
        <w:spacing w:before="60" w:line="240" w:lineRule="auto"/>
        <w:ind w:left="714" w:hanging="357"/>
      </w:pPr>
      <w:r>
        <w:t xml:space="preserve">that their Income Support Payment may be suspended after </w:t>
      </w:r>
      <w:r w:rsidR="6067B807">
        <w:t xml:space="preserve">five </w:t>
      </w:r>
      <w:r>
        <w:t>Business Days have passed if they take no further action.</w:t>
      </w:r>
    </w:p>
    <w:p w14:paraId="2596912F" w14:textId="77777777" w:rsidR="00FF698E" w:rsidRPr="007C45B4" w:rsidRDefault="00FF698E" w:rsidP="00FF698E">
      <w:pPr>
        <w:tabs>
          <w:tab w:val="right" w:pos="1701"/>
        </w:tabs>
      </w:pPr>
      <w:r w:rsidRPr="007C45B4">
        <w:t xml:space="preserve">When the Provider records in the Department’s IT Systems that a Participant has committed a Mutual </w:t>
      </w:r>
      <w:r w:rsidRPr="005B6382">
        <w:rPr>
          <w:rFonts w:asciiTheme="minorHAnsi" w:hAnsiTheme="minorHAnsi" w:cstheme="minorHAnsi"/>
          <w:szCs w:val="22"/>
        </w:rPr>
        <w:t>Obligation</w:t>
      </w:r>
      <w:r w:rsidRPr="007C45B4">
        <w:t xml:space="preserve"> Failure in the Penalty Zone, the Department’s IT Systems send the Participant a notification to advise them:</w:t>
      </w:r>
    </w:p>
    <w:p w14:paraId="1C4C8BC6" w14:textId="77777777" w:rsidR="00FF698E" w:rsidRPr="007C45B4" w:rsidRDefault="00FF698E" w:rsidP="00FF698E">
      <w:pPr>
        <w:pStyle w:val="guidelinetext"/>
        <w:numPr>
          <w:ilvl w:val="0"/>
          <w:numId w:val="9"/>
        </w:numPr>
        <w:spacing w:before="60" w:line="240" w:lineRule="auto"/>
        <w:ind w:left="714" w:hanging="357"/>
      </w:pPr>
      <w:r w:rsidRPr="007C45B4">
        <w:t>that their Income Support Payment is suspended</w:t>
      </w:r>
    </w:p>
    <w:p w14:paraId="3F9ADA49" w14:textId="77777777" w:rsidR="00FF698E" w:rsidRPr="007C45B4" w:rsidRDefault="00FF698E" w:rsidP="00FF698E">
      <w:pPr>
        <w:pStyle w:val="guidelinetext"/>
        <w:numPr>
          <w:ilvl w:val="0"/>
          <w:numId w:val="9"/>
        </w:numPr>
        <w:spacing w:before="60" w:line="240" w:lineRule="auto"/>
        <w:ind w:left="714" w:hanging="357"/>
      </w:pPr>
      <w:r w:rsidRPr="007C45B4">
        <w:t>why their Income Support Payment is suspended</w:t>
      </w:r>
    </w:p>
    <w:p w14:paraId="32B4F491" w14:textId="77777777" w:rsidR="00FF698E" w:rsidRPr="007C45B4" w:rsidRDefault="00FF698E" w:rsidP="00FF698E">
      <w:pPr>
        <w:pStyle w:val="guidelinetext"/>
        <w:numPr>
          <w:ilvl w:val="0"/>
          <w:numId w:val="9"/>
        </w:numPr>
        <w:spacing w:before="60" w:line="240" w:lineRule="auto"/>
        <w:ind w:left="714" w:hanging="357"/>
      </w:pPr>
      <w:r w:rsidRPr="007C45B4">
        <w:t>what they must do to lift the Income Support Payment suspension</w:t>
      </w:r>
    </w:p>
    <w:p w14:paraId="6317348B" w14:textId="77777777" w:rsidR="00FF698E" w:rsidRPr="007C45B4" w:rsidRDefault="00FF698E" w:rsidP="00FF698E">
      <w:pPr>
        <w:pStyle w:val="guidelinetext"/>
        <w:numPr>
          <w:ilvl w:val="0"/>
          <w:numId w:val="9"/>
        </w:numPr>
        <w:spacing w:before="60" w:line="240" w:lineRule="auto"/>
        <w:ind w:left="714" w:hanging="357"/>
      </w:pPr>
      <w:r w:rsidRPr="007C45B4">
        <w:t>to contact their Provider as soon as possible.</w:t>
      </w:r>
    </w:p>
    <w:p w14:paraId="0C47987C" w14:textId="43E1D504" w:rsidR="00FF698E" w:rsidRPr="00DC66B5" w:rsidRDefault="00FF698E" w:rsidP="005B6382">
      <w:pPr>
        <w:tabs>
          <w:tab w:val="right" w:pos="1701"/>
        </w:tabs>
      </w:pPr>
      <w:r w:rsidRPr="007C45B4">
        <w:t>The automatic notifications described above only occur if the Participant has SMS or e-mail details recorded in the Department’s IT Systems for automatic notification. If the Participant does not have SMS or e-</w:t>
      </w:r>
      <w:r w:rsidRPr="005B6382">
        <w:rPr>
          <w:rFonts w:asciiTheme="minorHAnsi" w:hAnsiTheme="minorHAnsi" w:cstheme="minorHAnsi"/>
          <w:szCs w:val="22"/>
        </w:rPr>
        <w:t>mail</w:t>
      </w:r>
      <w:r w:rsidRPr="007C45B4">
        <w:t xml:space="preserve"> details recorded in the Department’s IT Systems for automated notification, the Provider must send the notice prepared by the Department’s IT </w:t>
      </w:r>
      <w:r w:rsidRPr="00DC66B5">
        <w:t>Systems in response to the Mutual Obligation Failure to th</w:t>
      </w:r>
      <w:r>
        <w:t>e Participant’s postal address.</w:t>
      </w:r>
    </w:p>
    <w:p w14:paraId="31B1744F" w14:textId="11FC87B0" w:rsidR="00FF698E" w:rsidRPr="00DC66B5" w:rsidRDefault="00FF698E" w:rsidP="005B6382">
      <w:pPr>
        <w:tabs>
          <w:tab w:val="right" w:pos="1701"/>
        </w:tabs>
      </w:pPr>
      <w:r w:rsidRPr="00DC66B5">
        <w:t>If the Participant’s Income Support</w:t>
      </w:r>
      <w:r w:rsidRPr="007C45B4">
        <w:t xml:space="preserve"> Payment has been suspended </w:t>
      </w:r>
      <w:proofErr w:type="gramStart"/>
      <w:r w:rsidRPr="007C45B4">
        <w:t>as a result of</w:t>
      </w:r>
      <w:proofErr w:type="gramEnd"/>
      <w:r w:rsidRPr="007C45B4">
        <w:t xml:space="preserve"> recording the Mutual Obligation Failure, the payment will normally remain suspended until they meet a Reconnection Requirement or until the Provider records a Valid Reason in the Department’s IT Systems. Failure to comply with a Reconnection Requirement within 28 days of notification will usually result in Services Australia cancelling the Participant’s Income Support Payment. For more information on Reconnection Requirements, see the </w:t>
      </w:r>
      <w:r w:rsidRPr="005B6382">
        <w:t>‘Reconnection Requirements</w:t>
      </w:r>
      <w:r>
        <w:t>’</w:t>
      </w:r>
      <w:r w:rsidRPr="007C45B4">
        <w:t xml:space="preserve"> </w:t>
      </w:r>
      <w:r w:rsidRPr="00DC66B5">
        <w:t>section in this Guideline.</w:t>
      </w:r>
    </w:p>
    <w:p w14:paraId="7FC7DB6E" w14:textId="6B7A3731" w:rsidR="00FF698E" w:rsidRPr="00DC66B5" w:rsidRDefault="00FF698E" w:rsidP="005B6382">
      <w:pPr>
        <w:pStyle w:val="DeedReferences"/>
      </w:pPr>
      <w:r w:rsidRPr="00DC66B5">
        <w:t>(</w:t>
      </w:r>
      <w:r>
        <w:t>Grant Agreement</w:t>
      </w:r>
      <w:r w:rsidRPr="00DC66B5">
        <w:t xml:space="preserve"> references: clause </w:t>
      </w:r>
      <w:r w:rsidR="00770C98">
        <w:t>111</w:t>
      </w:r>
      <w:r w:rsidRPr="00DC66B5">
        <w:t>)</w:t>
      </w:r>
    </w:p>
    <w:p w14:paraId="3139F7E8" w14:textId="07F02117" w:rsidR="00FF698E" w:rsidRPr="005B6382" w:rsidRDefault="00FF698E" w:rsidP="005B6382">
      <w:pPr>
        <w:keepNext/>
        <w:keepLines/>
        <w:spacing w:before="240"/>
        <w:rPr>
          <w:u w:val="single"/>
        </w:rPr>
      </w:pPr>
      <w:bookmarkStart w:id="66" w:name="_Toc57631507"/>
      <w:bookmarkStart w:id="67" w:name="_Toc70943991"/>
      <w:r w:rsidRPr="67EE9B0E">
        <w:rPr>
          <w:sz w:val="24"/>
          <w:u w:val="single"/>
        </w:rPr>
        <w:t xml:space="preserve">After </w:t>
      </w:r>
      <w:r w:rsidR="082ECB8B" w:rsidRPr="67EE9B0E">
        <w:rPr>
          <w:sz w:val="24"/>
          <w:u w:val="single"/>
        </w:rPr>
        <w:t xml:space="preserve">five </w:t>
      </w:r>
      <w:r w:rsidRPr="67EE9B0E">
        <w:rPr>
          <w:sz w:val="24"/>
          <w:u w:val="single"/>
        </w:rPr>
        <w:t>Business Days have passed since the Provider recorded the Mutual Obligation Failure in the Department’s IT Systems: in the Green and Warning Zones</w:t>
      </w:r>
      <w:bookmarkEnd w:id="66"/>
      <w:bookmarkEnd w:id="67"/>
    </w:p>
    <w:p w14:paraId="17E85D52" w14:textId="11F0BED8" w:rsidR="00FF698E" w:rsidRPr="007C45B4" w:rsidRDefault="00FF698E" w:rsidP="005B6382">
      <w:pPr>
        <w:tabs>
          <w:tab w:val="right" w:pos="1701"/>
        </w:tabs>
      </w:pPr>
      <w:r>
        <w:t xml:space="preserve">If the </w:t>
      </w:r>
      <w:r w:rsidRPr="67EE9B0E">
        <w:rPr>
          <w:rFonts w:asciiTheme="minorHAnsi" w:hAnsiTheme="minorHAnsi" w:cstheme="minorBidi"/>
        </w:rPr>
        <w:t>Participant</w:t>
      </w:r>
      <w:r>
        <w:t xml:space="preserve"> is in the Green Zone or the Warning Zone, the Department’s IT Systems will automatically suspend the Participant’s Income Support Payment once </w:t>
      </w:r>
      <w:r w:rsidR="1511CEB7">
        <w:t xml:space="preserve">five </w:t>
      </w:r>
      <w:r>
        <w:t>Business Days have passed and:</w:t>
      </w:r>
    </w:p>
    <w:p w14:paraId="4850C4B1" w14:textId="77777777" w:rsidR="00FF698E" w:rsidRPr="007C45B4" w:rsidRDefault="00FF698E" w:rsidP="005B6382">
      <w:pPr>
        <w:pStyle w:val="guidelinetext"/>
        <w:numPr>
          <w:ilvl w:val="0"/>
          <w:numId w:val="9"/>
        </w:numPr>
        <w:spacing w:before="60" w:line="240" w:lineRule="auto"/>
        <w:ind w:left="714" w:hanging="357"/>
      </w:pPr>
      <w:r w:rsidRPr="007C45B4">
        <w:t>the Participant has not contacted their Provider, or</w:t>
      </w:r>
    </w:p>
    <w:p w14:paraId="5D969317" w14:textId="77777777" w:rsidR="00FF698E" w:rsidRPr="007C45B4" w:rsidRDefault="00FF698E" w:rsidP="005B6382">
      <w:pPr>
        <w:pStyle w:val="guidelinetext"/>
        <w:numPr>
          <w:ilvl w:val="0"/>
          <w:numId w:val="9"/>
        </w:numPr>
        <w:spacing w:before="60" w:line="240" w:lineRule="auto"/>
        <w:ind w:left="714" w:hanging="357"/>
      </w:pPr>
      <w:r w:rsidRPr="007C45B4">
        <w:t xml:space="preserve">the Provider has recorded that the Participant does not have a Valid Reason, and the Participant has not yet met a </w:t>
      </w:r>
      <w:r>
        <w:t xml:space="preserve">Reconnection </w:t>
      </w:r>
      <w:r w:rsidRPr="007C45B4">
        <w:t>Requirement.</w:t>
      </w:r>
    </w:p>
    <w:p w14:paraId="7495BC8F" w14:textId="77777777" w:rsidR="00FF698E" w:rsidRPr="007C45B4" w:rsidRDefault="00FF698E" w:rsidP="005B6382">
      <w:pPr>
        <w:tabs>
          <w:tab w:val="right" w:pos="1701"/>
        </w:tabs>
      </w:pPr>
      <w:r w:rsidRPr="007C45B4">
        <w:t>When the Participant’s Income Support Payment is suspended, the Department’s IT Systems send them a payment suspension notification to notify them:</w:t>
      </w:r>
    </w:p>
    <w:p w14:paraId="2F6FA6AC" w14:textId="77777777" w:rsidR="00FF698E" w:rsidRPr="007C45B4" w:rsidRDefault="00FF698E" w:rsidP="005B6382">
      <w:pPr>
        <w:pStyle w:val="guidelinetext"/>
        <w:numPr>
          <w:ilvl w:val="0"/>
          <w:numId w:val="9"/>
        </w:numPr>
        <w:spacing w:before="60" w:line="240" w:lineRule="auto"/>
        <w:ind w:left="714" w:hanging="357"/>
      </w:pPr>
      <w:r w:rsidRPr="007C45B4">
        <w:t>that their Income Support Payment is suspended</w:t>
      </w:r>
    </w:p>
    <w:p w14:paraId="6959DD8A" w14:textId="77777777" w:rsidR="00FF698E" w:rsidRPr="007C45B4" w:rsidRDefault="00FF698E" w:rsidP="005B6382">
      <w:pPr>
        <w:pStyle w:val="guidelinetext"/>
        <w:numPr>
          <w:ilvl w:val="0"/>
          <w:numId w:val="9"/>
        </w:numPr>
        <w:spacing w:before="60" w:line="240" w:lineRule="auto"/>
        <w:ind w:left="714" w:hanging="357"/>
      </w:pPr>
      <w:r w:rsidRPr="007C45B4">
        <w:t>why their Income Support Payment is suspended</w:t>
      </w:r>
    </w:p>
    <w:p w14:paraId="3794D4CB" w14:textId="77777777" w:rsidR="00FF698E" w:rsidRPr="007C45B4" w:rsidRDefault="00FF698E" w:rsidP="005B6382">
      <w:pPr>
        <w:pStyle w:val="guidelinetext"/>
        <w:numPr>
          <w:ilvl w:val="0"/>
          <w:numId w:val="9"/>
        </w:numPr>
        <w:spacing w:before="60" w:line="240" w:lineRule="auto"/>
        <w:ind w:left="714" w:hanging="357"/>
      </w:pPr>
      <w:r w:rsidRPr="007C45B4">
        <w:t>what they must do to lift the Income Support Payment suspension</w:t>
      </w:r>
    </w:p>
    <w:p w14:paraId="63B44B88" w14:textId="77777777" w:rsidR="00FF698E" w:rsidRPr="007C45B4" w:rsidRDefault="00FF698E" w:rsidP="005B6382">
      <w:pPr>
        <w:pStyle w:val="guidelinetext"/>
        <w:numPr>
          <w:ilvl w:val="0"/>
          <w:numId w:val="9"/>
        </w:numPr>
        <w:spacing w:before="60" w:line="240" w:lineRule="auto"/>
        <w:ind w:left="714" w:hanging="357"/>
      </w:pPr>
      <w:r w:rsidRPr="007C45B4">
        <w:t>to contact their Provider as soon as possible.</w:t>
      </w:r>
    </w:p>
    <w:p w14:paraId="16C28DCE" w14:textId="02D3FC5D" w:rsidR="00FF698E" w:rsidRPr="00DC66B5" w:rsidRDefault="00FF698E" w:rsidP="005B6382">
      <w:pPr>
        <w:tabs>
          <w:tab w:val="right" w:pos="1701"/>
        </w:tabs>
      </w:pPr>
      <w:r w:rsidRPr="007C45B4">
        <w:t xml:space="preserve">As noted above, if the Participant does not have SMS or e-mail details recorded in the Department’s IT Systems for automated notification, the Provider must send the notice prepared by the </w:t>
      </w:r>
      <w:r w:rsidRPr="00DC66B5">
        <w:t>Department’s IT Systems in response to the Mutual Obligation Failure to th</w:t>
      </w:r>
      <w:r>
        <w:t>e Participant’s postal address.</w:t>
      </w:r>
    </w:p>
    <w:p w14:paraId="40C6D2CE" w14:textId="4E5FF620" w:rsidR="00FF698E" w:rsidRPr="00DC66B5" w:rsidRDefault="00FF698E" w:rsidP="005B6382">
      <w:pPr>
        <w:tabs>
          <w:tab w:val="right" w:pos="1701"/>
        </w:tabs>
      </w:pPr>
      <w:r w:rsidRPr="00DC66B5">
        <w:t>A Participant’s Income Support Payment will normally remain suspended until they meet a Reconnection Requirement or until the Provider</w:t>
      </w:r>
      <w:r w:rsidRPr="007C45B4">
        <w:t xml:space="preserve"> records a Valid Reason in the Department’s IT Systems, </w:t>
      </w:r>
      <w:r w:rsidRPr="005B6382">
        <w:rPr>
          <w:rFonts w:asciiTheme="minorHAnsi" w:hAnsiTheme="minorHAnsi" w:cstheme="minorHAnsi"/>
          <w:szCs w:val="22"/>
        </w:rPr>
        <w:t>and</w:t>
      </w:r>
      <w:r w:rsidRPr="007C45B4">
        <w:t xml:space="preserve"> an Income Support Payment will normally be cancelled by Services Australia if the Participant fails to meet a Reconnection Requirement within four weeks of notification </w:t>
      </w:r>
      <w:proofErr w:type="gramStart"/>
      <w:r w:rsidRPr="007C45B4">
        <w:t>For</w:t>
      </w:r>
      <w:proofErr w:type="gramEnd"/>
      <w:r w:rsidRPr="007C45B4">
        <w:t xml:space="preserve"> more information on Reconnection Requirements, see the </w:t>
      </w:r>
      <w:r>
        <w:rPr>
          <w:rStyle w:val="Hyperlink"/>
        </w:rPr>
        <w:t>‘</w:t>
      </w:r>
      <w:r w:rsidRPr="00FF698E">
        <w:t>Reconnection Requirements</w:t>
      </w:r>
      <w:r>
        <w:t>’</w:t>
      </w:r>
      <w:r w:rsidRPr="007C45B4">
        <w:t xml:space="preserve"> section in this </w:t>
      </w:r>
      <w:r w:rsidRPr="00DC66B5">
        <w:t>Guideline.</w:t>
      </w:r>
    </w:p>
    <w:p w14:paraId="0268AC03" w14:textId="26445E53" w:rsidR="00FF698E" w:rsidRPr="00DC66B5" w:rsidRDefault="00FF698E" w:rsidP="005B6382">
      <w:pPr>
        <w:pStyle w:val="DeedReferences"/>
      </w:pPr>
      <w:bookmarkStart w:id="68" w:name="_Assessing_Valid_Reasons_1"/>
      <w:bookmarkEnd w:id="68"/>
      <w:r w:rsidRPr="00DC66B5">
        <w:t>(</w:t>
      </w:r>
      <w:r>
        <w:t>Grant Agreement</w:t>
      </w:r>
      <w:r w:rsidRPr="00DC66B5">
        <w:t xml:space="preserve"> references: clause </w:t>
      </w:r>
      <w:r w:rsidR="00770C98">
        <w:t>111.6(a)</w:t>
      </w:r>
      <w:r w:rsidRPr="00DC66B5">
        <w:t>)</w:t>
      </w:r>
    </w:p>
    <w:p w14:paraId="5107D3BB" w14:textId="77777777" w:rsidR="0073392F" w:rsidRDefault="0073392F" w:rsidP="005B6382">
      <w:pPr>
        <w:pStyle w:val="guidelinetext"/>
        <w:spacing w:line="240" w:lineRule="auto"/>
        <w:ind w:left="0"/>
      </w:pPr>
      <w:bookmarkStart w:id="69" w:name="_Toc21095869"/>
    </w:p>
    <w:p w14:paraId="4C71F839" w14:textId="77777777" w:rsidR="00035383" w:rsidRDefault="00035383" w:rsidP="00973A61">
      <w:pPr>
        <w:pStyle w:val="Heading3"/>
        <w:spacing w:before="0" w:after="120"/>
      </w:pPr>
      <w:bookmarkStart w:id="70" w:name="_Assessing_Valid_Reasons"/>
      <w:bookmarkStart w:id="71" w:name="_Toc177568224"/>
      <w:bookmarkEnd w:id="70"/>
      <w:r>
        <w:t>Assessing Valid Reasons</w:t>
      </w:r>
      <w:bookmarkEnd w:id="69"/>
      <w:bookmarkEnd w:id="71"/>
    </w:p>
    <w:p w14:paraId="4B4C7F18" w14:textId="0B98056A" w:rsidR="00035383" w:rsidRDefault="00035383" w:rsidP="00FF698E">
      <w:pPr>
        <w:tabs>
          <w:tab w:val="right" w:pos="1701"/>
        </w:tabs>
      </w:pPr>
      <w:r>
        <w:t xml:space="preserve">Providers </w:t>
      </w:r>
      <w:r w:rsidRPr="005B6382">
        <w:rPr>
          <w:rFonts w:asciiTheme="minorHAnsi" w:hAnsiTheme="minorHAnsi" w:cstheme="minorHAnsi"/>
          <w:szCs w:val="22"/>
        </w:rPr>
        <w:t>have</w:t>
      </w:r>
      <w:r>
        <w:t xml:space="preserve"> obligations to assess whether a Participant has a Valid Reason for a Mutual Obligation Failure in </w:t>
      </w:r>
      <w:proofErr w:type="gramStart"/>
      <w:r>
        <w:t>a number of</w:t>
      </w:r>
      <w:proofErr w:type="gramEnd"/>
      <w:r>
        <w:t xml:space="preserve"> specific circumstances</w:t>
      </w:r>
      <w:r w:rsidRPr="002116CD">
        <w:t>.</w:t>
      </w:r>
      <w:r>
        <w:t xml:space="preserve"> It is intended that:</w:t>
      </w:r>
    </w:p>
    <w:p w14:paraId="50B49422" w14:textId="01F46F50" w:rsidR="00035383" w:rsidRDefault="00035383" w:rsidP="00FF698E">
      <w:pPr>
        <w:pStyle w:val="guidelinetext"/>
        <w:numPr>
          <w:ilvl w:val="0"/>
          <w:numId w:val="9"/>
        </w:numPr>
        <w:spacing w:before="60" w:line="240" w:lineRule="auto"/>
        <w:ind w:left="714" w:hanging="357"/>
      </w:pPr>
      <w:r>
        <w:t>if the Participant has a Valid Reason for a Mutual Obligation Failure, any Demerit on their record relating to that Mutual Obligation Failure will be removed; or</w:t>
      </w:r>
    </w:p>
    <w:p w14:paraId="3AA3C314" w14:textId="67127525" w:rsidR="00035383" w:rsidRDefault="00035383" w:rsidP="00FF698E">
      <w:pPr>
        <w:pStyle w:val="guidelinetext"/>
        <w:numPr>
          <w:ilvl w:val="0"/>
          <w:numId w:val="9"/>
        </w:numPr>
        <w:spacing w:before="60" w:line="240" w:lineRule="auto"/>
        <w:ind w:left="714" w:hanging="357"/>
      </w:pPr>
      <w:r>
        <w:t xml:space="preserve">if the Participant does not have a Valid Reason, the Demerit will be confirmed. </w:t>
      </w:r>
    </w:p>
    <w:p w14:paraId="377FB13B" w14:textId="7E1C099D" w:rsidR="00035383" w:rsidRDefault="00035383" w:rsidP="00FF698E">
      <w:pPr>
        <w:tabs>
          <w:tab w:val="right" w:pos="1701"/>
        </w:tabs>
      </w:pPr>
      <w:r w:rsidRPr="00F2535F">
        <w:t xml:space="preserve">See </w:t>
      </w:r>
      <w:r w:rsidR="00FF698E" w:rsidRPr="00FF698E">
        <w:t>Attachment A</w:t>
      </w:r>
      <w:r>
        <w:t xml:space="preserve"> for </w:t>
      </w:r>
      <w:r w:rsidRPr="005B6382">
        <w:rPr>
          <w:rFonts w:asciiTheme="minorHAnsi" w:hAnsiTheme="minorHAnsi" w:cstheme="minorHAnsi"/>
          <w:szCs w:val="22"/>
        </w:rPr>
        <w:t>information</w:t>
      </w:r>
      <w:r>
        <w:t xml:space="preserve"> on the circumstances in which:</w:t>
      </w:r>
    </w:p>
    <w:p w14:paraId="38BEEB8B" w14:textId="2796FA7E" w:rsidR="00035383" w:rsidRDefault="00035383" w:rsidP="00FF698E">
      <w:pPr>
        <w:pStyle w:val="guidelinetext"/>
        <w:numPr>
          <w:ilvl w:val="0"/>
          <w:numId w:val="9"/>
        </w:numPr>
        <w:spacing w:before="60" w:line="240" w:lineRule="auto"/>
        <w:ind w:left="714" w:hanging="357"/>
      </w:pPr>
      <w:r>
        <w:t>a Demerit (pending confirmation) will be put on a Participant’s record; and</w:t>
      </w:r>
    </w:p>
    <w:p w14:paraId="0F5EF570" w14:textId="38E946FD" w:rsidR="00035383" w:rsidRDefault="00035383" w:rsidP="00FF698E">
      <w:pPr>
        <w:pStyle w:val="guidelinetext"/>
        <w:numPr>
          <w:ilvl w:val="0"/>
          <w:numId w:val="9"/>
        </w:numPr>
        <w:spacing w:before="60" w:line="240" w:lineRule="auto"/>
        <w:ind w:left="714" w:hanging="357"/>
      </w:pPr>
      <w:r>
        <w:t>a Demerit (pending confirmation) will be confirmed or removed from the Participant’s record.</w:t>
      </w:r>
    </w:p>
    <w:p w14:paraId="48FA772B" w14:textId="14A9D0D0" w:rsidR="00035383" w:rsidRDefault="00035383" w:rsidP="00286EC2">
      <w:pPr>
        <w:keepNext/>
        <w:keepLines/>
        <w:tabs>
          <w:tab w:val="right" w:pos="1701"/>
        </w:tabs>
      </w:pPr>
      <w:r>
        <w:t xml:space="preserve">For the purposes of </w:t>
      </w:r>
      <w:r w:rsidRPr="005B6382">
        <w:rPr>
          <w:rFonts w:asciiTheme="minorHAnsi" w:hAnsiTheme="minorHAnsi" w:cstheme="minorHAnsi"/>
          <w:szCs w:val="22"/>
        </w:rPr>
        <w:t>the</w:t>
      </w:r>
      <w:r>
        <w:t xml:space="preserve"> above, a Provider must determine </w:t>
      </w:r>
      <w:r>
        <w:rPr>
          <w:rFonts w:cstheme="minorHAnsi"/>
          <w:iCs/>
        </w:rPr>
        <w:t>that the Participant has a Valid Reason</w:t>
      </w:r>
      <w:r>
        <w:t xml:space="preserve"> for a Mutual Obligation Failure when they are satisfied that:</w:t>
      </w:r>
    </w:p>
    <w:p w14:paraId="4BBA9046" w14:textId="23E2C674" w:rsidR="00035383" w:rsidRDefault="00035383" w:rsidP="00286EC2">
      <w:pPr>
        <w:keepNext/>
        <w:keepLines/>
        <w:tabs>
          <w:tab w:val="right" w:pos="1701"/>
        </w:tabs>
      </w:pPr>
      <w:r w:rsidRPr="00997343">
        <w:t>the reason the</w:t>
      </w:r>
      <w:r>
        <w:t xml:space="preserve"> Participant provided:</w:t>
      </w:r>
    </w:p>
    <w:p w14:paraId="4F3DBD99" w14:textId="71ABB930" w:rsidR="00035383" w:rsidRDefault="00035383" w:rsidP="00BB6B4A">
      <w:pPr>
        <w:pStyle w:val="guidelinebullet"/>
        <w:numPr>
          <w:ilvl w:val="0"/>
          <w:numId w:val="63"/>
        </w:numPr>
      </w:pPr>
      <w:r w:rsidRPr="00890C6A">
        <w:t xml:space="preserve">directly prevented the </w:t>
      </w:r>
      <w:r>
        <w:t>Participant</w:t>
      </w:r>
      <w:r w:rsidRPr="00890C6A">
        <w:t xml:space="preserve"> from meeting the </w:t>
      </w:r>
      <w:r>
        <w:t>Mutual Obligation R</w:t>
      </w:r>
      <w:r w:rsidRPr="00890C6A">
        <w:t xml:space="preserve">equirement at the relevant time that the </w:t>
      </w:r>
      <w:r>
        <w:t>Mutual Obligation F</w:t>
      </w:r>
      <w:r w:rsidRPr="00890C6A">
        <w:t>ailure occurred</w:t>
      </w:r>
    </w:p>
    <w:p w14:paraId="0E9F6D34" w14:textId="44392D19" w:rsidR="00035383" w:rsidRPr="00997343" w:rsidRDefault="00035383" w:rsidP="00496ED7">
      <w:pPr>
        <w:pStyle w:val="guidelinebullet"/>
        <w:numPr>
          <w:ilvl w:val="1"/>
          <w:numId w:val="6"/>
        </w:numPr>
        <w:ind w:left="1134"/>
      </w:pPr>
      <w:r w:rsidRPr="00997343">
        <w:t xml:space="preserve">would </w:t>
      </w:r>
      <w:proofErr w:type="gramStart"/>
      <w:r w:rsidRPr="00997343">
        <w:t>be considered to be</w:t>
      </w:r>
      <w:proofErr w:type="gramEnd"/>
      <w:r w:rsidRPr="00997343">
        <w:t xml:space="preserve"> reasonable by a member of the general public</w:t>
      </w:r>
    </w:p>
    <w:p w14:paraId="152D1678" w14:textId="607CA4CD" w:rsidR="00035383" w:rsidRPr="00997343" w:rsidRDefault="00035383" w:rsidP="00496ED7">
      <w:pPr>
        <w:pStyle w:val="guidelinebullet"/>
        <w:numPr>
          <w:ilvl w:val="1"/>
          <w:numId w:val="6"/>
        </w:numPr>
        <w:ind w:left="1134"/>
      </w:pPr>
      <w:r w:rsidRPr="00997343">
        <w:t>aligns with their personal circumstances as known by the Provider</w:t>
      </w:r>
    </w:p>
    <w:p w14:paraId="7DC3C45E" w14:textId="45F95D33" w:rsidR="00035383" w:rsidRPr="00997343" w:rsidRDefault="00035383" w:rsidP="005B6382">
      <w:pPr>
        <w:pStyle w:val="guidelinetext"/>
        <w:numPr>
          <w:ilvl w:val="0"/>
          <w:numId w:val="9"/>
        </w:numPr>
        <w:spacing w:before="60" w:line="240" w:lineRule="auto"/>
        <w:ind w:left="714" w:hanging="357"/>
      </w:pPr>
      <w:r w:rsidRPr="00997343">
        <w:t xml:space="preserve">it would have been unreasonable to expect the </w:t>
      </w:r>
      <w:r>
        <w:t>Participant</w:t>
      </w:r>
      <w:r w:rsidRPr="00997343">
        <w:t xml:space="preserve"> to give prior notice of their inability to meet the relevant Mutual Obligation Requirement.</w:t>
      </w:r>
    </w:p>
    <w:p w14:paraId="5A5154FD" w14:textId="2BE22DF3" w:rsidR="00035383" w:rsidRDefault="00035383" w:rsidP="005B6382">
      <w:pPr>
        <w:tabs>
          <w:tab w:val="right" w:pos="1701"/>
        </w:tabs>
      </w:pPr>
      <w:r>
        <w:t xml:space="preserve">However, note </w:t>
      </w:r>
      <w:r w:rsidRPr="005B6382">
        <w:rPr>
          <w:rFonts w:asciiTheme="minorHAnsi" w:hAnsiTheme="minorHAnsi" w:cstheme="minorHAnsi"/>
          <w:szCs w:val="22"/>
        </w:rPr>
        <w:t>the</w:t>
      </w:r>
      <w:r>
        <w:t xml:space="preserve"> exception to the above discussed below under the heading </w:t>
      </w:r>
      <w:r w:rsidRPr="00883013">
        <w:t>‘Drug and alcohol dependency or misuse’.</w:t>
      </w:r>
    </w:p>
    <w:p w14:paraId="7D365E13" w14:textId="28CB2FFB" w:rsidR="00035383" w:rsidRDefault="00035383" w:rsidP="005B6382">
      <w:pPr>
        <w:pStyle w:val="DeedReferences"/>
      </w:pPr>
      <w:r>
        <w:t>(</w:t>
      </w:r>
      <w:r w:rsidR="0073392F">
        <w:t>Grant Agreement</w:t>
      </w:r>
      <w:r>
        <w:t xml:space="preserve"> </w:t>
      </w:r>
      <w:r w:rsidR="005C62B3">
        <w:t xml:space="preserve">references: </w:t>
      </w:r>
      <w:r>
        <w:t>clauses 11</w:t>
      </w:r>
      <w:r w:rsidR="0073392F">
        <w:t>1</w:t>
      </w:r>
      <w:r>
        <w:t>.4, 11</w:t>
      </w:r>
      <w:r w:rsidR="0073392F">
        <w:t>1</w:t>
      </w:r>
      <w:r>
        <w:t>.6, 11</w:t>
      </w:r>
      <w:r w:rsidR="0073392F">
        <w:t>1</w:t>
      </w:r>
      <w:r>
        <w:t>.11)</w:t>
      </w:r>
    </w:p>
    <w:p w14:paraId="29C3FBE2" w14:textId="77777777" w:rsidR="00035383" w:rsidRPr="00757C4D" w:rsidRDefault="00035383" w:rsidP="005B6382">
      <w:pPr>
        <w:spacing w:before="240"/>
        <w:rPr>
          <w:sz w:val="24"/>
          <w:u w:val="single"/>
        </w:rPr>
      </w:pPr>
      <w:bookmarkStart w:id="72" w:name="_Drug_and_alcohol"/>
      <w:bookmarkStart w:id="73" w:name="_Toc21095870"/>
      <w:bookmarkEnd w:id="72"/>
      <w:r w:rsidRPr="00973A61">
        <w:rPr>
          <w:sz w:val="24"/>
          <w:u w:val="single"/>
        </w:rPr>
        <w:t>Drug and alcohol dependency or misuse</w:t>
      </w:r>
      <w:bookmarkEnd w:id="73"/>
    </w:p>
    <w:p w14:paraId="5EA2E60A" w14:textId="5577E552" w:rsidR="00035383" w:rsidRPr="001F571E" w:rsidRDefault="00035383" w:rsidP="00757C4D">
      <w:pPr>
        <w:tabs>
          <w:tab w:val="right" w:pos="1701"/>
        </w:tabs>
      </w:pPr>
      <w:r>
        <w:t>T</w:t>
      </w:r>
      <w:r w:rsidRPr="001F571E">
        <w:t xml:space="preserve">here are limits on the circumstances in which a Provider can determine that </w:t>
      </w:r>
      <w:r>
        <w:t xml:space="preserve">a Participant’s </w:t>
      </w:r>
      <w:r w:rsidRPr="001F571E">
        <w:t xml:space="preserve">drug or alcohol </w:t>
      </w:r>
      <w:r w:rsidRPr="005B6382">
        <w:rPr>
          <w:rFonts w:asciiTheme="minorHAnsi" w:hAnsiTheme="minorHAnsi" w:cstheme="minorHAnsi"/>
          <w:szCs w:val="22"/>
        </w:rPr>
        <w:t>misuse</w:t>
      </w:r>
      <w:r w:rsidRPr="001F571E">
        <w:t xml:space="preserve"> or dependency is a Valid Reason</w:t>
      </w:r>
      <w:r>
        <w:t xml:space="preserve"> for a Mutual Obligation Failure</w:t>
      </w:r>
      <w:r w:rsidRPr="001F571E">
        <w:t>. Valid Reason determinati</w:t>
      </w:r>
      <w:r>
        <w:t xml:space="preserve">ons are discussed above in the </w:t>
      </w:r>
      <w:r w:rsidR="00757C4D">
        <w:t>‘</w:t>
      </w:r>
      <w:r w:rsidR="00757C4D" w:rsidRPr="00757C4D">
        <w:t>Prior notice and Acceptable Reasons</w:t>
      </w:r>
      <w:r w:rsidR="00757C4D">
        <w:t>’</w:t>
      </w:r>
      <w:r>
        <w:t xml:space="preserve"> and </w:t>
      </w:r>
      <w:r w:rsidR="00757C4D">
        <w:t>‘</w:t>
      </w:r>
      <w:r w:rsidR="00757C4D" w:rsidRPr="00757C4D">
        <w:t>Assessing Valid Reasons</w:t>
      </w:r>
      <w:r w:rsidR="00757C4D">
        <w:t>’</w:t>
      </w:r>
      <w:r w:rsidRPr="001F571E">
        <w:t xml:space="preserve"> sections of this Guideline. Subject to what is stated in those sections, the first time a </w:t>
      </w:r>
      <w:r>
        <w:t>Participant</w:t>
      </w:r>
      <w:r w:rsidRPr="001F571E">
        <w:t xml:space="preserve"> cites drug or alcohol misuse or dependency as the reason they have committed a Mutual Obligation Failure, </w:t>
      </w:r>
      <w:r>
        <w:t xml:space="preserve">the </w:t>
      </w:r>
      <w:r w:rsidRPr="00757C4D">
        <w:rPr>
          <w:rFonts w:asciiTheme="minorHAnsi" w:hAnsiTheme="minorHAnsi" w:cstheme="minorHAnsi"/>
          <w:szCs w:val="22"/>
        </w:rPr>
        <w:t>Provider</w:t>
      </w:r>
      <w:r w:rsidRPr="001F571E">
        <w:t xml:space="preserve"> may determine that this is a Valid Reason. </w:t>
      </w:r>
      <w:r>
        <w:t xml:space="preserve">If the Participant does this, the </w:t>
      </w:r>
      <w:r w:rsidRPr="001F571E">
        <w:t xml:space="preserve">Provider </w:t>
      </w:r>
      <w:r>
        <w:t>must</w:t>
      </w:r>
      <w:r w:rsidRPr="001F571E">
        <w:t xml:space="preserve"> identify and source </w:t>
      </w:r>
      <w:r>
        <w:t xml:space="preserve">an </w:t>
      </w:r>
      <w:r w:rsidRPr="001F571E">
        <w:t xml:space="preserve">available and appropriate treatment </w:t>
      </w:r>
      <w:proofErr w:type="gramStart"/>
      <w:r w:rsidRPr="001F571E">
        <w:t>program, and</w:t>
      </w:r>
      <w:proofErr w:type="gramEnd"/>
      <w:r w:rsidRPr="001F571E">
        <w:t xml:space="preserve"> </w:t>
      </w:r>
      <w:r>
        <w:t>must</w:t>
      </w:r>
      <w:r w:rsidRPr="001F571E">
        <w:t xml:space="preserve"> encourage </w:t>
      </w:r>
      <w:r>
        <w:t>the Participant</w:t>
      </w:r>
      <w:r w:rsidRPr="001F571E">
        <w:t xml:space="preserve"> to participate</w:t>
      </w:r>
      <w:r>
        <w:t xml:space="preserve"> in that program</w:t>
      </w:r>
      <w:r w:rsidRPr="001F571E">
        <w:t xml:space="preserve">. Participation in treatment services to address drug or alcohol misuse or </w:t>
      </w:r>
      <w:r>
        <w:t>dependency</w:t>
      </w:r>
      <w:r w:rsidRPr="001F571E">
        <w:t xml:space="preserve"> </w:t>
      </w:r>
      <w:r>
        <w:t xml:space="preserve">may reduce other </w:t>
      </w:r>
      <w:r w:rsidRPr="001F571E">
        <w:t>Mutual Obligation Requirement</w:t>
      </w:r>
      <w:r>
        <w:t>s</w:t>
      </w:r>
      <w:r w:rsidRPr="001F571E">
        <w:t>.</w:t>
      </w:r>
      <w:r>
        <w:t xml:space="preserve"> See </w:t>
      </w:r>
      <w:r w:rsidRPr="00883013">
        <w:t xml:space="preserve">the </w:t>
      </w:r>
      <w:r w:rsidR="00757C4D" w:rsidRPr="00757C4D">
        <w:rPr>
          <w:i/>
        </w:rPr>
        <w:t>Managing and Monitoring Mutual Obligation Requirements</w:t>
      </w:r>
      <w:r w:rsidRPr="00757C4D">
        <w:rPr>
          <w:i/>
        </w:rPr>
        <w:t xml:space="preserve"> Guideline</w:t>
      </w:r>
      <w:r w:rsidRPr="00883013">
        <w:t xml:space="preserve"> for infor</w:t>
      </w:r>
      <w:r>
        <w:t>mation on setting Mutual Obligation Requirements.</w:t>
      </w:r>
    </w:p>
    <w:p w14:paraId="2A5FFEC7" w14:textId="77777777" w:rsidR="00035383" w:rsidRPr="00546BAF" w:rsidRDefault="00035383" w:rsidP="00757C4D">
      <w:pPr>
        <w:tabs>
          <w:tab w:val="right" w:pos="1701"/>
        </w:tabs>
      </w:pPr>
      <w:r>
        <w:t xml:space="preserve">If </w:t>
      </w:r>
      <w:r w:rsidRPr="001F571E">
        <w:t xml:space="preserve">a </w:t>
      </w:r>
      <w:r>
        <w:t>Participant</w:t>
      </w:r>
      <w:r w:rsidRPr="001F571E">
        <w:t xml:space="preserve"> cites drug or alcohol misuse or dependency as the reason they have committed a Mutual Obligation Failure, </w:t>
      </w:r>
      <w:r>
        <w:t xml:space="preserve">the </w:t>
      </w:r>
      <w:r w:rsidRPr="001F571E">
        <w:t>Provider</w:t>
      </w:r>
      <w:r>
        <w:t xml:space="preserve"> must not </w:t>
      </w:r>
      <w:r w:rsidRPr="001F571E">
        <w:t>determine that this is a Valid Reason</w:t>
      </w:r>
      <w:r>
        <w:t xml:space="preserve"> if:</w:t>
      </w:r>
    </w:p>
    <w:p w14:paraId="3FBDD669" w14:textId="73A54C9C"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previously committed a </w:t>
      </w:r>
      <w:r>
        <w:t>Mutual Obligation F</w:t>
      </w:r>
      <w:r w:rsidRPr="00546BAF">
        <w:t>ailure on or after 1</w:t>
      </w:r>
      <w:r>
        <w:t> </w:t>
      </w:r>
      <w:r w:rsidRPr="00546BAF">
        <w:t>July 2018</w:t>
      </w:r>
    </w:p>
    <w:p w14:paraId="70D743DF" w14:textId="2778E400" w:rsidR="00035383" w:rsidRPr="00546BAF" w:rsidRDefault="00035383" w:rsidP="00757C4D">
      <w:pPr>
        <w:pStyle w:val="guidelinetext"/>
        <w:numPr>
          <w:ilvl w:val="0"/>
          <w:numId w:val="9"/>
        </w:numPr>
        <w:spacing w:before="60" w:line="240" w:lineRule="auto"/>
        <w:ind w:left="714" w:hanging="357"/>
      </w:pPr>
      <w:r>
        <w:t>the Provider determined that the Participant’s</w:t>
      </w:r>
      <w:r w:rsidRPr="00546BAF">
        <w:t xml:space="preserve"> drug or alcohol misuse or dependency </w:t>
      </w:r>
      <w:r>
        <w:t>was a Valid Reason for that previous Mutual Obligation Failure, so it did not result in a Demerit</w:t>
      </w:r>
    </w:p>
    <w:p w14:paraId="0D53B807" w14:textId="63CF9A0E" w:rsidR="00035383" w:rsidRPr="00546BAF" w:rsidRDefault="00035383" w:rsidP="00757C4D">
      <w:pPr>
        <w:pStyle w:val="guidelinetext"/>
        <w:numPr>
          <w:ilvl w:val="0"/>
          <w:numId w:val="9"/>
        </w:numPr>
        <w:spacing w:before="60" w:line="240" w:lineRule="auto"/>
        <w:ind w:left="714" w:hanging="357"/>
      </w:pPr>
      <w:proofErr w:type="gramStart"/>
      <w:r w:rsidRPr="00546BAF">
        <w:t>as a result of</w:t>
      </w:r>
      <w:proofErr w:type="gramEnd"/>
      <w:r w:rsidRPr="00546BAF">
        <w:t xml:space="preserve"> the </w:t>
      </w:r>
      <w:r>
        <w:t>Mutual Obligation Failure</w:t>
      </w:r>
      <w:r w:rsidRPr="00546BAF">
        <w:t xml:space="preserve">, </w:t>
      </w:r>
      <w:r>
        <w:t>the Provider referred to Participant</w:t>
      </w:r>
      <w:r w:rsidRPr="00546BAF">
        <w:t xml:space="preserve"> to treatment to address the drug or alcohol misuse or dependency</w:t>
      </w:r>
    </w:p>
    <w:p w14:paraId="5FC79B50" w14:textId="77777777"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refused or failed </w:t>
      </w:r>
      <w:r>
        <w:t>to participate in the treatment.</w:t>
      </w:r>
    </w:p>
    <w:p w14:paraId="079E43CD" w14:textId="77777777" w:rsidR="00035383" w:rsidRPr="00546BAF" w:rsidRDefault="00035383" w:rsidP="00757C4D">
      <w:pPr>
        <w:tabs>
          <w:tab w:val="right" w:pos="1701"/>
        </w:tabs>
      </w:pPr>
      <w:r>
        <w:t xml:space="preserve">The </w:t>
      </w:r>
      <w:r w:rsidRPr="001F571E">
        <w:t>Provider</w:t>
      </w:r>
      <w:r>
        <w:t xml:space="preserve"> </w:t>
      </w:r>
      <w:r w:rsidRPr="005B6382">
        <w:rPr>
          <w:rFonts w:asciiTheme="minorHAnsi" w:hAnsiTheme="minorHAnsi" w:cstheme="minorHAnsi"/>
          <w:szCs w:val="22"/>
        </w:rPr>
        <w:t>must</w:t>
      </w:r>
      <w:r>
        <w:t xml:space="preserve"> not </w:t>
      </w:r>
      <w:r w:rsidRPr="001F571E">
        <w:t>determine that drug or alcohol misuse or dependency is a Valid Reason</w:t>
      </w:r>
      <w:r>
        <w:t xml:space="preserve"> in the circumstances described above, unless </w:t>
      </w:r>
      <w:r w:rsidRPr="00546BAF">
        <w:t>one of the following applies</w:t>
      </w:r>
      <w:r>
        <w:t>:</w:t>
      </w:r>
    </w:p>
    <w:p w14:paraId="5D9BCCFD" w14:textId="3507928C" w:rsidR="00035383" w:rsidRPr="00546BAF" w:rsidRDefault="00035383" w:rsidP="00757C4D">
      <w:pPr>
        <w:pStyle w:val="guidelinetext"/>
        <w:numPr>
          <w:ilvl w:val="0"/>
          <w:numId w:val="9"/>
        </w:numPr>
        <w:spacing w:before="60" w:line="240" w:lineRule="auto"/>
        <w:ind w:left="714" w:hanging="357"/>
      </w:pPr>
      <w:r w:rsidRPr="00546BAF">
        <w:t xml:space="preserve">the treatment </w:t>
      </w:r>
      <w:r>
        <w:t xml:space="preserve">that the Participant was referred to </w:t>
      </w:r>
      <w:r w:rsidRPr="00546BAF">
        <w:t xml:space="preserve">was not available or appropriate for the </w:t>
      </w:r>
      <w:r>
        <w:t>Participant</w:t>
      </w:r>
    </w:p>
    <w:p w14:paraId="3D13E49F" w14:textId="7E8DE344"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was genuinely unable to participate in the treatment</w:t>
      </w:r>
    </w:p>
    <w:p w14:paraId="3F367204" w14:textId="2454A2D0" w:rsidR="00035383" w:rsidRPr="00546BAF" w:rsidRDefault="00035383" w:rsidP="00757C4D">
      <w:pPr>
        <w:pStyle w:val="guidelinetext"/>
        <w:numPr>
          <w:ilvl w:val="0"/>
          <w:numId w:val="9"/>
        </w:numPr>
        <w:spacing w:before="60" w:line="240" w:lineRule="auto"/>
        <w:ind w:left="714" w:hanging="357"/>
      </w:pPr>
      <w:r w:rsidRPr="00546BAF">
        <w:t xml:space="preserve">the </w:t>
      </w:r>
      <w:r>
        <w:t>Participant</w:t>
      </w:r>
      <w:r w:rsidRPr="00546BAF">
        <w:t xml:space="preserve"> agreed to participate in the treatment but, despite taking all reasonable steps to commence the treatment, the treatment did not commence</w:t>
      </w:r>
      <w:r w:rsidR="00757C4D">
        <w:t>,</w:t>
      </w:r>
      <w:r w:rsidRPr="00546BAF">
        <w:t xml:space="preserve"> or</w:t>
      </w:r>
    </w:p>
    <w:p w14:paraId="26C0DD85" w14:textId="77777777" w:rsidR="00035383" w:rsidRPr="00546BAF" w:rsidRDefault="00035383" w:rsidP="00757C4D">
      <w:pPr>
        <w:pStyle w:val="guidelinetext"/>
        <w:numPr>
          <w:ilvl w:val="0"/>
          <w:numId w:val="9"/>
        </w:numPr>
        <w:spacing w:before="60" w:line="240" w:lineRule="auto"/>
        <w:ind w:left="714" w:hanging="357"/>
      </w:pPr>
      <w:r w:rsidRPr="00546BAF">
        <w:t xml:space="preserve">before the </w:t>
      </w:r>
      <w:r>
        <w:t>Participant</w:t>
      </w:r>
      <w:r w:rsidRPr="00546BAF">
        <w:t xml:space="preserve"> was referred to the treatment, the </w:t>
      </w:r>
      <w:r>
        <w:t>Participant</w:t>
      </w:r>
      <w:r w:rsidRPr="00546BAF">
        <w:t xml:space="preserve"> had:</w:t>
      </w:r>
    </w:p>
    <w:p w14:paraId="4FFEF788" w14:textId="5DF6C9D2" w:rsidR="00035383" w:rsidRPr="00546BAF" w:rsidRDefault="00035383" w:rsidP="00973A61">
      <w:pPr>
        <w:pStyle w:val="guidelinebullet"/>
        <w:numPr>
          <w:ilvl w:val="1"/>
          <w:numId w:val="6"/>
        </w:numPr>
        <w:ind w:left="1134"/>
      </w:pPr>
      <w:r w:rsidRPr="00546BAF">
        <w:t>completed the same type of treatment as the treatment they were referred to</w:t>
      </w:r>
      <w:r w:rsidR="00757C4D">
        <w:t>,</w:t>
      </w:r>
      <w:r w:rsidR="00757C4D" w:rsidRPr="00546BAF">
        <w:t xml:space="preserve"> </w:t>
      </w:r>
      <w:r w:rsidRPr="00546BAF">
        <w:t>or</w:t>
      </w:r>
    </w:p>
    <w:p w14:paraId="036AE970" w14:textId="5FA96956" w:rsidR="00035383" w:rsidRPr="00546BAF" w:rsidRDefault="00035383" w:rsidP="00973A61">
      <w:pPr>
        <w:pStyle w:val="guidelinebullet"/>
        <w:numPr>
          <w:ilvl w:val="1"/>
          <w:numId w:val="6"/>
        </w:numPr>
        <w:ind w:left="1134"/>
      </w:pPr>
      <w:r w:rsidRPr="00546BAF">
        <w:t xml:space="preserve">completed treatment that was substantially </w:t>
      </w:r>
      <w:proofErr w:type="gramStart"/>
      <w:r w:rsidRPr="00546BAF">
        <w:t>similar to</w:t>
      </w:r>
      <w:proofErr w:type="gramEnd"/>
      <w:r w:rsidRPr="00546BAF">
        <w:t xml:space="preserve"> the treatment they were referred to</w:t>
      </w:r>
    </w:p>
    <w:p w14:paraId="378A16AD" w14:textId="3407E047" w:rsidR="00035383" w:rsidRDefault="00035383" w:rsidP="00757C4D">
      <w:pPr>
        <w:tabs>
          <w:tab w:val="right" w:pos="1701"/>
        </w:tabs>
      </w:pPr>
      <w:r w:rsidRPr="00546BAF">
        <w:t xml:space="preserve">and, in the opinion of an appropriately qualified medical professional, the </w:t>
      </w:r>
      <w:r>
        <w:t>Participant</w:t>
      </w:r>
      <w:r w:rsidRPr="00546BAF">
        <w:t xml:space="preserve"> would not benefit from </w:t>
      </w:r>
      <w:r w:rsidRPr="005B6382">
        <w:rPr>
          <w:rFonts w:asciiTheme="minorHAnsi" w:hAnsiTheme="minorHAnsi" w:cstheme="minorHAnsi"/>
          <w:szCs w:val="22"/>
        </w:rPr>
        <w:t>further</w:t>
      </w:r>
      <w:r w:rsidRPr="00546BAF">
        <w:t xml:space="preserve"> treatment of the same kind as the type of treatment already completed by the person.</w:t>
      </w:r>
    </w:p>
    <w:p w14:paraId="4794AC09" w14:textId="77777777" w:rsidR="00035383" w:rsidRPr="00757C4D" w:rsidRDefault="00035383" w:rsidP="005B6382">
      <w:pPr>
        <w:spacing w:before="240"/>
        <w:rPr>
          <w:sz w:val="24"/>
          <w:u w:val="single"/>
        </w:rPr>
      </w:pPr>
      <w:bookmarkStart w:id="74" w:name="_When_the_job_1"/>
      <w:bookmarkStart w:id="75" w:name="_Toc21095871"/>
      <w:bookmarkStart w:id="76" w:name="DBAV"/>
      <w:bookmarkEnd w:id="74"/>
      <w:r w:rsidRPr="00973A61">
        <w:rPr>
          <w:sz w:val="24"/>
          <w:u w:val="single"/>
        </w:rPr>
        <w:t>When the Participant has a Valid Reason</w:t>
      </w:r>
      <w:bookmarkEnd w:id="75"/>
      <w:bookmarkEnd w:id="76"/>
    </w:p>
    <w:p w14:paraId="0F906B0A" w14:textId="6A8AB102" w:rsidR="00757C4D" w:rsidRPr="007C45B4" w:rsidRDefault="00035383" w:rsidP="005B6382">
      <w:pPr>
        <w:tabs>
          <w:tab w:val="right" w:pos="1701"/>
        </w:tabs>
      </w:pPr>
      <w:r>
        <w:t xml:space="preserve">On the day that a Provider assesses whether a </w:t>
      </w:r>
      <w:r>
        <w:rPr>
          <w:rFonts w:cstheme="minorHAnsi"/>
          <w:iCs/>
        </w:rPr>
        <w:t>Participant has a Valid Reason</w:t>
      </w:r>
      <w:r>
        <w:t xml:space="preserve"> for a Mutual Obligation Failure, they must </w:t>
      </w:r>
      <w:r w:rsidR="00757C4D" w:rsidRPr="007C45B4">
        <w:t>record this assessment in the Department’s IT Systems. The way to record this assessment can differ, depending on the type of Mutual Obligation Failure that the Participant has committed. The steps that the Provider must take, depending on the type of Mutual Obligation Failure, are described below.</w:t>
      </w:r>
    </w:p>
    <w:p w14:paraId="32670D77" w14:textId="77777777" w:rsidR="00757C4D" w:rsidRPr="007C45B4" w:rsidRDefault="00757C4D" w:rsidP="005B6382">
      <w:pPr>
        <w:tabs>
          <w:tab w:val="right" w:pos="1701"/>
        </w:tabs>
      </w:pPr>
      <w:r w:rsidRPr="007C45B4">
        <w:t xml:space="preserve">When the </w:t>
      </w:r>
      <w:r w:rsidRPr="005B6382">
        <w:rPr>
          <w:rFonts w:asciiTheme="minorHAnsi" w:hAnsiTheme="minorHAnsi" w:cstheme="minorHAnsi"/>
          <w:szCs w:val="22"/>
        </w:rPr>
        <w:t>Provider</w:t>
      </w:r>
      <w:r w:rsidRPr="007C45B4">
        <w:t xml:space="preserve"> records that the Participant has a Valid Reason, the Provider must also select a description of the relevant Valid Reason from a drop-down menu that will appear. In selecting a Valid Reason option, the Provider must select the option that is most </w:t>
      </w:r>
      <w:proofErr w:type="gramStart"/>
      <w:r w:rsidRPr="007C45B4">
        <w:t>similar to</w:t>
      </w:r>
      <w:proofErr w:type="gramEnd"/>
      <w:r w:rsidRPr="007C45B4">
        <w:t xml:space="preserve"> the Participant’s Valid Reason as they described it to the Provider. The Provider must not use the options in the drop-down menus to prompt or elicit responses from the Participant. By recording a reason that is Valid, the Provider is:</w:t>
      </w:r>
    </w:p>
    <w:p w14:paraId="367C55DD" w14:textId="77777777" w:rsidR="00757C4D" w:rsidRPr="007C45B4" w:rsidRDefault="00757C4D" w:rsidP="00757C4D">
      <w:pPr>
        <w:pStyle w:val="guidelinetext"/>
        <w:numPr>
          <w:ilvl w:val="0"/>
          <w:numId w:val="9"/>
        </w:numPr>
        <w:spacing w:before="60" w:line="240" w:lineRule="auto"/>
        <w:ind w:left="714" w:hanging="357"/>
      </w:pPr>
      <w:r w:rsidRPr="007C45B4">
        <w:t>finalising the Mutual Obligation Failure and preventing the payment suspension if the Participant’s Income Support Payment has not yet been suspended</w:t>
      </w:r>
    </w:p>
    <w:p w14:paraId="5AF6CBA3" w14:textId="330F0EBA" w:rsidR="00757C4D" w:rsidRPr="007C45B4" w:rsidRDefault="00757C4D" w:rsidP="00757C4D">
      <w:pPr>
        <w:pStyle w:val="guidelinetext"/>
        <w:numPr>
          <w:ilvl w:val="0"/>
          <w:numId w:val="9"/>
        </w:numPr>
        <w:spacing w:before="60" w:line="240" w:lineRule="auto"/>
        <w:ind w:left="714" w:hanging="357"/>
      </w:pPr>
      <w:r w:rsidRPr="007C45B4">
        <w:t>lifting the Participant’s payment suspension if the Participant’s Income Support Payment is suspended</w:t>
      </w:r>
    </w:p>
    <w:p w14:paraId="48EF0993" w14:textId="77777777" w:rsidR="00757C4D" w:rsidRPr="007C45B4" w:rsidRDefault="00757C4D" w:rsidP="00757C4D">
      <w:pPr>
        <w:pStyle w:val="guidelinetext"/>
        <w:numPr>
          <w:ilvl w:val="0"/>
          <w:numId w:val="9"/>
        </w:numPr>
        <w:spacing w:before="60" w:line="240" w:lineRule="auto"/>
        <w:ind w:left="714" w:hanging="357"/>
      </w:pPr>
      <w:r w:rsidRPr="007C45B4">
        <w:t>removing the relevant Demerit from the Participant’s record.</w:t>
      </w:r>
    </w:p>
    <w:p w14:paraId="55AAD508" w14:textId="5C2290B5" w:rsidR="00035383" w:rsidRDefault="00035383" w:rsidP="00757C4D">
      <w:pPr>
        <w:tabs>
          <w:tab w:val="right" w:pos="1701"/>
        </w:tabs>
      </w:pPr>
      <w:r>
        <w:t xml:space="preserve">A full list of </w:t>
      </w:r>
      <w:r w:rsidRPr="005B6382">
        <w:rPr>
          <w:rFonts w:asciiTheme="minorHAnsi" w:hAnsiTheme="minorHAnsi" w:cstheme="minorHAnsi"/>
          <w:szCs w:val="22"/>
        </w:rPr>
        <w:t>these</w:t>
      </w:r>
      <w:r>
        <w:t xml:space="preserve"> drop-down menu options can be found at </w:t>
      </w:r>
      <w:r w:rsidR="00757C4D" w:rsidRPr="00757C4D">
        <w:t xml:space="preserve">Attachment </w:t>
      </w:r>
      <w:r w:rsidR="00757C4D">
        <w:t>E</w:t>
      </w:r>
      <w:r w:rsidRPr="00FE62FB">
        <w:t>.</w:t>
      </w:r>
      <w:r>
        <w:t xml:space="preserve"> In the Department’s IT Systems:</w:t>
      </w:r>
    </w:p>
    <w:p w14:paraId="15BB8055" w14:textId="61BD44E2" w:rsidR="00035383" w:rsidRDefault="00035383" w:rsidP="00757C4D">
      <w:pPr>
        <w:pStyle w:val="guidelinetext"/>
        <w:numPr>
          <w:ilvl w:val="0"/>
          <w:numId w:val="9"/>
        </w:numPr>
        <w:spacing w:before="60" w:line="240" w:lineRule="auto"/>
        <w:ind w:left="714" w:hanging="357"/>
      </w:pPr>
      <w:r>
        <w:t>‘</w:t>
      </w:r>
      <w:proofErr w:type="gramStart"/>
      <w:r>
        <w:t>reasons</w:t>
      </w:r>
      <w:proofErr w:type="gramEnd"/>
      <w:r>
        <w:t xml:space="preserve"> accepted’ refers to reasons that the Provider dete</w:t>
      </w:r>
      <w:r w:rsidR="00757C4D">
        <w:t>rmines are Valid Reasons</w:t>
      </w:r>
    </w:p>
    <w:p w14:paraId="5536E9FC" w14:textId="2EC54D98" w:rsidR="00035383" w:rsidRDefault="00035383" w:rsidP="00757C4D">
      <w:pPr>
        <w:pStyle w:val="guidelinetext"/>
        <w:numPr>
          <w:ilvl w:val="0"/>
          <w:numId w:val="9"/>
        </w:numPr>
        <w:spacing w:before="60" w:line="240" w:lineRule="auto"/>
        <w:ind w:left="714" w:hanging="357"/>
      </w:pPr>
      <w:r>
        <w:t>‘</w:t>
      </w:r>
      <w:proofErr w:type="gramStart"/>
      <w:r>
        <w:t>reasons</w:t>
      </w:r>
      <w:proofErr w:type="gramEnd"/>
      <w:r>
        <w:t xml:space="preserve"> not accepted’ refers to reasons that the Provider determines are not Valid Reasons.</w:t>
      </w:r>
    </w:p>
    <w:p w14:paraId="0B3E395A" w14:textId="77777777" w:rsidR="00F45766" w:rsidRPr="00F45766" w:rsidRDefault="00F45766" w:rsidP="00F45766">
      <w:pPr>
        <w:spacing w:before="240"/>
        <w:rPr>
          <w:i/>
          <w:u w:val="single"/>
        </w:rPr>
      </w:pPr>
      <w:r w:rsidRPr="00F45766">
        <w:rPr>
          <w:i/>
          <w:u w:val="single"/>
        </w:rPr>
        <w:t>Failures against requirements that are in the Participant’s Electronic Calendar</w:t>
      </w:r>
    </w:p>
    <w:p w14:paraId="6D2ADD73" w14:textId="77777777" w:rsidR="00F45766" w:rsidRPr="007C45B4" w:rsidRDefault="00F45766" w:rsidP="00F45766">
      <w:pPr>
        <w:tabs>
          <w:tab w:val="right" w:pos="1701"/>
        </w:tabs>
      </w:pPr>
      <w:r w:rsidRPr="007C45B4">
        <w:t xml:space="preserve">On the day that the Provider determines that a </w:t>
      </w:r>
      <w:r w:rsidRPr="007C45B4">
        <w:rPr>
          <w:rFonts w:cstheme="minorHAnsi"/>
          <w:iCs/>
        </w:rPr>
        <w:t>Participant has a Valid Reason</w:t>
      </w:r>
      <w:r w:rsidRPr="007C45B4">
        <w:t xml:space="preserve"> for a Mutual Obligation </w:t>
      </w:r>
      <w:r w:rsidRPr="005B6382">
        <w:rPr>
          <w:rFonts w:asciiTheme="minorHAnsi" w:hAnsiTheme="minorHAnsi" w:cstheme="minorHAnsi"/>
          <w:szCs w:val="22"/>
        </w:rPr>
        <w:t>Failure</w:t>
      </w:r>
      <w:r w:rsidRPr="007C45B4">
        <w:t>:</w:t>
      </w:r>
    </w:p>
    <w:p w14:paraId="207E87FB" w14:textId="77777777" w:rsidR="00F45766" w:rsidRPr="007C45B4" w:rsidRDefault="00F45766" w:rsidP="00F45766">
      <w:pPr>
        <w:pStyle w:val="guidelinetext"/>
        <w:numPr>
          <w:ilvl w:val="0"/>
          <w:numId w:val="9"/>
        </w:numPr>
        <w:spacing w:before="60" w:line="240" w:lineRule="auto"/>
        <w:ind w:left="714" w:hanging="357"/>
      </w:pPr>
      <w:r w:rsidRPr="007C45B4">
        <w:t xml:space="preserve">If the Provider has not already recorded an attendance result in relation to the relevant Mutual Obligation Requirement—the Provider must select ‘Did Not Attend—Valid’. </w:t>
      </w:r>
    </w:p>
    <w:p w14:paraId="31335DC2" w14:textId="177DD50C" w:rsidR="00F45766" w:rsidRPr="007C45B4" w:rsidRDefault="00F45766" w:rsidP="00F45766">
      <w:pPr>
        <w:pStyle w:val="guidelinetext"/>
        <w:numPr>
          <w:ilvl w:val="0"/>
          <w:numId w:val="9"/>
        </w:numPr>
        <w:spacing w:before="60" w:line="240" w:lineRule="auto"/>
        <w:ind w:left="714" w:hanging="357"/>
      </w:pPr>
      <w:r w:rsidRPr="007C45B4">
        <w:t xml:space="preserve">If the Provider has already recorded ‘Did Not Attend—Invalid’ or ‘Misconduct’ in relation to the relevant Mutual Obligation Requirement—the Provider must select ‘Yes’ in response to the question of whether they accept the </w:t>
      </w:r>
      <w:r>
        <w:t>Participant</w:t>
      </w:r>
      <w:r w:rsidRPr="007C45B4">
        <w:t>’s given reason.</w:t>
      </w:r>
    </w:p>
    <w:p w14:paraId="1AA0B073" w14:textId="77777777" w:rsidR="00F45766" w:rsidRPr="00F45766" w:rsidRDefault="00F45766" w:rsidP="00F45766">
      <w:pPr>
        <w:spacing w:before="240"/>
        <w:rPr>
          <w:i/>
          <w:u w:val="single"/>
        </w:rPr>
      </w:pPr>
      <w:r w:rsidRPr="00F45766">
        <w:rPr>
          <w:i/>
          <w:u w:val="single"/>
        </w:rPr>
        <w:t>Failures to undertake adequate Job Searches</w:t>
      </w:r>
    </w:p>
    <w:p w14:paraId="219DDE82" w14:textId="591588FA" w:rsidR="00F45766" w:rsidRPr="007C45B4" w:rsidRDefault="00F45766" w:rsidP="00F45766">
      <w:pPr>
        <w:tabs>
          <w:tab w:val="right" w:pos="1701"/>
        </w:tabs>
      </w:pPr>
      <w:r w:rsidRPr="007C45B4">
        <w:t xml:space="preserve">For failures to undertake adequate Job Searches, on the day that the Provider determines that a </w:t>
      </w:r>
      <w:r w:rsidRPr="007C45B4">
        <w:rPr>
          <w:rFonts w:cstheme="minorHAnsi"/>
          <w:iCs/>
        </w:rPr>
        <w:t>Participant has a Valid Reason</w:t>
      </w:r>
      <w:r w:rsidRPr="007C45B4">
        <w:t xml:space="preserve"> for a Mutual Obligation Failure, the Provider must select ‘Yes’ on the Provider Re-engagement page in the Department’s IT Systems to indicate that the </w:t>
      </w:r>
      <w:r>
        <w:t>Participant</w:t>
      </w:r>
      <w:r w:rsidRPr="007C45B4">
        <w:t xml:space="preserve">’s reason for not meeting their Job Search requirement has been accepted. </w:t>
      </w:r>
    </w:p>
    <w:p w14:paraId="3D80B6CD" w14:textId="77777777" w:rsidR="000A7FE5" w:rsidRDefault="000A7FE5" w:rsidP="00F45766">
      <w:pPr>
        <w:spacing w:before="240"/>
        <w:rPr>
          <w:i/>
          <w:u w:val="single"/>
        </w:rPr>
      </w:pPr>
    </w:p>
    <w:p w14:paraId="406DD394" w14:textId="2BE64F66" w:rsidR="00F45766" w:rsidRPr="00F45766" w:rsidRDefault="00F45766" w:rsidP="00F45766">
      <w:pPr>
        <w:spacing w:before="240"/>
        <w:rPr>
          <w:i/>
          <w:u w:val="single"/>
        </w:rPr>
      </w:pPr>
      <w:r w:rsidRPr="00F45766">
        <w:rPr>
          <w:i/>
          <w:u w:val="single"/>
        </w:rPr>
        <w:t xml:space="preserve">Failures to </w:t>
      </w:r>
      <w:proofErr w:type="gramStart"/>
      <w:r w:rsidRPr="00F45766">
        <w:rPr>
          <w:i/>
          <w:u w:val="single"/>
        </w:rPr>
        <w:t>enter into</w:t>
      </w:r>
      <w:proofErr w:type="gramEnd"/>
      <w:r w:rsidRPr="00F45766">
        <w:rPr>
          <w:i/>
          <w:u w:val="single"/>
        </w:rPr>
        <w:t xml:space="preserve"> a Job Plan</w:t>
      </w:r>
    </w:p>
    <w:p w14:paraId="505AB100" w14:textId="7390DFB5" w:rsidR="00F45766" w:rsidRPr="00F45766" w:rsidRDefault="00F45766" w:rsidP="00F45766">
      <w:pPr>
        <w:tabs>
          <w:tab w:val="right" w:pos="1701"/>
        </w:tabs>
        <w:rPr>
          <w:rFonts w:cstheme="minorHAnsi"/>
          <w:iCs/>
        </w:rPr>
      </w:pPr>
      <w:r w:rsidRPr="007C45B4">
        <w:t xml:space="preserve">For failures to </w:t>
      </w:r>
      <w:proofErr w:type="gramStart"/>
      <w:r w:rsidRPr="007C45B4">
        <w:t>enter into</w:t>
      </w:r>
      <w:proofErr w:type="gramEnd"/>
      <w:r w:rsidRPr="007C45B4">
        <w:t xml:space="preserve"> a Job Plan, on the day that the Provider determines that a </w:t>
      </w:r>
      <w:r w:rsidRPr="007C45B4">
        <w:rPr>
          <w:rFonts w:cstheme="minorHAnsi"/>
          <w:iCs/>
        </w:rPr>
        <w:t>Participant has a Valid Reason</w:t>
      </w:r>
      <w:r w:rsidRPr="00F45766">
        <w:rPr>
          <w:rFonts w:cstheme="minorHAnsi"/>
          <w:iCs/>
        </w:rPr>
        <w:t xml:space="preserve"> </w:t>
      </w:r>
      <w:r w:rsidRPr="005B6382">
        <w:rPr>
          <w:rFonts w:asciiTheme="minorHAnsi" w:hAnsiTheme="minorHAnsi" w:cstheme="minorHAnsi"/>
          <w:szCs w:val="22"/>
        </w:rPr>
        <w:t>for</w:t>
      </w:r>
      <w:r w:rsidRPr="00F45766">
        <w:rPr>
          <w:rFonts w:cstheme="minorHAnsi"/>
          <w:iCs/>
        </w:rPr>
        <w:t xml:space="preserve"> the Mutual Obligation Failure, the Provider must select ‘Yes’ on the Provider Re-engagement Page in the Department’s IT Systems to indicate that the </w:t>
      </w:r>
      <w:r>
        <w:t>Participant</w:t>
      </w:r>
      <w:r w:rsidRPr="007C45B4">
        <w:t xml:space="preserve">’s </w:t>
      </w:r>
      <w:r w:rsidRPr="00F45766">
        <w:rPr>
          <w:rFonts w:cstheme="minorHAnsi"/>
          <w:iCs/>
        </w:rPr>
        <w:t>reason for failing to enter into a Job Plan has been accepted.</w:t>
      </w:r>
    </w:p>
    <w:p w14:paraId="42453DD8" w14:textId="77777777" w:rsidR="00F45766" w:rsidRPr="007C45B4" w:rsidRDefault="00F45766" w:rsidP="00F45766">
      <w:pPr>
        <w:tabs>
          <w:tab w:val="right" w:pos="1701"/>
        </w:tabs>
      </w:pPr>
      <w:r w:rsidRPr="67EE9B0E">
        <w:rPr>
          <w:rFonts w:cstheme="minorBidi"/>
        </w:rPr>
        <w:t xml:space="preserve">Once the Provider has recorded that the Participant has a Valid Reason, the Provider must then create a </w:t>
      </w:r>
      <w:r w:rsidRPr="67EE9B0E">
        <w:rPr>
          <w:rFonts w:asciiTheme="minorHAnsi" w:hAnsiTheme="minorHAnsi" w:cstheme="minorBidi"/>
        </w:rPr>
        <w:t>Provider</w:t>
      </w:r>
      <w:r>
        <w:t xml:space="preserve"> Appointment for the Participant to attend within two Business Days after the day the Provider has recorded their assessment. If the Participant attends the Provider Appointment, the Provider must discuss the Job Plan with the Participant. If the Participant does not attend the Provider Appointment to discuss the Job Plan, this is a Mutual Obligation Failure, and the Provider must comply with their usual obligations regarding Mutual Obligation Failures.</w:t>
      </w:r>
    </w:p>
    <w:p w14:paraId="75625012" w14:textId="77777777" w:rsidR="00F45766" w:rsidRPr="00F45766" w:rsidRDefault="00F45766" w:rsidP="00F45766">
      <w:pPr>
        <w:keepNext/>
        <w:keepLines/>
        <w:spacing w:before="240"/>
        <w:rPr>
          <w:i/>
          <w:u w:val="single"/>
        </w:rPr>
      </w:pPr>
      <w:r w:rsidRPr="00F45766">
        <w:rPr>
          <w:i/>
          <w:u w:val="single"/>
        </w:rPr>
        <w:t>Failures to act on a Job Referral or job opportunity</w:t>
      </w:r>
    </w:p>
    <w:p w14:paraId="57A6C31D" w14:textId="35A1422C" w:rsidR="00F45766" w:rsidRPr="007C45B4" w:rsidRDefault="00F45766" w:rsidP="00F45766">
      <w:pPr>
        <w:tabs>
          <w:tab w:val="right" w:pos="1701"/>
        </w:tabs>
      </w:pPr>
      <w:r w:rsidRPr="007C45B4">
        <w:t xml:space="preserve">For failures to act on a </w:t>
      </w:r>
      <w:r>
        <w:t xml:space="preserve">Job Referral or </w:t>
      </w:r>
      <w:r w:rsidRPr="007C45B4">
        <w:t xml:space="preserve">opportunity, on the day that the Provider determines that a </w:t>
      </w:r>
      <w:r w:rsidRPr="007C45B4">
        <w:rPr>
          <w:rFonts w:cstheme="minorHAnsi"/>
          <w:iCs/>
        </w:rPr>
        <w:t>Participant has a Valid Reason</w:t>
      </w:r>
      <w:r w:rsidRPr="007C45B4">
        <w:t xml:space="preserve"> for a Mutual Obligation Failure, the Provider must select ‘Unsatisfactory—Valid’ on the Provider Re-engagement page in the Department’s IT Systems to indicate that the </w:t>
      </w:r>
      <w:r>
        <w:t>Participant</w:t>
      </w:r>
      <w:r w:rsidRPr="007C45B4">
        <w:t>’s reason for failing to act on a job opportunity has been accepted.</w:t>
      </w:r>
    </w:p>
    <w:p w14:paraId="36BB4FB9" w14:textId="77777777" w:rsidR="00035383" w:rsidRPr="00757C4D" w:rsidRDefault="00035383" w:rsidP="00757C4D">
      <w:pPr>
        <w:keepNext/>
        <w:keepLines/>
        <w:spacing w:before="240"/>
        <w:rPr>
          <w:sz w:val="24"/>
          <w:u w:val="single"/>
        </w:rPr>
      </w:pPr>
      <w:bookmarkStart w:id="77" w:name="_When_the_job"/>
      <w:bookmarkStart w:id="78" w:name="_When_the_Participant"/>
      <w:bookmarkStart w:id="79" w:name="_Toc21095872"/>
      <w:bookmarkStart w:id="80" w:name="DNAI"/>
      <w:bookmarkEnd w:id="77"/>
      <w:bookmarkEnd w:id="78"/>
      <w:r w:rsidRPr="00973A61">
        <w:rPr>
          <w:sz w:val="24"/>
          <w:u w:val="single"/>
        </w:rPr>
        <w:t>When the Participant does not have a Valid Reason</w:t>
      </w:r>
      <w:bookmarkEnd w:id="79"/>
      <w:bookmarkEnd w:id="80"/>
    </w:p>
    <w:p w14:paraId="60EF58B2" w14:textId="2BC20D24" w:rsidR="003E03D3" w:rsidRPr="003E03D3" w:rsidRDefault="003E03D3" w:rsidP="005B6382">
      <w:pPr>
        <w:tabs>
          <w:tab w:val="right" w:pos="1701"/>
        </w:tabs>
        <w:rPr>
          <w:rFonts w:cstheme="minorHAnsi"/>
          <w:iCs/>
        </w:rPr>
      </w:pPr>
      <w:r w:rsidRPr="007C45B4">
        <w:t xml:space="preserve">For failures to act on a </w:t>
      </w:r>
      <w:r>
        <w:t xml:space="preserve">Job Referral or </w:t>
      </w:r>
      <w:r w:rsidRPr="007C45B4">
        <w:t xml:space="preserve">opportunity, </w:t>
      </w:r>
      <w:r>
        <w:t>o</w:t>
      </w:r>
      <w:r w:rsidRPr="007C45B4">
        <w:t>n the day that the Provider determines that a Participant does not have a Valid Reason for</w:t>
      </w:r>
      <w:r>
        <w:t xml:space="preserve"> a</w:t>
      </w:r>
      <w:r w:rsidRPr="007C45B4">
        <w:t xml:space="preserve"> Mutual Obligation </w:t>
      </w:r>
      <w:r>
        <w:t>Failure</w:t>
      </w:r>
      <w:r w:rsidRPr="007C45B4">
        <w:t xml:space="preserve">, the </w:t>
      </w:r>
      <w:r w:rsidRPr="003E03D3">
        <w:rPr>
          <w:rFonts w:cstheme="minorHAnsi"/>
          <w:iCs/>
        </w:rPr>
        <w:t xml:space="preserve">Provider must record this assessment in the Department’s IT Systems. The way to record this assessment can differ, depending on the type of Mutual Obligation Failure the Participant has committed. The steps that the Provider must take, depending on the type of Mutual Obligation Failure, are described below. </w:t>
      </w:r>
    </w:p>
    <w:p w14:paraId="592A98CD" w14:textId="60EA13FB" w:rsidR="003E03D3" w:rsidRPr="007C45B4" w:rsidRDefault="003E03D3" w:rsidP="005B6382">
      <w:pPr>
        <w:tabs>
          <w:tab w:val="right" w:pos="1701"/>
        </w:tabs>
      </w:pPr>
      <w:r w:rsidRPr="003E03D3">
        <w:rPr>
          <w:rFonts w:cstheme="minorHAnsi"/>
          <w:iCs/>
        </w:rPr>
        <w:t xml:space="preserve">When they do </w:t>
      </w:r>
      <w:r w:rsidRPr="005B6382">
        <w:rPr>
          <w:rFonts w:asciiTheme="minorHAnsi" w:hAnsiTheme="minorHAnsi" w:cstheme="minorHAnsi"/>
          <w:szCs w:val="22"/>
        </w:rPr>
        <w:t>this</w:t>
      </w:r>
      <w:r w:rsidRPr="003E03D3">
        <w:rPr>
          <w:rFonts w:cstheme="minorHAnsi"/>
          <w:iCs/>
        </w:rPr>
        <w:t xml:space="preserve">, the Provider must also select a description of the Participant’s reason that was not a Valid Reason from a drop-down menu that will appear. In selecting a reason option, the Provider must select the option that is most </w:t>
      </w:r>
      <w:proofErr w:type="gramStart"/>
      <w:r w:rsidRPr="003E03D3">
        <w:rPr>
          <w:rFonts w:cstheme="minorHAnsi"/>
          <w:iCs/>
        </w:rPr>
        <w:t>similar to</w:t>
      </w:r>
      <w:proofErr w:type="gramEnd"/>
      <w:r w:rsidRPr="003E03D3">
        <w:rPr>
          <w:rFonts w:cstheme="minorHAnsi"/>
          <w:iCs/>
        </w:rPr>
        <w:t xml:space="preserve"> the reason that the Participant gave as they described</w:t>
      </w:r>
      <w:r w:rsidRPr="007C45B4">
        <w:t xml:space="preserve"> it to the Provider. By recording that the Participant’s reason is not a Valid Reason, the Provider is confirming the relevant Demerit on the Participant’s record.</w:t>
      </w:r>
    </w:p>
    <w:p w14:paraId="32B16425" w14:textId="04D0E651" w:rsidR="00035383" w:rsidRDefault="00035383" w:rsidP="005B6382">
      <w:pPr>
        <w:tabs>
          <w:tab w:val="right" w:pos="1701"/>
        </w:tabs>
      </w:pPr>
      <w:r>
        <w:t xml:space="preserve">A full list of these </w:t>
      </w:r>
      <w:r w:rsidRPr="005B6382">
        <w:rPr>
          <w:rFonts w:asciiTheme="minorHAnsi" w:hAnsiTheme="minorHAnsi" w:cstheme="minorHAnsi"/>
          <w:szCs w:val="22"/>
        </w:rPr>
        <w:t>drop</w:t>
      </w:r>
      <w:r>
        <w:t xml:space="preserve">-down menu options can be found at </w:t>
      </w:r>
      <w:r w:rsidR="003E03D3" w:rsidRPr="003E03D3">
        <w:t>Attachment E</w:t>
      </w:r>
      <w:r w:rsidRPr="00FE62FB">
        <w:t>.</w:t>
      </w:r>
      <w:r>
        <w:t xml:space="preserve"> In the Department’s IT Systems: </w:t>
      </w:r>
    </w:p>
    <w:p w14:paraId="5A5BA3A0" w14:textId="77777777" w:rsidR="00035383" w:rsidRDefault="00035383" w:rsidP="003E03D3">
      <w:pPr>
        <w:pStyle w:val="guidelinetext"/>
        <w:numPr>
          <w:ilvl w:val="0"/>
          <w:numId w:val="9"/>
        </w:numPr>
        <w:spacing w:before="60" w:line="240" w:lineRule="auto"/>
        <w:ind w:left="714" w:hanging="357"/>
      </w:pPr>
      <w:r>
        <w:t>‘</w:t>
      </w:r>
      <w:proofErr w:type="gramStart"/>
      <w:r>
        <w:t>reasons</w:t>
      </w:r>
      <w:proofErr w:type="gramEnd"/>
      <w:r>
        <w:t xml:space="preserve"> accepted’ refers to reasons that the Provider determines are Valid Reasons; and </w:t>
      </w:r>
    </w:p>
    <w:p w14:paraId="08A11635" w14:textId="77777777" w:rsidR="00035383" w:rsidRDefault="00035383" w:rsidP="003E03D3">
      <w:pPr>
        <w:pStyle w:val="guidelinetext"/>
        <w:numPr>
          <w:ilvl w:val="0"/>
          <w:numId w:val="9"/>
        </w:numPr>
        <w:spacing w:before="60" w:line="240" w:lineRule="auto"/>
        <w:ind w:left="714" w:hanging="357"/>
      </w:pPr>
      <w:r>
        <w:t>‘</w:t>
      </w:r>
      <w:proofErr w:type="gramStart"/>
      <w:r>
        <w:t>reasons</w:t>
      </w:r>
      <w:proofErr w:type="gramEnd"/>
      <w:r>
        <w:t xml:space="preserve"> not accepted’ refers to reasons that the Provider determines are not Valid Reasons.</w:t>
      </w:r>
    </w:p>
    <w:p w14:paraId="702C12F0" w14:textId="7F23CF63" w:rsidR="003E03D3" w:rsidRPr="007C45B4" w:rsidRDefault="00035383" w:rsidP="00CE0079">
      <w:pPr>
        <w:tabs>
          <w:tab w:val="right" w:pos="1701"/>
        </w:tabs>
      </w:pPr>
      <w:bookmarkStart w:id="81" w:name="DNAI_condition"/>
      <w:r>
        <w:t>O</w:t>
      </w:r>
      <w:bookmarkEnd w:id="81"/>
      <w:r>
        <w:t xml:space="preserve">n the day that the Provider determines that a Participant does not have a Valid Reason for failing to meet a </w:t>
      </w:r>
      <w:r w:rsidRPr="003E03D3">
        <w:rPr>
          <w:rFonts w:cstheme="minorHAnsi"/>
          <w:iCs/>
        </w:rPr>
        <w:t>Mutual</w:t>
      </w:r>
      <w:r>
        <w:t xml:space="preserve"> Obligation Requirement, the Provider must then explain to the Participant</w:t>
      </w:r>
      <w:r w:rsidR="003E03D3" w:rsidRPr="007C45B4">
        <w:t>:</w:t>
      </w:r>
    </w:p>
    <w:p w14:paraId="7F12BC8E" w14:textId="4F64ED03" w:rsidR="00CE0079" w:rsidRDefault="003E03D3" w:rsidP="00474153">
      <w:pPr>
        <w:pStyle w:val="guidelinetext"/>
        <w:numPr>
          <w:ilvl w:val="0"/>
          <w:numId w:val="9"/>
        </w:numPr>
        <w:spacing w:before="60" w:line="240" w:lineRule="auto"/>
        <w:ind w:left="714" w:hanging="357"/>
      </w:pPr>
      <w:r>
        <w:t xml:space="preserve">their Income Support Payment </w:t>
      </w:r>
      <w:bookmarkStart w:id="82" w:name="_Hlk173346856"/>
      <w:r w:rsidR="00CE0079">
        <w:t xml:space="preserve">(if they are in the Green or Warning Zone) </w:t>
      </w:r>
      <w:bookmarkEnd w:id="82"/>
      <w:r>
        <w:t xml:space="preserve">will be suspended in </w:t>
      </w:r>
      <w:r w:rsidR="2DB40D2B">
        <w:t xml:space="preserve">five </w:t>
      </w:r>
      <w:r>
        <w:t xml:space="preserve">Business Days unless the Participant is able to meet a Reconnection Requirement before those </w:t>
      </w:r>
      <w:r w:rsidR="0DD4E770">
        <w:t xml:space="preserve">five </w:t>
      </w:r>
      <w:r>
        <w:t>Business Days lapse</w:t>
      </w:r>
      <w:r w:rsidR="00CE0079">
        <w:t>, or</w:t>
      </w:r>
    </w:p>
    <w:p w14:paraId="06276C28" w14:textId="469C8E8F" w:rsidR="003E03D3" w:rsidRPr="007C45B4" w:rsidRDefault="003E03D3" w:rsidP="005B6382">
      <w:pPr>
        <w:pStyle w:val="guidelinetext"/>
        <w:numPr>
          <w:ilvl w:val="0"/>
          <w:numId w:val="9"/>
        </w:numPr>
        <w:spacing w:before="60" w:line="240" w:lineRule="auto"/>
        <w:ind w:left="714" w:hanging="357"/>
      </w:pPr>
      <w:r w:rsidRPr="007C45B4">
        <w:t>their Income Support Payment</w:t>
      </w:r>
      <w:r w:rsidR="00CE0079">
        <w:t xml:space="preserve">  </w:t>
      </w:r>
      <w:bookmarkStart w:id="83" w:name="_Hlk173346929"/>
      <w:r w:rsidR="00CE0079">
        <w:t xml:space="preserve">(for Participants in the Penalty Zone) </w:t>
      </w:r>
      <w:bookmarkEnd w:id="83"/>
      <w:r w:rsidRPr="007C45B4">
        <w:t xml:space="preserve"> has been suspended</w:t>
      </w:r>
      <w:r w:rsidR="00CE0079">
        <w:t xml:space="preserve"> </w:t>
      </w:r>
      <w:r w:rsidRPr="007C45B4">
        <w:t xml:space="preserve"> and</w:t>
      </w:r>
    </w:p>
    <w:p w14:paraId="1FAABB2B" w14:textId="4B7B24D6" w:rsidR="00CE0079" w:rsidRPr="007C45B4" w:rsidRDefault="003E03D3" w:rsidP="00CE0079">
      <w:pPr>
        <w:pStyle w:val="guidelinetext"/>
        <w:numPr>
          <w:ilvl w:val="0"/>
          <w:numId w:val="9"/>
        </w:numPr>
        <w:spacing w:before="60" w:line="240" w:lineRule="auto"/>
        <w:ind w:left="714" w:hanging="357"/>
      </w:pPr>
      <w:r w:rsidRPr="007C45B4">
        <w:t>they must meet a Reconnection Requirement to have their Income Support Payment suspension lifted.</w:t>
      </w:r>
    </w:p>
    <w:p w14:paraId="4F078F63" w14:textId="77777777" w:rsidR="00CE0079" w:rsidRDefault="00CE0079" w:rsidP="005B6382">
      <w:pPr>
        <w:keepNext/>
        <w:keepLines/>
        <w:tabs>
          <w:tab w:val="right" w:pos="1701"/>
        </w:tabs>
        <w:rPr>
          <w:b/>
          <w:bCs/>
        </w:rPr>
      </w:pPr>
      <w:r>
        <w:rPr>
          <w:b/>
          <w:bCs/>
        </w:rPr>
        <w:t>AND</w:t>
      </w:r>
    </w:p>
    <w:p w14:paraId="26DDA401" w14:textId="56C497FC" w:rsidR="00035383" w:rsidRDefault="003E03D3" w:rsidP="005B6382">
      <w:pPr>
        <w:keepNext/>
        <w:keepLines/>
        <w:tabs>
          <w:tab w:val="right" w:pos="1701"/>
        </w:tabs>
      </w:pPr>
      <w:r w:rsidRPr="007C45B4">
        <w:t>Regardless of what Zone the Participant is in, the Provider must then also explain to the Participant</w:t>
      </w:r>
      <w:r w:rsidR="00035383">
        <w:t>:</w:t>
      </w:r>
    </w:p>
    <w:p w14:paraId="1FE98F69" w14:textId="688D5C33" w:rsidR="00035383" w:rsidRDefault="00035383" w:rsidP="005B6382">
      <w:pPr>
        <w:pStyle w:val="guidelinetext"/>
        <w:keepNext/>
        <w:keepLines/>
        <w:numPr>
          <w:ilvl w:val="0"/>
          <w:numId w:val="9"/>
        </w:numPr>
        <w:spacing w:before="60" w:line="240" w:lineRule="auto"/>
        <w:ind w:left="714" w:hanging="357"/>
      </w:pPr>
      <w:r>
        <w:t xml:space="preserve">why their given reason was not a Valid Reason </w:t>
      </w:r>
      <w:r w:rsidR="00CE0079">
        <w:t xml:space="preserve">(including </w:t>
      </w:r>
      <w:r>
        <w:t xml:space="preserve">the consequences of </w:t>
      </w:r>
      <w:r w:rsidR="00CE0079">
        <w:t>having no Valid Reason for non-compliance)</w:t>
      </w:r>
    </w:p>
    <w:p w14:paraId="5BD5D4B3" w14:textId="15C12915" w:rsidR="00035383" w:rsidRDefault="00035383" w:rsidP="001E7665">
      <w:pPr>
        <w:pStyle w:val="BulletLevel1"/>
      </w:pPr>
      <w:r>
        <w:t xml:space="preserve">how this decision will be displayed on the </w:t>
      </w:r>
      <w:r w:rsidR="003E03D3">
        <w:t>‘</w:t>
      </w:r>
      <w:r>
        <w:t>Participant’s Compliance Status Indicator</w:t>
      </w:r>
      <w:r w:rsidR="003E03D3">
        <w:t>’</w:t>
      </w:r>
      <w:r>
        <w:t xml:space="preserve"> on the online Dashboard</w:t>
      </w:r>
      <w:r w:rsidR="00CE0079">
        <w:t xml:space="preserve"> </w:t>
      </w:r>
      <w:bookmarkStart w:id="84" w:name="_Hlk173347034"/>
      <w:r w:rsidR="00CE0079">
        <w:t>including the number of Demerits the Participant has accrued</w:t>
      </w:r>
      <w:bookmarkEnd w:id="84"/>
    </w:p>
    <w:p w14:paraId="354DB3A4" w14:textId="1A489F34" w:rsidR="00035383" w:rsidRPr="00F06667" w:rsidRDefault="00035383" w:rsidP="003E03D3">
      <w:pPr>
        <w:pStyle w:val="guidelinetext"/>
        <w:numPr>
          <w:ilvl w:val="0"/>
          <w:numId w:val="9"/>
        </w:numPr>
        <w:spacing w:before="60" w:line="240" w:lineRule="auto"/>
        <w:ind w:left="714" w:hanging="357"/>
      </w:pPr>
      <w:r w:rsidRPr="00F06667">
        <w:t>whether the Mutual Obligation Failure is considered a ‘fast-track</w:t>
      </w:r>
      <w:r>
        <w:t>’</w:t>
      </w:r>
      <w:r w:rsidRPr="00F06667">
        <w:t xml:space="preserve"> </w:t>
      </w:r>
      <w:r>
        <w:t>Mutual Obligation F</w:t>
      </w:r>
      <w:r w:rsidRPr="00F06667">
        <w:t>ailure and, if so, what that means and what the next steps are</w:t>
      </w:r>
    </w:p>
    <w:p w14:paraId="47379F22" w14:textId="5DFEC0F0" w:rsidR="00035383" w:rsidRDefault="00035383" w:rsidP="003E03D3">
      <w:pPr>
        <w:pStyle w:val="guidelinetext"/>
        <w:numPr>
          <w:ilvl w:val="0"/>
          <w:numId w:val="9"/>
        </w:numPr>
        <w:spacing w:before="60" w:line="240" w:lineRule="auto"/>
        <w:ind w:left="714" w:hanging="357"/>
      </w:pPr>
      <w:r>
        <w:t>the importance of meeting all Mutual Obligation Requirements</w:t>
      </w:r>
    </w:p>
    <w:p w14:paraId="1340BAB5" w14:textId="77777777" w:rsidR="00CE0079" w:rsidRDefault="00035383" w:rsidP="00042191">
      <w:pPr>
        <w:pStyle w:val="guidelinetext"/>
        <w:numPr>
          <w:ilvl w:val="0"/>
          <w:numId w:val="9"/>
        </w:numPr>
        <w:spacing w:before="60" w:line="240" w:lineRule="auto"/>
        <w:ind w:left="714" w:hanging="357"/>
      </w:pPr>
      <w:r>
        <w:t>the consequences of persistent non</w:t>
      </w:r>
      <w:r w:rsidRPr="00AE2659">
        <w:rPr>
          <w:rFonts w:ascii="Cambria Math" w:hAnsi="Cambria Math" w:cs="Cambria Math"/>
        </w:rPr>
        <w:t>‑</w:t>
      </w:r>
      <w:r>
        <w:t>compliance, including financial penalties and Income Support Payment cancellation</w:t>
      </w:r>
      <w:r w:rsidR="00042191">
        <w:t>, and</w:t>
      </w:r>
    </w:p>
    <w:p w14:paraId="518F3247" w14:textId="59DA355F" w:rsidR="00035383" w:rsidRDefault="00035383" w:rsidP="00042191">
      <w:pPr>
        <w:pStyle w:val="guidelinetext"/>
        <w:numPr>
          <w:ilvl w:val="0"/>
          <w:numId w:val="9"/>
        </w:numPr>
        <w:spacing w:before="60" w:line="240" w:lineRule="auto"/>
        <w:ind w:left="714" w:hanging="357"/>
      </w:pPr>
      <w:r>
        <w:t>what and when the Participant’s Reconnection Requirement will be.</w:t>
      </w:r>
    </w:p>
    <w:p w14:paraId="7D88BCE8" w14:textId="21092A0D" w:rsidR="00035383" w:rsidRDefault="00035383" w:rsidP="005B6382">
      <w:pPr>
        <w:tabs>
          <w:tab w:val="right" w:pos="1701"/>
        </w:tabs>
      </w:pPr>
      <w:r>
        <w:t>By reinforcing the consequences of failing to meet Mutual Obligation Requirements, Participants are encouraged to meet their Mutual Obligation Requirements in the future and remain engaged with their Providers.</w:t>
      </w:r>
    </w:p>
    <w:p w14:paraId="151FAB61" w14:textId="77777777" w:rsidR="00042191" w:rsidRPr="00042191" w:rsidRDefault="00042191" w:rsidP="00042191">
      <w:pPr>
        <w:keepNext/>
        <w:keepLines/>
        <w:spacing w:before="240"/>
        <w:rPr>
          <w:i/>
          <w:u w:val="single"/>
        </w:rPr>
      </w:pPr>
      <w:r w:rsidRPr="00042191">
        <w:rPr>
          <w:i/>
          <w:u w:val="single"/>
        </w:rPr>
        <w:t>Failures to undertake adequate Job Searches</w:t>
      </w:r>
    </w:p>
    <w:p w14:paraId="7AFE75C9" w14:textId="1C4609A7" w:rsidR="00042191" w:rsidRPr="007C45B4" w:rsidRDefault="00042191" w:rsidP="005B6382">
      <w:pPr>
        <w:tabs>
          <w:tab w:val="right" w:pos="1701"/>
        </w:tabs>
      </w:pPr>
      <w:r w:rsidRPr="007C45B4">
        <w:t xml:space="preserve">For failures to undertake adequate Job Searches, on the day that the Provider determines that a </w:t>
      </w:r>
      <w:r w:rsidRPr="007C45B4">
        <w:rPr>
          <w:rFonts w:cstheme="minorHAnsi"/>
          <w:iCs/>
        </w:rPr>
        <w:t>Participant does not have a Valid Reason</w:t>
      </w:r>
      <w:r w:rsidRPr="007C45B4">
        <w:t xml:space="preserve"> for a Mutual Obligation Failure, the Provider must select ‘No’ on the Provider Re-engagement page in the Department’s IT Systems to indicate that the </w:t>
      </w:r>
      <w:r>
        <w:t>Participant’s</w:t>
      </w:r>
      <w:r w:rsidRPr="007C45B4">
        <w:t xml:space="preserve"> reason for not meeting their Job Search requirement has not been accepted.</w:t>
      </w:r>
    </w:p>
    <w:p w14:paraId="0EF9A026" w14:textId="77777777" w:rsidR="00042191" w:rsidRPr="00042191" w:rsidRDefault="00042191" w:rsidP="00042191">
      <w:pPr>
        <w:keepNext/>
        <w:keepLines/>
        <w:spacing w:before="240"/>
        <w:rPr>
          <w:i/>
          <w:u w:val="single"/>
        </w:rPr>
      </w:pPr>
      <w:r w:rsidRPr="00042191">
        <w:rPr>
          <w:i/>
          <w:u w:val="single"/>
        </w:rPr>
        <w:t xml:space="preserve">Failures to </w:t>
      </w:r>
      <w:proofErr w:type="gramStart"/>
      <w:r w:rsidRPr="00042191">
        <w:rPr>
          <w:i/>
          <w:u w:val="single"/>
        </w:rPr>
        <w:t>enter into</w:t>
      </w:r>
      <w:proofErr w:type="gramEnd"/>
      <w:r w:rsidRPr="00042191">
        <w:rPr>
          <w:i/>
          <w:u w:val="single"/>
        </w:rPr>
        <w:t xml:space="preserve"> a Job Plan</w:t>
      </w:r>
    </w:p>
    <w:p w14:paraId="19819CA9" w14:textId="1C00EE22" w:rsidR="00042191" w:rsidRPr="007C45B4" w:rsidRDefault="00042191" w:rsidP="00042191">
      <w:pPr>
        <w:tabs>
          <w:tab w:val="right" w:pos="1701"/>
        </w:tabs>
      </w:pPr>
      <w:r w:rsidRPr="007C45B4">
        <w:t xml:space="preserve">For failures to </w:t>
      </w:r>
      <w:proofErr w:type="gramStart"/>
      <w:r w:rsidRPr="007C45B4">
        <w:t>enter into</w:t>
      </w:r>
      <w:proofErr w:type="gramEnd"/>
      <w:r w:rsidRPr="007C45B4">
        <w:t xml:space="preserve"> a Job Plan, on the day that the Provider determines that a </w:t>
      </w:r>
      <w:r w:rsidRPr="007C45B4">
        <w:rPr>
          <w:rFonts w:cstheme="minorHAnsi"/>
          <w:iCs/>
        </w:rPr>
        <w:t>Participant does not have a Valid Reason</w:t>
      </w:r>
      <w:r w:rsidRPr="007C45B4">
        <w:t xml:space="preserve"> for the Mutual Obligation Failure, the Provider must select ‘No’ on the Provider Re-engagement page in the Department’s IT Systems to indicate that the </w:t>
      </w:r>
      <w:r>
        <w:t>Participant’s</w:t>
      </w:r>
      <w:r w:rsidRPr="007C45B4">
        <w:t xml:space="preserve"> reason for failing to enter into a Job Plan has not been accepted.</w:t>
      </w:r>
    </w:p>
    <w:p w14:paraId="1C63C47B" w14:textId="77777777" w:rsidR="00042191" w:rsidRPr="00042191" w:rsidRDefault="00042191" w:rsidP="00042191">
      <w:pPr>
        <w:keepNext/>
        <w:keepLines/>
        <w:spacing w:before="240"/>
        <w:rPr>
          <w:i/>
          <w:u w:val="single"/>
        </w:rPr>
      </w:pPr>
      <w:r w:rsidRPr="00042191">
        <w:rPr>
          <w:i/>
          <w:u w:val="single"/>
        </w:rPr>
        <w:t>Failures to act on a job opportunity</w:t>
      </w:r>
    </w:p>
    <w:p w14:paraId="3A75684B" w14:textId="7C4944AF" w:rsidR="00042191" w:rsidRDefault="00042191" w:rsidP="00042191">
      <w:pPr>
        <w:tabs>
          <w:tab w:val="right" w:pos="1701"/>
        </w:tabs>
      </w:pPr>
      <w:r w:rsidRPr="007C45B4">
        <w:t xml:space="preserve">For failures to act on a job opportunity, on the day that the Provider determines that a </w:t>
      </w:r>
      <w:r w:rsidRPr="007C45B4">
        <w:rPr>
          <w:rFonts w:cstheme="minorHAnsi"/>
          <w:iCs/>
        </w:rPr>
        <w:t>Participant does not have a Valid Reason</w:t>
      </w:r>
      <w:r w:rsidRPr="007C45B4">
        <w:t xml:space="preserve"> for a Mutual Obligation Failure, the Provider must select ‘Unsatisfactory—Invalid’ on the Provider Re-engagement page in the Department’s IT Systems to indicate that the </w:t>
      </w:r>
      <w:r>
        <w:t>Participant’s</w:t>
      </w:r>
      <w:r w:rsidRPr="007C45B4">
        <w:t xml:space="preserve"> reason for failing to act on a job opportunity has not been accepted.</w:t>
      </w:r>
    </w:p>
    <w:p w14:paraId="779EF0AA" w14:textId="77777777" w:rsidR="0073392F" w:rsidRDefault="0073392F" w:rsidP="00973A61">
      <w:pPr>
        <w:pStyle w:val="guidelinetext"/>
        <w:spacing w:line="240" w:lineRule="auto"/>
        <w:ind w:left="0"/>
      </w:pPr>
    </w:p>
    <w:p w14:paraId="01C41ECD" w14:textId="77777777" w:rsidR="00035383" w:rsidRDefault="00035383" w:rsidP="00973A61">
      <w:pPr>
        <w:pStyle w:val="Heading3"/>
        <w:spacing w:before="0" w:after="120"/>
      </w:pPr>
      <w:bookmarkStart w:id="85" w:name="_Toc21095873"/>
      <w:bookmarkStart w:id="86" w:name="_Toc177568225"/>
      <w:r>
        <w:t>Manually removing Demerits</w:t>
      </w:r>
      <w:bookmarkEnd w:id="85"/>
      <w:bookmarkEnd w:id="86"/>
    </w:p>
    <w:p w14:paraId="5BDE3E2A" w14:textId="3CA41C97" w:rsidR="00035383" w:rsidRDefault="00035383" w:rsidP="005B6382">
      <w:pPr>
        <w:tabs>
          <w:tab w:val="right" w:pos="1701"/>
        </w:tabs>
      </w:pPr>
      <w:r>
        <w:t xml:space="preserve">Providers have obligations to remove Demerits in certain circumstances. If the Participant is in the Penalty Zone </w:t>
      </w:r>
      <w:r w:rsidRPr="005B6382">
        <w:rPr>
          <w:rFonts w:asciiTheme="minorHAnsi" w:hAnsiTheme="minorHAnsi" w:cstheme="minorHAnsi"/>
          <w:szCs w:val="22"/>
        </w:rPr>
        <w:t>when</w:t>
      </w:r>
      <w:r>
        <w:t xml:space="preserve"> the provider assesses that a Demerit should be removed </w:t>
      </w:r>
      <w:r w:rsidRPr="002116CD">
        <w:t>in accordance with clause 11</w:t>
      </w:r>
      <w:r w:rsidR="0073392F">
        <w:t>1</w:t>
      </w:r>
      <w:r w:rsidRPr="002116CD">
        <w:t xml:space="preserve">.11 of the </w:t>
      </w:r>
      <w:r w:rsidR="0073392F">
        <w:t>DES Grant Agreement</w:t>
      </w:r>
      <w:r w:rsidRPr="002116CD">
        <w:t>,</w:t>
      </w:r>
      <w:r>
        <w:t xml:space="preserve"> the Provider should contact their </w:t>
      </w:r>
      <w:r w:rsidR="005F7A73">
        <w:t xml:space="preserve">Relationship </w:t>
      </w:r>
      <w:r>
        <w:t>Manager for advice before removing the Demerit.</w:t>
      </w:r>
    </w:p>
    <w:p w14:paraId="7803CB17" w14:textId="7EE9A0EC" w:rsidR="00035383" w:rsidRDefault="00035383" w:rsidP="005B6382">
      <w:pPr>
        <w:tabs>
          <w:tab w:val="right" w:pos="1701"/>
        </w:tabs>
      </w:pPr>
      <w:r>
        <w:t xml:space="preserve">When </w:t>
      </w:r>
      <w:r w:rsidRPr="005B6382">
        <w:rPr>
          <w:rFonts w:asciiTheme="minorHAnsi" w:hAnsiTheme="minorHAnsi" w:cstheme="minorHAnsi"/>
          <w:szCs w:val="22"/>
        </w:rPr>
        <w:t>removing</w:t>
      </w:r>
      <w:r>
        <w:t xml:space="preserve"> the Demerit, the Provider must record the reason for the removal in the Department’s IT Systems. </w:t>
      </w:r>
      <w:r w:rsidRPr="004969C8">
        <w:t xml:space="preserve">A full list of these drop-down menu options can be found at </w:t>
      </w:r>
      <w:r w:rsidR="005F7A73" w:rsidRPr="005B6382">
        <w:t>Attachment </w:t>
      </w:r>
      <w:r w:rsidR="005F7A73">
        <w:t>F</w:t>
      </w:r>
      <w:r w:rsidRPr="00FE62FB">
        <w:t>.</w:t>
      </w:r>
    </w:p>
    <w:p w14:paraId="44932F89" w14:textId="63CF764B" w:rsidR="00035383" w:rsidRDefault="00035383" w:rsidP="005B6382">
      <w:pPr>
        <w:pStyle w:val="DeedReferences"/>
      </w:pPr>
      <w:r>
        <w:t>(</w:t>
      </w:r>
      <w:r w:rsidR="0073392F">
        <w:t xml:space="preserve">Grant Agreement </w:t>
      </w:r>
      <w:r w:rsidR="005C62B3">
        <w:t xml:space="preserve">references: </w:t>
      </w:r>
      <w:r w:rsidR="0073392F">
        <w:t>clauses 111.11 and 111.12</w:t>
      </w:r>
      <w:r>
        <w:t>)</w:t>
      </w:r>
    </w:p>
    <w:p w14:paraId="1BE9078C" w14:textId="77777777" w:rsidR="0073392F" w:rsidRDefault="0073392F" w:rsidP="005B6382">
      <w:pPr>
        <w:pStyle w:val="guidelinetext"/>
        <w:spacing w:line="240" w:lineRule="auto"/>
        <w:ind w:left="0"/>
      </w:pPr>
    </w:p>
    <w:p w14:paraId="5D93701D" w14:textId="77777777" w:rsidR="00035383" w:rsidRDefault="00035383" w:rsidP="00973A61">
      <w:pPr>
        <w:pStyle w:val="Heading3"/>
        <w:spacing w:before="0" w:after="120"/>
      </w:pPr>
      <w:bookmarkStart w:id="87" w:name="_Toc21095874"/>
      <w:bookmarkStart w:id="88" w:name="_Toc177568226"/>
      <w:r>
        <w:t>Participants cannot appeal Demerit decisions</w:t>
      </w:r>
      <w:r w:rsidRPr="003C49A6">
        <w:t xml:space="preserve"> </w:t>
      </w:r>
      <w:r>
        <w:t>under Social Security Law</w:t>
      </w:r>
      <w:bookmarkEnd w:id="87"/>
      <w:bookmarkEnd w:id="88"/>
    </w:p>
    <w:p w14:paraId="7C40DE1A" w14:textId="77777777" w:rsidR="00035383" w:rsidRPr="00770CF1" w:rsidRDefault="00035383" w:rsidP="005B6382">
      <w:pPr>
        <w:tabs>
          <w:tab w:val="right" w:pos="1701"/>
        </w:tabs>
      </w:pPr>
      <w:r w:rsidRPr="00770CF1">
        <w:t xml:space="preserve">All </w:t>
      </w:r>
      <w:r>
        <w:t>Participant</w:t>
      </w:r>
      <w:r w:rsidRPr="00770CF1">
        <w:t xml:space="preserve">s have the right to </w:t>
      </w:r>
      <w:r>
        <w:t>ask for a review of</w:t>
      </w:r>
      <w:r w:rsidRPr="00770CF1">
        <w:t xml:space="preserve"> </w:t>
      </w:r>
      <w:r>
        <w:t xml:space="preserve">a </w:t>
      </w:r>
      <w:r w:rsidRPr="00770CF1">
        <w:t>decision made under Social Security Law</w:t>
      </w:r>
      <w:r>
        <w:t>, and, in most cases, appeal the decision to a court or tribunal</w:t>
      </w:r>
      <w:r w:rsidRPr="00770CF1">
        <w:t xml:space="preserve">. This includes decisions to suspend a </w:t>
      </w:r>
      <w:r>
        <w:t>Participant</w:t>
      </w:r>
      <w:r w:rsidRPr="00770CF1">
        <w:t xml:space="preserve">’s Income Support Payment </w:t>
      </w:r>
      <w:proofErr w:type="gramStart"/>
      <w:r w:rsidRPr="00770CF1">
        <w:t>as a result of</w:t>
      </w:r>
      <w:proofErr w:type="gramEnd"/>
      <w:r w:rsidRPr="00770CF1">
        <w:t xml:space="preserve"> </w:t>
      </w:r>
      <w:r>
        <w:t>non</w:t>
      </w:r>
      <w:r w:rsidRPr="0073392F">
        <w:rPr>
          <w:rFonts w:ascii="Cambria Math" w:hAnsi="Cambria Math" w:cs="Cambria Math"/>
        </w:rPr>
        <w:t>‑</w:t>
      </w:r>
      <w:r>
        <w:t>compliance</w:t>
      </w:r>
      <w:r w:rsidRPr="00770CF1">
        <w:t xml:space="preserve"> and decisions made by </w:t>
      </w:r>
      <w:r>
        <w:t>Services Australia</w:t>
      </w:r>
      <w:r w:rsidRPr="00770CF1">
        <w:t xml:space="preserve"> to </w:t>
      </w:r>
      <w:r>
        <w:t>reduce or cancel their Income Support Payment</w:t>
      </w:r>
      <w:r w:rsidRPr="00770CF1">
        <w:t>.</w:t>
      </w:r>
    </w:p>
    <w:p w14:paraId="5F9575EB" w14:textId="4DA51142" w:rsidR="00035383" w:rsidRDefault="00035383" w:rsidP="005B6382">
      <w:pPr>
        <w:tabs>
          <w:tab w:val="right" w:pos="1701"/>
        </w:tabs>
      </w:pPr>
      <w:r w:rsidRPr="00770CF1">
        <w:t xml:space="preserve">Demerit </w:t>
      </w:r>
      <w:r w:rsidRPr="005B6382">
        <w:rPr>
          <w:rFonts w:asciiTheme="minorHAnsi" w:hAnsiTheme="minorHAnsi" w:cstheme="minorHAnsi"/>
          <w:szCs w:val="22"/>
        </w:rPr>
        <w:t>decisions</w:t>
      </w:r>
      <w:r w:rsidRPr="00770CF1">
        <w:t xml:space="preserve"> are not </w:t>
      </w:r>
      <w:r>
        <w:t>decisions under</w:t>
      </w:r>
      <w:r w:rsidRPr="00770CF1">
        <w:t xml:space="preserve"> Social Security Law and so </w:t>
      </w:r>
      <w:r>
        <w:t>Participant</w:t>
      </w:r>
      <w:r w:rsidRPr="00770CF1">
        <w:t>s cannot appeal or ask for a formal review of any decision to confirm a Demerit</w:t>
      </w:r>
      <w:r>
        <w:t xml:space="preserve"> using the same processes as those that apply for decisions under Social Security Law</w:t>
      </w:r>
      <w:r w:rsidRPr="00770CF1">
        <w:t>.</w:t>
      </w:r>
      <w:r>
        <w:t xml:space="preserve"> However, Participants may dispute Demerit decisions</w:t>
      </w:r>
      <w:r w:rsidRPr="00770CF1">
        <w:t>.</w:t>
      </w:r>
    </w:p>
    <w:p w14:paraId="03D9968F" w14:textId="77777777" w:rsidR="00035383" w:rsidRPr="005F7A73" w:rsidRDefault="00035383" w:rsidP="005B6382">
      <w:pPr>
        <w:spacing w:before="240"/>
        <w:rPr>
          <w:sz w:val="24"/>
          <w:u w:val="single"/>
        </w:rPr>
      </w:pPr>
      <w:bookmarkStart w:id="89" w:name="_Toc21095875"/>
      <w:r w:rsidRPr="00973A61">
        <w:rPr>
          <w:sz w:val="24"/>
          <w:u w:val="single"/>
        </w:rPr>
        <w:t>Disputing a Demerit decision with the National Customer Service Line</w:t>
      </w:r>
      <w:bookmarkEnd w:id="89"/>
    </w:p>
    <w:p w14:paraId="4D71ABCA" w14:textId="6B83E4FF" w:rsidR="00035383" w:rsidRDefault="00035383" w:rsidP="005B6382">
      <w:pPr>
        <w:tabs>
          <w:tab w:val="right" w:pos="1701"/>
        </w:tabs>
      </w:pPr>
      <w:r>
        <w:t xml:space="preserve">If a Participant is </w:t>
      </w:r>
      <w:r w:rsidRPr="005B6382">
        <w:rPr>
          <w:rFonts w:asciiTheme="minorHAnsi" w:hAnsiTheme="minorHAnsi" w:cstheme="minorHAnsi"/>
          <w:szCs w:val="22"/>
        </w:rPr>
        <w:t>dissatisfied</w:t>
      </w:r>
      <w:r>
        <w:t xml:space="preserve"> with a Demerit decision, they must first discuss the decision with their Provider. If they still wish to dispute the decision after this discussion, they can contact the National Customer Service Line (NCSL).</w:t>
      </w:r>
    </w:p>
    <w:p w14:paraId="1CD834EF" w14:textId="7B44EFB6" w:rsidR="00035383" w:rsidRDefault="00035383" w:rsidP="005B6382">
      <w:pPr>
        <w:tabs>
          <w:tab w:val="right" w:pos="1701"/>
        </w:tabs>
      </w:pPr>
      <w:r>
        <w:t xml:space="preserve">By contacting the NCSL to dispute a Demerit decision, the Participant will in effect make a </w:t>
      </w:r>
      <w:r w:rsidR="0073392F">
        <w:t>DES</w:t>
      </w:r>
      <w:r>
        <w:t xml:space="preserve"> servicing-</w:t>
      </w:r>
      <w:r w:rsidRPr="005B6382">
        <w:rPr>
          <w:rFonts w:asciiTheme="minorHAnsi" w:hAnsiTheme="minorHAnsi" w:cstheme="minorHAnsi"/>
          <w:szCs w:val="22"/>
        </w:rPr>
        <w:t>related</w:t>
      </w:r>
      <w:r>
        <w:t xml:space="preserve"> complaint. If required and appropriate, Providers must action complaints that are </w:t>
      </w:r>
      <w:proofErr w:type="gramStart"/>
      <w:r>
        <w:t>referred back</w:t>
      </w:r>
      <w:proofErr w:type="gramEnd"/>
      <w:r>
        <w:t xml:space="preserve"> to them by the NCSL. This may include reviewing the Demerit decision-making process, any Valid Reason assessments, or information that has been recorded on the Department’s IT Systems.</w:t>
      </w:r>
    </w:p>
    <w:p w14:paraId="2D73726B" w14:textId="28F9FF21" w:rsidR="00035383" w:rsidRPr="005B6382" w:rsidRDefault="00035383" w:rsidP="005B6382">
      <w:pPr>
        <w:pStyle w:val="DeedReferences"/>
      </w:pPr>
      <w:r w:rsidRPr="005B6382">
        <w:t>(</w:t>
      </w:r>
      <w:r w:rsidR="005A22F9" w:rsidRPr="005B6382">
        <w:t xml:space="preserve">Grant Agreement </w:t>
      </w:r>
      <w:r w:rsidR="005C62B3">
        <w:t xml:space="preserve">references: </w:t>
      </w:r>
      <w:r w:rsidR="005A22F9" w:rsidRPr="005B6382">
        <w:t>clause 111.12</w:t>
      </w:r>
      <w:r w:rsidRPr="005B6382">
        <w:t>)</w:t>
      </w:r>
    </w:p>
    <w:p w14:paraId="18ADF915" w14:textId="0B943A42" w:rsidR="005A22F9" w:rsidRDefault="005A22F9" w:rsidP="005F7A73">
      <w:pPr>
        <w:rPr>
          <w:rFonts w:ascii="Garamond" w:hAnsi="Garamond"/>
          <w:sz w:val="20"/>
        </w:rPr>
      </w:pPr>
    </w:p>
    <w:p w14:paraId="277077CB" w14:textId="1F03E5D4" w:rsidR="000B406B" w:rsidRDefault="000B406B">
      <w:pPr>
        <w:spacing w:before="0" w:after="0"/>
        <w:rPr>
          <w:rFonts w:asciiTheme="minorHAnsi" w:eastAsiaTheme="minorHAnsi" w:hAnsiTheme="minorHAnsi" w:cstheme="minorBidi"/>
          <w:szCs w:val="22"/>
          <w:lang w:eastAsia="en-US"/>
        </w:rPr>
      </w:pPr>
      <w:r>
        <w:br w:type="page"/>
      </w:r>
    </w:p>
    <w:p w14:paraId="7394BD32" w14:textId="77777777" w:rsidR="005A22F9" w:rsidRDefault="005A22F9" w:rsidP="005A22F9">
      <w:pPr>
        <w:pStyle w:val="guidelinetext"/>
        <w:pBdr>
          <w:top w:val="single" w:sz="4" w:space="1" w:color="auto"/>
        </w:pBdr>
        <w:spacing w:line="240" w:lineRule="auto"/>
        <w:ind w:left="0"/>
      </w:pPr>
    </w:p>
    <w:p w14:paraId="5921C7FD" w14:textId="489A3688" w:rsidR="002262C6" w:rsidRPr="002F7D12" w:rsidRDefault="00035383" w:rsidP="002F7D12">
      <w:pPr>
        <w:pStyle w:val="Heading2"/>
        <w:numPr>
          <w:ilvl w:val="0"/>
          <w:numId w:val="10"/>
        </w:numPr>
        <w:spacing w:before="0"/>
        <w:ind w:left="567" w:hanging="567"/>
        <w:rPr>
          <w:sz w:val="28"/>
        </w:rPr>
      </w:pPr>
      <w:bookmarkStart w:id="90" w:name="_Re-engagement_requirements"/>
      <w:bookmarkStart w:id="91" w:name="_Reconnection_Requirements"/>
      <w:bookmarkStart w:id="92" w:name="_Toc21095876"/>
      <w:bookmarkStart w:id="93" w:name="_Toc177568227"/>
      <w:bookmarkEnd w:id="90"/>
      <w:bookmarkEnd w:id="91"/>
      <w:r w:rsidRPr="005B6382">
        <w:rPr>
          <w:sz w:val="28"/>
        </w:rPr>
        <w:t>Reconnection Requirements</w:t>
      </w:r>
      <w:bookmarkEnd w:id="92"/>
      <w:bookmarkEnd w:id="93"/>
    </w:p>
    <w:p w14:paraId="17032F15" w14:textId="77777777" w:rsidR="00300B1D" w:rsidRDefault="00300B1D" w:rsidP="001E7665">
      <w:r w:rsidRPr="00706BC1">
        <w:t>Note: ‘Reconnection Requirements’ are referred to as ‘re</w:t>
      </w:r>
      <w:r w:rsidRPr="001065DF">
        <w:rPr>
          <w:rFonts w:ascii="Cambria Math" w:hAnsi="Cambria Math" w:cs="Cambria Math"/>
        </w:rPr>
        <w:t>‑</w:t>
      </w:r>
      <w:r w:rsidRPr="00706BC1">
        <w:t xml:space="preserve">engagement requirements’ in the Department’s IT Systems and in some reference materials. </w:t>
      </w:r>
    </w:p>
    <w:p w14:paraId="2966597F" w14:textId="18CDE8E0" w:rsidR="00FA7CF1" w:rsidRPr="000E5246" w:rsidRDefault="00FA7CF1" w:rsidP="00FA7CF1">
      <w:bookmarkStart w:id="94" w:name="_Hlk101807141"/>
      <w:r>
        <w:t xml:space="preserve">A Reconnection Requirement is what a </w:t>
      </w:r>
      <w:r w:rsidR="00CC3961">
        <w:t>Participant</w:t>
      </w:r>
      <w:r>
        <w:t xml:space="preserve"> must do during their </w:t>
      </w:r>
      <w:r w:rsidR="369BF8FC">
        <w:t xml:space="preserve">five </w:t>
      </w:r>
      <w:r>
        <w:t>Business Day resolution time to prevent their Income Support Payment from being suspended or to restore their payment. Usually, the requirement will mirror the Mutual Obligation Requirement that the job seeker failed to meet</w:t>
      </w:r>
      <w:bookmarkEnd w:id="94"/>
      <w:r>
        <w:t>.</w:t>
      </w:r>
    </w:p>
    <w:p w14:paraId="56841F86" w14:textId="77777777" w:rsidR="00FA7CF1" w:rsidRPr="000E5246" w:rsidRDefault="00FA7CF1" w:rsidP="00FA7CF1">
      <w:r w:rsidRPr="000E5246">
        <w:t>Re</w:t>
      </w:r>
      <w:r>
        <w:t>connection</w:t>
      </w:r>
      <w:r w:rsidRPr="000E5246">
        <w:t xml:space="preserve"> Requirements </w:t>
      </w:r>
      <w:r>
        <w:t>are</w:t>
      </w:r>
      <w:r w:rsidRPr="000E5246">
        <w:t xml:space="preserve"> set:</w:t>
      </w:r>
    </w:p>
    <w:p w14:paraId="25BA2EF9" w14:textId="1BA78ABA" w:rsidR="00FA7CF1" w:rsidRDefault="00FA7CF1" w:rsidP="00FA7CF1">
      <w:pPr>
        <w:pStyle w:val="BulletLevel1"/>
      </w:pPr>
      <w:bookmarkStart w:id="95" w:name="_Hlk102148848"/>
      <w:r w:rsidRPr="56092F8D">
        <w:rPr>
          <w:rStyle w:val="1AllTextBold"/>
        </w:rPr>
        <w:t xml:space="preserve">By Providers, unless the Department’s IT Systems do it automatically (see below): </w:t>
      </w:r>
      <w:r>
        <w:t xml:space="preserve">When contact with a </w:t>
      </w:r>
      <w:r w:rsidR="00CC3961">
        <w:t xml:space="preserve">Participant </w:t>
      </w:r>
      <w:r>
        <w:t xml:space="preserve">occurs to discuss their reasons for a Mutual Obligation Failure, and the Provider assesses </w:t>
      </w:r>
      <w:r w:rsidR="00CD7C55">
        <w:t>they do not</w:t>
      </w:r>
      <w:r>
        <w:t xml:space="preserve"> have a Valid Reason and records the assessment in the Department’s IT Systems (as described in </w:t>
      </w:r>
      <w:hyperlink w:anchor="_Assessing_Valid_Reasons">
        <w:r w:rsidRPr="56092F8D">
          <w:rPr>
            <w:rStyle w:val="Hyperlink"/>
            <w:lang w:val="en-GB"/>
          </w:rPr>
          <w:t>Assessing Valid Reasons</w:t>
        </w:r>
      </w:hyperlink>
      <w:r>
        <w:t>)</w:t>
      </w:r>
      <w:r w:rsidR="00FD47E4">
        <w:t>, t</w:t>
      </w:r>
      <w:r>
        <w:t xml:space="preserve">he Provider must set a Reconnection Requirement for the </w:t>
      </w:r>
      <w:r w:rsidR="00CC3961">
        <w:t>Participant</w:t>
      </w:r>
      <w:r>
        <w:t xml:space="preserve">. This will generally be to attend an appointment or Activity. </w:t>
      </w:r>
    </w:p>
    <w:p w14:paraId="72A8D162" w14:textId="105A0684" w:rsidR="00FA7CF1" w:rsidRPr="00250BCE" w:rsidRDefault="00FA7CF1" w:rsidP="00FA7CF1">
      <w:pPr>
        <w:pStyle w:val="BulletLevel1"/>
      </w:pPr>
      <w:r w:rsidRPr="56092F8D">
        <w:rPr>
          <w:rStyle w:val="1AllTextBold"/>
        </w:rPr>
        <w:t>Automatically:</w:t>
      </w:r>
      <w:r>
        <w:t xml:space="preserve"> The Department’s IT Systems will automatically set the Reconnection Requirement when the </w:t>
      </w:r>
      <w:r w:rsidR="00CC3961">
        <w:t xml:space="preserve">Participant </w:t>
      </w:r>
      <w:r>
        <w:t xml:space="preserve">has failed to: </w:t>
      </w:r>
    </w:p>
    <w:p w14:paraId="51758F04" w14:textId="25FF8BD3" w:rsidR="00FA7CF1" w:rsidRPr="004163A8" w:rsidRDefault="00FA7CF1" w:rsidP="00FA7CF1">
      <w:pPr>
        <w:pStyle w:val="BulletLevel2"/>
        <w:numPr>
          <w:ilvl w:val="1"/>
          <w:numId w:val="6"/>
        </w:numPr>
        <w:tabs>
          <w:tab w:val="num" w:pos="2155"/>
        </w:tabs>
        <w:ind w:left="1276" w:hanging="425"/>
      </w:pPr>
      <w:r w:rsidRPr="004163A8">
        <w:t xml:space="preserve">meet their </w:t>
      </w:r>
      <w:r w:rsidR="0099203A" w:rsidRPr="004163A8">
        <w:t>Job Search</w:t>
      </w:r>
      <w:r w:rsidRPr="004163A8">
        <w:t xml:space="preserve"> Requirement</w:t>
      </w:r>
    </w:p>
    <w:p w14:paraId="25FC7461" w14:textId="5D460B13" w:rsidR="00FA7CF1" w:rsidRPr="00250BCE" w:rsidRDefault="00FA7CF1" w:rsidP="00FA7CF1">
      <w:pPr>
        <w:pStyle w:val="BulletLevel2"/>
        <w:numPr>
          <w:ilvl w:val="1"/>
          <w:numId w:val="6"/>
        </w:numPr>
        <w:tabs>
          <w:tab w:val="num" w:pos="2155"/>
        </w:tabs>
        <w:ind w:left="1276" w:hanging="425"/>
      </w:pPr>
      <w:proofErr w:type="gramStart"/>
      <w:r>
        <w:t>enter into</w:t>
      </w:r>
      <w:proofErr w:type="gramEnd"/>
      <w:r>
        <w:t xml:space="preserve"> a Job Plan, after the </w:t>
      </w:r>
      <w:r w:rsidR="27AFFC3B">
        <w:t>five</w:t>
      </w:r>
      <w:r>
        <w:t xml:space="preserve"> Business Day resolution time has expired.</w:t>
      </w:r>
    </w:p>
    <w:p w14:paraId="6109849A" w14:textId="24C0E023" w:rsidR="00FA7CF1" w:rsidRPr="00744429" w:rsidRDefault="00FA7CF1" w:rsidP="00FA7CF1">
      <w:r w:rsidRPr="2B346718">
        <w:t xml:space="preserve">Where the Department’s IT Systems automatically sets a Reconnection Requirement for a </w:t>
      </w:r>
      <w:r w:rsidR="00CC3961">
        <w:t xml:space="preserve">Participant </w:t>
      </w:r>
      <w:r w:rsidRPr="2B346718">
        <w:t>as described above, the Provider does not need to do this.</w:t>
      </w:r>
    </w:p>
    <w:bookmarkEnd w:id="95"/>
    <w:p w14:paraId="058A284E" w14:textId="2E1DCE0F" w:rsidR="00FA7CF1" w:rsidRDefault="00FA7CF1" w:rsidP="00FA7CF1">
      <w:r w:rsidRPr="2B346718">
        <w:t xml:space="preserve">If the </w:t>
      </w:r>
      <w:r w:rsidR="00CC3961">
        <w:t>Participant</w:t>
      </w:r>
      <w:r w:rsidRPr="2B346718">
        <w:t xml:space="preserve">’s Income Support Payment has been suspended, they must meet a Reconnection Requirement </w:t>
      </w:r>
      <w:proofErr w:type="gramStart"/>
      <w:r w:rsidRPr="2B346718">
        <w:t>in order to</w:t>
      </w:r>
      <w:proofErr w:type="gramEnd"/>
      <w:r w:rsidRPr="2B346718">
        <w:t xml:space="preserve"> have their Income Support Payment suspension lifted.</w:t>
      </w:r>
    </w:p>
    <w:p w14:paraId="2038DEDA" w14:textId="48761E84" w:rsidR="00FA7CF1" w:rsidRDefault="00FA7CF1" w:rsidP="00FA7CF1">
      <w:r w:rsidRPr="00250BCE">
        <w:t>See</w:t>
      </w:r>
      <w:r>
        <w:t xml:space="preserve"> </w:t>
      </w:r>
      <w:hyperlink w:anchor="_Attachment_A_-" w:history="1">
        <w:r w:rsidR="00A677E0" w:rsidRPr="00A677E0">
          <w:rPr>
            <w:rStyle w:val="Hyperlink"/>
          </w:rPr>
          <w:t xml:space="preserve">Attachment A - System steps that </w:t>
        </w:r>
        <w:proofErr w:type="gramStart"/>
        <w:r w:rsidR="00A677E0" w:rsidRPr="00A677E0">
          <w:rPr>
            <w:rStyle w:val="Hyperlink"/>
          </w:rPr>
          <w:t>affect:</w:t>
        </w:r>
        <w:proofErr w:type="gramEnd"/>
        <w:r w:rsidR="00A677E0" w:rsidRPr="00A677E0">
          <w:rPr>
            <w:rStyle w:val="Hyperlink"/>
          </w:rPr>
          <w:t xml:space="preserve"> creation and confirmation of Demerits; suspension of Income Support Payment; lifting of Income Support Payment suspensions</w:t>
        </w:r>
      </w:hyperlink>
      <w:r>
        <w:t xml:space="preserve"> for information on the circumstances in which:</w:t>
      </w:r>
    </w:p>
    <w:p w14:paraId="40CA129C" w14:textId="44C196F4" w:rsidR="00FA7CF1" w:rsidRPr="00250BCE" w:rsidRDefault="00FA7CF1" w:rsidP="00FA7CF1">
      <w:pPr>
        <w:pStyle w:val="BulletLevel1"/>
      </w:pPr>
      <w:r>
        <w:t xml:space="preserve">a </w:t>
      </w:r>
      <w:r w:rsidR="00CC3961">
        <w:t xml:space="preserve">Participant’s </w:t>
      </w:r>
      <w:r>
        <w:t>Income Support Payment is suspended</w:t>
      </w:r>
    </w:p>
    <w:p w14:paraId="2338B41B" w14:textId="314AB087" w:rsidR="00FA7CF1" w:rsidRPr="00250BCE" w:rsidRDefault="00FA7CF1" w:rsidP="00FA7CF1">
      <w:pPr>
        <w:pStyle w:val="BulletLevel1"/>
      </w:pPr>
      <w:r>
        <w:t xml:space="preserve">the suspension of a </w:t>
      </w:r>
      <w:r w:rsidR="00CC3961">
        <w:t xml:space="preserve">Participant’s </w:t>
      </w:r>
      <w:r>
        <w:t>Income Support Payment is lifted.</w:t>
      </w:r>
    </w:p>
    <w:p w14:paraId="51622395" w14:textId="78F54BB9" w:rsidR="00FA7CF1" w:rsidRDefault="00FA7CF1" w:rsidP="00FA7CF1">
      <w:r w:rsidRPr="2B346718">
        <w:t>Note</w:t>
      </w:r>
      <w:r w:rsidR="00CC3961">
        <w:t xml:space="preserve"> that</w:t>
      </w:r>
      <w:r w:rsidR="00172831">
        <w:t>, if set,</w:t>
      </w:r>
      <w:r w:rsidRPr="2B346718">
        <w:t xml:space="preserve"> a Reconnection Requirement is a Mutual Obligation Requirement. This means that, among other things</w:t>
      </w:r>
      <w:r w:rsidRPr="00353BBB">
        <w:t xml:space="preserve"> </w:t>
      </w:r>
      <w:r w:rsidRPr="2B346718">
        <w:t xml:space="preserve">the Provider must comply with the </w:t>
      </w:r>
      <w:r w:rsidR="00235ED2">
        <w:t>Grant Agreement</w:t>
      </w:r>
      <w:r w:rsidRPr="2B346718">
        <w:t>:</w:t>
      </w:r>
    </w:p>
    <w:p w14:paraId="3CFBF8AD" w14:textId="483362B2" w:rsidR="00FA7CF1" w:rsidRPr="00250BCE" w:rsidRDefault="00FA7CF1" w:rsidP="00FA7CF1">
      <w:pPr>
        <w:pStyle w:val="BulletLevel1"/>
      </w:pPr>
      <w:r>
        <w:t xml:space="preserve">when recording Reconnection Requirements in a </w:t>
      </w:r>
      <w:r w:rsidR="00CC3961">
        <w:t xml:space="preserve">Participant’s </w:t>
      </w:r>
      <w:r>
        <w:t xml:space="preserve">Electronic Calendar </w:t>
      </w:r>
    </w:p>
    <w:p w14:paraId="297FCDC1" w14:textId="1AD9341C" w:rsidR="00FA7CF1" w:rsidRPr="00250BCE" w:rsidRDefault="00FA7CF1" w:rsidP="00FA7CF1">
      <w:pPr>
        <w:pStyle w:val="BulletLevel1"/>
      </w:pPr>
      <w:r>
        <w:t xml:space="preserve">in relation to rescheduling or removing a Reconnection Requirement from a </w:t>
      </w:r>
      <w:r w:rsidR="00CC3961">
        <w:t xml:space="preserve">Participant’s </w:t>
      </w:r>
      <w:r>
        <w:t>Electronic Calendar.</w:t>
      </w:r>
    </w:p>
    <w:p w14:paraId="50D97B36" w14:textId="77777777" w:rsidR="00FA7CF1" w:rsidRDefault="00FA7CF1" w:rsidP="00DF6BEA">
      <w:pPr>
        <w:pStyle w:val="guidelinetext"/>
        <w:spacing w:before="60" w:line="240" w:lineRule="auto"/>
        <w:ind w:left="0"/>
      </w:pPr>
    </w:p>
    <w:p w14:paraId="285DCE75" w14:textId="6D3B07D5" w:rsidR="00035383" w:rsidRDefault="00035383" w:rsidP="005B6382">
      <w:pPr>
        <w:pStyle w:val="DeedReferences"/>
      </w:pPr>
      <w:r>
        <w:t>(</w:t>
      </w:r>
      <w:r w:rsidR="005A22F9">
        <w:t xml:space="preserve">Grant Agreement </w:t>
      </w:r>
      <w:r w:rsidR="005C62B3">
        <w:t xml:space="preserve">references: </w:t>
      </w:r>
      <w:r w:rsidR="005A22F9">
        <w:t>clauses 91.2 and 91.3</w:t>
      </w:r>
      <w:r>
        <w:t>)</w:t>
      </w:r>
    </w:p>
    <w:p w14:paraId="685D7734" w14:textId="77777777" w:rsidR="00097645" w:rsidRPr="00744429" w:rsidRDefault="00097645" w:rsidP="00DF6BEA">
      <w:pPr>
        <w:pStyle w:val="Heading3"/>
        <w:numPr>
          <w:ilvl w:val="2"/>
          <w:numId w:val="0"/>
        </w:numPr>
      </w:pPr>
      <w:bookmarkStart w:id="96" w:name="_Toc177568228"/>
      <w:r w:rsidRPr="00250BCE">
        <w:t>Reconnection Requirement</w:t>
      </w:r>
      <w:r>
        <w:t>s - No Longer Required</w:t>
      </w:r>
      <w:bookmarkEnd w:id="96"/>
    </w:p>
    <w:p w14:paraId="27B9662E" w14:textId="76580411" w:rsidR="00CC3961" w:rsidRDefault="00CC3961" w:rsidP="00CC3961">
      <w:pPr>
        <w:pStyle w:val="BulletLevel1"/>
        <w:numPr>
          <w:ilvl w:val="0"/>
          <w:numId w:val="0"/>
        </w:numPr>
      </w:pPr>
      <w:r>
        <w:t>P</w:t>
      </w:r>
      <w:r w:rsidRPr="00920587">
        <w:t xml:space="preserve">roviders </w:t>
      </w:r>
      <w:r>
        <w:t>must</w:t>
      </w:r>
      <w:r w:rsidRPr="00920587">
        <w:t xml:space="preserve"> finalise attendance-based non-compliance prior to the expiry of resolution time</w:t>
      </w:r>
      <w:r w:rsidR="00235ED2">
        <w:t xml:space="preserve"> if</w:t>
      </w:r>
      <w:r>
        <w:t>:</w:t>
      </w:r>
    </w:p>
    <w:p w14:paraId="0E91B89F" w14:textId="61265C5F" w:rsidR="00CC3961" w:rsidRDefault="00CC3961" w:rsidP="00CC3961">
      <w:pPr>
        <w:pStyle w:val="BulletLevel1"/>
        <w:numPr>
          <w:ilvl w:val="0"/>
          <w:numId w:val="73"/>
        </w:numPr>
      </w:pPr>
      <w:r>
        <w:t xml:space="preserve">they are </w:t>
      </w:r>
      <w:r w:rsidRPr="00920587">
        <w:t>in contact with the participant</w:t>
      </w:r>
      <w:r>
        <w:t>,</w:t>
      </w:r>
      <w:r w:rsidRPr="00920587">
        <w:t xml:space="preserve"> and</w:t>
      </w:r>
    </w:p>
    <w:p w14:paraId="0764714D" w14:textId="77777777" w:rsidR="00CC3961" w:rsidRDefault="00CC3961" w:rsidP="00CC3961">
      <w:pPr>
        <w:pStyle w:val="BulletLevel1"/>
        <w:numPr>
          <w:ilvl w:val="0"/>
          <w:numId w:val="73"/>
        </w:numPr>
      </w:pPr>
      <w:r>
        <w:t>they are</w:t>
      </w:r>
      <w:r w:rsidRPr="00920587">
        <w:t xml:space="preserve"> satisfied that a re-engagement requirement is not necessary. </w:t>
      </w:r>
    </w:p>
    <w:p w14:paraId="5A0D9CD2" w14:textId="77777777" w:rsidR="00CC3961" w:rsidRDefault="00920326" w:rsidP="00CC3961">
      <w:pPr>
        <w:pStyle w:val="BulletLevel1"/>
        <w:numPr>
          <w:ilvl w:val="0"/>
          <w:numId w:val="0"/>
        </w:numPr>
      </w:pPr>
      <w:r>
        <w:t xml:space="preserve">The </w:t>
      </w:r>
      <w:r w:rsidR="008D7119" w:rsidRPr="0034669C">
        <w:t xml:space="preserve">Provider must record </w:t>
      </w:r>
      <w:proofErr w:type="spellStart"/>
      <w:r w:rsidR="008D7119" w:rsidRPr="0034669C">
        <w:t>‘Re</w:t>
      </w:r>
      <w:proofErr w:type="spellEnd"/>
      <w:r w:rsidR="008D7119" w:rsidRPr="0034669C">
        <w:t>-engagement Not Required– non-compliance discussed’ in the Department’s IT System</w:t>
      </w:r>
      <w:r w:rsidR="008D7119">
        <w:t>.</w:t>
      </w:r>
      <w:r w:rsidR="00CC3961">
        <w:t xml:space="preserve"> </w:t>
      </w:r>
      <w:r w:rsidR="00CC3961" w:rsidRPr="00920587">
        <w:t xml:space="preserve">Recording this will end the need for the participant to </w:t>
      </w:r>
      <w:r w:rsidR="00CC3961">
        <w:t xml:space="preserve">have a separate </w:t>
      </w:r>
      <w:r w:rsidR="00CC3961" w:rsidRPr="00920587">
        <w:t>re-engage</w:t>
      </w:r>
      <w:r w:rsidR="00CC3961">
        <w:t>ment requirement booked</w:t>
      </w:r>
      <w:r w:rsidR="00CC3961" w:rsidRPr="00920587">
        <w:t xml:space="preserve"> and end Resolution Time.</w:t>
      </w:r>
    </w:p>
    <w:p w14:paraId="7991E9E0" w14:textId="57461A13" w:rsidR="002409E2" w:rsidRDefault="002409E2" w:rsidP="008D7119">
      <w:pPr>
        <w:pStyle w:val="BulletLevel1"/>
        <w:numPr>
          <w:ilvl w:val="0"/>
          <w:numId w:val="0"/>
        </w:numPr>
      </w:pPr>
    </w:p>
    <w:p w14:paraId="26005070" w14:textId="3A702414" w:rsidR="00CC3961" w:rsidRDefault="002409E2" w:rsidP="008D7119">
      <w:pPr>
        <w:pStyle w:val="BulletLevel1"/>
        <w:numPr>
          <w:ilvl w:val="0"/>
          <w:numId w:val="0"/>
        </w:numPr>
        <w:rPr>
          <w:b/>
          <w:bCs/>
        </w:rPr>
      </w:pPr>
      <w:r>
        <w:t>In instance</w:t>
      </w:r>
      <w:r w:rsidR="00235ED2">
        <w:t>s</w:t>
      </w:r>
      <w:r>
        <w:t xml:space="preserve"> where the Participant has demonstrated continued patterns of disengagement, or if the Provider considers that</w:t>
      </w:r>
      <w:r w:rsidR="00EF4355">
        <w:t xml:space="preserve"> re-engagement is required</w:t>
      </w:r>
      <w:r>
        <w:t xml:space="preserve"> , the Provider can set a Reconnection Requirement to occur in accordance with Section 12.2.10</w:t>
      </w:r>
      <w:r w:rsidRPr="007715AA">
        <w:t xml:space="preserve"> </w:t>
      </w:r>
      <w:r w:rsidRPr="002409E2">
        <w:rPr>
          <w:b/>
          <w:bCs/>
        </w:rPr>
        <w:t xml:space="preserve">Setting a Reconnection Requirement. </w:t>
      </w:r>
    </w:p>
    <w:p w14:paraId="685F5BBB" w14:textId="77777777" w:rsidR="00CC3961" w:rsidRDefault="00CC3961" w:rsidP="00CC3961">
      <w:r>
        <w:rPr>
          <w:b/>
          <w:bCs/>
        </w:rPr>
        <w:t xml:space="preserve">If a Provider does set a Reconnection </w:t>
      </w:r>
      <w:proofErr w:type="gramStart"/>
      <w:r>
        <w:rPr>
          <w:b/>
          <w:bCs/>
        </w:rPr>
        <w:t>Requirement</w:t>
      </w:r>
      <w:proofErr w:type="gramEnd"/>
      <w:r>
        <w:rPr>
          <w:b/>
          <w:bCs/>
        </w:rPr>
        <w:t xml:space="preserve"> they </w:t>
      </w:r>
      <w:r>
        <w:t>must record the reason in the comment section of the Department’s IT.</w:t>
      </w:r>
    </w:p>
    <w:p w14:paraId="390B5B93" w14:textId="15F29F8F" w:rsidR="002409E2" w:rsidRPr="00DF6BEA" w:rsidRDefault="002409E2" w:rsidP="00DF6BEA">
      <w:pPr>
        <w:pStyle w:val="BulletLevel1"/>
        <w:numPr>
          <w:ilvl w:val="0"/>
          <w:numId w:val="0"/>
        </w:numPr>
      </w:pPr>
      <w:r>
        <w:t xml:space="preserve">Reconnection </w:t>
      </w:r>
      <w:r w:rsidRPr="002409E2">
        <w:rPr>
          <w:rFonts w:cstheme="minorHAnsi"/>
          <w:color w:val="000000" w:themeColor="text1"/>
        </w:rPr>
        <w:t>Requirements are still required following Mutual Obligation Failures</w:t>
      </w:r>
      <w:r>
        <w:rPr>
          <w:rFonts w:cstheme="minorHAnsi"/>
          <w:color w:val="000000" w:themeColor="text1"/>
        </w:rPr>
        <w:t xml:space="preserve"> for: </w:t>
      </w:r>
    </w:p>
    <w:p w14:paraId="7BE29D46" w14:textId="77777777" w:rsidR="00097645" w:rsidRPr="00F74982" w:rsidRDefault="00097645" w:rsidP="00097645">
      <w:pPr>
        <w:pStyle w:val="ListParagraph"/>
        <w:numPr>
          <w:ilvl w:val="0"/>
          <w:numId w:val="62"/>
        </w:numPr>
        <w:spacing w:before="0" w:after="0"/>
        <w:rPr>
          <w:rFonts w:cstheme="minorHAnsi"/>
          <w:color w:val="000000" w:themeColor="text1"/>
        </w:rPr>
      </w:pPr>
      <w:r w:rsidRPr="00F74982">
        <w:rPr>
          <w:rFonts w:cstheme="minorHAnsi"/>
          <w:color w:val="000000" w:themeColor="text1"/>
        </w:rPr>
        <w:t>Initial Appointments</w:t>
      </w:r>
    </w:p>
    <w:p w14:paraId="3FB879E5" w14:textId="3E5B9710" w:rsidR="00097645" w:rsidRDefault="00097645" w:rsidP="00097645">
      <w:pPr>
        <w:pStyle w:val="ListParagraph"/>
        <w:numPr>
          <w:ilvl w:val="0"/>
          <w:numId w:val="62"/>
        </w:numPr>
        <w:spacing w:before="0" w:after="0"/>
        <w:rPr>
          <w:rFonts w:cstheme="minorHAnsi"/>
          <w:color w:val="000000" w:themeColor="text1"/>
        </w:rPr>
      </w:pPr>
      <w:r w:rsidRPr="00F74982">
        <w:rPr>
          <w:rFonts w:cstheme="minorHAnsi"/>
          <w:color w:val="000000" w:themeColor="text1"/>
        </w:rPr>
        <w:t xml:space="preserve">Job </w:t>
      </w:r>
      <w:r w:rsidR="00235ED2">
        <w:rPr>
          <w:rFonts w:cstheme="minorHAnsi"/>
          <w:color w:val="000000" w:themeColor="text1"/>
        </w:rPr>
        <w:t>P</w:t>
      </w:r>
      <w:r w:rsidRPr="00F74982">
        <w:rPr>
          <w:rFonts w:cstheme="minorHAnsi"/>
          <w:color w:val="000000" w:themeColor="text1"/>
        </w:rPr>
        <w:t>lans</w:t>
      </w:r>
    </w:p>
    <w:p w14:paraId="23291C96" w14:textId="66E55730" w:rsidR="00097645" w:rsidRPr="004163A8" w:rsidRDefault="00141ADC" w:rsidP="00097645">
      <w:pPr>
        <w:pStyle w:val="ListParagraph"/>
        <w:numPr>
          <w:ilvl w:val="0"/>
          <w:numId w:val="62"/>
        </w:numPr>
        <w:spacing w:before="0" w:after="0"/>
        <w:rPr>
          <w:rFonts w:cstheme="minorHAnsi"/>
          <w:color w:val="000000" w:themeColor="text1"/>
        </w:rPr>
      </w:pPr>
      <w:r w:rsidRPr="004163A8">
        <w:rPr>
          <w:rFonts w:cstheme="minorBidi"/>
          <w:color w:val="000000" w:themeColor="text1"/>
        </w:rPr>
        <w:t xml:space="preserve">Job </w:t>
      </w:r>
      <w:r w:rsidR="002E1D6C" w:rsidRPr="004163A8">
        <w:rPr>
          <w:rFonts w:cstheme="minorBidi"/>
          <w:color w:val="000000" w:themeColor="text1"/>
        </w:rPr>
        <w:t>Search</w:t>
      </w:r>
    </w:p>
    <w:p w14:paraId="7B3A6A86" w14:textId="77777777" w:rsidR="00097645" w:rsidRDefault="00097645" w:rsidP="00097645">
      <w:pPr>
        <w:ind w:left="360"/>
        <w:rPr>
          <w:rFonts w:cstheme="minorHAnsi"/>
          <w:color w:val="000000" w:themeColor="text1"/>
        </w:rPr>
      </w:pPr>
      <w:r>
        <w:rPr>
          <w:rFonts w:cstheme="minorHAnsi"/>
          <w:color w:val="000000" w:themeColor="text1"/>
        </w:rPr>
        <w:t xml:space="preserve">Or </w:t>
      </w:r>
    </w:p>
    <w:p w14:paraId="0B159430" w14:textId="304F8503" w:rsidR="00097645" w:rsidRDefault="00097645" w:rsidP="00097645">
      <w:pPr>
        <w:pStyle w:val="ListParagraph"/>
        <w:numPr>
          <w:ilvl w:val="0"/>
          <w:numId w:val="62"/>
        </w:numPr>
        <w:spacing w:before="0" w:after="0"/>
        <w:rPr>
          <w:rFonts w:cstheme="minorHAnsi"/>
          <w:color w:val="000000" w:themeColor="text1"/>
        </w:rPr>
      </w:pPr>
      <w:r>
        <w:rPr>
          <w:rFonts w:cstheme="minorHAnsi"/>
          <w:color w:val="000000" w:themeColor="text1"/>
        </w:rPr>
        <w:t>W</w:t>
      </w:r>
      <w:r w:rsidRPr="00F74982">
        <w:rPr>
          <w:rFonts w:cstheme="minorHAnsi"/>
          <w:color w:val="000000" w:themeColor="text1"/>
        </w:rPr>
        <w:t>hen the</w:t>
      </w:r>
      <w:r w:rsidR="00822B02">
        <w:rPr>
          <w:rFonts w:cstheme="minorHAnsi"/>
          <w:color w:val="000000" w:themeColor="text1"/>
        </w:rPr>
        <w:t xml:space="preserve"> job seeker</w:t>
      </w:r>
      <w:r w:rsidRPr="00F74982">
        <w:rPr>
          <w:rFonts w:cstheme="minorHAnsi"/>
          <w:color w:val="000000" w:themeColor="text1"/>
        </w:rPr>
        <w:t xml:space="preserve"> has </w:t>
      </w:r>
      <w:r>
        <w:rPr>
          <w:rFonts w:cstheme="minorHAnsi"/>
          <w:color w:val="000000" w:themeColor="text1"/>
        </w:rPr>
        <w:t xml:space="preserve">a </w:t>
      </w:r>
      <w:r w:rsidRPr="00F74982">
        <w:rPr>
          <w:rFonts w:cstheme="minorHAnsi"/>
          <w:color w:val="000000" w:themeColor="text1"/>
        </w:rPr>
        <w:t xml:space="preserve">re-engagement requirement </w:t>
      </w:r>
      <w:r>
        <w:rPr>
          <w:rFonts w:cstheme="minorHAnsi"/>
          <w:color w:val="000000" w:themeColor="text1"/>
        </w:rPr>
        <w:t>of either</w:t>
      </w:r>
      <w:r w:rsidRPr="00F74982">
        <w:rPr>
          <w:rFonts w:cstheme="minorHAnsi"/>
          <w:color w:val="000000" w:themeColor="text1"/>
        </w:rPr>
        <w:t xml:space="preserve"> a Capability Interview</w:t>
      </w:r>
      <w:r>
        <w:rPr>
          <w:rFonts w:cstheme="minorHAnsi"/>
          <w:color w:val="000000" w:themeColor="text1"/>
        </w:rPr>
        <w:t xml:space="preserve"> or Capability Assessment</w:t>
      </w:r>
      <w:r w:rsidR="004163A8">
        <w:rPr>
          <w:rFonts w:cstheme="minorHAnsi"/>
          <w:color w:val="000000" w:themeColor="text1"/>
        </w:rPr>
        <w:t>.</w:t>
      </w:r>
    </w:p>
    <w:p w14:paraId="797F34FE" w14:textId="77777777" w:rsidR="005A22F9" w:rsidRDefault="005A22F9" w:rsidP="00973A61">
      <w:pPr>
        <w:pStyle w:val="guidelinetext"/>
        <w:spacing w:line="240" w:lineRule="auto"/>
        <w:ind w:left="0"/>
      </w:pPr>
    </w:p>
    <w:p w14:paraId="3B31AB34" w14:textId="7DA09262" w:rsidR="00F937AE" w:rsidRDefault="00035383" w:rsidP="00973A61">
      <w:pPr>
        <w:pStyle w:val="Heading3"/>
        <w:spacing w:before="0" w:after="120"/>
      </w:pPr>
      <w:bookmarkStart w:id="97" w:name="_Setting_a_re-engagement"/>
      <w:bookmarkStart w:id="98" w:name="_Toc21095877"/>
      <w:bookmarkStart w:id="99" w:name="_Toc177568229"/>
      <w:bookmarkEnd w:id="97"/>
      <w:r>
        <w:t>Setting a Reconnection Requirement</w:t>
      </w:r>
      <w:bookmarkEnd w:id="98"/>
      <w:bookmarkEnd w:id="99"/>
    </w:p>
    <w:p w14:paraId="6138E3A3" w14:textId="3C2CDDCA" w:rsidR="00DE7ED6" w:rsidRDefault="00DE7ED6" w:rsidP="00DF6BEA">
      <w:r w:rsidRPr="2B346718">
        <w:t xml:space="preserve">When setting </w:t>
      </w:r>
      <w:r w:rsidRPr="00596139">
        <w:t xml:space="preserve">a Reconnection Requirement, the Provider must follow the prompts in the Department’s IT Systems and notify the Participant of the Reconnection Requirement. If the </w:t>
      </w:r>
      <w:r>
        <w:t>Reconnection R</w:t>
      </w:r>
      <w:r w:rsidRPr="00596139">
        <w:t xml:space="preserve">equirement is not automatically set, </w:t>
      </w:r>
      <w:r>
        <w:t>the</w:t>
      </w:r>
      <w:r w:rsidRPr="00596139">
        <w:t xml:space="preserve"> Department’s IT Systems will specify the type of Reconnection Requirement which the Provider must set for the purposes of complying with their </w:t>
      </w:r>
      <w:r w:rsidR="00235ED2">
        <w:t>Grant Agreement</w:t>
      </w:r>
      <w:r w:rsidRPr="00596139">
        <w:t xml:space="preserve"> obligation referred to above. </w:t>
      </w:r>
      <w:r>
        <w:t>Refer to</w:t>
      </w:r>
      <w:r w:rsidRPr="00B6597A">
        <w:rPr>
          <w:rStyle w:val="1AllTextNormalCharacter"/>
        </w:rPr>
        <w:t xml:space="preserve"> </w:t>
      </w:r>
      <w:hyperlink w:anchor="Notifications_of_Mutual_Ob_Failures" w:history="1">
        <w:r w:rsidRPr="00DC4866">
          <w:rPr>
            <w:rStyle w:val="Hyperlink"/>
          </w:rPr>
          <w:t>Notifications to Participants of Mutual Obligation Failures</w:t>
        </w:r>
      </w:hyperlink>
      <w:r>
        <w:rPr>
          <w:rStyle w:val="1AllTextNormalCharacter"/>
        </w:rPr>
        <w:t xml:space="preserve"> </w:t>
      </w:r>
      <w:r>
        <w:t xml:space="preserve">for information on notifying </w:t>
      </w:r>
      <w:r w:rsidR="00CC3961">
        <w:t>Participant</w:t>
      </w:r>
      <w:r>
        <w:t xml:space="preserve"> within the appropriate timeframe.</w:t>
      </w:r>
    </w:p>
    <w:p w14:paraId="5E81DC2C" w14:textId="4E45232E" w:rsidR="00DE7ED6" w:rsidRDefault="00DE7ED6" w:rsidP="00DF6BEA">
      <w:r>
        <w:t xml:space="preserve">The Provider must schedule the Reconnection Requirement in the </w:t>
      </w:r>
      <w:r w:rsidR="00CC3961">
        <w:t xml:space="preserve">Participant’s </w:t>
      </w:r>
      <w:r>
        <w:t xml:space="preserve">Electronic Calendar to occur within </w:t>
      </w:r>
      <w:r w:rsidR="29438AEF">
        <w:t>two</w:t>
      </w:r>
      <w:r>
        <w:t xml:space="preserve"> Business Days following the day of the contact between the </w:t>
      </w:r>
      <w:r w:rsidR="00CC3961">
        <w:t xml:space="preserve">Participant </w:t>
      </w:r>
      <w:r>
        <w:t xml:space="preserve">and their Provider to discuss the relevant Mutual Obligation Failure. Exceptions to this </w:t>
      </w:r>
      <w:r w:rsidR="647A119F">
        <w:t>two</w:t>
      </w:r>
      <w:r>
        <w:t xml:space="preserve"> Business Day requirement are:</w:t>
      </w:r>
    </w:p>
    <w:p w14:paraId="3C169469" w14:textId="186E0344" w:rsidR="00035383" w:rsidRDefault="00035383" w:rsidP="00267E89">
      <w:pPr>
        <w:pStyle w:val="guidelinetext"/>
        <w:numPr>
          <w:ilvl w:val="0"/>
          <w:numId w:val="9"/>
        </w:numPr>
        <w:spacing w:before="60" w:line="240" w:lineRule="auto"/>
        <w:ind w:left="714" w:hanging="357"/>
      </w:pPr>
      <w:r>
        <w:t>the Department’s IT Systems automatically sets the date and time of the Reconnection Requirement as discussed below under the heading ‘Reconnection Requirement</w:t>
      </w:r>
      <w:r w:rsidRPr="00192FA4">
        <w:t xml:space="preserve">s that </w:t>
      </w:r>
      <w:r>
        <w:t>have times and dates</w:t>
      </w:r>
      <w:r w:rsidRPr="00192FA4">
        <w:t xml:space="preserve"> automatically </w:t>
      </w:r>
      <w:r>
        <w:t xml:space="preserve">set </w:t>
      </w:r>
      <w:r w:rsidRPr="00192FA4">
        <w:t xml:space="preserve">by the </w:t>
      </w:r>
      <w:r>
        <w:t>Department’s IT S</w:t>
      </w:r>
      <w:r w:rsidRPr="00192FA4">
        <w:t>ystem</w:t>
      </w:r>
      <w:r>
        <w:t>s</w:t>
      </w:r>
      <w:r w:rsidR="00B8740E">
        <w:t>’, or</w:t>
      </w:r>
    </w:p>
    <w:p w14:paraId="4948484D" w14:textId="77777777" w:rsidR="00035383" w:rsidRDefault="00035383" w:rsidP="00267E89">
      <w:pPr>
        <w:pStyle w:val="guidelinetext"/>
        <w:numPr>
          <w:ilvl w:val="0"/>
          <w:numId w:val="9"/>
        </w:numPr>
        <w:spacing w:before="60" w:line="240" w:lineRule="auto"/>
        <w:ind w:left="714" w:hanging="357"/>
      </w:pPr>
      <w:r>
        <w:t>the Participant has a Valid Reason for not being able to meet the Reconnection Requirement within the two Business Day timeframe as discussed below under the heading ‘Valid Reason to not meet Reconnection Requirement within two Business Days’.</w:t>
      </w:r>
    </w:p>
    <w:p w14:paraId="6E1D4D54" w14:textId="650376C6" w:rsidR="00267E89" w:rsidRPr="006F7C4F" w:rsidRDefault="00267E89" w:rsidP="005B6382">
      <w:pPr>
        <w:tabs>
          <w:tab w:val="right" w:pos="1701"/>
        </w:tabs>
      </w:pPr>
      <w:r w:rsidRPr="67EE9B0E">
        <w:rPr>
          <w:rFonts w:asciiTheme="minorHAnsi" w:hAnsiTheme="minorHAnsi" w:cstheme="minorBidi"/>
        </w:rPr>
        <w:t>Reconnection</w:t>
      </w:r>
      <w:r>
        <w:t xml:space="preserve"> Requirements must be scheduled to occur within two Business Days of Participant contact to try and ensure that a Participant’s Income Support Payment is not suspended for more than </w:t>
      </w:r>
      <w:r w:rsidR="10B0FE44">
        <w:t xml:space="preserve">five </w:t>
      </w:r>
      <w:r>
        <w:t>Business Days following contact with their Provider.</w:t>
      </w:r>
    </w:p>
    <w:p w14:paraId="302CA18A" w14:textId="363F5949" w:rsidR="00035383" w:rsidRDefault="00035383" w:rsidP="005B6382">
      <w:pPr>
        <w:pStyle w:val="DeedReferences"/>
      </w:pPr>
      <w:r>
        <w:t>(</w:t>
      </w:r>
      <w:r w:rsidR="005A22F9">
        <w:t xml:space="preserve"> Grant Agreement </w:t>
      </w:r>
      <w:r w:rsidR="005C62B3">
        <w:t xml:space="preserve">references: </w:t>
      </w:r>
      <w:r w:rsidR="005A22F9">
        <w:t>clauses 111.2(a)(ii), 111.4(b) and 111.5(a)(</w:t>
      </w:r>
      <w:proofErr w:type="spellStart"/>
      <w:r w:rsidR="005A22F9">
        <w:t>i</w:t>
      </w:r>
      <w:proofErr w:type="spellEnd"/>
      <w:r>
        <w:t>))</w:t>
      </w:r>
    </w:p>
    <w:p w14:paraId="3B3DEDBF" w14:textId="77777777" w:rsidR="00035383" w:rsidRPr="00267E89" w:rsidRDefault="00035383" w:rsidP="005B6382">
      <w:pPr>
        <w:spacing w:before="240"/>
        <w:rPr>
          <w:sz w:val="24"/>
          <w:u w:val="single"/>
        </w:rPr>
      </w:pPr>
      <w:bookmarkStart w:id="100" w:name="_Toc21095878"/>
      <w:r w:rsidRPr="00973A61">
        <w:rPr>
          <w:sz w:val="24"/>
          <w:u w:val="single"/>
        </w:rPr>
        <w:t>Multiple Mutual Obligation Failures before contact</w:t>
      </w:r>
      <w:bookmarkEnd w:id="100"/>
    </w:p>
    <w:p w14:paraId="51D67E38" w14:textId="77777777" w:rsidR="00035383" w:rsidRDefault="00035383" w:rsidP="005B6382">
      <w:pPr>
        <w:tabs>
          <w:tab w:val="right" w:pos="1701"/>
        </w:tabs>
      </w:pPr>
      <w:r>
        <w:t>When a Participant commits multiple Mutual Obligation Failures before there is a contact with their Provider to discuss those Mutual Obligation Failures:</w:t>
      </w:r>
    </w:p>
    <w:p w14:paraId="2CB50F46" w14:textId="77777777" w:rsidR="00035383" w:rsidRDefault="00035383" w:rsidP="00267E89">
      <w:pPr>
        <w:pStyle w:val="guidelinetext"/>
        <w:numPr>
          <w:ilvl w:val="0"/>
          <w:numId w:val="9"/>
        </w:numPr>
        <w:spacing w:before="60" w:line="240" w:lineRule="auto"/>
        <w:ind w:left="714" w:hanging="357"/>
      </w:pPr>
      <w:r>
        <w:t>only one Reconnection Requirement can be set; and</w:t>
      </w:r>
    </w:p>
    <w:p w14:paraId="3917BD9B" w14:textId="50CFC83F" w:rsidR="00035383" w:rsidRDefault="00035383" w:rsidP="00267E89">
      <w:pPr>
        <w:pStyle w:val="guidelinetext"/>
        <w:numPr>
          <w:ilvl w:val="0"/>
          <w:numId w:val="9"/>
        </w:numPr>
        <w:spacing w:before="60" w:line="240" w:lineRule="auto"/>
        <w:ind w:left="714" w:hanging="357"/>
      </w:pPr>
      <w:r>
        <w:t xml:space="preserve">the Provider must advise Participants that they only </w:t>
      </w:r>
      <w:proofErr w:type="gramStart"/>
      <w:r>
        <w:t>have to</w:t>
      </w:r>
      <w:proofErr w:type="gramEnd"/>
      <w:r>
        <w:t xml:space="preserve"> meet one Reconnection Requirement.</w:t>
      </w:r>
    </w:p>
    <w:p w14:paraId="5ED1C098" w14:textId="77777777" w:rsidR="00035383" w:rsidRPr="00973A61" w:rsidRDefault="00035383" w:rsidP="005B6382">
      <w:pPr>
        <w:spacing w:before="240"/>
        <w:rPr>
          <w:u w:val="single"/>
        </w:rPr>
      </w:pPr>
      <w:bookmarkStart w:id="101" w:name="_Toc21095879"/>
      <w:r w:rsidRPr="00267E89">
        <w:rPr>
          <w:sz w:val="24"/>
          <w:u w:val="single"/>
        </w:rPr>
        <w:t>Reconnection</w:t>
      </w:r>
      <w:r w:rsidRPr="00973A61">
        <w:rPr>
          <w:sz w:val="24"/>
          <w:u w:val="single"/>
        </w:rPr>
        <w:t xml:space="preserve"> Requirements that have times and dates automatically set by the Department’s IT Systems</w:t>
      </w:r>
      <w:bookmarkEnd w:id="101"/>
    </w:p>
    <w:p w14:paraId="2FD66687" w14:textId="77777777" w:rsidR="00035383" w:rsidRDefault="00035383" w:rsidP="005B6382">
      <w:pPr>
        <w:tabs>
          <w:tab w:val="right" w:pos="1701"/>
        </w:tabs>
      </w:pPr>
      <w:r>
        <w:t xml:space="preserve">For some </w:t>
      </w:r>
      <w:r w:rsidRPr="005B6382">
        <w:rPr>
          <w:rFonts w:asciiTheme="minorHAnsi" w:hAnsiTheme="minorHAnsi" w:cstheme="minorHAnsi"/>
          <w:szCs w:val="22"/>
        </w:rPr>
        <w:t>Mutual</w:t>
      </w:r>
      <w:r>
        <w:t xml:space="preserve"> Obligation Failures, the Department’s IT Systems will automatically set the Reconnection Requirement, including recording its time and date in the Participant’s Electronic Calendar. This happens when:</w:t>
      </w:r>
    </w:p>
    <w:p w14:paraId="4F2824AE" w14:textId="5BF0AB3E" w:rsidR="00035383" w:rsidRDefault="00035383" w:rsidP="00267E89">
      <w:pPr>
        <w:pStyle w:val="guidelinetext"/>
        <w:numPr>
          <w:ilvl w:val="0"/>
          <w:numId w:val="9"/>
        </w:numPr>
        <w:spacing w:before="60" w:line="240" w:lineRule="auto"/>
        <w:ind w:left="714" w:hanging="357"/>
      </w:pPr>
      <w:r>
        <w:t>the Participant has failed to self-report the required number of Job Searches by the end of their Job Search Period as referred to in clause 11</w:t>
      </w:r>
      <w:r w:rsidR="005A22F9">
        <w:t>1</w:t>
      </w:r>
      <w:r>
        <w:t xml:space="preserve">.2(a) of the </w:t>
      </w:r>
      <w:r w:rsidR="005A22F9">
        <w:t>DES Grant Agreement</w:t>
      </w:r>
      <w:r>
        <w:t>; or</w:t>
      </w:r>
    </w:p>
    <w:p w14:paraId="521406AB" w14:textId="3908FE56" w:rsidR="00035383" w:rsidRDefault="00035383" w:rsidP="00267E89">
      <w:pPr>
        <w:pStyle w:val="guidelinetext"/>
        <w:numPr>
          <w:ilvl w:val="0"/>
          <w:numId w:val="9"/>
        </w:numPr>
        <w:spacing w:before="60" w:line="240" w:lineRule="auto"/>
        <w:ind w:left="714" w:hanging="357"/>
      </w:pPr>
      <w:r>
        <w:t xml:space="preserve">the Participant has refused to </w:t>
      </w:r>
      <w:proofErr w:type="gramStart"/>
      <w:r>
        <w:t>enter into</w:t>
      </w:r>
      <w:proofErr w:type="gramEnd"/>
      <w:r>
        <w:t xml:space="preserve"> a Job Plan as referred to in clause 11</w:t>
      </w:r>
      <w:r w:rsidR="005A22F9">
        <w:t>1</w:t>
      </w:r>
      <w:r>
        <w:t xml:space="preserve">.2(b) of the </w:t>
      </w:r>
      <w:r w:rsidR="005A22F9">
        <w:t>DES Grant Agreement</w:t>
      </w:r>
      <w:r>
        <w:t>.</w:t>
      </w:r>
    </w:p>
    <w:p w14:paraId="6550B7B1" w14:textId="65EA565C" w:rsidR="00035383" w:rsidRDefault="00035383" w:rsidP="005B6382">
      <w:pPr>
        <w:tabs>
          <w:tab w:val="right" w:pos="1701"/>
        </w:tabs>
      </w:pPr>
      <w:r>
        <w:t xml:space="preserve">Where the </w:t>
      </w:r>
      <w:r w:rsidRPr="005B6382">
        <w:rPr>
          <w:rFonts w:asciiTheme="minorHAnsi" w:hAnsiTheme="minorHAnsi" w:cstheme="minorHAnsi"/>
          <w:szCs w:val="22"/>
        </w:rPr>
        <w:t>Department’s</w:t>
      </w:r>
      <w:r>
        <w:t xml:space="preserve"> IT Systems automatically sets a Reconnection Requirement for a Participant as described above, the Provider does not need to do this.</w:t>
      </w:r>
    </w:p>
    <w:p w14:paraId="64A3FEE1" w14:textId="69FFFD82" w:rsidR="00035383" w:rsidRDefault="00035383" w:rsidP="005B6382">
      <w:pPr>
        <w:pStyle w:val="DeedReferences"/>
      </w:pPr>
      <w:r>
        <w:t>(</w:t>
      </w:r>
      <w:r w:rsidR="005A22F9">
        <w:t xml:space="preserve">Grant Agreement </w:t>
      </w:r>
      <w:r w:rsidR="005C62B3">
        <w:t xml:space="preserve">references: </w:t>
      </w:r>
      <w:r w:rsidR="005A22F9">
        <w:t>clause</w:t>
      </w:r>
      <w:r>
        <w:t xml:space="preserve"> 11</w:t>
      </w:r>
      <w:r w:rsidR="005A22F9">
        <w:t>1</w:t>
      </w:r>
      <w:r>
        <w:t>)</w:t>
      </w:r>
    </w:p>
    <w:p w14:paraId="00D96295" w14:textId="77777777" w:rsidR="00267E89" w:rsidRPr="00267E89" w:rsidRDefault="00267E89" w:rsidP="00267E89">
      <w:pPr>
        <w:keepNext/>
        <w:keepLines/>
        <w:spacing w:before="240"/>
        <w:rPr>
          <w:i/>
          <w:u w:val="single"/>
        </w:rPr>
      </w:pPr>
      <w:r w:rsidRPr="00267E89">
        <w:rPr>
          <w:i/>
          <w:u w:val="single"/>
        </w:rPr>
        <w:t>Job Search failures in the Penalty Zone</w:t>
      </w:r>
    </w:p>
    <w:p w14:paraId="2EA799E3" w14:textId="77777777" w:rsidR="00267E89" w:rsidRPr="007C45B4" w:rsidRDefault="00267E89" w:rsidP="005B6382">
      <w:pPr>
        <w:tabs>
          <w:tab w:val="right" w:pos="1701"/>
        </w:tabs>
      </w:pPr>
      <w:r w:rsidRPr="007C45B4">
        <w:t xml:space="preserve">If a </w:t>
      </w:r>
      <w:r w:rsidRPr="005B6382">
        <w:rPr>
          <w:rFonts w:asciiTheme="minorHAnsi" w:hAnsiTheme="minorHAnsi" w:cstheme="minorHAnsi"/>
          <w:szCs w:val="22"/>
        </w:rPr>
        <w:t>Participant</w:t>
      </w:r>
      <w:r w:rsidRPr="007C45B4">
        <w:t xml:space="preserve"> fails to undertake adequate Job Searches and the Participant is in the Penalty Zone, the Participant’s Reconnection Requirement is to contact their Provider (this is as opposed to the usual Reconnection Requirement, which is to undertake adequate job searches). The Department’s IT Systems automatically sets this Reconnection Requirement. If the Participant’s Income Support Payment is suspended, the suspension is lifted when the Provider records that they are in contact with the Participant.</w:t>
      </w:r>
    </w:p>
    <w:p w14:paraId="0275E811" w14:textId="77777777" w:rsidR="00035383" w:rsidRPr="00973A61" w:rsidRDefault="00035383">
      <w:pPr>
        <w:keepNext/>
        <w:keepLines/>
        <w:spacing w:before="240"/>
        <w:rPr>
          <w:u w:val="single"/>
        </w:rPr>
      </w:pPr>
      <w:bookmarkStart w:id="102" w:name="_Toc21095880"/>
      <w:bookmarkStart w:id="103" w:name="Unable_to_reengage"/>
      <w:r w:rsidRPr="00973A61">
        <w:rPr>
          <w:sz w:val="24"/>
          <w:u w:val="single"/>
        </w:rPr>
        <w:t>Valid Reason to not meet Reconnection Requirement within two Business Days</w:t>
      </w:r>
      <w:bookmarkEnd w:id="102"/>
      <w:bookmarkEnd w:id="103"/>
    </w:p>
    <w:p w14:paraId="00547DFD" w14:textId="3503550F" w:rsidR="00035383" w:rsidRPr="007878C9" w:rsidRDefault="00035383" w:rsidP="005B6382">
      <w:pPr>
        <w:tabs>
          <w:tab w:val="right" w:pos="1701"/>
        </w:tabs>
      </w:pPr>
      <w:r>
        <w:t xml:space="preserve">When the Provider contacts the Participant to discuss </w:t>
      </w:r>
      <w:r w:rsidRPr="007878C9">
        <w:t>the relevant Mutual Obligation Failure(s)</w:t>
      </w:r>
      <w:r>
        <w:t>, they must consider whether the</w:t>
      </w:r>
      <w:r w:rsidRPr="007878C9">
        <w:t xml:space="preserve"> </w:t>
      </w:r>
      <w:r>
        <w:t>Participant</w:t>
      </w:r>
      <w:r w:rsidRPr="007878C9">
        <w:t xml:space="preserve"> </w:t>
      </w:r>
      <w:r>
        <w:t xml:space="preserve">has </w:t>
      </w:r>
      <w:r w:rsidRPr="007878C9">
        <w:t xml:space="preserve">a Valid Reason for being unable to meet their Reconnection Requirement within two </w:t>
      </w:r>
      <w:r>
        <w:t>Business Days</w:t>
      </w:r>
      <w:r w:rsidRPr="007878C9">
        <w:t xml:space="preserve"> following th</w:t>
      </w:r>
      <w:r>
        <w:t>at</w:t>
      </w:r>
      <w:r w:rsidRPr="007878C9">
        <w:t xml:space="preserve"> contact</w:t>
      </w:r>
      <w:r>
        <w:t>. If the Provider considers that the Participant does have such a Valid Reason</w:t>
      </w:r>
      <w:r w:rsidRPr="007878C9">
        <w:t xml:space="preserve">, the Provider must select ‘Unable to Re-engage Within </w:t>
      </w:r>
      <w:r>
        <w:t>two</w:t>
      </w:r>
      <w:r w:rsidRPr="007878C9">
        <w:t xml:space="preserve"> </w:t>
      </w:r>
      <w:r>
        <w:t>Business Days</w:t>
      </w:r>
      <w:r w:rsidRPr="007878C9">
        <w:t xml:space="preserve">’ </w:t>
      </w:r>
      <w:r>
        <w:t>on the Provider Re</w:t>
      </w:r>
      <w:r w:rsidRPr="005A22F9">
        <w:rPr>
          <w:rFonts w:ascii="Cambria Math" w:hAnsi="Cambria Math" w:cs="Cambria Math"/>
        </w:rPr>
        <w:t>‑</w:t>
      </w:r>
      <w:r>
        <w:t xml:space="preserve">engagement </w:t>
      </w:r>
      <w:proofErr w:type="gramStart"/>
      <w:r>
        <w:t>page</w:t>
      </w:r>
      <w:proofErr w:type="gramEnd"/>
      <w:r>
        <w:t xml:space="preserve"> in the Department’s IT Systems</w:t>
      </w:r>
      <w:r w:rsidRPr="007878C9">
        <w:t xml:space="preserve">. This will lift the </w:t>
      </w:r>
      <w:r>
        <w:t>Participant</w:t>
      </w:r>
      <w:r w:rsidRPr="007878C9">
        <w:t xml:space="preserve">’s </w:t>
      </w:r>
      <w:r>
        <w:t>Income Support P</w:t>
      </w:r>
      <w:r w:rsidRPr="007878C9">
        <w:t>ayment suspension</w:t>
      </w:r>
      <w:r>
        <w:t xml:space="preserve"> and remove the need for a Reconnection Requirement.</w:t>
      </w:r>
    </w:p>
    <w:p w14:paraId="44721406" w14:textId="5F6D42DF" w:rsidR="00035383" w:rsidRDefault="00035383" w:rsidP="005B6382">
      <w:pPr>
        <w:tabs>
          <w:tab w:val="right" w:pos="1701"/>
        </w:tabs>
      </w:pPr>
      <w:r>
        <w:t xml:space="preserve">For the purposes of the above, a Provider must determine </w:t>
      </w:r>
      <w:r>
        <w:rPr>
          <w:rFonts w:cstheme="minorHAnsi"/>
          <w:iCs/>
        </w:rPr>
        <w:t>that the Participant has a Valid Reason</w:t>
      </w:r>
      <w:r>
        <w:t xml:space="preserve"> for </w:t>
      </w:r>
      <w:r w:rsidRPr="007878C9">
        <w:t xml:space="preserve">being unable to meet their Reconnection Requirement within </w:t>
      </w:r>
      <w:r>
        <w:t xml:space="preserve">the </w:t>
      </w:r>
      <w:r w:rsidRPr="007878C9">
        <w:t xml:space="preserve">two </w:t>
      </w:r>
      <w:r>
        <w:t xml:space="preserve">Business Days when they are satisfied that </w:t>
      </w:r>
      <w:r w:rsidRPr="00E62DD4">
        <w:t>the reason th</w:t>
      </w:r>
      <w:r>
        <w:t>e Participant</w:t>
      </w:r>
      <w:r w:rsidRPr="00E62DD4">
        <w:t xml:space="preserve"> </w:t>
      </w:r>
      <w:r>
        <w:t>is unable to do this</w:t>
      </w:r>
      <w:r w:rsidR="00267E89">
        <w:t>. A Valid Reason is one that</w:t>
      </w:r>
      <w:r>
        <w:t>:</w:t>
      </w:r>
    </w:p>
    <w:p w14:paraId="67771518" w14:textId="1CAD4842" w:rsidR="00035383" w:rsidRDefault="00035383" w:rsidP="00267E89">
      <w:pPr>
        <w:pStyle w:val="guidelinetext"/>
        <w:numPr>
          <w:ilvl w:val="0"/>
          <w:numId w:val="9"/>
        </w:numPr>
        <w:spacing w:before="60" w:line="240" w:lineRule="auto"/>
        <w:ind w:left="714" w:hanging="357"/>
      </w:pPr>
      <w:r>
        <w:t>directly prevents</w:t>
      </w:r>
      <w:r w:rsidRPr="00890C6A">
        <w:t xml:space="preserve"> the </w:t>
      </w:r>
      <w:r>
        <w:t>Participant</w:t>
      </w:r>
      <w:r w:rsidRPr="00890C6A">
        <w:t xml:space="preserve"> from meeting </w:t>
      </w:r>
      <w:r w:rsidRPr="007878C9">
        <w:t xml:space="preserve">meet their Reconnection Requirement within two </w:t>
      </w:r>
      <w:r>
        <w:t xml:space="preserve">Business Days </w:t>
      </w:r>
      <w:r w:rsidRPr="007878C9">
        <w:t>following the contact with their Provider to discuss the relevant Mutual Obligation Failure(s)</w:t>
      </w:r>
    </w:p>
    <w:p w14:paraId="5E713161" w14:textId="3EB9D242" w:rsidR="00035383" w:rsidRPr="00E62DD4" w:rsidRDefault="00035383" w:rsidP="00267E89">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r w:rsidR="00267E89">
        <w:t>,</w:t>
      </w:r>
      <w:r>
        <w:t xml:space="preserve"> and</w:t>
      </w:r>
    </w:p>
    <w:p w14:paraId="37803326" w14:textId="77777777" w:rsidR="00035383" w:rsidRDefault="00035383" w:rsidP="00267E89">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4C371BA2" w14:textId="77777777" w:rsidR="00035383" w:rsidRDefault="00035383" w:rsidP="005B6382">
      <w:pPr>
        <w:tabs>
          <w:tab w:val="right" w:pos="1701"/>
        </w:tabs>
      </w:pPr>
      <w:r>
        <w:t xml:space="preserve">If the </w:t>
      </w:r>
      <w:r w:rsidRPr="005B6382">
        <w:rPr>
          <w:rFonts w:asciiTheme="minorHAnsi" w:hAnsiTheme="minorHAnsi" w:cstheme="minorHAnsi"/>
          <w:szCs w:val="22"/>
        </w:rPr>
        <w:t>Provider</w:t>
      </w:r>
      <w:r>
        <w:t xml:space="preserve"> selects</w:t>
      </w:r>
      <w:r w:rsidRPr="007878C9">
        <w:t xml:space="preserve"> ‘Unable to Re-engage Within </w:t>
      </w:r>
      <w:r>
        <w:t>two</w:t>
      </w:r>
      <w:r w:rsidRPr="007878C9">
        <w:t xml:space="preserve"> Business Days’ </w:t>
      </w:r>
      <w:r>
        <w:t>as described above</w:t>
      </w:r>
      <w:r w:rsidRPr="007878C9">
        <w:t xml:space="preserve">, </w:t>
      </w:r>
      <w:r>
        <w:t xml:space="preserve">the Provider must also select a description of the relevant Valid Reason from the drop-down menu that will appear. In selecting a Valid Reason option from the drop-down menu, the Provider must select the option that is most </w:t>
      </w:r>
      <w:proofErr w:type="gramStart"/>
      <w:r>
        <w:t>similar to</w:t>
      </w:r>
      <w:proofErr w:type="gramEnd"/>
      <w:r>
        <w:t xml:space="preserve"> the Participant’s Valid Reason as they described it to the Provider. Providers must not use the options in the drop-down menus to prompt or elicit responses from the Participant.</w:t>
      </w:r>
    </w:p>
    <w:p w14:paraId="792C0617" w14:textId="79C41659" w:rsidR="00035383" w:rsidRDefault="00035383" w:rsidP="005B6382">
      <w:pPr>
        <w:tabs>
          <w:tab w:val="right" w:pos="1701"/>
        </w:tabs>
      </w:pPr>
      <w:r w:rsidRPr="007878C9">
        <w:t xml:space="preserve">A full </w:t>
      </w:r>
      <w:r w:rsidRPr="005B6382">
        <w:rPr>
          <w:rFonts w:asciiTheme="minorHAnsi" w:hAnsiTheme="minorHAnsi" w:cstheme="minorHAnsi"/>
          <w:szCs w:val="22"/>
        </w:rPr>
        <w:t>list</w:t>
      </w:r>
      <w:r w:rsidRPr="007878C9">
        <w:t xml:space="preserve"> of these drop-down menu options can be found at </w:t>
      </w:r>
      <w:r w:rsidR="00267E89" w:rsidRPr="00267E89">
        <w:t>Attachment G</w:t>
      </w:r>
      <w:r w:rsidRPr="007878C9">
        <w:t>.</w:t>
      </w:r>
    </w:p>
    <w:p w14:paraId="7DA0973A" w14:textId="77777777" w:rsidR="000A7FE5" w:rsidRDefault="000A7FE5" w:rsidP="005B6382">
      <w:pPr>
        <w:tabs>
          <w:tab w:val="right" w:pos="1701"/>
        </w:tabs>
      </w:pPr>
    </w:p>
    <w:p w14:paraId="051553A9" w14:textId="77777777" w:rsidR="000A7FE5" w:rsidRDefault="000A7FE5" w:rsidP="005B6382">
      <w:pPr>
        <w:tabs>
          <w:tab w:val="right" w:pos="1701"/>
        </w:tabs>
      </w:pPr>
    </w:p>
    <w:p w14:paraId="7FA556DA" w14:textId="77777777" w:rsidR="000A7FE5" w:rsidRDefault="000A7FE5" w:rsidP="005B6382">
      <w:pPr>
        <w:tabs>
          <w:tab w:val="right" w:pos="1701"/>
        </w:tabs>
      </w:pPr>
    </w:p>
    <w:p w14:paraId="28F2A44E" w14:textId="1A347219" w:rsidR="00035383" w:rsidRPr="00973A61" w:rsidRDefault="00035383" w:rsidP="005B6382">
      <w:pPr>
        <w:spacing w:before="240"/>
        <w:rPr>
          <w:u w:val="single"/>
        </w:rPr>
      </w:pPr>
      <w:bookmarkStart w:id="104" w:name="_Toc21095881"/>
      <w:r w:rsidRPr="00973A61">
        <w:rPr>
          <w:sz w:val="24"/>
          <w:u w:val="single"/>
        </w:rPr>
        <w:t>Provider not able to arrange or deliver Reconnection Requirement within two Business Day</w:t>
      </w:r>
      <w:r w:rsidR="002A0DE8">
        <w:rPr>
          <w:sz w:val="24"/>
          <w:u w:val="single"/>
        </w:rPr>
        <w:t>s</w:t>
      </w:r>
      <w:bookmarkEnd w:id="104"/>
    </w:p>
    <w:p w14:paraId="5BAA317B" w14:textId="72077641" w:rsidR="002E092A" w:rsidRDefault="00035383" w:rsidP="005B6382">
      <w:pPr>
        <w:tabs>
          <w:tab w:val="right" w:pos="1701"/>
        </w:tabs>
      </w:pPr>
      <w:r>
        <w:t xml:space="preserve">In </w:t>
      </w:r>
      <w:r w:rsidR="002E092A">
        <w:t xml:space="preserve">limited </w:t>
      </w:r>
      <w:r w:rsidRPr="005B6382">
        <w:rPr>
          <w:rFonts w:asciiTheme="minorHAnsi" w:hAnsiTheme="minorHAnsi" w:cstheme="minorHAnsi"/>
          <w:szCs w:val="22"/>
        </w:rPr>
        <w:t>circumstances</w:t>
      </w:r>
      <w:r>
        <w:t xml:space="preserve">, a Provider </w:t>
      </w:r>
      <w:r w:rsidR="002E092A">
        <w:t xml:space="preserve">may </w:t>
      </w:r>
      <w:r>
        <w:t xml:space="preserve">not be able to arrange or deliver the Reconnection Requirement </w:t>
      </w:r>
      <w:r w:rsidRPr="007878C9">
        <w:t xml:space="preserve">within two </w:t>
      </w:r>
      <w:r>
        <w:t xml:space="preserve">Business Days </w:t>
      </w:r>
      <w:r w:rsidRPr="007878C9">
        <w:t xml:space="preserve">following the contact </w:t>
      </w:r>
      <w:r>
        <w:t>between the Participant and the</w:t>
      </w:r>
      <w:r w:rsidRPr="007878C9">
        <w:t xml:space="preserve"> Provider to discuss the relevant Mutual Obligation Failure(s)</w:t>
      </w:r>
      <w:r>
        <w:t xml:space="preserve">. </w:t>
      </w:r>
    </w:p>
    <w:p w14:paraId="7F96193A" w14:textId="0880E487" w:rsidR="00035383" w:rsidRDefault="00035383" w:rsidP="005B6382">
      <w:pPr>
        <w:tabs>
          <w:tab w:val="right" w:pos="1701"/>
        </w:tabs>
      </w:pPr>
      <w:r w:rsidRPr="00C73155">
        <w:t xml:space="preserve">If </w:t>
      </w:r>
      <w:r>
        <w:t>that is the case</w:t>
      </w:r>
      <w:r w:rsidR="002E092A">
        <w:t xml:space="preserve"> the</w:t>
      </w:r>
      <w:r w:rsidRPr="00C73155">
        <w:t xml:space="preserve"> Provider must</w:t>
      </w:r>
      <w:r>
        <w:t xml:space="preserve"> select</w:t>
      </w:r>
      <w:r w:rsidRPr="00C73155">
        <w:t xml:space="preserve"> </w:t>
      </w:r>
      <w:proofErr w:type="spellStart"/>
      <w:r w:rsidRPr="00C73155">
        <w:t>‘</w:t>
      </w:r>
      <w:r>
        <w:t>Re</w:t>
      </w:r>
      <w:proofErr w:type="spellEnd"/>
      <w:r>
        <w:rPr>
          <w:rFonts w:ascii="Cambria Math" w:hAnsi="Cambria Math" w:cs="Cambria Math"/>
        </w:rPr>
        <w:t>‑</w:t>
      </w:r>
      <w:r>
        <w:t>engagement</w:t>
      </w:r>
      <w:r w:rsidRPr="00C73155">
        <w:t xml:space="preserve"> Not Required’</w:t>
      </w:r>
      <w:r>
        <w:t xml:space="preserve"> on the provider Re</w:t>
      </w:r>
      <w:r>
        <w:rPr>
          <w:rFonts w:ascii="Cambria Math" w:hAnsi="Cambria Math" w:cs="Cambria Math"/>
        </w:rPr>
        <w:t>‑</w:t>
      </w:r>
      <w:r>
        <w:t>engagement page</w:t>
      </w:r>
      <w:r w:rsidRPr="00C73155">
        <w:t xml:space="preserve">. This will lift the </w:t>
      </w:r>
      <w:r>
        <w:t>Participant</w:t>
      </w:r>
      <w:r w:rsidRPr="00C73155">
        <w:t xml:space="preserve">’s </w:t>
      </w:r>
      <w:r>
        <w:t>Income Support P</w:t>
      </w:r>
      <w:r w:rsidRPr="00C73155">
        <w:t>ayment suspension</w:t>
      </w:r>
      <w:r>
        <w:t xml:space="preserve"> and remove the need for a Reconnection Requirement. </w:t>
      </w:r>
      <w:r w:rsidRPr="00C73155">
        <w:t xml:space="preserve">When </w:t>
      </w:r>
      <w:r>
        <w:t>selecting</w:t>
      </w:r>
      <w:r w:rsidRPr="00C73155">
        <w:t xml:space="preserve"> </w:t>
      </w:r>
      <w:proofErr w:type="spellStart"/>
      <w:r w:rsidRPr="00C73155">
        <w:t>‘</w:t>
      </w:r>
      <w:r>
        <w:t>Re</w:t>
      </w:r>
      <w:proofErr w:type="spellEnd"/>
      <w:r>
        <w:rPr>
          <w:rFonts w:ascii="Cambria Math" w:hAnsi="Cambria Math" w:cs="Cambria Math"/>
        </w:rPr>
        <w:t>‑</w:t>
      </w:r>
      <w:r>
        <w:t>engagement</w:t>
      </w:r>
      <w:r w:rsidRPr="00C73155">
        <w:t xml:space="preserve"> Not Required’</w:t>
      </w:r>
      <w:r>
        <w:t xml:space="preserve"> as described above</w:t>
      </w:r>
      <w:r w:rsidRPr="00C73155">
        <w:t xml:space="preserve">, </w:t>
      </w:r>
      <w:r>
        <w:t xml:space="preserve">the Provider must also select a description of the relevant reason from the drop-down menu that will appear when they make that selection. In selecting a reason option from the drop-down menu, the Provider must select the option that is most </w:t>
      </w:r>
      <w:proofErr w:type="gramStart"/>
      <w:r>
        <w:t>similar to</w:t>
      </w:r>
      <w:proofErr w:type="gramEnd"/>
      <w:r>
        <w:t xml:space="preserve"> the actual reason</w:t>
      </w:r>
      <w:r w:rsidRPr="00C73155">
        <w:t>.</w:t>
      </w:r>
    </w:p>
    <w:p w14:paraId="3C52BE8E" w14:textId="6909DCC8" w:rsidR="00035383" w:rsidRDefault="00035383" w:rsidP="005B6382">
      <w:pPr>
        <w:tabs>
          <w:tab w:val="right" w:pos="1701"/>
        </w:tabs>
      </w:pPr>
      <w:r w:rsidRPr="00C73155">
        <w:t xml:space="preserve">A full list of these drop-down menu options can be found at </w:t>
      </w:r>
      <w:r w:rsidR="002A0DE8" w:rsidRPr="002A0DE8">
        <w:t>Attachment H</w:t>
      </w:r>
      <w:r w:rsidRPr="00C73155">
        <w:t>.</w:t>
      </w:r>
    </w:p>
    <w:p w14:paraId="4D652A6C" w14:textId="77777777" w:rsidR="00035383" w:rsidRPr="00973A61" w:rsidRDefault="00035383" w:rsidP="005B6382">
      <w:pPr>
        <w:spacing w:before="240"/>
        <w:rPr>
          <w:u w:val="single"/>
        </w:rPr>
      </w:pPr>
      <w:bookmarkStart w:id="105" w:name="_Toc21095882"/>
      <w:bookmarkStart w:id="106" w:name="Compliance_action_no_longer_appropriate"/>
      <w:r w:rsidRPr="00973A61">
        <w:rPr>
          <w:sz w:val="24"/>
          <w:u w:val="single"/>
        </w:rPr>
        <w:t>Compliance action no longer appropriate</w:t>
      </w:r>
      <w:bookmarkEnd w:id="105"/>
      <w:bookmarkEnd w:id="106"/>
    </w:p>
    <w:p w14:paraId="3D194D19" w14:textId="77777777" w:rsidR="00035383" w:rsidRPr="00766E9F" w:rsidRDefault="00035383" w:rsidP="005B6382">
      <w:pPr>
        <w:tabs>
          <w:tab w:val="right" w:pos="1701"/>
        </w:tabs>
      </w:pPr>
      <w:r w:rsidRPr="00766E9F">
        <w:t xml:space="preserve">Once a </w:t>
      </w:r>
      <w:r>
        <w:t>Participant</w:t>
      </w:r>
      <w:r w:rsidRPr="00766E9F">
        <w:t xml:space="preserve">’s Reconnection Requirement has been set, unexpected circumstances may make it inappropriate to maintain their payment suspension and expect them to meet a Reconnection </w:t>
      </w:r>
      <w:r w:rsidRPr="005B6382">
        <w:rPr>
          <w:rFonts w:asciiTheme="minorHAnsi" w:hAnsiTheme="minorHAnsi" w:cstheme="minorHAnsi"/>
          <w:szCs w:val="22"/>
        </w:rPr>
        <w:t>Requirement</w:t>
      </w:r>
      <w:r w:rsidRPr="00766E9F">
        <w:t xml:space="preserve">. If that is the case, the Provider must record ‘Compliance action no longer appropriate’ on the Provider </w:t>
      </w:r>
      <w:r>
        <w:t>Re</w:t>
      </w:r>
      <w:r w:rsidRPr="005A22F9">
        <w:rPr>
          <w:rFonts w:ascii="Cambria Math" w:hAnsi="Cambria Math" w:cs="Cambria Math"/>
        </w:rPr>
        <w:t>‑</w:t>
      </w:r>
      <w:r>
        <w:t>engagement</w:t>
      </w:r>
      <w:r w:rsidRPr="00766E9F">
        <w:t xml:space="preserve"> page. This will lift the </w:t>
      </w:r>
      <w:r>
        <w:t>Participant</w:t>
      </w:r>
      <w:r w:rsidRPr="00766E9F">
        <w:t>’s payment suspension and remove the need for a Reconnection Requirement.</w:t>
      </w:r>
    </w:p>
    <w:p w14:paraId="0EAF8616" w14:textId="77777777" w:rsidR="00035383" w:rsidRPr="00766E9F" w:rsidRDefault="00035383" w:rsidP="005B6382">
      <w:pPr>
        <w:tabs>
          <w:tab w:val="right" w:pos="1701"/>
        </w:tabs>
      </w:pPr>
      <w:r w:rsidRPr="00766E9F">
        <w:t xml:space="preserve">When selecting ‘Compliance action no longer appropriate’ as described above, the Provider must also select a description of the relevant reason from the drop-down menu that will appear when they make that selection. In selecting a reason option from the drop-down menu, the Provider must select the option that is most </w:t>
      </w:r>
      <w:proofErr w:type="gramStart"/>
      <w:r w:rsidRPr="00766E9F">
        <w:t>similar to</w:t>
      </w:r>
      <w:proofErr w:type="gramEnd"/>
      <w:r w:rsidRPr="00766E9F">
        <w:t xml:space="preserve"> the actual reason.</w:t>
      </w:r>
    </w:p>
    <w:p w14:paraId="7EB7B0D6" w14:textId="3A67CB3C" w:rsidR="00035383" w:rsidRDefault="00035383" w:rsidP="005B6382">
      <w:pPr>
        <w:tabs>
          <w:tab w:val="right" w:pos="1701"/>
        </w:tabs>
      </w:pPr>
      <w:r w:rsidRPr="00766E9F">
        <w:t xml:space="preserve">A full </w:t>
      </w:r>
      <w:r w:rsidRPr="005B6382">
        <w:rPr>
          <w:rFonts w:asciiTheme="minorHAnsi" w:hAnsiTheme="minorHAnsi" w:cstheme="minorHAnsi"/>
          <w:szCs w:val="22"/>
        </w:rPr>
        <w:t>list</w:t>
      </w:r>
      <w:r w:rsidRPr="00766E9F">
        <w:t xml:space="preserve"> of these drop-down menu options can be found at </w:t>
      </w:r>
      <w:r w:rsidR="002A0DE8" w:rsidRPr="002A0DE8">
        <w:t>Attachment I</w:t>
      </w:r>
      <w:r w:rsidRPr="00766E9F">
        <w:t>.</w:t>
      </w:r>
    </w:p>
    <w:p w14:paraId="68080072" w14:textId="77777777" w:rsidR="00035383" w:rsidRPr="002A0DE8" w:rsidRDefault="00035383" w:rsidP="005B6382">
      <w:pPr>
        <w:spacing w:before="240"/>
        <w:rPr>
          <w:sz w:val="24"/>
          <w:u w:val="single"/>
        </w:rPr>
      </w:pPr>
      <w:bookmarkStart w:id="107" w:name="_Toc21095883"/>
      <w:r w:rsidRPr="00973A61">
        <w:rPr>
          <w:sz w:val="24"/>
          <w:u w:val="single"/>
        </w:rPr>
        <w:t>Failure to meet a Reconnection Requirement</w:t>
      </w:r>
      <w:bookmarkEnd w:id="107"/>
    </w:p>
    <w:p w14:paraId="1605F540" w14:textId="77777777" w:rsidR="00035383" w:rsidRDefault="00035383" w:rsidP="005B6382">
      <w:pPr>
        <w:tabs>
          <w:tab w:val="right" w:pos="1701"/>
        </w:tabs>
      </w:pPr>
      <w:r>
        <w:t>If the Provider becomes aware that a Participant has failed to meet a Reconnection Requirement, the Provider must attempt to contact the Participant on the same Business Day. If the Provider:</w:t>
      </w:r>
    </w:p>
    <w:p w14:paraId="50089561" w14:textId="77777777" w:rsidR="00173B56" w:rsidRDefault="00035383" w:rsidP="002A0DE8">
      <w:pPr>
        <w:pStyle w:val="guidelinetext"/>
        <w:numPr>
          <w:ilvl w:val="0"/>
          <w:numId w:val="9"/>
        </w:numPr>
        <w:spacing w:before="60" w:line="240" w:lineRule="auto"/>
        <w:ind w:left="714" w:hanging="357"/>
      </w:pPr>
      <w:r>
        <w:t xml:space="preserve">is not able to contact the Participant on that day, the Provider must select </w:t>
      </w:r>
      <w:r w:rsidR="00173B56" w:rsidRPr="007C45B4">
        <w:t xml:space="preserve">record that they are not in contact with the Participant and </w:t>
      </w:r>
      <w:r w:rsidRPr="00B6152F">
        <w:t xml:space="preserve">‘Did Not Attend—Invalid’ in relation to the Reconnection Requirement in the </w:t>
      </w:r>
      <w:r>
        <w:t>Participant’s Electronic Calendar. In this case</w:t>
      </w:r>
    </w:p>
    <w:p w14:paraId="4706EE7F" w14:textId="1F703301" w:rsidR="00173B56" w:rsidRDefault="00173B56" w:rsidP="00173B56">
      <w:pPr>
        <w:pStyle w:val="guidelinebullet"/>
        <w:numPr>
          <w:ilvl w:val="1"/>
          <w:numId w:val="6"/>
        </w:numPr>
        <w:ind w:left="1134"/>
      </w:pPr>
      <w:r>
        <w:t>if</w:t>
      </w:r>
      <w:r w:rsidR="00035383">
        <w:t xml:space="preserve"> the Participant’s Income Support Payment </w:t>
      </w:r>
      <w:r>
        <w:t xml:space="preserve">is not yet suspended, it </w:t>
      </w:r>
      <w:r w:rsidR="00035383">
        <w:t xml:space="preserve">will </w:t>
      </w:r>
      <w:r>
        <w:t xml:space="preserve">be </w:t>
      </w:r>
      <w:r w:rsidR="00035383">
        <w:t xml:space="preserve">suspended, </w:t>
      </w:r>
      <w:r w:rsidRPr="007C45B4">
        <w:t>if the Participant does not meet another Reconnection Requirement within two Business Days following the date they failed to meet the original Reconnection Requirement, or</w:t>
      </w:r>
    </w:p>
    <w:p w14:paraId="7D9E57F0" w14:textId="6ADAF21C" w:rsidR="00035383" w:rsidRPr="00320936" w:rsidRDefault="00173B56" w:rsidP="00173B56">
      <w:pPr>
        <w:pStyle w:val="guidelinebullet"/>
        <w:numPr>
          <w:ilvl w:val="1"/>
          <w:numId w:val="6"/>
        </w:numPr>
        <w:ind w:left="1134"/>
      </w:pPr>
      <w:r>
        <w:t xml:space="preserve">if the </w:t>
      </w:r>
      <w:r w:rsidRPr="007C45B4">
        <w:t xml:space="preserve">Participant’s Income Support Payment is suspended, the payment will remain suspended, </w:t>
      </w:r>
      <w:r w:rsidR="00035383">
        <w:t>and the Provider must reschedule the Reconnection Requirement</w:t>
      </w:r>
    </w:p>
    <w:p w14:paraId="3EA07B2A" w14:textId="69D57089" w:rsidR="00035383" w:rsidRDefault="00035383" w:rsidP="002A0DE8">
      <w:pPr>
        <w:pStyle w:val="guidelinetext"/>
        <w:numPr>
          <w:ilvl w:val="0"/>
          <w:numId w:val="9"/>
        </w:numPr>
        <w:spacing w:before="60" w:line="240" w:lineRule="auto"/>
        <w:ind w:left="714" w:hanging="357"/>
      </w:pPr>
      <w:proofErr w:type="gramStart"/>
      <w:r>
        <w:t>is able to</w:t>
      </w:r>
      <w:proofErr w:type="gramEnd"/>
      <w:r>
        <w:t xml:space="preserve"> contact the Participant on that day, the Provider must discuss the Participant’s reasons for not meeting the Reconnection Requirement and assess if the Participant had a Valid Reason.</w:t>
      </w:r>
    </w:p>
    <w:p w14:paraId="2DA1C02B" w14:textId="4DB327D4" w:rsidR="00035383" w:rsidRDefault="00035383" w:rsidP="005B6382">
      <w:pPr>
        <w:tabs>
          <w:tab w:val="right" w:pos="1701"/>
        </w:tabs>
      </w:pPr>
      <w:r>
        <w:t xml:space="preserve">For the purposes of the above, a Provider must determine </w:t>
      </w:r>
      <w:r>
        <w:rPr>
          <w:rFonts w:cstheme="minorHAnsi"/>
          <w:iCs/>
        </w:rPr>
        <w:t>that the Participant had a Valid Reason</w:t>
      </w:r>
      <w:r>
        <w:t xml:space="preserve"> for </w:t>
      </w:r>
      <w:r w:rsidRPr="007878C9">
        <w:t xml:space="preserve">being </w:t>
      </w:r>
      <w:r w:rsidRPr="005B6382">
        <w:rPr>
          <w:rFonts w:asciiTheme="minorHAnsi" w:hAnsiTheme="minorHAnsi" w:cstheme="minorHAnsi"/>
          <w:szCs w:val="22"/>
        </w:rPr>
        <w:t>unable</w:t>
      </w:r>
      <w:r w:rsidRPr="007878C9">
        <w:t xml:space="preserve"> to meet their Reconnection Requirement </w:t>
      </w:r>
      <w:r>
        <w:t xml:space="preserve">when they are satisfied that </w:t>
      </w:r>
      <w:r w:rsidRPr="00E62DD4">
        <w:t xml:space="preserve">the </w:t>
      </w:r>
      <w:r>
        <w:t>Participant’s reason:</w:t>
      </w:r>
    </w:p>
    <w:p w14:paraId="3155F728" w14:textId="6C8702AC" w:rsidR="00035383" w:rsidRDefault="00035383" w:rsidP="00173B56">
      <w:pPr>
        <w:pStyle w:val="guidelinetext"/>
        <w:numPr>
          <w:ilvl w:val="0"/>
          <w:numId w:val="9"/>
        </w:numPr>
        <w:spacing w:before="60" w:line="240" w:lineRule="auto"/>
        <w:ind w:left="714" w:hanging="357"/>
      </w:pPr>
      <w:r>
        <w:t>directly prevented</w:t>
      </w:r>
      <w:r w:rsidRPr="00890C6A">
        <w:t xml:space="preserve"> the </w:t>
      </w:r>
      <w:r>
        <w:t>Participant</w:t>
      </w:r>
      <w:r w:rsidRPr="00890C6A">
        <w:t xml:space="preserve"> from meeting </w:t>
      </w:r>
      <w:r w:rsidRPr="007878C9">
        <w:t>meet their Reconnection Requirement</w:t>
      </w:r>
    </w:p>
    <w:p w14:paraId="49F78296" w14:textId="1724D3D4" w:rsidR="00035383" w:rsidRPr="00E62DD4" w:rsidRDefault="00035383" w:rsidP="00173B56">
      <w:pPr>
        <w:pStyle w:val="guidelinetext"/>
        <w:numPr>
          <w:ilvl w:val="0"/>
          <w:numId w:val="9"/>
        </w:numPr>
        <w:spacing w:before="60" w:line="240" w:lineRule="auto"/>
        <w:ind w:left="714" w:hanging="357"/>
      </w:pPr>
      <w:r w:rsidRPr="00E62DD4">
        <w:t xml:space="preserve">would </w:t>
      </w:r>
      <w:proofErr w:type="gramStart"/>
      <w:r w:rsidRPr="00E62DD4">
        <w:t xml:space="preserve">be considered </w:t>
      </w:r>
      <w:r>
        <w:t>to be</w:t>
      </w:r>
      <w:proofErr w:type="gramEnd"/>
      <w:r>
        <w:t xml:space="preserve"> </w:t>
      </w:r>
      <w:r w:rsidRPr="00E62DD4">
        <w:t>reasonable by a member of the general public</w:t>
      </w:r>
    </w:p>
    <w:p w14:paraId="37599227" w14:textId="77777777" w:rsidR="00035383" w:rsidRDefault="00035383" w:rsidP="00173B56">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13EF5BDD" w14:textId="77777777" w:rsidR="00173B56" w:rsidRPr="007C45B4" w:rsidRDefault="00035383" w:rsidP="005B6382">
      <w:pPr>
        <w:tabs>
          <w:tab w:val="right" w:pos="1701"/>
        </w:tabs>
      </w:pPr>
      <w:r>
        <w:t xml:space="preserve">If the Participant had a Valid Reason, the Provider must select ‘Did Not Attend–Valid’ in relation to the </w:t>
      </w:r>
      <w:r w:rsidRPr="005B6382">
        <w:rPr>
          <w:rFonts w:asciiTheme="minorHAnsi" w:hAnsiTheme="minorHAnsi" w:cstheme="minorHAnsi"/>
          <w:szCs w:val="22"/>
        </w:rPr>
        <w:t>Reconnection</w:t>
      </w:r>
      <w:r>
        <w:t xml:space="preserve"> Requirement in the Participant’s Electronic Calendar. </w:t>
      </w:r>
      <w:r w:rsidR="00173B56" w:rsidRPr="007C45B4">
        <w:t>If the Participant’s Income Support Payment is suspended, this will lift the payment suspension as the Participant will be taken to have met the Reconnection Requirement (as they have a Valid Reason). The Provider must set a Mutual Obligation Requirement for the Participant:</w:t>
      </w:r>
    </w:p>
    <w:p w14:paraId="60A3E900" w14:textId="77777777" w:rsidR="00173B56" w:rsidRPr="007C45B4" w:rsidRDefault="00173B56" w:rsidP="005B6382">
      <w:pPr>
        <w:pStyle w:val="guidelinetext"/>
        <w:numPr>
          <w:ilvl w:val="0"/>
          <w:numId w:val="9"/>
        </w:numPr>
        <w:spacing w:before="60" w:line="240" w:lineRule="auto"/>
        <w:ind w:left="714" w:hanging="357"/>
      </w:pPr>
      <w:r w:rsidRPr="007C45B4">
        <w:t>to occur within two Business Days after the day on which the Provider determines that the Participant has a Valid Reason for not meeting the Reconnection Requirement</w:t>
      </w:r>
    </w:p>
    <w:p w14:paraId="0B2E9C4A" w14:textId="77777777" w:rsidR="00173B56" w:rsidRPr="007C45B4" w:rsidRDefault="00173B56" w:rsidP="005B6382">
      <w:pPr>
        <w:pStyle w:val="guidelinetext"/>
        <w:numPr>
          <w:ilvl w:val="0"/>
          <w:numId w:val="9"/>
        </w:numPr>
        <w:spacing w:before="60" w:line="240" w:lineRule="auto"/>
        <w:ind w:left="714" w:hanging="357"/>
      </w:pPr>
      <w:r w:rsidRPr="007C45B4">
        <w:t>that is the same type as the Mutual Obligation Requirement the Participant failed to meet originally.</w:t>
      </w:r>
    </w:p>
    <w:p w14:paraId="5CE705E6" w14:textId="77777777" w:rsidR="00173B56" w:rsidRDefault="00035383" w:rsidP="005B6382">
      <w:pPr>
        <w:tabs>
          <w:tab w:val="right" w:pos="1701"/>
        </w:tabs>
      </w:pPr>
      <w:r>
        <w:t xml:space="preserve">If the Participant did not have a Valid Reason, the Provider must select </w:t>
      </w:r>
      <w:r w:rsidRPr="00B6152F">
        <w:t xml:space="preserve">‘Did Not Attend—Invalid’ in relation to the Reconnection Requirement in the </w:t>
      </w:r>
      <w:r>
        <w:t>Participant</w:t>
      </w:r>
      <w:r w:rsidRPr="00B6152F">
        <w:t>’s Electronic Calendar.</w:t>
      </w:r>
      <w:r>
        <w:t xml:space="preserve"> In this case</w:t>
      </w:r>
      <w:r w:rsidR="00173B56">
        <w:t>:</w:t>
      </w:r>
    </w:p>
    <w:p w14:paraId="18727C92" w14:textId="5FD2F365" w:rsidR="00173B56" w:rsidRDefault="00173B56" w:rsidP="00173B56">
      <w:pPr>
        <w:pStyle w:val="guidelinetext"/>
        <w:numPr>
          <w:ilvl w:val="0"/>
          <w:numId w:val="9"/>
        </w:numPr>
        <w:spacing w:before="60" w:line="240" w:lineRule="auto"/>
        <w:ind w:left="714" w:hanging="357"/>
      </w:pPr>
      <w:r>
        <w:t xml:space="preserve">if </w:t>
      </w:r>
      <w:r w:rsidR="00035383">
        <w:t xml:space="preserve">the Participant’s Income Support Payment </w:t>
      </w:r>
      <w:r w:rsidRPr="007C45B4">
        <w:t xml:space="preserve">is not yet suspended, it </w:t>
      </w:r>
      <w:r w:rsidR="00035383">
        <w:t xml:space="preserve">will </w:t>
      </w:r>
      <w:r>
        <w:t xml:space="preserve">be </w:t>
      </w:r>
      <w:r w:rsidR="00035383">
        <w:t>suspended</w:t>
      </w:r>
      <w:r w:rsidRPr="00173B56">
        <w:t xml:space="preserve"> </w:t>
      </w:r>
      <w:r w:rsidRPr="007C45B4">
        <w:t>if the Participant does not meet another Reconnection Requirement within two Business Days following the date of the original Reconnection Requirement, or</w:t>
      </w:r>
    </w:p>
    <w:p w14:paraId="77D70160" w14:textId="77777777" w:rsidR="00173B56" w:rsidRPr="007C45B4" w:rsidRDefault="00173B56" w:rsidP="00173B56">
      <w:pPr>
        <w:pStyle w:val="guidelinetext"/>
        <w:numPr>
          <w:ilvl w:val="0"/>
          <w:numId w:val="9"/>
        </w:numPr>
        <w:spacing w:before="60" w:line="240" w:lineRule="auto"/>
        <w:ind w:left="714" w:hanging="357"/>
      </w:pPr>
      <w:r w:rsidRPr="007C45B4">
        <w:t>if the Participant’s Income Support Payment is suspended, the payment will remain suspended, and</w:t>
      </w:r>
    </w:p>
    <w:p w14:paraId="0248BDF6" w14:textId="3AD06540" w:rsidR="00035383" w:rsidRDefault="00035383" w:rsidP="005B6382">
      <w:pPr>
        <w:tabs>
          <w:tab w:val="right" w:pos="1701"/>
        </w:tabs>
      </w:pPr>
      <w:r>
        <w:t>the Provider must reschedule the Reconnection Requirement.</w:t>
      </w:r>
    </w:p>
    <w:p w14:paraId="23B935B2" w14:textId="645449C8" w:rsidR="005A22F9" w:rsidRDefault="005A22F9" w:rsidP="00973A61">
      <w:pPr>
        <w:pStyle w:val="guidelinetext"/>
        <w:spacing w:line="240" w:lineRule="auto"/>
        <w:ind w:left="0"/>
      </w:pPr>
    </w:p>
    <w:p w14:paraId="3C6F1BB0" w14:textId="1A553D96" w:rsidR="000B406B" w:rsidRDefault="000B406B">
      <w:pPr>
        <w:spacing w:before="0" w:after="0"/>
        <w:rPr>
          <w:rFonts w:asciiTheme="minorHAnsi" w:eastAsiaTheme="minorHAnsi" w:hAnsiTheme="minorHAnsi" w:cstheme="minorBidi"/>
          <w:szCs w:val="22"/>
          <w:lang w:eastAsia="en-US"/>
        </w:rPr>
      </w:pPr>
      <w:r>
        <w:br w:type="page"/>
      </w:r>
    </w:p>
    <w:p w14:paraId="532853AC" w14:textId="77777777" w:rsidR="005A22F9" w:rsidRDefault="005A22F9" w:rsidP="005A22F9">
      <w:pPr>
        <w:pStyle w:val="guidelinetext"/>
        <w:pBdr>
          <w:top w:val="single" w:sz="4" w:space="1" w:color="auto"/>
        </w:pBdr>
        <w:spacing w:line="240" w:lineRule="auto"/>
        <w:ind w:left="0"/>
      </w:pPr>
    </w:p>
    <w:p w14:paraId="3BAC2709" w14:textId="77777777" w:rsidR="00035383" w:rsidRPr="005B6382" w:rsidRDefault="00035383" w:rsidP="005B6382">
      <w:pPr>
        <w:pStyle w:val="Heading2"/>
        <w:numPr>
          <w:ilvl w:val="0"/>
          <w:numId w:val="10"/>
        </w:numPr>
        <w:spacing w:before="0"/>
        <w:ind w:left="567" w:hanging="567"/>
        <w:rPr>
          <w:sz w:val="28"/>
        </w:rPr>
      </w:pPr>
      <w:bookmarkStart w:id="108" w:name="_Toc21095884"/>
      <w:bookmarkStart w:id="109" w:name="_Toc177568230"/>
      <w:r w:rsidRPr="005B6382">
        <w:rPr>
          <w:sz w:val="28"/>
        </w:rPr>
        <w:t>The Penalty Zone</w:t>
      </w:r>
      <w:bookmarkEnd w:id="108"/>
      <w:bookmarkEnd w:id="109"/>
    </w:p>
    <w:p w14:paraId="5662659A" w14:textId="29221466" w:rsidR="00035383" w:rsidRDefault="00035383" w:rsidP="005B6382">
      <w:pPr>
        <w:tabs>
          <w:tab w:val="right" w:pos="1701"/>
        </w:tabs>
      </w:pPr>
      <w:r>
        <w:t>As discussed in further detail above under the heading ‘The Penalty Zone’, the Department’s IT System will determine whether the Participant will enter the Penalty Zone based on the information that Services Australia records in the Department’s IT Systems regarding the outcome of a Capability Assessment.</w:t>
      </w:r>
    </w:p>
    <w:p w14:paraId="1B755164" w14:textId="77777777" w:rsidR="005462B4" w:rsidRPr="00766E9F" w:rsidRDefault="005462B4" w:rsidP="00973A61">
      <w:pPr>
        <w:pStyle w:val="guidelinetext"/>
        <w:spacing w:line="240" w:lineRule="auto"/>
        <w:ind w:left="0"/>
      </w:pPr>
    </w:p>
    <w:p w14:paraId="17E0B3EB" w14:textId="77777777" w:rsidR="00035383" w:rsidRPr="00766E9F" w:rsidRDefault="00035383" w:rsidP="00973A61">
      <w:pPr>
        <w:pStyle w:val="Heading3"/>
        <w:spacing w:before="0" w:after="120"/>
      </w:pPr>
      <w:bookmarkStart w:id="110" w:name="_Toc21095885"/>
      <w:bookmarkStart w:id="111" w:name="_Toc177568231"/>
      <w:r w:rsidRPr="00766E9F">
        <w:t>Non-compliance reports</w:t>
      </w:r>
      <w:bookmarkEnd w:id="110"/>
      <w:bookmarkEnd w:id="111"/>
    </w:p>
    <w:p w14:paraId="2262F239" w14:textId="6F6AA708" w:rsidR="00035383" w:rsidRPr="00766E9F" w:rsidRDefault="00035383" w:rsidP="005B6382">
      <w:pPr>
        <w:tabs>
          <w:tab w:val="right" w:pos="1701"/>
        </w:tabs>
      </w:pPr>
      <w:r>
        <w:t>If a Participant is in the Penalty Zone, and the Provider records ‘Did Not Attend—Invalid’ or ‘</w:t>
      </w:r>
      <w:bookmarkStart w:id="112" w:name="DNAI_Misconduct"/>
      <w:r>
        <w:t xml:space="preserve">Misconduct’ </w:t>
      </w:r>
      <w:bookmarkEnd w:id="112"/>
      <w:r>
        <w:t>as discussed above under the heading ‘</w:t>
      </w:r>
      <w:r w:rsidR="00173B56" w:rsidRPr="00173B56">
        <w:t xml:space="preserve">When the Participant does not have a Valid </w:t>
      </w:r>
      <w:r w:rsidR="00173B56" w:rsidRPr="00973A61">
        <w:t>Reason</w:t>
      </w:r>
      <w:r w:rsidRPr="005A22F9">
        <w:t>’</w:t>
      </w:r>
      <w:r w:rsidRPr="00766E9F">
        <w:t xml:space="preserve">, the Department’s IT System creates a </w:t>
      </w:r>
      <w:r>
        <w:t>non</w:t>
      </w:r>
      <w:r>
        <w:rPr>
          <w:rFonts w:ascii="Cambria Math" w:hAnsi="Cambria Math" w:cs="Cambria Math"/>
        </w:rPr>
        <w:t>‑</w:t>
      </w:r>
      <w:r>
        <w:t>compliance</w:t>
      </w:r>
      <w:r w:rsidRPr="00766E9F">
        <w:t xml:space="preserve"> report </w:t>
      </w:r>
      <w:r>
        <w:t xml:space="preserve">and submits it to Services Australia for investigation, </w:t>
      </w:r>
      <w:r w:rsidRPr="00766E9F">
        <w:t xml:space="preserve">instead of </w:t>
      </w:r>
      <w:r>
        <w:t xml:space="preserve">recording </w:t>
      </w:r>
      <w:r w:rsidRPr="00766E9F">
        <w:t xml:space="preserve">a Demerit. </w:t>
      </w:r>
      <w:r w:rsidR="00173B56">
        <w:t>T</w:t>
      </w:r>
      <w:r w:rsidRPr="00766E9F">
        <w:t xml:space="preserve">he </w:t>
      </w:r>
      <w:r>
        <w:t>Participant</w:t>
      </w:r>
      <w:r w:rsidRPr="00766E9F">
        <w:t xml:space="preserve">’s </w:t>
      </w:r>
      <w:r>
        <w:t>Income Support P</w:t>
      </w:r>
      <w:r w:rsidRPr="00766E9F">
        <w:t>ayment will be suspended</w:t>
      </w:r>
      <w:r w:rsidR="00173B56" w:rsidRPr="00173B56">
        <w:t xml:space="preserve"> </w:t>
      </w:r>
      <w:proofErr w:type="gramStart"/>
      <w:r w:rsidR="00173B56">
        <w:t>a</w:t>
      </w:r>
      <w:r w:rsidR="00173B56" w:rsidRPr="00766E9F">
        <w:t>s a result of</w:t>
      </w:r>
      <w:proofErr w:type="gramEnd"/>
      <w:r w:rsidR="00173B56" w:rsidRPr="00766E9F">
        <w:t xml:space="preserve"> the creation of a </w:t>
      </w:r>
      <w:r w:rsidR="00173B56">
        <w:t>non</w:t>
      </w:r>
      <w:r w:rsidR="00173B56">
        <w:rPr>
          <w:rFonts w:ascii="Cambria Math" w:hAnsi="Cambria Math" w:cs="Cambria Math"/>
        </w:rPr>
        <w:t>‑</w:t>
      </w:r>
      <w:r w:rsidR="00173B56">
        <w:t>compliance</w:t>
      </w:r>
      <w:r w:rsidR="00173B56" w:rsidRPr="00766E9F">
        <w:t xml:space="preserve"> report</w:t>
      </w:r>
      <w:r w:rsidRPr="00766E9F">
        <w:t>.</w:t>
      </w:r>
    </w:p>
    <w:p w14:paraId="48F342DB" w14:textId="6996CDEC" w:rsidR="00035383" w:rsidRPr="00FA1E7B" w:rsidRDefault="00035383" w:rsidP="005B6382">
      <w:pPr>
        <w:tabs>
          <w:tab w:val="right" w:pos="1701"/>
        </w:tabs>
      </w:pPr>
      <w:r>
        <w:t>If a Participant is in the Penalty Zone, and the Provider records ‘Did Not Attend—Valid’ as discussed above under the heading ‘</w:t>
      </w:r>
      <w:r w:rsidR="00173B56" w:rsidRPr="00173B56">
        <w:t>When the Participant has a Valid Reason</w:t>
      </w:r>
      <w:r>
        <w:t>’</w:t>
      </w:r>
      <w:r w:rsidRPr="00FA1E7B">
        <w:t xml:space="preserve">, any </w:t>
      </w:r>
      <w:r>
        <w:t>non</w:t>
      </w:r>
      <w:r>
        <w:rPr>
          <w:rFonts w:ascii="Cambria Math" w:hAnsi="Cambria Math" w:cs="Cambria Math"/>
        </w:rPr>
        <w:t>‑</w:t>
      </w:r>
      <w:r>
        <w:t>compliance</w:t>
      </w:r>
      <w:r w:rsidRPr="00FA1E7B">
        <w:t xml:space="preserve"> report on their record </w:t>
      </w:r>
      <w:r w:rsidRPr="005B6382">
        <w:rPr>
          <w:rFonts w:asciiTheme="minorHAnsi" w:hAnsiTheme="minorHAnsi" w:cstheme="minorHAnsi"/>
          <w:szCs w:val="22"/>
        </w:rPr>
        <w:t>relating</w:t>
      </w:r>
      <w:r w:rsidRPr="00FA1E7B">
        <w:t xml:space="preserve"> to that Mutual Obligation Failure will be closed.</w:t>
      </w:r>
    </w:p>
    <w:p w14:paraId="3758B6B5" w14:textId="70629A72" w:rsidR="00035383" w:rsidRDefault="00035383" w:rsidP="005B6382">
      <w:pPr>
        <w:tabs>
          <w:tab w:val="right" w:pos="1701"/>
        </w:tabs>
      </w:pPr>
      <w:r w:rsidRPr="00766E9F">
        <w:t xml:space="preserve">An open </w:t>
      </w:r>
      <w:r>
        <w:t>non</w:t>
      </w:r>
      <w:r>
        <w:rPr>
          <w:rFonts w:ascii="Cambria Math" w:hAnsi="Cambria Math" w:cs="Cambria Math"/>
        </w:rPr>
        <w:t>‑</w:t>
      </w:r>
      <w:r>
        <w:t>compliance</w:t>
      </w:r>
      <w:r w:rsidRPr="00766E9F">
        <w:t xml:space="preserve"> report on a </w:t>
      </w:r>
      <w:r>
        <w:t>Participant</w:t>
      </w:r>
      <w:r w:rsidRPr="00766E9F">
        <w:t xml:space="preserve">’s record will prevent the </w:t>
      </w:r>
      <w:r>
        <w:t>Participant</w:t>
      </w:r>
      <w:r w:rsidRPr="00766E9F">
        <w:t xml:space="preserve"> from finalising their </w:t>
      </w:r>
      <w:r w:rsidRPr="005B6382">
        <w:rPr>
          <w:rFonts w:asciiTheme="minorHAnsi" w:hAnsiTheme="minorHAnsi" w:cstheme="minorHAnsi"/>
          <w:szCs w:val="22"/>
        </w:rPr>
        <w:t>fortnightly</w:t>
      </w:r>
      <w:r w:rsidRPr="00766E9F">
        <w:t xml:space="preserve"> reporting requirement, and it will prevent the </w:t>
      </w:r>
      <w:r>
        <w:t>Participant</w:t>
      </w:r>
      <w:r w:rsidRPr="00766E9F">
        <w:t xml:space="preserve"> from receiving their Income Support Payment.</w:t>
      </w:r>
    </w:p>
    <w:p w14:paraId="11CBFAA8" w14:textId="77777777" w:rsidR="005A22F9" w:rsidRPr="005B6382" w:rsidRDefault="005A22F9" w:rsidP="00973A61">
      <w:pPr>
        <w:pStyle w:val="guidelinetext"/>
        <w:spacing w:line="240" w:lineRule="auto"/>
        <w:ind w:left="0"/>
      </w:pPr>
    </w:p>
    <w:p w14:paraId="61660DDA" w14:textId="77777777" w:rsidR="00035383" w:rsidRPr="00766E9F" w:rsidRDefault="00035383" w:rsidP="00973A61">
      <w:pPr>
        <w:pStyle w:val="Heading3"/>
        <w:spacing w:before="0" w:after="120"/>
      </w:pPr>
      <w:bookmarkStart w:id="113" w:name="_Toc21095886"/>
      <w:bookmarkStart w:id="114" w:name="_Toc177568232"/>
      <w:r w:rsidRPr="00766E9F">
        <w:t>Summary of required Documentary Evidence</w:t>
      </w:r>
      <w:bookmarkEnd w:id="113"/>
      <w:bookmarkEnd w:id="114"/>
    </w:p>
    <w:p w14:paraId="232E44B4" w14:textId="77777777" w:rsidR="00035383" w:rsidRPr="00766E9F" w:rsidRDefault="00035383" w:rsidP="005B6382">
      <w:pPr>
        <w:tabs>
          <w:tab w:val="right" w:pos="1701"/>
        </w:tabs>
      </w:pPr>
      <w:r w:rsidRPr="00766E9F">
        <w:t xml:space="preserve">Depending on the </w:t>
      </w:r>
      <w:r>
        <w:t>Mutual Obligation Failure that the Participant has committed</w:t>
      </w:r>
      <w:r w:rsidRPr="00766E9F">
        <w:t xml:space="preserve">, in addition to the evidence </w:t>
      </w:r>
      <w:r w:rsidRPr="005B6382">
        <w:rPr>
          <w:rFonts w:asciiTheme="minorHAnsi" w:hAnsiTheme="minorHAnsi" w:cstheme="minorHAnsi"/>
          <w:szCs w:val="22"/>
        </w:rPr>
        <w:t>recorded</w:t>
      </w:r>
      <w:r w:rsidRPr="00766E9F">
        <w:t xml:space="preserve"> in the Department’s IT </w:t>
      </w:r>
      <w:r>
        <w:t>S</w:t>
      </w:r>
      <w:r w:rsidRPr="00766E9F">
        <w:t>ystem</w:t>
      </w:r>
      <w:r>
        <w:t>s</w:t>
      </w:r>
      <w:r w:rsidRPr="00766E9F">
        <w:t xml:space="preserve">, </w:t>
      </w:r>
      <w:r>
        <w:t>the Provider must retain the following D</w:t>
      </w:r>
      <w:r w:rsidRPr="00766E9F">
        <w:t xml:space="preserve">ocumentary </w:t>
      </w:r>
      <w:r>
        <w:t>E</w:t>
      </w:r>
      <w:r w:rsidRPr="00766E9F">
        <w:t>vidence:</w:t>
      </w:r>
    </w:p>
    <w:p w14:paraId="410E856E" w14:textId="5966C5DA" w:rsidR="00035383" w:rsidRPr="00766E9F" w:rsidRDefault="00035383" w:rsidP="00270F15">
      <w:pPr>
        <w:pStyle w:val="guidelinetext"/>
        <w:numPr>
          <w:ilvl w:val="0"/>
          <w:numId w:val="9"/>
        </w:numPr>
        <w:spacing w:before="60" w:line="240" w:lineRule="auto"/>
        <w:ind w:left="714" w:hanging="357"/>
      </w:pPr>
      <w:r>
        <w:t xml:space="preserve">where the Mutual Obligation Failure is a failure </w:t>
      </w:r>
      <w:r w:rsidRPr="00766E9F">
        <w:t>to attend</w:t>
      </w:r>
      <w:r>
        <w:t xml:space="preserve"> a job interview or act on a job opportunity, a copy of the </w:t>
      </w:r>
      <w:r w:rsidRPr="00766E9F">
        <w:t xml:space="preserve">prior notification </w:t>
      </w:r>
      <w:r>
        <w:t>of the requirement</w:t>
      </w:r>
      <w:r w:rsidRPr="00766E9F">
        <w:t xml:space="preserve"> to attend</w:t>
      </w:r>
      <w:r>
        <w:t xml:space="preserve"> the job interview or act on the job opportunity</w:t>
      </w:r>
    </w:p>
    <w:p w14:paraId="6521B735" w14:textId="56C12458" w:rsidR="00035383" w:rsidRPr="00766E9F" w:rsidRDefault="00035383" w:rsidP="00270F15">
      <w:pPr>
        <w:pStyle w:val="guidelinetext"/>
        <w:numPr>
          <w:ilvl w:val="0"/>
          <w:numId w:val="9"/>
        </w:numPr>
        <w:spacing w:before="60" w:line="240" w:lineRule="auto"/>
        <w:ind w:left="714" w:hanging="357"/>
      </w:pPr>
      <w:r>
        <w:t xml:space="preserve">where the Mutual Obligation Failure is a failure </w:t>
      </w:r>
      <w:r w:rsidRPr="00766E9F">
        <w:t>to attend</w:t>
      </w:r>
      <w:r>
        <w:t xml:space="preserve"> an appointment, a copy of the </w:t>
      </w:r>
      <w:r w:rsidRPr="00766E9F">
        <w:t xml:space="preserve">prior notification of </w:t>
      </w:r>
      <w:r>
        <w:t>the requirement</w:t>
      </w:r>
      <w:r w:rsidRPr="00766E9F">
        <w:t xml:space="preserve"> to attend</w:t>
      </w:r>
      <w:r>
        <w:t xml:space="preserve"> the appointment</w:t>
      </w:r>
    </w:p>
    <w:p w14:paraId="597E5BD2" w14:textId="4A9C303D" w:rsidR="00035383" w:rsidRPr="00B469CB" w:rsidRDefault="00035383" w:rsidP="00270F15">
      <w:pPr>
        <w:pStyle w:val="guidelinetext"/>
        <w:numPr>
          <w:ilvl w:val="0"/>
          <w:numId w:val="9"/>
        </w:numPr>
        <w:spacing w:before="60" w:line="240" w:lineRule="auto"/>
        <w:ind w:left="714" w:hanging="357"/>
      </w:pPr>
      <w:r w:rsidRPr="00B469CB">
        <w:t>where the Mutual Obligation Failure is a failure to undertake adequate Job Searches, a hard copy of any relevant fully or partially completed Job Searches</w:t>
      </w:r>
      <w:r w:rsidR="00270F15">
        <w:t>,</w:t>
      </w:r>
      <w:r>
        <w:t xml:space="preserve"> and</w:t>
      </w:r>
    </w:p>
    <w:p w14:paraId="5F9572E2" w14:textId="77777777" w:rsidR="00035383" w:rsidRPr="00B469CB" w:rsidRDefault="00035383" w:rsidP="00270F15">
      <w:pPr>
        <w:pStyle w:val="guidelinetext"/>
        <w:numPr>
          <w:ilvl w:val="0"/>
          <w:numId w:val="9"/>
        </w:numPr>
        <w:spacing w:before="60" w:line="240" w:lineRule="auto"/>
        <w:ind w:left="714" w:hanging="357"/>
      </w:pPr>
      <w:r w:rsidRPr="00B469CB">
        <w:t>where the Mutual Obligation Failure is acting in an inappropriate manner during an appointment or w</w:t>
      </w:r>
      <w:r>
        <w:t>hile</w:t>
      </w:r>
      <w:r w:rsidRPr="00B469CB">
        <w:t xml:space="preserve"> participating in an activity, details of the job/employer and/or details of the </w:t>
      </w:r>
      <w:r>
        <w:t xml:space="preserve">relevant </w:t>
      </w:r>
      <w:r w:rsidRPr="00B469CB">
        <w:t>incident, including dates, the parties involved and what occurred.</w:t>
      </w:r>
    </w:p>
    <w:p w14:paraId="03654204" w14:textId="4C7C0995" w:rsidR="00035383" w:rsidRDefault="00035383" w:rsidP="00035383">
      <w:pPr>
        <w:pStyle w:val="guidelinetext"/>
      </w:pPr>
    </w:p>
    <w:p w14:paraId="3BDBEA20" w14:textId="77777777" w:rsidR="008B5CBE" w:rsidRDefault="008B5CBE" w:rsidP="00DF6BEA">
      <w:pPr>
        <w:pStyle w:val="guidelinetext"/>
        <w:spacing w:before="0" w:line="240" w:lineRule="auto"/>
        <w:ind w:left="720"/>
        <w:sectPr w:rsidR="008B5CBE" w:rsidSect="002F3336">
          <w:footerReference w:type="even" r:id="rId10"/>
          <w:footerReference w:type="default" r:id="rId11"/>
          <w:footerReference w:type="first" r:id="rId12"/>
          <w:pgSz w:w="11906" w:h="16838" w:code="9"/>
          <w:pgMar w:top="1440" w:right="1440" w:bottom="1440" w:left="1440" w:header="708" w:footer="170" w:gutter="0"/>
          <w:cols w:space="708"/>
          <w:titlePg/>
          <w:docGrid w:linePitch="360"/>
        </w:sectPr>
      </w:pPr>
      <w:bookmarkStart w:id="115" w:name="_bookmark13"/>
      <w:bookmarkStart w:id="116" w:name="_Toc511137930"/>
      <w:bookmarkEnd w:id="115"/>
    </w:p>
    <w:p w14:paraId="0C02F470" w14:textId="2BB74CEF" w:rsidR="00A64312" w:rsidRPr="005B6382" w:rsidRDefault="00A64312" w:rsidP="005B6382">
      <w:pPr>
        <w:pStyle w:val="Heading2"/>
        <w:spacing w:before="0"/>
        <w:ind w:left="567" w:hanging="567"/>
        <w:rPr>
          <w:sz w:val="28"/>
        </w:rPr>
      </w:pPr>
      <w:bookmarkStart w:id="117" w:name="_Attachment_A_-"/>
      <w:bookmarkStart w:id="118" w:name="_Toc177568233"/>
      <w:bookmarkEnd w:id="117"/>
      <w:r w:rsidRPr="005B6382">
        <w:rPr>
          <w:sz w:val="28"/>
        </w:rPr>
        <w:t xml:space="preserve">Attachment A - System steps that </w:t>
      </w:r>
      <w:proofErr w:type="gramStart"/>
      <w:r w:rsidRPr="005B6382">
        <w:rPr>
          <w:sz w:val="28"/>
        </w:rPr>
        <w:t>affect:</w:t>
      </w:r>
      <w:proofErr w:type="gramEnd"/>
      <w:r w:rsidRPr="005B6382">
        <w:rPr>
          <w:sz w:val="28"/>
        </w:rPr>
        <w:t xml:space="preserve"> creation and confirmation of Demerits; suspension of Income Support Payment; lifting of Income Support Payment suspensions</w:t>
      </w:r>
      <w:bookmarkEnd w:id="118"/>
    </w:p>
    <w:p w14:paraId="6E6E637E" w14:textId="77777777" w:rsidR="00A64312" w:rsidRPr="00B75090" w:rsidRDefault="00A64312" w:rsidP="005B6382">
      <w:pPr>
        <w:tabs>
          <w:tab w:val="right" w:pos="1701"/>
        </w:tabs>
      </w:pPr>
      <w:r w:rsidRPr="00B75090">
        <w:t xml:space="preserve">Mutual Obligation Failure </w:t>
      </w:r>
      <w:proofErr w:type="gramStart"/>
      <w:r w:rsidRPr="00B75090">
        <w:t>related</w:t>
      </w:r>
      <w:proofErr w:type="gramEnd"/>
      <w:r w:rsidRPr="00B75090">
        <w:t xml:space="preserve"> Provider actions in the Department’s IT Systems that result in a </w:t>
      </w:r>
      <w:r>
        <w:t>Participant</w:t>
      </w:r>
      <w:r w:rsidRPr="00B75090">
        <w:t xml:space="preserve">’s Income Support Payment being suspended, the suspension being lifted, or a Demerit being created on a </w:t>
      </w:r>
      <w:r>
        <w:t>Participant</w:t>
      </w:r>
      <w:r w:rsidRPr="00B75090">
        <w:t xml:space="preserve">’s record or accrued by the </w:t>
      </w:r>
      <w:r>
        <w:t>Participant</w:t>
      </w:r>
      <w:r w:rsidRPr="00B75090">
        <w:t xml:space="preserve"> (i.e. confirmed)</w:t>
      </w:r>
    </w:p>
    <w:tbl>
      <w:tblPr>
        <w:tblStyle w:val="TableGrid1"/>
        <w:tblW w:w="5052" w:type="pct"/>
        <w:tblLayout w:type="fixed"/>
        <w:tblLook w:val="04A0" w:firstRow="1" w:lastRow="0" w:firstColumn="1" w:lastColumn="0" w:noHBand="0" w:noVBand="1"/>
        <w:tblCaption w:val="System steps that affect: creation and confirmation of Demerits; suspension of Income Support Payment; lifting of Income Support Payment suspensions"/>
        <w:tblDescription w:val="This table describes, iteratively per possible Mutual Obligation Failure, what the system triggers are in order to: (a) suspend a Participant's payment; (b) create a Demerit; (c) confirm a Demerit, and; (d) lift a Participant's payment suspension."/>
      </w:tblPr>
      <w:tblGrid>
        <w:gridCol w:w="2241"/>
        <w:gridCol w:w="2139"/>
        <w:gridCol w:w="2252"/>
        <w:gridCol w:w="2117"/>
        <w:gridCol w:w="5344"/>
      </w:tblGrid>
      <w:tr w:rsidR="00A64312" w:rsidRPr="00B75090" w14:paraId="5E341550" w14:textId="77777777" w:rsidTr="00B21902">
        <w:trPr>
          <w:tblHeader/>
        </w:trPr>
        <w:tc>
          <w:tcPr>
            <w:tcW w:w="795" w:type="pct"/>
            <w:shd w:val="clear" w:color="auto" w:fill="F2F2F2" w:themeFill="background1" w:themeFillShade="F2"/>
            <w:vAlign w:val="center"/>
          </w:tcPr>
          <w:p w14:paraId="1BEBD7C8" w14:textId="77777777" w:rsidR="00A64312" w:rsidRPr="00B75090" w:rsidRDefault="00A64312" w:rsidP="00B21902">
            <w:pPr>
              <w:spacing w:before="60" w:after="60"/>
              <w:rPr>
                <w:b/>
              </w:rPr>
            </w:pPr>
            <w:r w:rsidRPr="00B75090">
              <w:rPr>
                <w:b/>
              </w:rPr>
              <w:t>Type of potential Mutual Obligation Failures</w:t>
            </w:r>
          </w:p>
        </w:tc>
        <w:tc>
          <w:tcPr>
            <w:tcW w:w="759" w:type="pct"/>
            <w:shd w:val="clear" w:color="auto" w:fill="F2F2F2" w:themeFill="background1" w:themeFillShade="F2"/>
            <w:vAlign w:val="center"/>
          </w:tcPr>
          <w:p w14:paraId="41C1C2A3" w14:textId="77777777" w:rsidR="00A64312" w:rsidRPr="00B75090" w:rsidRDefault="00A64312" w:rsidP="00B21902">
            <w:pPr>
              <w:spacing w:before="60" w:after="60"/>
              <w:rPr>
                <w:b/>
              </w:rPr>
            </w:pPr>
            <w:r w:rsidRPr="00B75090">
              <w:rPr>
                <w:b/>
              </w:rPr>
              <w:t xml:space="preserve">When is a </w:t>
            </w:r>
            <w:r>
              <w:rPr>
                <w:b/>
              </w:rPr>
              <w:t>Participant</w:t>
            </w:r>
            <w:r w:rsidRPr="00B75090">
              <w:rPr>
                <w:b/>
              </w:rPr>
              <w:t>’s Income Support Payment suspended?</w:t>
            </w:r>
          </w:p>
        </w:tc>
        <w:tc>
          <w:tcPr>
            <w:tcW w:w="799" w:type="pct"/>
            <w:shd w:val="clear" w:color="auto" w:fill="F2F2F2" w:themeFill="background1" w:themeFillShade="F2"/>
            <w:vAlign w:val="center"/>
          </w:tcPr>
          <w:p w14:paraId="4154BCC8" w14:textId="77777777" w:rsidR="00A64312" w:rsidRPr="00B75090" w:rsidRDefault="00A64312" w:rsidP="00B21902">
            <w:pPr>
              <w:spacing w:before="60" w:after="60"/>
              <w:rPr>
                <w:b/>
              </w:rPr>
            </w:pPr>
            <w:r w:rsidRPr="00B75090">
              <w:rPr>
                <w:b/>
              </w:rPr>
              <w:t xml:space="preserve">When is a Demerit created (pending confirmation) on a </w:t>
            </w:r>
            <w:r>
              <w:rPr>
                <w:b/>
              </w:rPr>
              <w:t>Participant</w:t>
            </w:r>
            <w:r w:rsidRPr="00B75090">
              <w:rPr>
                <w:b/>
              </w:rPr>
              <w:t>’s record?</w:t>
            </w:r>
          </w:p>
        </w:tc>
        <w:tc>
          <w:tcPr>
            <w:tcW w:w="751" w:type="pct"/>
            <w:shd w:val="clear" w:color="auto" w:fill="F2F2F2" w:themeFill="background1" w:themeFillShade="F2"/>
            <w:vAlign w:val="center"/>
          </w:tcPr>
          <w:p w14:paraId="6ADB2F21" w14:textId="77777777" w:rsidR="00A64312" w:rsidRPr="00B75090" w:rsidRDefault="00A64312" w:rsidP="00B21902">
            <w:pPr>
              <w:spacing w:before="60" w:after="60"/>
              <w:rPr>
                <w:b/>
              </w:rPr>
            </w:pPr>
            <w:r w:rsidRPr="00B75090">
              <w:rPr>
                <w:b/>
              </w:rPr>
              <w:t xml:space="preserve">When does a </w:t>
            </w:r>
            <w:r>
              <w:rPr>
                <w:b/>
              </w:rPr>
              <w:t>Participant</w:t>
            </w:r>
            <w:r w:rsidRPr="00B75090">
              <w:rPr>
                <w:b/>
              </w:rPr>
              <w:t xml:space="preserve"> accrue a Demerit (i.e. the Demerit is confirmed)?</w:t>
            </w:r>
          </w:p>
        </w:tc>
        <w:tc>
          <w:tcPr>
            <w:tcW w:w="1896" w:type="pct"/>
            <w:shd w:val="clear" w:color="auto" w:fill="F2F2F2" w:themeFill="background1" w:themeFillShade="F2"/>
            <w:vAlign w:val="center"/>
          </w:tcPr>
          <w:p w14:paraId="75ABE318" w14:textId="77777777" w:rsidR="00A64312" w:rsidRPr="00B75090" w:rsidRDefault="00A64312" w:rsidP="00B21902">
            <w:pPr>
              <w:spacing w:before="60" w:after="60"/>
              <w:rPr>
                <w:b/>
              </w:rPr>
            </w:pPr>
            <w:r w:rsidRPr="00B75090">
              <w:rPr>
                <w:b/>
              </w:rPr>
              <w:t xml:space="preserve">When is a </w:t>
            </w:r>
            <w:r>
              <w:rPr>
                <w:b/>
              </w:rPr>
              <w:t>Participant</w:t>
            </w:r>
            <w:r w:rsidRPr="00B75090">
              <w:rPr>
                <w:b/>
              </w:rPr>
              <w:t>’s Income Support Payment suspension lifted?</w:t>
            </w:r>
          </w:p>
        </w:tc>
      </w:tr>
      <w:tr w:rsidR="00A64312" w:rsidRPr="00B75090" w14:paraId="16940EF2" w14:textId="77777777" w:rsidTr="00B21902">
        <w:tc>
          <w:tcPr>
            <w:tcW w:w="795" w:type="pct"/>
          </w:tcPr>
          <w:p w14:paraId="0F22992C" w14:textId="77777777" w:rsidR="00A64312" w:rsidRPr="00B75090" w:rsidRDefault="00A64312" w:rsidP="00B21902">
            <w:pPr>
              <w:rPr>
                <w:b/>
                <w:sz w:val="24"/>
              </w:rPr>
            </w:pPr>
            <w:r w:rsidRPr="00B75090">
              <w:rPr>
                <w:b/>
                <w:sz w:val="24"/>
              </w:rPr>
              <w:t>Non-attendance</w:t>
            </w:r>
          </w:p>
          <w:p w14:paraId="3D5AF12B"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w:t>
            </w:r>
          </w:p>
          <w:p w14:paraId="64E2E3B3" w14:textId="77777777" w:rsidR="00A64312" w:rsidRPr="00B75090" w:rsidRDefault="00A64312" w:rsidP="00A64312">
            <w:pPr>
              <w:numPr>
                <w:ilvl w:val="0"/>
                <w:numId w:val="40"/>
              </w:numPr>
              <w:ind w:left="307" w:hanging="284"/>
              <w:contextualSpacing/>
              <w:rPr>
                <w:b/>
                <w:sz w:val="20"/>
                <w:szCs w:val="20"/>
              </w:rPr>
            </w:pPr>
            <w:r w:rsidRPr="00B75090">
              <w:rPr>
                <w:sz w:val="20"/>
                <w:szCs w:val="20"/>
              </w:rPr>
              <w:t xml:space="preserve">attend, or to be punctual for, an appointment that they are required to attend under their Job </w:t>
            </w:r>
            <w:proofErr w:type="gramStart"/>
            <w:r w:rsidRPr="00B75090">
              <w:rPr>
                <w:sz w:val="20"/>
                <w:szCs w:val="20"/>
              </w:rPr>
              <w:t>Plan;</w:t>
            </w:r>
            <w:proofErr w:type="gramEnd"/>
          </w:p>
          <w:p w14:paraId="6F462523" w14:textId="77777777" w:rsidR="00A64312" w:rsidRPr="00B75090" w:rsidRDefault="00A64312" w:rsidP="00A64312">
            <w:pPr>
              <w:numPr>
                <w:ilvl w:val="0"/>
                <w:numId w:val="40"/>
              </w:numPr>
              <w:ind w:left="306" w:hanging="284"/>
              <w:contextualSpacing/>
              <w:rPr>
                <w:b/>
                <w:sz w:val="20"/>
                <w:szCs w:val="20"/>
              </w:rPr>
            </w:pPr>
            <w:r w:rsidRPr="00B75090">
              <w:rPr>
                <w:sz w:val="20"/>
                <w:szCs w:val="20"/>
              </w:rPr>
              <w:t>attend, to be punctual for, or to participate in, an activity that they are required to undertake under their Job Plan; or</w:t>
            </w:r>
          </w:p>
          <w:p w14:paraId="710BAB1E" w14:textId="77777777" w:rsidR="00A64312" w:rsidRPr="00B75090" w:rsidRDefault="00A64312" w:rsidP="00A64312">
            <w:pPr>
              <w:numPr>
                <w:ilvl w:val="0"/>
                <w:numId w:val="40"/>
              </w:numPr>
              <w:ind w:left="306" w:hanging="284"/>
              <w:contextualSpacing/>
              <w:rPr>
                <w:b/>
                <w:sz w:val="20"/>
                <w:szCs w:val="20"/>
              </w:rPr>
            </w:pPr>
            <w:r w:rsidRPr="00B75090">
              <w:rPr>
                <w:sz w:val="20"/>
                <w:szCs w:val="20"/>
              </w:rPr>
              <w:t>attend a job interview.</w:t>
            </w:r>
          </w:p>
          <w:p w14:paraId="67B0A465" w14:textId="77777777" w:rsidR="00A64312" w:rsidRPr="00B75090" w:rsidRDefault="00A64312" w:rsidP="00B21902">
            <w:pPr>
              <w:rPr>
                <w:sz w:val="20"/>
                <w:szCs w:val="20"/>
              </w:rPr>
            </w:pPr>
            <w:r w:rsidRPr="00B75090">
              <w:rPr>
                <w:sz w:val="20"/>
                <w:szCs w:val="20"/>
              </w:rPr>
              <w:t xml:space="preserve">The relevant Mutual Obligation Requirement is shown in the </w:t>
            </w:r>
            <w:r>
              <w:rPr>
                <w:sz w:val="20"/>
                <w:szCs w:val="20"/>
              </w:rPr>
              <w:t>Participant</w:t>
            </w:r>
            <w:r w:rsidRPr="00B75090">
              <w:rPr>
                <w:sz w:val="20"/>
                <w:szCs w:val="20"/>
              </w:rPr>
              <w:t>’s Electronic Calendar as one of the following:</w:t>
            </w:r>
          </w:p>
          <w:p w14:paraId="7E9F9253"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‘Provider Appointment</w:t>
            </w:r>
            <w:proofErr w:type="gramStart"/>
            <w:r w:rsidRPr="00B75090">
              <w:rPr>
                <w:sz w:val="20"/>
                <w:szCs w:val="20"/>
              </w:rPr>
              <w:t>’;</w:t>
            </w:r>
            <w:proofErr w:type="gramEnd"/>
          </w:p>
          <w:p w14:paraId="4ABD7FF9"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‘Activity</w:t>
            </w:r>
            <w:proofErr w:type="gramStart"/>
            <w:r w:rsidRPr="00B75090">
              <w:rPr>
                <w:sz w:val="20"/>
                <w:szCs w:val="20"/>
              </w:rPr>
              <w:t>’;</w:t>
            </w:r>
            <w:proofErr w:type="gramEnd"/>
          </w:p>
          <w:p w14:paraId="62E35D2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‘Third Party Appointment’ or</w:t>
            </w:r>
          </w:p>
          <w:p w14:paraId="477A92DD"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‘Job Interview’.</w:t>
            </w:r>
          </w:p>
        </w:tc>
        <w:tc>
          <w:tcPr>
            <w:tcW w:w="759" w:type="pct"/>
          </w:tcPr>
          <w:p w14:paraId="44610A5E" w14:textId="77777777" w:rsidR="00A64312" w:rsidRPr="00B75090" w:rsidRDefault="00A64312" w:rsidP="00B21902">
            <w:pPr>
              <w:rPr>
                <w:sz w:val="20"/>
                <w:szCs w:val="20"/>
              </w:rPr>
            </w:pPr>
            <w:r w:rsidRPr="00B75090">
              <w:rPr>
                <w:sz w:val="20"/>
                <w:szCs w:val="20"/>
              </w:rPr>
              <w:t xml:space="preserve">When the Provider selects ‘Did Not Attend Invalid (DNAI)’ in relation to a Mutual Obligation Requirement in the </w:t>
            </w:r>
            <w:r>
              <w:rPr>
                <w:sz w:val="20"/>
                <w:szCs w:val="20"/>
              </w:rPr>
              <w:t>Participant</w:t>
            </w:r>
            <w:r w:rsidRPr="00B75090">
              <w:rPr>
                <w:sz w:val="20"/>
                <w:szCs w:val="20"/>
              </w:rPr>
              <w:t xml:space="preserve">’s Electronic Calendar. </w:t>
            </w:r>
          </w:p>
          <w:p w14:paraId="59D78912" w14:textId="42C5706E" w:rsidR="00A64312" w:rsidRPr="00B75090" w:rsidRDefault="00A64312" w:rsidP="00B21902">
            <w:pPr>
              <w:rPr>
                <w:sz w:val="20"/>
                <w:szCs w:val="20"/>
              </w:rPr>
            </w:pPr>
            <w:r w:rsidRPr="00B75090">
              <w:rPr>
                <w:sz w:val="20"/>
                <w:szCs w:val="20"/>
              </w:rPr>
              <w:t>See the discussion on page</w:t>
            </w:r>
            <w:r>
              <w:rPr>
                <w:sz w:val="20"/>
                <w:szCs w:val="20"/>
              </w:rPr>
              <w:t> </w:t>
            </w:r>
            <w:r w:rsidR="005462B4">
              <w:rPr>
                <w:sz w:val="20"/>
                <w:szCs w:val="20"/>
              </w:rPr>
              <w:fldChar w:fldCharType="begin"/>
            </w:r>
            <w:r w:rsidR="005462B4">
              <w:rPr>
                <w:sz w:val="20"/>
                <w:szCs w:val="20"/>
              </w:rPr>
              <w:instrText xml:space="preserve"> PAGEREF DNAI \h </w:instrText>
            </w:r>
            <w:r w:rsidR="005462B4">
              <w:rPr>
                <w:sz w:val="20"/>
                <w:szCs w:val="20"/>
              </w:rPr>
            </w:r>
            <w:r w:rsidR="005462B4">
              <w:rPr>
                <w:sz w:val="20"/>
                <w:szCs w:val="20"/>
              </w:rPr>
              <w:fldChar w:fldCharType="separate"/>
            </w:r>
            <w:r w:rsidR="00666D4F">
              <w:rPr>
                <w:noProof/>
                <w:sz w:val="20"/>
                <w:szCs w:val="20"/>
              </w:rPr>
              <w:t>20</w:t>
            </w:r>
            <w:r w:rsidR="005462B4">
              <w:rPr>
                <w:sz w:val="20"/>
                <w:szCs w:val="20"/>
              </w:rPr>
              <w:fldChar w:fldCharType="end"/>
            </w:r>
            <w:r w:rsidRPr="00B75090">
              <w:rPr>
                <w:sz w:val="20"/>
                <w:szCs w:val="20"/>
              </w:rPr>
              <w:t xml:space="preserve"> of this Guideline regarding when a Provider must select ‘Did Not Attend—Invalid’.</w:t>
            </w:r>
          </w:p>
          <w:p w14:paraId="3CB257F9" w14:textId="64F3800E" w:rsidR="00A64312" w:rsidRPr="00B75090" w:rsidRDefault="00A64312" w:rsidP="001538F7">
            <w:pPr>
              <w:rPr>
                <w:sz w:val="20"/>
                <w:szCs w:val="20"/>
              </w:rPr>
            </w:pPr>
            <w:r w:rsidRPr="00B75090">
              <w:rPr>
                <w:sz w:val="20"/>
                <w:szCs w:val="20"/>
              </w:rPr>
              <w:t xml:space="preserve">When both the </w:t>
            </w:r>
            <w:r>
              <w:rPr>
                <w:sz w:val="20"/>
                <w:szCs w:val="20"/>
              </w:rPr>
              <w:t>Participant</w:t>
            </w:r>
            <w:r w:rsidRPr="00B75090">
              <w:rPr>
                <w:sz w:val="20"/>
                <w:szCs w:val="20"/>
              </w:rPr>
              <w:t xml:space="preserve"> and the Provider have failed to select ‘Attended’ by close of business on the day on which the Mutual Obligation Requirement is Scheduled to occur in the </w:t>
            </w:r>
            <w:r>
              <w:rPr>
                <w:sz w:val="20"/>
                <w:szCs w:val="20"/>
              </w:rPr>
              <w:t>Participant</w:t>
            </w:r>
            <w:r w:rsidRPr="00B75090">
              <w:rPr>
                <w:sz w:val="20"/>
                <w:szCs w:val="20"/>
              </w:rPr>
              <w:t xml:space="preserve">’s Electronic </w:t>
            </w:r>
            <w:proofErr w:type="gramStart"/>
            <w:r w:rsidRPr="00B75090">
              <w:rPr>
                <w:sz w:val="20"/>
                <w:szCs w:val="20"/>
              </w:rPr>
              <w:t>Calendar</w:t>
            </w:r>
            <w:r w:rsidR="0016422B" w:rsidRPr="00B5193A">
              <w:rPr>
                <w:sz w:val="20"/>
                <w:szCs w:val="20"/>
              </w:rPr>
              <w:t>(</w:t>
            </w:r>
            <w:proofErr w:type="gramEnd"/>
            <w:r w:rsidR="0016422B" w:rsidRPr="00B5193A">
              <w:rPr>
                <w:sz w:val="20"/>
                <w:szCs w:val="20"/>
              </w:rPr>
              <w:t>for all requirements indicated except Provider Appointment).</w:t>
            </w:r>
            <w:r w:rsidRPr="00B75090">
              <w:rPr>
                <w:sz w:val="20"/>
                <w:szCs w:val="20"/>
              </w:rPr>
              <w:t>.</w:t>
            </w:r>
          </w:p>
        </w:tc>
        <w:tc>
          <w:tcPr>
            <w:tcW w:w="799" w:type="pct"/>
          </w:tcPr>
          <w:p w14:paraId="20E5BC88" w14:textId="77777777" w:rsidR="00A64312" w:rsidRPr="00B75090" w:rsidRDefault="00A64312" w:rsidP="00B21902">
            <w:pPr>
              <w:rPr>
                <w:sz w:val="20"/>
                <w:szCs w:val="20"/>
              </w:rPr>
            </w:pPr>
            <w:r w:rsidRPr="00B75090">
              <w:rPr>
                <w:sz w:val="20"/>
                <w:szCs w:val="20"/>
              </w:rPr>
              <w:t xml:space="preserve">When the Provider selects ‘Did Not Attend Invalid (DNAI)’ in relation to a Mutual Obligation Requirement in the </w:t>
            </w:r>
            <w:r>
              <w:rPr>
                <w:sz w:val="20"/>
                <w:szCs w:val="20"/>
              </w:rPr>
              <w:t>Participant</w:t>
            </w:r>
            <w:r w:rsidRPr="00B75090">
              <w:rPr>
                <w:sz w:val="20"/>
                <w:szCs w:val="20"/>
              </w:rPr>
              <w:t xml:space="preserve">’s Electronic Calendar. </w:t>
            </w:r>
          </w:p>
          <w:p w14:paraId="287E756A" w14:textId="0EF5A8DB" w:rsidR="00A64312" w:rsidRPr="00B75090" w:rsidRDefault="00A64312">
            <w:pPr>
              <w:rPr>
                <w:sz w:val="20"/>
                <w:szCs w:val="20"/>
              </w:rPr>
            </w:pPr>
            <w:r w:rsidRPr="00B75090">
              <w:rPr>
                <w:sz w:val="20"/>
                <w:szCs w:val="20"/>
              </w:rPr>
              <w:t>See the discussion on page</w:t>
            </w:r>
            <w:r>
              <w:rPr>
                <w:sz w:val="20"/>
                <w:szCs w:val="20"/>
              </w:rPr>
              <w:t> </w:t>
            </w:r>
            <w:r w:rsidR="005462B4">
              <w:rPr>
                <w:sz w:val="20"/>
                <w:szCs w:val="20"/>
              </w:rPr>
              <w:fldChar w:fldCharType="begin"/>
            </w:r>
            <w:r w:rsidR="005462B4">
              <w:rPr>
                <w:sz w:val="20"/>
                <w:szCs w:val="20"/>
              </w:rPr>
              <w:instrText xml:space="preserve"> PAGEREF DNAI \h </w:instrText>
            </w:r>
            <w:r w:rsidR="005462B4">
              <w:rPr>
                <w:sz w:val="20"/>
                <w:szCs w:val="20"/>
              </w:rPr>
            </w:r>
            <w:r w:rsidR="005462B4">
              <w:rPr>
                <w:sz w:val="20"/>
                <w:szCs w:val="20"/>
              </w:rPr>
              <w:fldChar w:fldCharType="separate"/>
            </w:r>
            <w:r w:rsidR="00666D4F">
              <w:rPr>
                <w:noProof/>
                <w:sz w:val="20"/>
                <w:szCs w:val="20"/>
              </w:rPr>
              <w:t>20</w:t>
            </w:r>
            <w:r w:rsidR="005462B4">
              <w:rPr>
                <w:sz w:val="20"/>
                <w:szCs w:val="20"/>
              </w:rPr>
              <w:fldChar w:fldCharType="end"/>
            </w:r>
            <w:r w:rsidRPr="00B75090">
              <w:rPr>
                <w:sz w:val="20"/>
                <w:szCs w:val="20"/>
              </w:rPr>
              <w:t xml:space="preserve"> of this Guideline regarding when a Provider must select ‘Did Not Attend—Invalid’.</w:t>
            </w:r>
          </w:p>
        </w:tc>
        <w:tc>
          <w:tcPr>
            <w:tcW w:w="751" w:type="pct"/>
          </w:tcPr>
          <w:p w14:paraId="166B2C57"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2890CE5D" w14:textId="32664B1D" w:rsidR="00A64312" w:rsidRPr="00B75090" w:rsidRDefault="00A64312">
            <w:pPr>
              <w:spacing w:before="240"/>
              <w:rPr>
                <w:sz w:val="20"/>
                <w:szCs w:val="20"/>
              </w:rPr>
            </w:pPr>
            <w:r w:rsidRPr="00B75090">
              <w:rPr>
                <w:sz w:val="20"/>
                <w:szCs w:val="20"/>
              </w:rPr>
              <w:t xml:space="preserve">See the discussion on page </w:t>
            </w:r>
            <w:r w:rsidR="009077D0">
              <w:rPr>
                <w:sz w:val="20"/>
                <w:szCs w:val="20"/>
              </w:rPr>
              <w:fldChar w:fldCharType="begin"/>
            </w:r>
            <w:r w:rsidR="009077D0">
              <w:rPr>
                <w:sz w:val="20"/>
                <w:szCs w:val="20"/>
              </w:rPr>
              <w:instrText xml:space="preserve"> PAGEREF DNAI_condition \h </w:instrText>
            </w:r>
            <w:r w:rsidR="009077D0">
              <w:rPr>
                <w:sz w:val="20"/>
                <w:szCs w:val="20"/>
              </w:rPr>
            </w:r>
            <w:r w:rsidR="009077D0">
              <w:rPr>
                <w:sz w:val="20"/>
                <w:szCs w:val="20"/>
              </w:rPr>
              <w:fldChar w:fldCharType="separate"/>
            </w:r>
            <w:r w:rsidR="00666D4F">
              <w:rPr>
                <w:noProof/>
                <w:sz w:val="20"/>
                <w:szCs w:val="20"/>
              </w:rPr>
              <w:t>20</w:t>
            </w:r>
            <w:r w:rsidR="009077D0">
              <w:rPr>
                <w:sz w:val="20"/>
                <w:szCs w:val="20"/>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tcPr>
          <w:p w14:paraId="388A76D2" w14:textId="77777777" w:rsidR="0016422B" w:rsidRPr="00B5193A" w:rsidRDefault="0016422B" w:rsidP="0016422B">
            <w:pPr>
              <w:spacing w:before="60" w:after="60"/>
              <w:rPr>
                <w:sz w:val="20"/>
                <w:szCs w:val="20"/>
              </w:rPr>
            </w:pPr>
            <w:r w:rsidRPr="00B5193A">
              <w:rPr>
                <w:sz w:val="20"/>
              </w:rPr>
              <w:t>When the Provider has already recorded ‘Did Not Attend—</w:t>
            </w:r>
            <w:r w:rsidRPr="00B5193A">
              <w:rPr>
                <w:sz w:val="20"/>
                <w:szCs w:val="20"/>
              </w:rPr>
              <w:t>Invalid’</w:t>
            </w:r>
            <w:r w:rsidRPr="00B5193A">
              <w:rPr>
                <w:sz w:val="20"/>
              </w:rPr>
              <w:t xml:space="preserve">: when the Provider selects ‘Yes’ in </w:t>
            </w:r>
            <w:r w:rsidRPr="00B5193A">
              <w:rPr>
                <w:sz w:val="20"/>
                <w:szCs w:val="20"/>
              </w:rPr>
              <w:t>response</w:t>
            </w:r>
            <w:r w:rsidRPr="00B5193A">
              <w:rPr>
                <w:sz w:val="20"/>
              </w:rPr>
              <w:t xml:space="preserve"> to the </w:t>
            </w:r>
            <w:r w:rsidRPr="00B5193A">
              <w:rPr>
                <w:sz w:val="20"/>
                <w:szCs w:val="20"/>
              </w:rPr>
              <w:t>question</w:t>
            </w:r>
            <w:r w:rsidRPr="00B5193A">
              <w:rPr>
                <w:sz w:val="20"/>
              </w:rPr>
              <w:t xml:space="preserve">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w:t>
            </w:r>
            <w:r w:rsidRPr="00B5193A">
              <w:rPr>
                <w:sz w:val="20"/>
                <w:szCs w:val="20"/>
              </w:rPr>
              <w:t>-</w:t>
            </w:r>
            <w:r w:rsidRPr="00B5193A">
              <w:rPr>
                <w:sz w:val="20"/>
                <w:szCs w:val="20"/>
              </w:rPr>
              <w:noBreakHyphen/>
            </w:r>
            <w:r w:rsidRPr="00B5193A">
              <w:rPr>
                <w:sz w:val="20"/>
              </w:rPr>
              <w:t xml:space="preserve">engagement Page in the </w:t>
            </w:r>
            <w:r w:rsidRPr="00B5193A">
              <w:rPr>
                <w:sz w:val="20"/>
                <w:szCs w:val="20"/>
              </w:rPr>
              <w:t>Department’s</w:t>
            </w:r>
            <w:r w:rsidRPr="00B5193A">
              <w:rPr>
                <w:sz w:val="20"/>
              </w:rPr>
              <w:t xml:space="preserve"> IT Systems.</w:t>
            </w:r>
          </w:p>
          <w:p w14:paraId="5DE2D84F" w14:textId="77777777" w:rsidR="00A64312" w:rsidRPr="00B75090" w:rsidRDefault="00A64312" w:rsidP="00B21902">
            <w:pPr>
              <w:spacing w:before="60" w:after="60"/>
              <w:rPr>
                <w:i/>
                <w:sz w:val="20"/>
                <w:szCs w:val="20"/>
              </w:rPr>
            </w:pPr>
            <w:r w:rsidRPr="00B75090">
              <w:rPr>
                <w:i/>
                <w:sz w:val="20"/>
                <w:szCs w:val="20"/>
              </w:rPr>
              <w:t>OR</w:t>
            </w:r>
          </w:p>
          <w:p w14:paraId="62913A98" w14:textId="77777777" w:rsidR="00A64312" w:rsidRPr="00B75090" w:rsidRDefault="00A64312" w:rsidP="00B21902">
            <w:pPr>
              <w:spacing w:before="60" w:after="60"/>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7881C8A2" w14:textId="77777777" w:rsidR="00A64312" w:rsidRPr="00B75090" w:rsidRDefault="00A64312" w:rsidP="00B21902">
            <w:pPr>
              <w:spacing w:before="60" w:after="60"/>
              <w:rPr>
                <w:i/>
                <w:sz w:val="20"/>
                <w:szCs w:val="20"/>
              </w:rPr>
            </w:pPr>
            <w:r w:rsidRPr="00B75090">
              <w:rPr>
                <w:i/>
                <w:sz w:val="20"/>
                <w:szCs w:val="20"/>
              </w:rPr>
              <w:t xml:space="preserve">OR </w:t>
            </w:r>
          </w:p>
          <w:p w14:paraId="1C4CA8D7" w14:textId="77777777" w:rsidR="0016422B" w:rsidRPr="00B5193A" w:rsidRDefault="0016422B" w:rsidP="0016422B">
            <w:pPr>
              <w:spacing w:before="60" w:after="60"/>
              <w:rPr>
                <w:sz w:val="20"/>
                <w:szCs w:val="20"/>
              </w:rPr>
            </w:pPr>
            <w:r w:rsidRPr="00B5193A">
              <w:rPr>
                <w:sz w:val="20"/>
                <w:szCs w:val="20"/>
              </w:rPr>
              <w:t>When the Provider reschedules a Reconnection Requirement in the Participant’s Electronic Calendar.</w:t>
            </w:r>
          </w:p>
          <w:p w14:paraId="43F60796" w14:textId="77777777" w:rsidR="0016422B" w:rsidRPr="00B5193A" w:rsidRDefault="0016422B" w:rsidP="0016422B">
            <w:pPr>
              <w:spacing w:before="60" w:after="60"/>
              <w:rPr>
                <w:sz w:val="20"/>
                <w:szCs w:val="20"/>
              </w:rPr>
            </w:pPr>
            <w:r w:rsidRPr="005B6382">
              <w:rPr>
                <w:i/>
                <w:sz w:val="20"/>
                <w:szCs w:val="20"/>
              </w:rPr>
              <w:t>OR</w:t>
            </w:r>
            <w:r w:rsidRPr="00B5193A">
              <w:rPr>
                <w:sz w:val="20"/>
                <w:szCs w:val="20"/>
              </w:rPr>
              <w:t xml:space="preserve"> </w:t>
            </w:r>
          </w:p>
          <w:p w14:paraId="25FAF2E1" w14:textId="06CD3736" w:rsidR="00A64312" w:rsidRPr="00B75090" w:rsidRDefault="00A64312" w:rsidP="00B21902">
            <w:pPr>
              <w:spacing w:before="60" w:after="60"/>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rPr>
              <w:fldChar w:fldCharType="begin"/>
            </w:r>
            <w:r w:rsidR="009077D0">
              <w:rPr>
                <w:sz w:val="20"/>
                <w:szCs w:val="20"/>
              </w:rPr>
              <w:instrText xml:space="preserve"> PAGEREF Unable_to_reengage \h </w:instrText>
            </w:r>
            <w:r w:rsidR="009077D0">
              <w:rPr>
                <w:sz w:val="20"/>
                <w:szCs w:val="20"/>
              </w:rPr>
            </w:r>
            <w:r w:rsidR="009077D0">
              <w:rPr>
                <w:sz w:val="20"/>
                <w:szCs w:val="20"/>
              </w:rPr>
              <w:fldChar w:fldCharType="separate"/>
            </w:r>
            <w:r w:rsidR="00666D4F">
              <w:rPr>
                <w:noProof/>
                <w:sz w:val="20"/>
                <w:szCs w:val="20"/>
              </w:rPr>
              <w:t>25</w:t>
            </w:r>
            <w:r w:rsidR="009077D0">
              <w:rPr>
                <w:sz w:val="20"/>
                <w:szCs w:val="20"/>
              </w:rPr>
              <w:fldChar w:fldCharType="end"/>
            </w:r>
            <w:r w:rsidRPr="00B75090">
              <w:rPr>
                <w:sz w:val="20"/>
                <w:szCs w:val="20"/>
              </w:rPr>
              <w:t xml:space="preserve"> of this Guideline regarding when a Provider must select ‘Unable to Re-engage Within two Business Days’.</w:t>
            </w:r>
          </w:p>
          <w:p w14:paraId="27445750" w14:textId="77777777" w:rsidR="00A64312" w:rsidRPr="00B75090" w:rsidRDefault="00A64312" w:rsidP="00B21902">
            <w:pPr>
              <w:spacing w:before="60" w:after="60"/>
              <w:rPr>
                <w:sz w:val="20"/>
                <w:szCs w:val="20"/>
              </w:rPr>
            </w:pPr>
            <w:r w:rsidRPr="00B75090">
              <w:rPr>
                <w:i/>
                <w:sz w:val="20"/>
                <w:szCs w:val="20"/>
              </w:rPr>
              <w:t>OR</w:t>
            </w:r>
          </w:p>
          <w:p w14:paraId="1345509D"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noBreakHyphen/>
              <w:t>engagement Not Required’ on the Provider Re</w:t>
            </w:r>
            <w:r w:rsidRPr="00B5193A">
              <w:rPr>
                <w:sz w:val="20"/>
                <w:szCs w:val="20"/>
              </w:rPr>
              <w:noBreakHyphen/>
              <w:t xml:space="preserv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noBreakHyphen/>
              <w:t>engagement Not Required’.</w:t>
            </w:r>
          </w:p>
          <w:p w14:paraId="603E5342" w14:textId="42259314" w:rsidR="0016422B" w:rsidRDefault="0016422B" w:rsidP="00B21902">
            <w:pPr>
              <w:spacing w:before="60" w:after="60"/>
              <w:rPr>
                <w:sz w:val="20"/>
                <w:szCs w:val="20"/>
              </w:rPr>
            </w:pPr>
            <w:r w:rsidRPr="00B75090">
              <w:rPr>
                <w:i/>
                <w:sz w:val="20"/>
                <w:szCs w:val="20"/>
              </w:rPr>
              <w:t>OR</w:t>
            </w:r>
          </w:p>
          <w:p w14:paraId="03D66D09" w14:textId="0DFA8EA0" w:rsidR="00A64312" w:rsidRPr="00B75090" w:rsidRDefault="00A64312" w:rsidP="00B21902">
            <w:pPr>
              <w:spacing w:before="60" w:after="60"/>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5421A4FF" w14:textId="77777777" w:rsidR="00A64312" w:rsidRPr="00B75090" w:rsidRDefault="00A64312" w:rsidP="00B21902">
            <w:pPr>
              <w:spacing w:before="60" w:after="60"/>
              <w:rPr>
                <w:i/>
                <w:sz w:val="20"/>
                <w:szCs w:val="20"/>
              </w:rPr>
            </w:pPr>
            <w:r w:rsidRPr="00B75090">
              <w:rPr>
                <w:i/>
                <w:sz w:val="20"/>
                <w:szCs w:val="20"/>
              </w:rPr>
              <w:t>OR</w:t>
            </w:r>
          </w:p>
          <w:p w14:paraId="29C3A35A" w14:textId="6BB8CE96" w:rsidR="00A64312" w:rsidRPr="00B75090" w:rsidRDefault="00A64312" w:rsidP="00B21902">
            <w:pPr>
              <w:spacing w:before="60" w:after="60"/>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rPr>
              <w:fldChar w:fldCharType="begin"/>
            </w:r>
            <w:r w:rsidR="009077D0">
              <w:rPr>
                <w:sz w:val="20"/>
                <w:szCs w:val="20"/>
              </w:rPr>
              <w:instrText xml:space="preserve"> PAGEREF Compliance_action_no_longer_appropriate \h </w:instrText>
            </w:r>
            <w:r w:rsidR="009077D0">
              <w:rPr>
                <w:sz w:val="20"/>
                <w:szCs w:val="20"/>
              </w:rPr>
            </w:r>
            <w:r w:rsidR="009077D0">
              <w:rPr>
                <w:sz w:val="20"/>
                <w:szCs w:val="20"/>
              </w:rPr>
              <w:fldChar w:fldCharType="separate"/>
            </w:r>
            <w:r w:rsidR="00666D4F">
              <w:rPr>
                <w:noProof/>
                <w:sz w:val="20"/>
                <w:szCs w:val="20"/>
              </w:rPr>
              <w:t>26</w:t>
            </w:r>
            <w:r w:rsidR="009077D0">
              <w:rPr>
                <w:sz w:val="20"/>
                <w:szCs w:val="20"/>
              </w:rPr>
              <w:fldChar w:fldCharType="end"/>
            </w:r>
            <w:r w:rsidRPr="00B75090">
              <w:rPr>
                <w:sz w:val="20"/>
                <w:szCs w:val="20"/>
              </w:rPr>
              <w:t xml:space="preserve"> of this Guideline regarding when a Provider must select ‘Compliance action no longer appropriate’.</w:t>
            </w:r>
          </w:p>
          <w:p w14:paraId="515E8FEE" w14:textId="77777777" w:rsidR="00A64312" w:rsidRPr="00B75090" w:rsidRDefault="00A64312" w:rsidP="00B21902">
            <w:pPr>
              <w:spacing w:before="60" w:after="60"/>
              <w:rPr>
                <w:i/>
                <w:sz w:val="20"/>
                <w:szCs w:val="20"/>
              </w:rPr>
            </w:pPr>
            <w:r w:rsidRPr="00B75090">
              <w:rPr>
                <w:i/>
                <w:sz w:val="20"/>
                <w:szCs w:val="20"/>
              </w:rPr>
              <w:t>OR</w:t>
            </w:r>
          </w:p>
          <w:p w14:paraId="33C48E4E" w14:textId="77777777" w:rsidR="00A64312" w:rsidRPr="00B75090" w:rsidRDefault="00A64312" w:rsidP="00B21902">
            <w:pPr>
              <w:spacing w:before="60" w:after="60"/>
              <w:rPr>
                <w:sz w:val="20"/>
                <w:szCs w:val="20"/>
              </w:rPr>
            </w:pPr>
            <w:r w:rsidRPr="00B75090">
              <w:rPr>
                <w:sz w:val="20"/>
                <w:szCs w:val="20"/>
              </w:rPr>
              <w:t xml:space="preserve">When the Provider selects ‘Attended’ (where this was previously not selected by close of business on the day on which the Mutual Obligation Requirement is Scheduled to occur in the </w:t>
            </w:r>
            <w:r>
              <w:rPr>
                <w:sz w:val="20"/>
                <w:szCs w:val="20"/>
              </w:rPr>
              <w:t>Participant</w:t>
            </w:r>
            <w:r w:rsidRPr="00B75090">
              <w:rPr>
                <w:sz w:val="20"/>
                <w:szCs w:val="20"/>
              </w:rPr>
              <w:t>’s Electronic Calendar).</w:t>
            </w:r>
          </w:p>
        </w:tc>
      </w:tr>
      <w:tr w:rsidR="00A64312" w:rsidRPr="00B75090" w14:paraId="16635D93" w14:textId="77777777" w:rsidTr="00B21902">
        <w:tc>
          <w:tcPr>
            <w:tcW w:w="795" w:type="pct"/>
          </w:tcPr>
          <w:p w14:paraId="490E0DC4" w14:textId="77777777" w:rsidR="00A64312" w:rsidRPr="00B75090" w:rsidRDefault="00A64312" w:rsidP="00B21902">
            <w:pPr>
              <w:rPr>
                <w:b/>
                <w:sz w:val="24"/>
              </w:rPr>
            </w:pPr>
            <w:r w:rsidRPr="00B75090">
              <w:rPr>
                <w:b/>
                <w:sz w:val="24"/>
              </w:rPr>
              <w:t>Non-attendance at Activity</w:t>
            </w:r>
            <w:r>
              <w:rPr>
                <w:b/>
                <w:sz w:val="24"/>
              </w:rPr>
              <w:t>–</w:t>
            </w:r>
            <w:r w:rsidRPr="00B75090">
              <w:rPr>
                <w:b/>
                <w:sz w:val="24"/>
              </w:rPr>
              <w:t>Supervisor reported</w:t>
            </w:r>
          </w:p>
          <w:p w14:paraId="3B32E65B"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 attend, to be punctual for, or to participate in, an activity that they are required to undertake under their Job Plan.</w:t>
            </w:r>
          </w:p>
          <w:p w14:paraId="2ABBF5D8" w14:textId="77777777" w:rsidR="00A64312" w:rsidRPr="00B75090" w:rsidRDefault="00A64312" w:rsidP="00B21902">
            <w:pPr>
              <w:rPr>
                <w:b/>
              </w:rPr>
            </w:pPr>
            <w:r w:rsidRPr="00B75090">
              <w:rPr>
                <w:sz w:val="20"/>
                <w:szCs w:val="20"/>
              </w:rPr>
              <w:t xml:space="preserve">The relevant Mutual Obligation Requirement is shown in the </w:t>
            </w:r>
            <w:r>
              <w:rPr>
                <w:sz w:val="20"/>
                <w:szCs w:val="20"/>
              </w:rPr>
              <w:t>Participant</w:t>
            </w:r>
            <w:r w:rsidRPr="00B75090">
              <w:rPr>
                <w:sz w:val="20"/>
                <w:szCs w:val="20"/>
              </w:rPr>
              <w:t>’s Electronic Calendar as ‘Activity’.</w:t>
            </w:r>
          </w:p>
        </w:tc>
        <w:tc>
          <w:tcPr>
            <w:tcW w:w="759" w:type="pct"/>
          </w:tcPr>
          <w:p w14:paraId="07D32F92" w14:textId="77777777" w:rsidR="00A64312" w:rsidRPr="00B75090" w:rsidRDefault="00A64312" w:rsidP="00B21902">
            <w:pPr>
              <w:rPr>
                <w:sz w:val="20"/>
                <w:szCs w:val="20"/>
              </w:rPr>
            </w:pPr>
            <w:r w:rsidRPr="00B75090">
              <w:rPr>
                <w:sz w:val="20"/>
                <w:szCs w:val="20"/>
              </w:rPr>
              <w:t>When the activity Supervisor records DNA via the Supervisor App.</w:t>
            </w:r>
          </w:p>
        </w:tc>
        <w:tc>
          <w:tcPr>
            <w:tcW w:w="799" w:type="pct"/>
          </w:tcPr>
          <w:p w14:paraId="4BD4AE2F" w14:textId="77777777" w:rsidR="00A64312" w:rsidRPr="00B75090" w:rsidRDefault="00A64312" w:rsidP="00B21902">
            <w:pPr>
              <w:rPr>
                <w:sz w:val="20"/>
                <w:szCs w:val="20"/>
              </w:rPr>
            </w:pPr>
            <w:r w:rsidRPr="00B75090">
              <w:rPr>
                <w:sz w:val="20"/>
                <w:szCs w:val="20"/>
              </w:rPr>
              <w:t>N/A—No Demerit</w:t>
            </w:r>
            <w:r>
              <w:rPr>
                <w:sz w:val="20"/>
                <w:szCs w:val="20"/>
              </w:rPr>
              <w:t>.</w:t>
            </w:r>
          </w:p>
        </w:tc>
        <w:tc>
          <w:tcPr>
            <w:tcW w:w="751" w:type="pct"/>
          </w:tcPr>
          <w:p w14:paraId="392B191E" w14:textId="77777777" w:rsidR="00A64312" w:rsidRPr="00B75090" w:rsidRDefault="00A64312" w:rsidP="00B21902">
            <w:pPr>
              <w:rPr>
                <w:sz w:val="20"/>
                <w:szCs w:val="20"/>
              </w:rPr>
            </w:pPr>
            <w:r w:rsidRPr="00B75090">
              <w:rPr>
                <w:sz w:val="20"/>
                <w:szCs w:val="20"/>
              </w:rPr>
              <w:t>N/A—No Demerit</w:t>
            </w:r>
            <w:r>
              <w:rPr>
                <w:sz w:val="20"/>
                <w:szCs w:val="20"/>
              </w:rPr>
              <w:t>.</w:t>
            </w:r>
          </w:p>
        </w:tc>
        <w:tc>
          <w:tcPr>
            <w:tcW w:w="1896" w:type="pct"/>
          </w:tcPr>
          <w:p w14:paraId="45012FD5" w14:textId="77777777" w:rsidR="0016422B" w:rsidRPr="00B5193A" w:rsidRDefault="0016422B" w:rsidP="0016422B">
            <w:pPr>
              <w:rPr>
                <w:sz w:val="20"/>
                <w:szCs w:val="20"/>
              </w:rPr>
            </w:pPr>
            <w:r w:rsidRPr="00B5193A">
              <w:rPr>
                <w:sz w:val="20"/>
                <w:szCs w:val="20"/>
              </w:rPr>
              <w:t>When the Provider selects ‘Yes’ in response to the question ‘Do you accept the job seeker’s reason?’ and records the reason accepted as Valid on the Provider Re-engagement Page in the Department’s IT Systems.</w:t>
            </w:r>
          </w:p>
          <w:p w14:paraId="5B878339" w14:textId="77777777" w:rsidR="00A64312" w:rsidRPr="00B75090" w:rsidRDefault="00A64312" w:rsidP="00B21902">
            <w:pPr>
              <w:rPr>
                <w:i/>
                <w:sz w:val="20"/>
                <w:szCs w:val="20"/>
              </w:rPr>
            </w:pPr>
            <w:r w:rsidRPr="00B75090">
              <w:rPr>
                <w:i/>
                <w:sz w:val="20"/>
                <w:szCs w:val="20"/>
              </w:rPr>
              <w:t>OR</w:t>
            </w:r>
          </w:p>
          <w:p w14:paraId="78C20D4D"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47853CE1" w14:textId="77777777" w:rsidR="00A64312" w:rsidRPr="00B75090" w:rsidRDefault="00A64312" w:rsidP="00B21902">
            <w:pPr>
              <w:rPr>
                <w:i/>
                <w:sz w:val="20"/>
                <w:szCs w:val="20"/>
              </w:rPr>
            </w:pPr>
            <w:r w:rsidRPr="00B75090">
              <w:rPr>
                <w:i/>
                <w:sz w:val="20"/>
                <w:szCs w:val="20"/>
              </w:rPr>
              <w:t xml:space="preserve">OR </w:t>
            </w:r>
          </w:p>
          <w:p w14:paraId="5D7D71F5" w14:textId="71AB5AA1"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rPr>
              <w:fldChar w:fldCharType="begin"/>
            </w:r>
            <w:r w:rsidR="009077D0">
              <w:rPr>
                <w:sz w:val="20"/>
                <w:szCs w:val="20"/>
              </w:rPr>
              <w:instrText xml:space="preserve"> PAGEREF Unable_to_reengage \h </w:instrText>
            </w:r>
            <w:r w:rsidR="009077D0">
              <w:rPr>
                <w:sz w:val="20"/>
                <w:szCs w:val="20"/>
              </w:rPr>
            </w:r>
            <w:r w:rsidR="009077D0">
              <w:rPr>
                <w:sz w:val="20"/>
                <w:szCs w:val="20"/>
              </w:rPr>
              <w:fldChar w:fldCharType="separate"/>
            </w:r>
            <w:r w:rsidR="00666D4F">
              <w:rPr>
                <w:noProof/>
                <w:sz w:val="20"/>
                <w:szCs w:val="20"/>
              </w:rPr>
              <w:t>25</w:t>
            </w:r>
            <w:r w:rsidR="009077D0">
              <w:rPr>
                <w:sz w:val="20"/>
                <w:szCs w:val="20"/>
              </w:rPr>
              <w:fldChar w:fldCharType="end"/>
            </w:r>
            <w:r w:rsidR="009077D0">
              <w:rPr>
                <w:sz w:val="20"/>
                <w:szCs w:val="20"/>
              </w:rPr>
              <w:t xml:space="preserve"> </w:t>
            </w:r>
            <w:r w:rsidRPr="00B75090">
              <w:rPr>
                <w:sz w:val="20"/>
                <w:szCs w:val="20"/>
              </w:rPr>
              <w:t>of this Guideline regarding when a Provider must select ‘Unable to Re-engage Within two Business Days’.</w:t>
            </w:r>
          </w:p>
          <w:p w14:paraId="3089A543" w14:textId="77777777" w:rsidR="00A64312" w:rsidRPr="00B75090" w:rsidRDefault="00A64312" w:rsidP="00B21902">
            <w:pPr>
              <w:rPr>
                <w:sz w:val="20"/>
                <w:szCs w:val="20"/>
              </w:rPr>
            </w:pPr>
            <w:r w:rsidRPr="00B75090">
              <w:rPr>
                <w:i/>
                <w:sz w:val="20"/>
                <w:szCs w:val="20"/>
              </w:rPr>
              <w:t>OR</w:t>
            </w:r>
          </w:p>
          <w:p w14:paraId="0A421931"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noBreakHyphen/>
              <w:t>engagement Not Required’.</w:t>
            </w:r>
          </w:p>
          <w:p w14:paraId="24CD1C4F" w14:textId="77777777" w:rsidR="0016422B" w:rsidRPr="00B5193A" w:rsidRDefault="0016422B" w:rsidP="0016422B">
            <w:pPr>
              <w:rPr>
                <w:sz w:val="20"/>
                <w:szCs w:val="20"/>
              </w:rPr>
            </w:pPr>
            <w:r w:rsidRPr="005B6382">
              <w:rPr>
                <w:i/>
                <w:sz w:val="20"/>
                <w:szCs w:val="20"/>
              </w:rPr>
              <w:t>OR</w:t>
            </w:r>
          </w:p>
          <w:p w14:paraId="2B95CC57"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2CCCE6A5" w14:textId="77777777" w:rsidR="00A64312" w:rsidRPr="00B75090" w:rsidRDefault="00A64312" w:rsidP="00B21902">
            <w:pPr>
              <w:rPr>
                <w:i/>
                <w:sz w:val="20"/>
                <w:szCs w:val="20"/>
              </w:rPr>
            </w:pPr>
            <w:r w:rsidRPr="00B75090">
              <w:rPr>
                <w:i/>
                <w:sz w:val="20"/>
                <w:szCs w:val="20"/>
              </w:rPr>
              <w:t>OR</w:t>
            </w:r>
          </w:p>
          <w:p w14:paraId="4BB914E4" w14:textId="61E6BC0B" w:rsidR="00A64312" w:rsidRPr="00B75090" w:rsidRDefault="00A64312">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rPr>
              <w:fldChar w:fldCharType="begin"/>
            </w:r>
            <w:r w:rsidR="009077D0">
              <w:rPr>
                <w:sz w:val="20"/>
                <w:szCs w:val="20"/>
              </w:rPr>
              <w:instrText xml:space="preserve"> PAGEREF Compliance_action_no_longer_appropriate \h </w:instrText>
            </w:r>
            <w:r w:rsidR="009077D0">
              <w:rPr>
                <w:sz w:val="20"/>
                <w:szCs w:val="20"/>
              </w:rPr>
            </w:r>
            <w:r w:rsidR="009077D0">
              <w:rPr>
                <w:sz w:val="20"/>
                <w:szCs w:val="20"/>
              </w:rPr>
              <w:fldChar w:fldCharType="separate"/>
            </w:r>
            <w:r w:rsidR="00666D4F">
              <w:rPr>
                <w:noProof/>
                <w:sz w:val="20"/>
                <w:szCs w:val="20"/>
              </w:rPr>
              <w:t>26</w:t>
            </w:r>
            <w:r w:rsidR="009077D0">
              <w:rPr>
                <w:sz w:val="20"/>
                <w:szCs w:val="20"/>
              </w:rPr>
              <w:fldChar w:fldCharType="end"/>
            </w:r>
            <w:r w:rsidRPr="00B75090">
              <w:rPr>
                <w:sz w:val="20"/>
                <w:szCs w:val="20"/>
              </w:rPr>
              <w:t xml:space="preserve"> of this Guideline regarding when a Provider must select ‘Compliance action no longer appropriate’.</w:t>
            </w:r>
          </w:p>
        </w:tc>
      </w:tr>
      <w:tr w:rsidR="00A64312" w:rsidRPr="00B75090" w14:paraId="31C0C78C" w14:textId="77777777" w:rsidTr="00B21902">
        <w:trPr>
          <w:trHeight w:val="925"/>
        </w:trPr>
        <w:tc>
          <w:tcPr>
            <w:tcW w:w="795" w:type="pct"/>
          </w:tcPr>
          <w:p w14:paraId="7D0995B5" w14:textId="77777777" w:rsidR="00A64312" w:rsidRPr="00B75090" w:rsidRDefault="00A64312" w:rsidP="00B21902">
            <w:pPr>
              <w:rPr>
                <w:b/>
                <w:sz w:val="24"/>
              </w:rPr>
            </w:pPr>
            <w:r w:rsidRPr="00B75090">
              <w:rPr>
                <w:b/>
                <w:sz w:val="24"/>
              </w:rPr>
              <w:t>Misconduct</w:t>
            </w:r>
          </w:p>
          <w:p w14:paraId="73C141A1" w14:textId="77777777" w:rsidR="00A64312" w:rsidRPr="00B75090" w:rsidRDefault="00A64312" w:rsidP="00B21902">
            <w:pPr>
              <w:spacing w:before="60"/>
              <w:ind w:left="22"/>
              <w:rPr>
                <w:sz w:val="20"/>
                <w:szCs w:val="20"/>
              </w:rPr>
            </w:pPr>
            <w:r w:rsidRPr="00B75090">
              <w:rPr>
                <w:sz w:val="20"/>
                <w:szCs w:val="20"/>
              </w:rPr>
              <w:t xml:space="preserve">The </w:t>
            </w:r>
            <w:r>
              <w:rPr>
                <w:sz w:val="20"/>
                <w:szCs w:val="20"/>
              </w:rPr>
              <w:t>Participant</w:t>
            </w:r>
            <w:r w:rsidRPr="00B75090">
              <w:rPr>
                <w:sz w:val="20"/>
                <w:szCs w:val="20"/>
              </w:rPr>
              <w:t xml:space="preserve"> acted in an inappropriate manner:</w:t>
            </w:r>
          </w:p>
          <w:p w14:paraId="57FFA783"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during an appointment that they are required to attend under their Job Plan; or</w:t>
            </w:r>
          </w:p>
          <w:p w14:paraId="05CA2755" w14:textId="77777777" w:rsidR="00A64312" w:rsidRPr="00226C53" w:rsidRDefault="00A64312" w:rsidP="00A64312">
            <w:pPr>
              <w:numPr>
                <w:ilvl w:val="0"/>
                <w:numId w:val="41"/>
              </w:numPr>
              <w:spacing w:before="40" w:after="40"/>
              <w:ind w:left="307" w:hanging="284"/>
              <w:rPr>
                <w:sz w:val="20"/>
                <w:szCs w:val="20"/>
              </w:rPr>
            </w:pPr>
            <w:r w:rsidRPr="00B75090">
              <w:rPr>
                <w:sz w:val="20"/>
                <w:szCs w:val="20"/>
              </w:rPr>
              <w:t>while participating in an activity that they are required to undertake under their Job Plan.</w:t>
            </w:r>
          </w:p>
          <w:p w14:paraId="37539A15" w14:textId="77777777" w:rsidR="00A64312" w:rsidRPr="00B75090" w:rsidRDefault="00A64312" w:rsidP="00B21902">
            <w:pPr>
              <w:rPr>
                <w:sz w:val="20"/>
                <w:szCs w:val="20"/>
              </w:rPr>
            </w:pPr>
            <w:r w:rsidRPr="00B75090">
              <w:rPr>
                <w:sz w:val="20"/>
                <w:szCs w:val="20"/>
              </w:rPr>
              <w:t xml:space="preserve">The relevant Mutual Obligation Requirement is shown in the </w:t>
            </w:r>
            <w:r>
              <w:rPr>
                <w:sz w:val="20"/>
                <w:szCs w:val="20"/>
              </w:rPr>
              <w:t>Participant</w:t>
            </w:r>
            <w:r w:rsidRPr="00B75090">
              <w:rPr>
                <w:sz w:val="20"/>
                <w:szCs w:val="20"/>
              </w:rPr>
              <w:t>’s Electronic Calendar as one of the following:</w:t>
            </w:r>
          </w:p>
          <w:p w14:paraId="1D4AE5E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 xml:space="preserve">‘Provider Appointment’, which includes Reconnection </w:t>
            </w:r>
            <w:proofErr w:type="gramStart"/>
            <w:r w:rsidRPr="00B75090">
              <w:rPr>
                <w:sz w:val="20"/>
                <w:szCs w:val="20"/>
              </w:rPr>
              <w:t>Requirements;</w:t>
            </w:r>
            <w:proofErr w:type="gramEnd"/>
          </w:p>
          <w:p w14:paraId="5D63AE2E"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‘Activity</w:t>
            </w:r>
            <w:proofErr w:type="gramStart"/>
            <w:r w:rsidRPr="00B75090">
              <w:rPr>
                <w:sz w:val="20"/>
                <w:szCs w:val="20"/>
              </w:rPr>
              <w:t>’;</w:t>
            </w:r>
            <w:proofErr w:type="gramEnd"/>
          </w:p>
          <w:p w14:paraId="541E08EE" w14:textId="77777777" w:rsidR="00A64312" w:rsidRPr="00226C53" w:rsidRDefault="00A64312" w:rsidP="00A64312">
            <w:pPr>
              <w:numPr>
                <w:ilvl w:val="0"/>
                <w:numId w:val="41"/>
              </w:numPr>
              <w:spacing w:before="40" w:after="40"/>
              <w:ind w:left="307" w:hanging="284"/>
              <w:rPr>
                <w:sz w:val="20"/>
                <w:szCs w:val="20"/>
              </w:rPr>
            </w:pPr>
            <w:r w:rsidRPr="00B75090">
              <w:rPr>
                <w:sz w:val="20"/>
                <w:szCs w:val="20"/>
              </w:rPr>
              <w:t>‘Third Party Appointment’; or</w:t>
            </w:r>
          </w:p>
          <w:p w14:paraId="1F4973B8" w14:textId="77777777" w:rsidR="00A64312" w:rsidRPr="00B75090" w:rsidRDefault="00A64312" w:rsidP="00A64312">
            <w:pPr>
              <w:numPr>
                <w:ilvl w:val="0"/>
                <w:numId w:val="41"/>
              </w:numPr>
              <w:spacing w:before="40" w:after="40"/>
              <w:ind w:left="307" w:hanging="284"/>
              <w:rPr>
                <w:sz w:val="20"/>
                <w:szCs w:val="20"/>
              </w:rPr>
            </w:pPr>
            <w:r w:rsidRPr="00B75090">
              <w:rPr>
                <w:sz w:val="20"/>
                <w:szCs w:val="20"/>
              </w:rPr>
              <w:t>‘Job Interview’.</w:t>
            </w:r>
          </w:p>
        </w:tc>
        <w:tc>
          <w:tcPr>
            <w:tcW w:w="759" w:type="pct"/>
          </w:tcPr>
          <w:p w14:paraId="5FE92AD7" w14:textId="77777777" w:rsidR="00A64312" w:rsidRPr="00B75090" w:rsidRDefault="00A64312" w:rsidP="00B21902">
            <w:pPr>
              <w:rPr>
                <w:sz w:val="20"/>
                <w:szCs w:val="20"/>
              </w:rPr>
            </w:pPr>
            <w:r w:rsidRPr="00B75090">
              <w:rPr>
                <w:sz w:val="20"/>
                <w:szCs w:val="20"/>
              </w:rPr>
              <w:t xml:space="preserve">When the Provider selects ‘Misconduct (MISC)’ in relation to the relevant appointment or activity in the </w:t>
            </w:r>
            <w:r>
              <w:rPr>
                <w:sz w:val="20"/>
                <w:szCs w:val="20"/>
              </w:rPr>
              <w:t>Participant</w:t>
            </w:r>
            <w:r w:rsidRPr="00B75090">
              <w:rPr>
                <w:sz w:val="20"/>
                <w:szCs w:val="20"/>
              </w:rPr>
              <w:t>’s Electronic Calendar, along with the type of inappropriate behaviour.</w:t>
            </w:r>
          </w:p>
          <w:p w14:paraId="0F1D6183" w14:textId="58F1D614" w:rsidR="00A64312" w:rsidRPr="00B75090" w:rsidRDefault="00A64312">
            <w:pPr>
              <w:rPr>
                <w:sz w:val="20"/>
                <w:szCs w:val="20"/>
              </w:rPr>
            </w:pPr>
            <w:r w:rsidRPr="00B75090">
              <w:rPr>
                <w:sz w:val="20"/>
                <w:szCs w:val="20"/>
              </w:rPr>
              <w:t>See the discussion on pages</w:t>
            </w:r>
            <w:r>
              <w:rPr>
                <w:sz w:val="20"/>
                <w:szCs w:val="20"/>
              </w:rPr>
              <w:t> </w:t>
            </w:r>
            <w:r w:rsidR="009077D0">
              <w:rPr>
                <w:sz w:val="20"/>
                <w:szCs w:val="20"/>
              </w:rPr>
              <w:fldChar w:fldCharType="begin"/>
            </w:r>
            <w:r w:rsidR="009077D0">
              <w:rPr>
                <w:sz w:val="20"/>
                <w:szCs w:val="20"/>
              </w:rPr>
              <w:instrText xml:space="preserve"> PAGEREF Misconduct \h </w:instrText>
            </w:r>
            <w:r w:rsidR="009077D0">
              <w:rPr>
                <w:sz w:val="20"/>
                <w:szCs w:val="20"/>
              </w:rPr>
            </w:r>
            <w:r w:rsidR="009077D0">
              <w:rPr>
                <w:sz w:val="20"/>
                <w:szCs w:val="20"/>
              </w:rPr>
              <w:fldChar w:fldCharType="separate"/>
            </w:r>
            <w:r w:rsidR="00666D4F">
              <w:rPr>
                <w:noProof/>
                <w:sz w:val="20"/>
                <w:szCs w:val="20"/>
              </w:rPr>
              <w:t>12</w:t>
            </w:r>
            <w:r w:rsidR="009077D0">
              <w:rPr>
                <w:sz w:val="20"/>
                <w:szCs w:val="20"/>
              </w:rPr>
              <w:fldChar w:fldCharType="end"/>
            </w:r>
            <w:r w:rsidRPr="00B75090">
              <w:rPr>
                <w:sz w:val="20"/>
                <w:szCs w:val="20"/>
              </w:rPr>
              <w:t xml:space="preserve"> and</w:t>
            </w:r>
            <w:r>
              <w:rPr>
                <w:sz w:val="20"/>
                <w:szCs w:val="20"/>
              </w:rPr>
              <w:t> </w:t>
            </w:r>
            <w:r w:rsidR="009077D0">
              <w:rPr>
                <w:sz w:val="20"/>
                <w:szCs w:val="20"/>
              </w:rPr>
              <w:fldChar w:fldCharType="begin"/>
            </w:r>
            <w:r w:rsidR="009077D0">
              <w:rPr>
                <w:sz w:val="20"/>
                <w:szCs w:val="20"/>
              </w:rPr>
              <w:instrText xml:space="preserve"> PAGEREF DNAI_Misconduct \h </w:instrText>
            </w:r>
            <w:r w:rsidR="009077D0">
              <w:rPr>
                <w:sz w:val="20"/>
                <w:szCs w:val="20"/>
              </w:rPr>
            </w:r>
            <w:r w:rsidR="009077D0">
              <w:rPr>
                <w:sz w:val="20"/>
                <w:szCs w:val="20"/>
              </w:rPr>
              <w:fldChar w:fldCharType="separate"/>
            </w:r>
            <w:r w:rsidR="00666D4F">
              <w:rPr>
                <w:noProof/>
                <w:sz w:val="20"/>
                <w:szCs w:val="20"/>
              </w:rPr>
              <w:t>28</w:t>
            </w:r>
            <w:r w:rsidR="009077D0">
              <w:rPr>
                <w:sz w:val="20"/>
                <w:szCs w:val="20"/>
              </w:rPr>
              <w:fldChar w:fldCharType="end"/>
            </w:r>
            <w:r w:rsidRPr="00B75090">
              <w:rPr>
                <w:sz w:val="20"/>
                <w:szCs w:val="20"/>
              </w:rPr>
              <w:t xml:space="preserve"> of this Guideline regarding when a Provider must select ‘Misconduct’.</w:t>
            </w:r>
          </w:p>
        </w:tc>
        <w:tc>
          <w:tcPr>
            <w:tcW w:w="799" w:type="pct"/>
          </w:tcPr>
          <w:p w14:paraId="7532852D" w14:textId="77777777" w:rsidR="00A64312" w:rsidRPr="00B75090" w:rsidRDefault="00A64312" w:rsidP="00B21902">
            <w:pPr>
              <w:rPr>
                <w:sz w:val="20"/>
                <w:szCs w:val="20"/>
              </w:rPr>
            </w:pPr>
            <w:r w:rsidRPr="00B75090">
              <w:rPr>
                <w:sz w:val="20"/>
                <w:szCs w:val="20"/>
              </w:rPr>
              <w:t xml:space="preserve">When the Provider selects ‘Misconduct (MISC)’ in relation to the relevant appointment or activity in the </w:t>
            </w:r>
            <w:r>
              <w:rPr>
                <w:sz w:val="20"/>
                <w:szCs w:val="20"/>
              </w:rPr>
              <w:t>Participant</w:t>
            </w:r>
            <w:r w:rsidRPr="00B75090">
              <w:rPr>
                <w:sz w:val="20"/>
                <w:szCs w:val="20"/>
              </w:rPr>
              <w:t>’s Electronic Calendar, along with the type of inappropriate behaviour.</w:t>
            </w:r>
          </w:p>
          <w:p w14:paraId="2E2BFE18" w14:textId="1433E5F3" w:rsidR="00A64312" w:rsidRPr="00B75090" w:rsidRDefault="00A64312">
            <w:pPr>
              <w:rPr>
                <w:sz w:val="20"/>
                <w:szCs w:val="20"/>
              </w:rPr>
            </w:pPr>
            <w:r w:rsidRPr="00B75090">
              <w:rPr>
                <w:sz w:val="20"/>
                <w:szCs w:val="20"/>
              </w:rPr>
              <w:t>See the discussion on pages</w:t>
            </w:r>
            <w:r>
              <w:rPr>
                <w:sz w:val="20"/>
                <w:szCs w:val="20"/>
              </w:rPr>
              <w:t> </w:t>
            </w:r>
            <w:r w:rsidR="009077D0">
              <w:rPr>
                <w:sz w:val="20"/>
                <w:szCs w:val="20"/>
              </w:rPr>
              <w:fldChar w:fldCharType="begin"/>
            </w:r>
            <w:r w:rsidR="009077D0">
              <w:rPr>
                <w:sz w:val="20"/>
                <w:szCs w:val="20"/>
              </w:rPr>
              <w:instrText xml:space="preserve"> PAGEREF Misconduct \h </w:instrText>
            </w:r>
            <w:r w:rsidR="009077D0">
              <w:rPr>
                <w:sz w:val="20"/>
                <w:szCs w:val="20"/>
              </w:rPr>
            </w:r>
            <w:r w:rsidR="009077D0">
              <w:rPr>
                <w:sz w:val="20"/>
                <w:szCs w:val="20"/>
              </w:rPr>
              <w:fldChar w:fldCharType="separate"/>
            </w:r>
            <w:r w:rsidR="00666D4F">
              <w:rPr>
                <w:noProof/>
                <w:sz w:val="20"/>
                <w:szCs w:val="20"/>
              </w:rPr>
              <w:t>12</w:t>
            </w:r>
            <w:r w:rsidR="009077D0">
              <w:rPr>
                <w:sz w:val="20"/>
                <w:szCs w:val="20"/>
              </w:rPr>
              <w:fldChar w:fldCharType="end"/>
            </w:r>
            <w:r w:rsidRPr="00B75090">
              <w:rPr>
                <w:sz w:val="20"/>
                <w:szCs w:val="20"/>
              </w:rPr>
              <w:t xml:space="preserve"> and</w:t>
            </w:r>
            <w:r>
              <w:rPr>
                <w:sz w:val="20"/>
                <w:szCs w:val="20"/>
              </w:rPr>
              <w:t> </w:t>
            </w:r>
            <w:r w:rsidR="009077D0">
              <w:rPr>
                <w:sz w:val="20"/>
                <w:szCs w:val="20"/>
              </w:rPr>
              <w:fldChar w:fldCharType="begin"/>
            </w:r>
            <w:r w:rsidR="009077D0">
              <w:rPr>
                <w:sz w:val="20"/>
                <w:szCs w:val="20"/>
              </w:rPr>
              <w:instrText xml:space="preserve"> PAGEREF DNAI_Misconduct \h </w:instrText>
            </w:r>
            <w:r w:rsidR="009077D0">
              <w:rPr>
                <w:sz w:val="20"/>
                <w:szCs w:val="20"/>
              </w:rPr>
            </w:r>
            <w:r w:rsidR="009077D0">
              <w:rPr>
                <w:sz w:val="20"/>
                <w:szCs w:val="20"/>
              </w:rPr>
              <w:fldChar w:fldCharType="separate"/>
            </w:r>
            <w:r w:rsidR="00666D4F">
              <w:rPr>
                <w:noProof/>
                <w:sz w:val="20"/>
                <w:szCs w:val="20"/>
              </w:rPr>
              <w:t>28</w:t>
            </w:r>
            <w:r w:rsidR="009077D0">
              <w:rPr>
                <w:sz w:val="20"/>
                <w:szCs w:val="20"/>
              </w:rPr>
              <w:fldChar w:fldCharType="end"/>
            </w:r>
            <w:r w:rsidRPr="00B75090">
              <w:rPr>
                <w:sz w:val="20"/>
                <w:szCs w:val="20"/>
              </w:rPr>
              <w:t xml:space="preserve"> of this Guideline regarding when a Provider must select ‘Misconduct’.</w:t>
            </w:r>
          </w:p>
        </w:tc>
        <w:tc>
          <w:tcPr>
            <w:tcW w:w="751" w:type="pct"/>
          </w:tcPr>
          <w:p w14:paraId="68BFA42D"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1B0A3ACD" w14:textId="520766C7" w:rsidR="00A64312" w:rsidRPr="00B75090" w:rsidRDefault="00A64312">
            <w:pPr>
              <w:rPr>
                <w:sz w:val="20"/>
                <w:szCs w:val="20"/>
              </w:rPr>
            </w:pPr>
            <w:r w:rsidRPr="00B75090">
              <w:rPr>
                <w:sz w:val="20"/>
                <w:szCs w:val="20"/>
              </w:rPr>
              <w:t>See the discussion on page</w:t>
            </w:r>
            <w:r>
              <w:rPr>
                <w:sz w:val="20"/>
                <w:szCs w:val="20"/>
              </w:rPr>
              <w:t> </w:t>
            </w:r>
            <w:r w:rsidR="009077D0">
              <w:rPr>
                <w:sz w:val="20"/>
                <w:szCs w:val="20"/>
                <w:highlight w:val="yellow"/>
              </w:rPr>
              <w:fldChar w:fldCharType="begin"/>
            </w:r>
            <w:r w:rsidR="009077D0">
              <w:rPr>
                <w:sz w:val="20"/>
                <w:szCs w:val="20"/>
              </w:rPr>
              <w:instrText xml:space="preserve"> PAGEREF DNAI_Misconduct \h </w:instrText>
            </w:r>
            <w:r w:rsidR="009077D0">
              <w:rPr>
                <w:sz w:val="20"/>
                <w:szCs w:val="20"/>
                <w:highlight w:val="yellow"/>
              </w:rPr>
            </w:r>
            <w:r w:rsidR="009077D0">
              <w:rPr>
                <w:sz w:val="20"/>
                <w:szCs w:val="20"/>
                <w:highlight w:val="yellow"/>
              </w:rPr>
              <w:fldChar w:fldCharType="separate"/>
            </w:r>
            <w:r w:rsidR="00666D4F">
              <w:rPr>
                <w:noProof/>
                <w:sz w:val="20"/>
                <w:szCs w:val="20"/>
              </w:rPr>
              <w:t>28</w:t>
            </w:r>
            <w:r w:rsidR="009077D0">
              <w:rPr>
                <w:sz w:val="20"/>
                <w:szCs w:val="20"/>
                <w:highlight w:val="yellow"/>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tcPr>
          <w:p w14:paraId="5BBA0A1E" w14:textId="77777777" w:rsidR="0016422B" w:rsidRPr="00B5193A" w:rsidRDefault="0016422B" w:rsidP="0016422B">
            <w:pPr>
              <w:rPr>
                <w:sz w:val="20"/>
                <w:szCs w:val="20"/>
              </w:rPr>
            </w:pPr>
            <w:r w:rsidRPr="00B5193A">
              <w:rPr>
                <w:sz w:val="20"/>
              </w:rPr>
              <w:t>When the Provider selects ‘</w:t>
            </w:r>
            <w:r w:rsidRPr="00B5193A">
              <w:rPr>
                <w:sz w:val="20"/>
                <w:szCs w:val="20"/>
              </w:rPr>
              <w:t>Yes’</w:t>
            </w:r>
            <w:r w:rsidRPr="00B5193A">
              <w:rPr>
                <w:sz w:val="20"/>
              </w:rPr>
              <w:t xml:space="preserve"> in </w:t>
            </w:r>
            <w:r w:rsidRPr="00B5193A">
              <w:rPr>
                <w:sz w:val="20"/>
                <w:szCs w:val="20"/>
              </w:rPr>
              <w:t>response</w:t>
            </w:r>
            <w:r w:rsidRPr="00B5193A">
              <w:rPr>
                <w:sz w:val="20"/>
              </w:rPr>
              <w:t xml:space="preserve"> to the </w:t>
            </w:r>
            <w:r w:rsidRPr="00B5193A">
              <w:rPr>
                <w:sz w:val="20"/>
                <w:szCs w:val="20"/>
              </w:rPr>
              <w:t>question</w:t>
            </w:r>
            <w:r w:rsidRPr="00B5193A">
              <w:rPr>
                <w:sz w:val="20"/>
              </w:rPr>
              <w:t xml:space="preserve"> ‘Do you accept the job seeker’s reason?’ and records the </w:t>
            </w:r>
            <w:r w:rsidRPr="00B5193A">
              <w:rPr>
                <w:sz w:val="20"/>
                <w:szCs w:val="20"/>
              </w:rPr>
              <w:t>reason</w:t>
            </w:r>
            <w:r w:rsidRPr="00B5193A">
              <w:rPr>
                <w:sz w:val="20"/>
              </w:rPr>
              <w:t xml:space="preserve"> accepted as </w:t>
            </w:r>
            <w:r w:rsidRPr="00B5193A">
              <w:rPr>
                <w:sz w:val="20"/>
                <w:szCs w:val="20"/>
              </w:rPr>
              <w:t xml:space="preserve">a </w:t>
            </w:r>
            <w:r w:rsidRPr="00B5193A">
              <w:rPr>
                <w:sz w:val="20"/>
              </w:rPr>
              <w:t xml:space="preserve">Valid </w:t>
            </w:r>
            <w:r w:rsidRPr="00B5193A">
              <w:rPr>
                <w:sz w:val="20"/>
                <w:szCs w:val="20"/>
              </w:rPr>
              <w:t xml:space="preserve">Reason </w:t>
            </w:r>
            <w:r w:rsidRPr="00B5193A">
              <w:rPr>
                <w:sz w:val="20"/>
              </w:rPr>
              <w:t xml:space="preserve">on </w:t>
            </w:r>
            <w:r w:rsidRPr="00B5193A">
              <w:rPr>
                <w:sz w:val="20"/>
                <w:szCs w:val="20"/>
              </w:rPr>
              <w:t xml:space="preserve">the </w:t>
            </w:r>
            <w:r w:rsidRPr="00B5193A">
              <w:rPr>
                <w:sz w:val="20"/>
              </w:rPr>
              <w:t xml:space="preserve">Provider </w:t>
            </w:r>
            <w:r w:rsidRPr="00B5193A">
              <w:rPr>
                <w:sz w:val="20"/>
                <w:szCs w:val="20"/>
              </w:rPr>
              <w:t>Re-</w:t>
            </w:r>
            <w:r w:rsidRPr="00B5193A">
              <w:rPr>
                <w:sz w:val="20"/>
              </w:rPr>
              <w:t>engagement Page in the Department’s IT Systems.</w:t>
            </w:r>
          </w:p>
          <w:p w14:paraId="7AE3573D" w14:textId="77777777" w:rsidR="00A64312" w:rsidRPr="00B75090" w:rsidRDefault="00A64312" w:rsidP="00B21902">
            <w:pPr>
              <w:rPr>
                <w:i/>
                <w:sz w:val="20"/>
                <w:szCs w:val="20"/>
              </w:rPr>
            </w:pPr>
            <w:r w:rsidRPr="00B75090">
              <w:rPr>
                <w:i/>
                <w:sz w:val="20"/>
                <w:szCs w:val="20"/>
              </w:rPr>
              <w:t>OR</w:t>
            </w:r>
          </w:p>
          <w:p w14:paraId="7E96B013"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 xml:space="preserve">’s Electronic Calendar. </w:t>
            </w:r>
          </w:p>
          <w:p w14:paraId="75EDBEE9" w14:textId="77777777" w:rsidR="00A64312" w:rsidRPr="00B75090" w:rsidRDefault="00A64312" w:rsidP="00B21902">
            <w:pPr>
              <w:rPr>
                <w:i/>
                <w:sz w:val="20"/>
                <w:szCs w:val="20"/>
              </w:rPr>
            </w:pPr>
            <w:r w:rsidRPr="00B75090">
              <w:rPr>
                <w:i/>
                <w:sz w:val="20"/>
                <w:szCs w:val="20"/>
              </w:rPr>
              <w:t xml:space="preserve">OR </w:t>
            </w:r>
          </w:p>
          <w:p w14:paraId="25E4A1B7" w14:textId="77777777" w:rsidR="0016422B" w:rsidRPr="00B5193A" w:rsidRDefault="0016422B" w:rsidP="0016422B">
            <w:pPr>
              <w:rPr>
                <w:sz w:val="20"/>
                <w:szCs w:val="20"/>
              </w:rPr>
            </w:pPr>
            <w:r w:rsidRPr="00B5193A">
              <w:rPr>
                <w:sz w:val="20"/>
                <w:szCs w:val="20"/>
              </w:rPr>
              <w:t>When the Provider reschedules a Reconnection Requirement in the Participant’s Electronic Calendar.</w:t>
            </w:r>
          </w:p>
          <w:p w14:paraId="4F1CC052" w14:textId="77777777" w:rsidR="0016422B" w:rsidRPr="00B5193A" w:rsidRDefault="0016422B" w:rsidP="0016422B">
            <w:pPr>
              <w:rPr>
                <w:sz w:val="20"/>
                <w:szCs w:val="20"/>
              </w:rPr>
            </w:pPr>
            <w:r w:rsidRPr="005B6382">
              <w:rPr>
                <w:i/>
                <w:sz w:val="20"/>
                <w:szCs w:val="20"/>
              </w:rPr>
              <w:t>OR</w:t>
            </w:r>
            <w:r w:rsidRPr="00B5193A">
              <w:rPr>
                <w:sz w:val="20"/>
                <w:szCs w:val="20"/>
              </w:rPr>
              <w:t xml:space="preserve"> </w:t>
            </w:r>
          </w:p>
          <w:p w14:paraId="3CC1F425" w14:textId="4AB293EF"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highlight w:val="yellow"/>
              </w:rPr>
              <w:fldChar w:fldCharType="begin"/>
            </w:r>
            <w:r w:rsidR="009077D0">
              <w:rPr>
                <w:sz w:val="20"/>
                <w:szCs w:val="20"/>
              </w:rPr>
              <w:instrText xml:space="preserve"> PAGEREF Unable_to_reengage \h </w:instrText>
            </w:r>
            <w:r w:rsidR="009077D0">
              <w:rPr>
                <w:sz w:val="20"/>
                <w:szCs w:val="20"/>
                <w:highlight w:val="yellow"/>
              </w:rPr>
            </w:r>
            <w:r w:rsidR="009077D0">
              <w:rPr>
                <w:sz w:val="20"/>
                <w:szCs w:val="20"/>
                <w:highlight w:val="yellow"/>
              </w:rPr>
              <w:fldChar w:fldCharType="separate"/>
            </w:r>
            <w:r w:rsidR="00666D4F">
              <w:rPr>
                <w:noProof/>
                <w:sz w:val="20"/>
                <w:szCs w:val="20"/>
              </w:rPr>
              <w:t>25</w:t>
            </w:r>
            <w:r w:rsidR="009077D0">
              <w:rPr>
                <w:sz w:val="20"/>
                <w:szCs w:val="20"/>
                <w:highlight w:val="yellow"/>
              </w:rPr>
              <w:fldChar w:fldCharType="end"/>
            </w:r>
            <w:r w:rsidRPr="00B75090">
              <w:rPr>
                <w:sz w:val="20"/>
                <w:szCs w:val="20"/>
              </w:rPr>
              <w:t xml:space="preserve"> of this Guideline regarding when a Provider must select ‘Unable to Re-engage Within two Business Days’.</w:t>
            </w:r>
          </w:p>
          <w:p w14:paraId="77C000E3" w14:textId="77777777" w:rsidR="00A64312" w:rsidRPr="00B75090" w:rsidRDefault="00A64312" w:rsidP="00B21902">
            <w:pPr>
              <w:rPr>
                <w:sz w:val="20"/>
                <w:szCs w:val="20"/>
              </w:rPr>
            </w:pPr>
            <w:r w:rsidRPr="00B75090">
              <w:rPr>
                <w:i/>
                <w:sz w:val="20"/>
                <w:szCs w:val="20"/>
              </w:rPr>
              <w:t>OR</w:t>
            </w:r>
          </w:p>
          <w:p w14:paraId="2A596C35" w14:textId="77777777" w:rsidR="0016422B" w:rsidRPr="00B5193A" w:rsidRDefault="0016422B" w:rsidP="0016422B">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t>-engagement Not Required’.</w:t>
            </w:r>
          </w:p>
          <w:p w14:paraId="4398F064" w14:textId="77777777" w:rsidR="0016422B" w:rsidRPr="00B5193A" w:rsidRDefault="0016422B" w:rsidP="005B6382">
            <w:pPr>
              <w:rPr>
                <w:sz w:val="20"/>
                <w:szCs w:val="20"/>
              </w:rPr>
            </w:pPr>
            <w:r w:rsidRPr="005B6382">
              <w:rPr>
                <w:i/>
                <w:sz w:val="20"/>
                <w:szCs w:val="20"/>
              </w:rPr>
              <w:t>OR</w:t>
            </w:r>
          </w:p>
          <w:p w14:paraId="1BEEEF51"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385FAACD" w14:textId="77777777" w:rsidR="00A64312" w:rsidRPr="00B75090" w:rsidRDefault="00A64312" w:rsidP="00B21902">
            <w:pPr>
              <w:rPr>
                <w:i/>
                <w:sz w:val="20"/>
                <w:szCs w:val="20"/>
              </w:rPr>
            </w:pPr>
            <w:r w:rsidRPr="00B75090">
              <w:rPr>
                <w:i/>
                <w:sz w:val="20"/>
                <w:szCs w:val="20"/>
              </w:rPr>
              <w:t>OR</w:t>
            </w:r>
          </w:p>
          <w:p w14:paraId="2B0674EF" w14:textId="5D009896" w:rsidR="00A64312" w:rsidRPr="00B75090" w:rsidRDefault="00A64312" w:rsidP="0016422B">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9077D0">
              <w:rPr>
                <w:sz w:val="20"/>
                <w:szCs w:val="20"/>
                <w:highlight w:val="yellow"/>
              </w:rPr>
              <w:fldChar w:fldCharType="begin"/>
            </w:r>
            <w:r w:rsidR="009077D0">
              <w:rPr>
                <w:sz w:val="20"/>
                <w:szCs w:val="20"/>
              </w:rPr>
              <w:instrText xml:space="preserve"> PAGEREF Compliance_action_no_longer_appropriate \h </w:instrText>
            </w:r>
            <w:r w:rsidR="009077D0">
              <w:rPr>
                <w:sz w:val="20"/>
                <w:szCs w:val="20"/>
                <w:highlight w:val="yellow"/>
              </w:rPr>
            </w:r>
            <w:r w:rsidR="009077D0">
              <w:rPr>
                <w:sz w:val="20"/>
                <w:szCs w:val="20"/>
                <w:highlight w:val="yellow"/>
              </w:rPr>
              <w:fldChar w:fldCharType="separate"/>
            </w:r>
            <w:r w:rsidR="00666D4F">
              <w:rPr>
                <w:noProof/>
                <w:sz w:val="20"/>
                <w:szCs w:val="20"/>
              </w:rPr>
              <w:t>26</w:t>
            </w:r>
            <w:r w:rsidR="009077D0">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3A6041F9" w14:textId="77777777" w:rsidTr="00B21902">
        <w:tc>
          <w:tcPr>
            <w:tcW w:w="795" w:type="pct"/>
            <w:vMerge w:val="restart"/>
          </w:tcPr>
          <w:p w14:paraId="4BB40DB7" w14:textId="77777777" w:rsidR="00A64312" w:rsidRPr="00B75090" w:rsidRDefault="00A64312" w:rsidP="00B21902">
            <w:r w:rsidRPr="00B75090">
              <w:rPr>
                <w:b/>
              </w:rPr>
              <w:t>Job Plan Failure</w:t>
            </w:r>
          </w:p>
          <w:p w14:paraId="557F06BD" w14:textId="77777777" w:rsidR="00A64312" w:rsidRPr="00B75090" w:rsidRDefault="00A64312" w:rsidP="00B21902">
            <w:pPr>
              <w:rPr>
                <w:sz w:val="20"/>
                <w:szCs w:val="20"/>
              </w:rPr>
            </w:pPr>
            <w:r w:rsidRPr="00B75090">
              <w:rPr>
                <w:sz w:val="20"/>
                <w:szCs w:val="20"/>
              </w:rPr>
              <w:t xml:space="preserve">The </w:t>
            </w:r>
            <w:r>
              <w:rPr>
                <w:sz w:val="20"/>
                <w:szCs w:val="20"/>
              </w:rPr>
              <w:t>Participant</w:t>
            </w:r>
            <w:r w:rsidRPr="00B75090">
              <w:rPr>
                <w:sz w:val="20"/>
                <w:szCs w:val="20"/>
              </w:rPr>
              <w:t xml:space="preserve"> fails to </w:t>
            </w:r>
            <w:proofErr w:type="gramStart"/>
            <w:r w:rsidRPr="00B75090">
              <w:rPr>
                <w:sz w:val="20"/>
                <w:szCs w:val="20"/>
              </w:rPr>
              <w:t>enter into</w:t>
            </w:r>
            <w:proofErr w:type="gramEnd"/>
            <w:r w:rsidRPr="00B75090">
              <w:rPr>
                <w:sz w:val="20"/>
                <w:szCs w:val="20"/>
              </w:rPr>
              <w:t xml:space="preserve"> a Job Plan</w:t>
            </w:r>
          </w:p>
          <w:p w14:paraId="053251A9" w14:textId="0242C3F4" w:rsidR="00A64312" w:rsidRPr="00B75090" w:rsidRDefault="00A64312" w:rsidP="00B21902">
            <w:pPr>
              <w:rPr>
                <w:sz w:val="20"/>
                <w:szCs w:val="20"/>
              </w:rPr>
            </w:pPr>
            <w:r w:rsidRPr="00B75090">
              <w:rPr>
                <w:sz w:val="20"/>
                <w:szCs w:val="20"/>
              </w:rPr>
              <w:t xml:space="preserve">See the </w:t>
            </w:r>
            <w:r w:rsidR="00270F15" w:rsidRPr="005B6382">
              <w:rPr>
                <w:i/>
              </w:rPr>
              <w:t>Job Plan and Scheduling Mutual Obligation Requirements Guideline</w:t>
            </w:r>
            <w:r w:rsidR="00270F15">
              <w:rPr>
                <w:i/>
                <w:sz w:val="20"/>
                <w:szCs w:val="20"/>
              </w:rPr>
              <w:t>s</w:t>
            </w:r>
            <w:r w:rsidRPr="00B75090">
              <w:rPr>
                <w:i/>
                <w:sz w:val="20"/>
                <w:szCs w:val="20"/>
              </w:rPr>
              <w:t xml:space="preserve"> </w:t>
            </w:r>
            <w:r w:rsidRPr="00B75090">
              <w:rPr>
                <w:sz w:val="20"/>
                <w:szCs w:val="20"/>
              </w:rPr>
              <w:t xml:space="preserve">for information on the process of </w:t>
            </w:r>
            <w:proofErr w:type="gramStart"/>
            <w:r w:rsidRPr="00B75090">
              <w:rPr>
                <w:sz w:val="20"/>
                <w:szCs w:val="20"/>
              </w:rPr>
              <w:t>entering into</w:t>
            </w:r>
            <w:proofErr w:type="gramEnd"/>
            <w:r w:rsidRPr="00B75090">
              <w:rPr>
                <w:sz w:val="20"/>
                <w:szCs w:val="20"/>
              </w:rPr>
              <w:t xml:space="preserve"> a Job Plan.</w:t>
            </w:r>
          </w:p>
        </w:tc>
        <w:tc>
          <w:tcPr>
            <w:tcW w:w="759" w:type="pct"/>
          </w:tcPr>
          <w:p w14:paraId="7673816E" w14:textId="77777777" w:rsidR="00A64312" w:rsidRPr="00B75090" w:rsidRDefault="00A64312" w:rsidP="00B21902">
            <w:pPr>
              <w:rPr>
                <w:sz w:val="20"/>
                <w:szCs w:val="20"/>
              </w:rPr>
            </w:pPr>
            <w:r w:rsidRPr="00B75090">
              <w:rPr>
                <w:sz w:val="20"/>
                <w:szCs w:val="20"/>
                <w:u w:val="single"/>
              </w:rPr>
              <w:t>Job Plan sent Job Plan online</w:t>
            </w:r>
            <w:r>
              <w:rPr>
                <w:sz w:val="20"/>
                <w:szCs w:val="20"/>
                <w:u w:val="single"/>
              </w:rPr>
              <w:t>–</w:t>
            </w: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w:t>
            </w:r>
          </w:p>
        </w:tc>
        <w:tc>
          <w:tcPr>
            <w:tcW w:w="799" w:type="pct"/>
          </w:tcPr>
          <w:p w14:paraId="48394C47" w14:textId="77777777" w:rsidR="00A64312" w:rsidRPr="00B75090" w:rsidRDefault="00A64312" w:rsidP="00B21902">
            <w:pPr>
              <w:rPr>
                <w:sz w:val="20"/>
                <w:szCs w:val="20"/>
              </w:rPr>
            </w:pP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 </w:t>
            </w:r>
          </w:p>
          <w:p w14:paraId="5930083F" w14:textId="77777777" w:rsidR="00A64312" w:rsidRPr="00B75090" w:rsidRDefault="00A64312" w:rsidP="00B21902">
            <w:pPr>
              <w:rPr>
                <w:sz w:val="20"/>
                <w:szCs w:val="20"/>
              </w:rPr>
            </w:pPr>
            <w:r w:rsidRPr="00B75090">
              <w:rPr>
                <w:sz w:val="20"/>
                <w:szCs w:val="20"/>
              </w:rPr>
              <w:t>Demerit is automatically created and confirmed.</w:t>
            </w:r>
          </w:p>
        </w:tc>
        <w:tc>
          <w:tcPr>
            <w:tcW w:w="751" w:type="pct"/>
          </w:tcPr>
          <w:p w14:paraId="22B94B87" w14:textId="77777777" w:rsidR="00A64312" w:rsidRPr="00B75090" w:rsidRDefault="00A64312" w:rsidP="00B21902">
            <w:pPr>
              <w:rPr>
                <w:sz w:val="20"/>
                <w:szCs w:val="20"/>
              </w:rPr>
            </w:pPr>
            <w:r w:rsidRPr="00B75090">
              <w:rPr>
                <w:sz w:val="20"/>
                <w:szCs w:val="20"/>
              </w:rPr>
              <w:t xml:space="preserve">When the ‘think time’ expires and the </w:t>
            </w:r>
            <w:r>
              <w:rPr>
                <w:sz w:val="20"/>
                <w:szCs w:val="20"/>
              </w:rPr>
              <w:t>Participant</w:t>
            </w:r>
            <w:r w:rsidRPr="00B75090">
              <w:rPr>
                <w:sz w:val="20"/>
                <w:szCs w:val="20"/>
              </w:rPr>
              <w:t xml:space="preserve"> has not agreed to their Job Plan online.</w:t>
            </w:r>
          </w:p>
        </w:tc>
        <w:tc>
          <w:tcPr>
            <w:tcW w:w="1896" w:type="pct"/>
            <w:vMerge w:val="restart"/>
          </w:tcPr>
          <w:p w14:paraId="39935070" w14:textId="58F2A543" w:rsidR="00A64312" w:rsidRPr="00B75090" w:rsidRDefault="00A64312" w:rsidP="00B21902">
            <w:pPr>
              <w:rPr>
                <w:sz w:val="20"/>
                <w:szCs w:val="20"/>
              </w:rPr>
            </w:pPr>
            <w:r w:rsidRPr="00B75090">
              <w:rPr>
                <w:sz w:val="20"/>
                <w:szCs w:val="20"/>
              </w:rPr>
              <w:t xml:space="preserve">When the </w:t>
            </w:r>
            <w:r>
              <w:rPr>
                <w:sz w:val="20"/>
                <w:szCs w:val="20"/>
              </w:rPr>
              <w:t>Participant</w:t>
            </w:r>
            <w:r w:rsidRPr="00B75090">
              <w:rPr>
                <w:sz w:val="20"/>
                <w:szCs w:val="20"/>
              </w:rPr>
              <w:t xml:space="preserve"> agrees to their Job Plan.</w:t>
            </w:r>
          </w:p>
          <w:p w14:paraId="42EAC9D2" w14:textId="77777777" w:rsidR="00270F15" w:rsidRPr="00B5193A" w:rsidRDefault="00270F15" w:rsidP="00270F15">
            <w:pPr>
              <w:rPr>
                <w:sz w:val="20"/>
                <w:szCs w:val="20"/>
              </w:rPr>
            </w:pPr>
            <w:r w:rsidRPr="005B6382">
              <w:rPr>
                <w:i/>
                <w:sz w:val="20"/>
                <w:szCs w:val="20"/>
              </w:rPr>
              <w:t>OR</w:t>
            </w:r>
          </w:p>
          <w:p w14:paraId="444D430C" w14:textId="77777777" w:rsidR="00270F15" w:rsidRPr="00B5193A" w:rsidRDefault="00270F15" w:rsidP="00270F15">
            <w:pPr>
              <w:rPr>
                <w:sz w:val="20"/>
              </w:rPr>
            </w:pPr>
            <w:r w:rsidRPr="00B5193A">
              <w:rPr>
                <w:sz w:val="20"/>
              </w:rPr>
              <w:t xml:space="preserve">When the Provider selects ‘Yes’ in response to the question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Re-engagement Page in the Department’s IT Systems.</w:t>
            </w:r>
          </w:p>
          <w:p w14:paraId="63819CB8" w14:textId="77777777" w:rsidR="00A64312" w:rsidRPr="00B75090" w:rsidRDefault="00A64312" w:rsidP="00B21902">
            <w:pPr>
              <w:rPr>
                <w:i/>
                <w:sz w:val="20"/>
                <w:szCs w:val="20"/>
              </w:rPr>
            </w:pPr>
            <w:r w:rsidRPr="00B75090">
              <w:rPr>
                <w:i/>
                <w:sz w:val="20"/>
                <w:szCs w:val="20"/>
              </w:rPr>
              <w:t>OR</w:t>
            </w:r>
          </w:p>
          <w:p w14:paraId="7E663C58" w14:textId="77777777" w:rsidR="00A64312" w:rsidRPr="00B75090" w:rsidRDefault="00A64312" w:rsidP="00B21902">
            <w:pPr>
              <w:rPr>
                <w:sz w:val="20"/>
                <w:szCs w:val="20"/>
              </w:rPr>
            </w:pPr>
            <w:r w:rsidRPr="00B75090">
              <w:rPr>
                <w:sz w:val="20"/>
                <w:szCs w:val="20"/>
              </w:rPr>
              <w:t xml:space="preserve">When the Provider selects ‘Attended’ or ‘Did Not Attend—Valid’ in relation to a Reconnection Requirement in the </w:t>
            </w:r>
            <w:r>
              <w:rPr>
                <w:sz w:val="20"/>
                <w:szCs w:val="20"/>
              </w:rPr>
              <w:t>Participant</w:t>
            </w:r>
            <w:r w:rsidRPr="00B75090">
              <w:rPr>
                <w:sz w:val="20"/>
                <w:szCs w:val="20"/>
              </w:rPr>
              <w:t>’s Electronic Calendar.</w:t>
            </w:r>
          </w:p>
          <w:p w14:paraId="332605B0" w14:textId="77777777" w:rsidR="00A64312" w:rsidRPr="00B75090" w:rsidRDefault="00A64312" w:rsidP="00B21902">
            <w:pPr>
              <w:rPr>
                <w:i/>
                <w:sz w:val="20"/>
                <w:szCs w:val="20"/>
              </w:rPr>
            </w:pPr>
            <w:r w:rsidRPr="00B75090">
              <w:rPr>
                <w:i/>
                <w:sz w:val="20"/>
                <w:szCs w:val="20"/>
              </w:rPr>
              <w:t xml:space="preserve">OR </w:t>
            </w:r>
          </w:p>
          <w:p w14:paraId="54B50561" w14:textId="12E58CC1" w:rsidR="00A64312" w:rsidRPr="00B75090" w:rsidRDefault="00A64312" w:rsidP="00B21902">
            <w:pPr>
              <w:rPr>
                <w:sz w:val="20"/>
                <w:szCs w:val="20"/>
              </w:rPr>
            </w:pPr>
            <w:r w:rsidRPr="00B75090">
              <w:rPr>
                <w:sz w:val="20"/>
                <w:szCs w:val="20"/>
              </w:rPr>
              <w:t xml:space="preserve">When the Provider selects ‘Unable to Re-engage Within two 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9077D0">
              <w:rPr>
                <w:sz w:val="20"/>
                <w:szCs w:val="20"/>
                <w:highlight w:val="yellow"/>
              </w:rPr>
              <w:fldChar w:fldCharType="begin"/>
            </w:r>
            <w:r w:rsidR="009077D0">
              <w:rPr>
                <w:sz w:val="20"/>
                <w:szCs w:val="20"/>
              </w:rPr>
              <w:instrText xml:space="preserve"> PAGEREF Unable_to_reengage \h </w:instrText>
            </w:r>
            <w:r w:rsidR="009077D0">
              <w:rPr>
                <w:sz w:val="20"/>
                <w:szCs w:val="20"/>
                <w:highlight w:val="yellow"/>
              </w:rPr>
            </w:r>
            <w:r w:rsidR="009077D0">
              <w:rPr>
                <w:sz w:val="20"/>
                <w:szCs w:val="20"/>
                <w:highlight w:val="yellow"/>
              </w:rPr>
              <w:fldChar w:fldCharType="separate"/>
            </w:r>
            <w:r w:rsidR="00666D4F">
              <w:rPr>
                <w:noProof/>
                <w:sz w:val="20"/>
                <w:szCs w:val="20"/>
              </w:rPr>
              <w:t>25</w:t>
            </w:r>
            <w:r w:rsidR="009077D0">
              <w:rPr>
                <w:sz w:val="20"/>
                <w:szCs w:val="20"/>
                <w:highlight w:val="yellow"/>
              </w:rPr>
              <w:fldChar w:fldCharType="end"/>
            </w:r>
            <w:r w:rsidRPr="00B75090">
              <w:rPr>
                <w:sz w:val="20"/>
                <w:szCs w:val="20"/>
              </w:rPr>
              <w:t xml:space="preserve"> of this Guideline regarding when a Provider must select ‘Unable to Re-engage Within two Business Days’.</w:t>
            </w:r>
          </w:p>
          <w:p w14:paraId="3F9C4F47" w14:textId="77777777" w:rsidR="00A64312" w:rsidRPr="00B75090" w:rsidRDefault="00A64312" w:rsidP="00B21902">
            <w:pPr>
              <w:rPr>
                <w:sz w:val="20"/>
                <w:szCs w:val="20"/>
              </w:rPr>
            </w:pPr>
            <w:r w:rsidRPr="00B75090">
              <w:rPr>
                <w:i/>
                <w:sz w:val="20"/>
                <w:szCs w:val="20"/>
              </w:rPr>
              <w:t>OR</w:t>
            </w:r>
          </w:p>
          <w:p w14:paraId="6A9A25FD"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36B05AE3" w14:textId="77777777" w:rsidR="00A64312" w:rsidRPr="00B75090" w:rsidRDefault="00A64312" w:rsidP="00B21902">
            <w:pPr>
              <w:rPr>
                <w:sz w:val="20"/>
                <w:szCs w:val="20"/>
              </w:rPr>
            </w:pPr>
            <w:r w:rsidRPr="00B75090">
              <w:rPr>
                <w:i/>
                <w:sz w:val="20"/>
                <w:szCs w:val="20"/>
              </w:rPr>
              <w:t>OR</w:t>
            </w:r>
            <w:r w:rsidRPr="00B75090">
              <w:rPr>
                <w:sz w:val="20"/>
                <w:szCs w:val="20"/>
              </w:rPr>
              <w:t xml:space="preserve"> </w:t>
            </w:r>
          </w:p>
          <w:p w14:paraId="269B9999" w14:textId="6864EDAF" w:rsidR="00A64312" w:rsidRPr="00B75090" w:rsidRDefault="00A64312">
            <w:pPr>
              <w:rPr>
                <w:sz w:val="20"/>
                <w:szCs w:val="20"/>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063E26">
              <w:rPr>
                <w:sz w:val="20"/>
                <w:szCs w:val="20"/>
                <w:highlight w:val="yellow"/>
              </w:rPr>
              <w:fldChar w:fldCharType="begin"/>
            </w:r>
            <w:r w:rsidR="00063E26">
              <w:rPr>
                <w:sz w:val="20"/>
                <w:szCs w:val="20"/>
              </w:rPr>
              <w:instrText xml:space="preserve"> PAGEREF Compliance_action_no_longer_appropriate \h </w:instrText>
            </w:r>
            <w:r w:rsidR="00063E26">
              <w:rPr>
                <w:sz w:val="20"/>
                <w:szCs w:val="20"/>
                <w:highlight w:val="yellow"/>
              </w:rPr>
            </w:r>
            <w:r w:rsidR="00063E26">
              <w:rPr>
                <w:sz w:val="20"/>
                <w:szCs w:val="20"/>
                <w:highlight w:val="yellow"/>
              </w:rPr>
              <w:fldChar w:fldCharType="separate"/>
            </w:r>
            <w:r w:rsidR="00666D4F">
              <w:rPr>
                <w:noProof/>
                <w:sz w:val="20"/>
                <w:szCs w:val="20"/>
              </w:rPr>
              <w:t>26</w:t>
            </w:r>
            <w:r w:rsidR="00063E26">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3E4C7831" w14:textId="77777777" w:rsidTr="00B21902">
        <w:tc>
          <w:tcPr>
            <w:tcW w:w="795" w:type="pct"/>
            <w:vMerge/>
          </w:tcPr>
          <w:p w14:paraId="19CFBA90" w14:textId="77777777" w:rsidR="00A64312" w:rsidRPr="00B75090" w:rsidRDefault="00A64312" w:rsidP="00B21902">
            <w:pPr>
              <w:rPr>
                <w:sz w:val="20"/>
                <w:szCs w:val="20"/>
              </w:rPr>
            </w:pPr>
          </w:p>
        </w:tc>
        <w:tc>
          <w:tcPr>
            <w:tcW w:w="759" w:type="pct"/>
          </w:tcPr>
          <w:p w14:paraId="5134D644" w14:textId="77777777" w:rsidR="00A64312" w:rsidRPr="00B75090" w:rsidRDefault="00A64312" w:rsidP="00B21902">
            <w:pPr>
              <w:rPr>
                <w:sz w:val="20"/>
                <w:szCs w:val="20"/>
                <w:highlight w:val="yellow"/>
              </w:rPr>
            </w:pPr>
            <w:r w:rsidRPr="00B75090">
              <w:rPr>
                <w:sz w:val="20"/>
                <w:szCs w:val="20"/>
                <w:u w:val="single"/>
              </w:rPr>
              <w:t>Job Plan sent Job Plan in hard copy</w:t>
            </w:r>
            <w:r>
              <w:rPr>
                <w:sz w:val="20"/>
                <w:szCs w:val="20"/>
              </w:rPr>
              <w:t>–</w:t>
            </w:r>
            <w:r w:rsidRPr="00B75090">
              <w:rPr>
                <w:sz w:val="20"/>
                <w:szCs w:val="20"/>
              </w:rPr>
              <w:t xml:space="preserve">when the ‘think time’ expires </w:t>
            </w:r>
          </w:p>
        </w:tc>
        <w:tc>
          <w:tcPr>
            <w:tcW w:w="799" w:type="pct"/>
          </w:tcPr>
          <w:p w14:paraId="730CD221" w14:textId="77777777" w:rsidR="00A64312" w:rsidRPr="00B75090" w:rsidRDefault="00A64312" w:rsidP="00B21902">
            <w:pPr>
              <w:rPr>
                <w:sz w:val="20"/>
                <w:szCs w:val="20"/>
                <w:highlight w:val="yellow"/>
              </w:rPr>
            </w:pPr>
            <w:r w:rsidRPr="00B75090">
              <w:rPr>
                <w:sz w:val="20"/>
                <w:szCs w:val="20"/>
              </w:rPr>
              <w:t>When ‘think time’ expires</w:t>
            </w:r>
            <w:r>
              <w:rPr>
                <w:sz w:val="20"/>
                <w:szCs w:val="20"/>
              </w:rPr>
              <w:t>.</w:t>
            </w:r>
          </w:p>
        </w:tc>
        <w:tc>
          <w:tcPr>
            <w:tcW w:w="751" w:type="pct"/>
          </w:tcPr>
          <w:p w14:paraId="4DE63D9D"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14D6932B" w14:textId="12D62A7E" w:rsidR="00A64312" w:rsidRPr="00B75090" w:rsidRDefault="00A64312">
            <w:pPr>
              <w:rPr>
                <w:sz w:val="20"/>
                <w:szCs w:val="20"/>
                <w:highlight w:val="yellow"/>
              </w:rPr>
            </w:pPr>
            <w:r w:rsidRPr="00B75090">
              <w:rPr>
                <w:sz w:val="20"/>
                <w:szCs w:val="20"/>
              </w:rPr>
              <w:t>See the discussion on page</w:t>
            </w:r>
            <w:r>
              <w:rPr>
                <w:sz w:val="20"/>
                <w:szCs w:val="20"/>
              </w:rPr>
              <w:t> </w:t>
            </w:r>
            <w:r w:rsidR="00063E26">
              <w:rPr>
                <w:sz w:val="20"/>
                <w:szCs w:val="20"/>
              </w:rPr>
              <w:fldChar w:fldCharType="begin"/>
            </w:r>
            <w:r w:rsidR="00063E26">
              <w:rPr>
                <w:sz w:val="20"/>
                <w:szCs w:val="20"/>
              </w:rPr>
              <w:instrText xml:space="preserve"> PAGEREF DNAI \h </w:instrText>
            </w:r>
            <w:r w:rsidR="00063E26">
              <w:rPr>
                <w:sz w:val="20"/>
                <w:szCs w:val="20"/>
              </w:rPr>
            </w:r>
            <w:r w:rsidR="00063E26">
              <w:rPr>
                <w:sz w:val="20"/>
                <w:szCs w:val="20"/>
              </w:rPr>
              <w:fldChar w:fldCharType="separate"/>
            </w:r>
            <w:r w:rsidR="00666D4F">
              <w:rPr>
                <w:noProof/>
                <w:sz w:val="20"/>
                <w:szCs w:val="20"/>
              </w:rPr>
              <w:t>20</w:t>
            </w:r>
            <w:r w:rsidR="00063E26">
              <w:rPr>
                <w:sz w:val="20"/>
                <w:szCs w:val="20"/>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vMerge/>
          </w:tcPr>
          <w:p w14:paraId="06D89804" w14:textId="77777777" w:rsidR="00A64312" w:rsidRPr="00B75090" w:rsidRDefault="00A64312" w:rsidP="00B21902">
            <w:pPr>
              <w:rPr>
                <w:sz w:val="20"/>
                <w:szCs w:val="20"/>
              </w:rPr>
            </w:pPr>
          </w:p>
        </w:tc>
      </w:tr>
      <w:tr w:rsidR="00A64312" w:rsidRPr="00B75090" w14:paraId="0D732DF6" w14:textId="77777777" w:rsidTr="00B21902">
        <w:tc>
          <w:tcPr>
            <w:tcW w:w="795" w:type="pct"/>
            <w:vMerge/>
          </w:tcPr>
          <w:p w14:paraId="16ABC61F" w14:textId="77777777" w:rsidR="00A64312" w:rsidRPr="00B75090" w:rsidRDefault="00A64312" w:rsidP="00B21902">
            <w:pPr>
              <w:rPr>
                <w:sz w:val="20"/>
                <w:szCs w:val="20"/>
              </w:rPr>
            </w:pPr>
          </w:p>
        </w:tc>
        <w:tc>
          <w:tcPr>
            <w:tcW w:w="759" w:type="pct"/>
          </w:tcPr>
          <w:p w14:paraId="56DC5054" w14:textId="77777777" w:rsidR="00A64312" w:rsidRPr="00B75090" w:rsidRDefault="00A64312" w:rsidP="00B21902">
            <w:pPr>
              <w:rPr>
                <w:sz w:val="20"/>
                <w:szCs w:val="20"/>
                <w:u w:val="single"/>
              </w:rPr>
            </w:pPr>
            <w:r w:rsidRPr="00B75090">
              <w:rPr>
                <w:sz w:val="20"/>
                <w:szCs w:val="20"/>
                <w:u w:val="single"/>
              </w:rPr>
              <w:t xml:space="preserve">If a </w:t>
            </w:r>
            <w:r>
              <w:rPr>
                <w:sz w:val="20"/>
                <w:szCs w:val="20"/>
                <w:u w:val="single"/>
              </w:rPr>
              <w:t>Participant</w:t>
            </w:r>
            <w:r w:rsidRPr="00B75090">
              <w:rPr>
                <w:sz w:val="20"/>
                <w:szCs w:val="20"/>
                <w:u w:val="single"/>
              </w:rPr>
              <w:t xml:space="preserve"> refuses outright to agree to Job Plan: </w:t>
            </w:r>
          </w:p>
          <w:p w14:paraId="5D0281C7" w14:textId="77777777" w:rsidR="00A64312" w:rsidRPr="00B75090" w:rsidRDefault="00A64312" w:rsidP="00B21902">
            <w:pPr>
              <w:rPr>
                <w:sz w:val="20"/>
                <w:szCs w:val="20"/>
                <w:highlight w:val="yellow"/>
              </w:rPr>
            </w:pPr>
            <w:r w:rsidRPr="00B75090">
              <w:rPr>
                <w:sz w:val="20"/>
                <w:szCs w:val="20"/>
              </w:rPr>
              <w:t>When the Provider selects ‘Create Compliance’ and selects ‘submit’ on the Job Plan screen in the Department’s IT</w:t>
            </w:r>
            <w:r>
              <w:rPr>
                <w:sz w:val="20"/>
                <w:szCs w:val="20"/>
              </w:rPr>
              <w:t> </w:t>
            </w:r>
            <w:r w:rsidRPr="00B75090">
              <w:rPr>
                <w:sz w:val="20"/>
                <w:szCs w:val="20"/>
              </w:rPr>
              <w:t>Systems.</w:t>
            </w:r>
          </w:p>
        </w:tc>
        <w:tc>
          <w:tcPr>
            <w:tcW w:w="799" w:type="pct"/>
          </w:tcPr>
          <w:p w14:paraId="44399246" w14:textId="77777777" w:rsidR="00A64312" w:rsidRPr="00B75090" w:rsidRDefault="00A64312" w:rsidP="00B21902">
            <w:pPr>
              <w:rPr>
                <w:sz w:val="20"/>
                <w:szCs w:val="20"/>
              </w:rPr>
            </w:pPr>
            <w:r w:rsidRPr="00B75090">
              <w:rPr>
                <w:sz w:val="20"/>
                <w:szCs w:val="20"/>
              </w:rPr>
              <w:t>When the Provider selects ‘Create Compliance’ and selects ‘submit’.</w:t>
            </w:r>
          </w:p>
          <w:p w14:paraId="6FAD5F3E" w14:textId="77777777" w:rsidR="00A64312" w:rsidRPr="00B75090" w:rsidRDefault="00A64312" w:rsidP="00B21902">
            <w:pPr>
              <w:rPr>
                <w:sz w:val="20"/>
                <w:szCs w:val="20"/>
              </w:rPr>
            </w:pPr>
            <w:r w:rsidRPr="00B75090">
              <w:rPr>
                <w:sz w:val="20"/>
                <w:szCs w:val="20"/>
              </w:rPr>
              <w:t>Demerit is automatically created and confirmed.</w:t>
            </w:r>
          </w:p>
        </w:tc>
        <w:tc>
          <w:tcPr>
            <w:tcW w:w="751" w:type="pct"/>
          </w:tcPr>
          <w:p w14:paraId="692BC93A" w14:textId="77777777" w:rsidR="00A64312" w:rsidRPr="00B75090" w:rsidRDefault="00A64312" w:rsidP="00B21902">
            <w:pPr>
              <w:rPr>
                <w:sz w:val="20"/>
                <w:szCs w:val="20"/>
              </w:rPr>
            </w:pPr>
            <w:r w:rsidRPr="00B75090">
              <w:rPr>
                <w:sz w:val="20"/>
                <w:szCs w:val="20"/>
              </w:rPr>
              <w:t>When the Provider selects ‘Create Compliance’ and selects ‘submit’.</w:t>
            </w:r>
          </w:p>
          <w:p w14:paraId="4FD3B213" w14:textId="77777777" w:rsidR="00A64312" w:rsidRPr="00B75090" w:rsidRDefault="00A64312" w:rsidP="00B21902">
            <w:pPr>
              <w:rPr>
                <w:sz w:val="20"/>
                <w:szCs w:val="20"/>
              </w:rPr>
            </w:pPr>
            <w:r w:rsidRPr="00B75090">
              <w:rPr>
                <w:sz w:val="20"/>
                <w:szCs w:val="20"/>
              </w:rPr>
              <w:t>Demerit is automatically created and confirmed.</w:t>
            </w:r>
          </w:p>
        </w:tc>
        <w:tc>
          <w:tcPr>
            <w:tcW w:w="1896" w:type="pct"/>
            <w:vMerge/>
          </w:tcPr>
          <w:p w14:paraId="07637459" w14:textId="77777777" w:rsidR="00A64312" w:rsidRPr="00B75090" w:rsidRDefault="00A64312" w:rsidP="00B21902">
            <w:pPr>
              <w:rPr>
                <w:sz w:val="20"/>
                <w:szCs w:val="20"/>
              </w:rPr>
            </w:pPr>
          </w:p>
        </w:tc>
      </w:tr>
      <w:tr w:rsidR="00270F15" w:rsidRPr="00B5193A" w14:paraId="3B5BD3D6" w14:textId="77777777" w:rsidTr="001A1F5C">
        <w:tc>
          <w:tcPr>
            <w:tcW w:w="795" w:type="pct"/>
          </w:tcPr>
          <w:p w14:paraId="1F096FA8" w14:textId="77777777" w:rsidR="00270F15" w:rsidRPr="00B5193A" w:rsidRDefault="00270F15" w:rsidP="001A1F5C">
            <w:pPr>
              <w:rPr>
                <w:b/>
              </w:rPr>
            </w:pPr>
            <w:r w:rsidRPr="00B5193A">
              <w:rPr>
                <w:b/>
              </w:rPr>
              <w:t xml:space="preserve">Failure to act on a job </w:t>
            </w:r>
            <w:r>
              <w:rPr>
                <w:b/>
              </w:rPr>
              <w:t xml:space="preserve">referral or </w:t>
            </w:r>
            <w:r w:rsidRPr="00B5193A">
              <w:rPr>
                <w:b/>
              </w:rPr>
              <w:t>opportunity</w:t>
            </w:r>
          </w:p>
        </w:tc>
        <w:tc>
          <w:tcPr>
            <w:tcW w:w="759" w:type="pct"/>
          </w:tcPr>
          <w:p w14:paraId="480D512E"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799" w:type="pct"/>
          </w:tcPr>
          <w:p w14:paraId="41F020B0"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751" w:type="pct"/>
          </w:tcPr>
          <w:p w14:paraId="3422C4A6" w14:textId="77777777" w:rsidR="00270F15" w:rsidRPr="00B5193A" w:rsidRDefault="00270F15" w:rsidP="001A1F5C">
            <w:pPr>
              <w:rPr>
                <w:sz w:val="20"/>
                <w:szCs w:val="20"/>
              </w:rPr>
            </w:pPr>
            <w:r w:rsidRPr="00B5193A">
              <w:rPr>
                <w:sz w:val="20"/>
                <w:szCs w:val="20"/>
              </w:rPr>
              <w:t>When the Provider records ‘Unsatisfactory—Invalid Reason’ on the Job referrals page.</w:t>
            </w:r>
          </w:p>
        </w:tc>
        <w:tc>
          <w:tcPr>
            <w:tcW w:w="1896" w:type="pct"/>
          </w:tcPr>
          <w:p w14:paraId="34DEDD70" w14:textId="77777777" w:rsidR="00270F15" w:rsidRPr="00B5193A" w:rsidRDefault="00270F15" w:rsidP="001A1F5C">
            <w:pPr>
              <w:rPr>
                <w:sz w:val="20"/>
                <w:szCs w:val="20"/>
              </w:rPr>
            </w:pPr>
            <w:r w:rsidRPr="00B5193A">
              <w:rPr>
                <w:sz w:val="20"/>
              </w:rPr>
              <w:t>When the Provider selects ‘Unsatisfactory—Valid Reason’ on the Provider Re-engagement page in the Department’s IT Systems.</w:t>
            </w:r>
          </w:p>
          <w:p w14:paraId="64E1CFF3" w14:textId="77777777" w:rsidR="00270F15" w:rsidRPr="00B5193A" w:rsidRDefault="00270F15" w:rsidP="001A1F5C">
            <w:pPr>
              <w:rPr>
                <w:sz w:val="20"/>
                <w:szCs w:val="20"/>
              </w:rPr>
            </w:pPr>
            <w:r w:rsidRPr="00B5193A">
              <w:rPr>
                <w:sz w:val="20"/>
                <w:szCs w:val="20"/>
              </w:rPr>
              <w:t>OR</w:t>
            </w:r>
          </w:p>
          <w:p w14:paraId="45F39B4F" w14:textId="77777777" w:rsidR="00270F15" w:rsidRPr="00B5193A" w:rsidRDefault="00270F15" w:rsidP="001A1F5C">
            <w:pPr>
              <w:rPr>
                <w:sz w:val="20"/>
                <w:szCs w:val="20"/>
              </w:rPr>
            </w:pPr>
            <w:r w:rsidRPr="00B5193A">
              <w:rPr>
                <w:sz w:val="20"/>
                <w:szCs w:val="20"/>
              </w:rPr>
              <w:t>When the Provider selects ‘Satisfactory’ in relation to a Reconnection Requirement on the Provider Re-engagement page in the Department’s IT Systems.</w:t>
            </w:r>
          </w:p>
          <w:p w14:paraId="2D99ED1B" w14:textId="77777777" w:rsidR="00270F15" w:rsidRPr="00B5193A" w:rsidRDefault="00270F15" w:rsidP="001A1F5C">
            <w:pPr>
              <w:rPr>
                <w:sz w:val="20"/>
                <w:szCs w:val="20"/>
              </w:rPr>
            </w:pPr>
            <w:r w:rsidRPr="00B5193A">
              <w:rPr>
                <w:sz w:val="20"/>
                <w:szCs w:val="20"/>
              </w:rPr>
              <w:t>OR</w:t>
            </w:r>
          </w:p>
          <w:p w14:paraId="052A029F" w14:textId="77777777" w:rsidR="00270F15" w:rsidRPr="00B5193A" w:rsidRDefault="00270F15" w:rsidP="001A1F5C">
            <w:pPr>
              <w:rPr>
                <w:sz w:val="20"/>
                <w:szCs w:val="20"/>
              </w:rPr>
            </w:pPr>
            <w:r w:rsidRPr="00B5193A">
              <w:rPr>
                <w:sz w:val="20"/>
                <w:szCs w:val="20"/>
              </w:rPr>
              <w:t>When the Provider selects ‘When the Provider selects ‘Unable to Re-engage Within two Business Days’ on the Provider Re</w:t>
            </w:r>
            <w:r w:rsidRPr="00B5193A">
              <w:rPr>
                <w:rFonts w:ascii="Cambria Math" w:hAnsi="Cambria Math" w:cs="Cambria Math"/>
                <w:sz w:val="20"/>
                <w:szCs w:val="20"/>
              </w:rPr>
              <w:t>‑</w:t>
            </w:r>
            <w:r w:rsidRPr="00B5193A">
              <w:rPr>
                <w:sz w:val="20"/>
                <w:szCs w:val="20"/>
              </w:rPr>
              <w:t xml:space="preserve">engagement </w:t>
            </w:r>
            <w:proofErr w:type="gramStart"/>
            <w:r w:rsidRPr="00B5193A">
              <w:rPr>
                <w:sz w:val="20"/>
                <w:szCs w:val="20"/>
              </w:rPr>
              <w:t>page</w:t>
            </w:r>
            <w:proofErr w:type="gramEnd"/>
            <w:r w:rsidRPr="00B5193A">
              <w:rPr>
                <w:sz w:val="20"/>
                <w:szCs w:val="20"/>
              </w:rPr>
              <w:t xml:space="preserve"> in the Department’s IT Systems. See the discussion on page 24 of this Guideline regarding when a Provider must select ‘Unable to Re-engage Within two Business Days’.</w:t>
            </w:r>
          </w:p>
          <w:p w14:paraId="37B35120" w14:textId="77777777" w:rsidR="00270F15" w:rsidRPr="00B5193A" w:rsidRDefault="00270F15" w:rsidP="001A1F5C">
            <w:pPr>
              <w:rPr>
                <w:sz w:val="20"/>
                <w:szCs w:val="20"/>
              </w:rPr>
            </w:pPr>
            <w:r w:rsidRPr="00B5193A">
              <w:rPr>
                <w:sz w:val="20"/>
                <w:szCs w:val="20"/>
              </w:rPr>
              <w:t>OR</w:t>
            </w:r>
          </w:p>
          <w:p w14:paraId="753BF769" w14:textId="77777777" w:rsidR="00270F15" w:rsidRPr="00B5193A" w:rsidRDefault="00270F15" w:rsidP="001A1F5C">
            <w:pPr>
              <w:spacing w:before="60" w:after="60"/>
              <w:rPr>
                <w:sz w:val="20"/>
                <w:szCs w:val="20"/>
              </w:rPr>
            </w:pPr>
            <w:r w:rsidRPr="00B5193A">
              <w:rPr>
                <w:sz w:val="20"/>
                <w:szCs w:val="20"/>
              </w:rPr>
              <w:t xml:space="preserve">When the Provider selects </w:t>
            </w:r>
            <w:proofErr w:type="spellStart"/>
            <w:r w:rsidRPr="00B5193A">
              <w:rPr>
                <w:sz w:val="20"/>
                <w:szCs w:val="20"/>
              </w:rPr>
              <w:t>‘Re</w:t>
            </w:r>
            <w:proofErr w:type="spellEnd"/>
            <w:r w:rsidRPr="00B5193A">
              <w:rPr>
                <w:sz w:val="20"/>
                <w:szCs w:val="20"/>
              </w:rPr>
              <w:t xml:space="preserve">-engagement Not Required’ on the Provider Re-engagement page in the Department’s IT Systems. See discussion on page 24 of this Guideline regarding when a Provider must select </w:t>
            </w:r>
            <w:proofErr w:type="spellStart"/>
            <w:r w:rsidRPr="00B5193A">
              <w:rPr>
                <w:sz w:val="20"/>
                <w:szCs w:val="20"/>
              </w:rPr>
              <w:t>‘Re</w:t>
            </w:r>
            <w:proofErr w:type="spellEnd"/>
            <w:r w:rsidRPr="00B5193A">
              <w:rPr>
                <w:sz w:val="20"/>
                <w:szCs w:val="20"/>
              </w:rPr>
              <w:t>-engagement Not Required’.</w:t>
            </w:r>
          </w:p>
          <w:p w14:paraId="188F7F97" w14:textId="77777777" w:rsidR="00270F15" w:rsidRPr="00B5193A" w:rsidRDefault="00270F15" w:rsidP="001A1F5C">
            <w:pPr>
              <w:rPr>
                <w:sz w:val="20"/>
                <w:szCs w:val="20"/>
              </w:rPr>
            </w:pPr>
            <w:r w:rsidRPr="00B5193A">
              <w:rPr>
                <w:sz w:val="20"/>
                <w:szCs w:val="20"/>
              </w:rPr>
              <w:t>OR</w:t>
            </w:r>
          </w:p>
          <w:p w14:paraId="541E94DA" w14:textId="77777777" w:rsidR="00270F15" w:rsidRPr="00B5193A" w:rsidRDefault="00270F15" w:rsidP="001A1F5C">
            <w:pPr>
              <w:rPr>
                <w:sz w:val="20"/>
                <w:szCs w:val="20"/>
              </w:rPr>
            </w:pPr>
            <w:r w:rsidRPr="00B5193A">
              <w:rPr>
                <w:sz w:val="20"/>
                <w:szCs w:val="20"/>
              </w:rPr>
              <w:t xml:space="preserve">If a Capability Interview is the Reconnection Requirement, the Department’s IT Systems will lift the Income Support Payment suspension once the Provider selects ‘Attended’ or ‘Did Not Attend –Valid’ in the Participant’s Electronic Calendar in relation to the Capability Interview. </w:t>
            </w:r>
          </w:p>
          <w:p w14:paraId="34415699" w14:textId="77777777" w:rsidR="00270F15" w:rsidRPr="00B5193A" w:rsidRDefault="00270F15" w:rsidP="001A1F5C">
            <w:pPr>
              <w:rPr>
                <w:sz w:val="20"/>
                <w:szCs w:val="20"/>
              </w:rPr>
            </w:pPr>
            <w:r w:rsidRPr="00B5193A">
              <w:rPr>
                <w:sz w:val="20"/>
                <w:szCs w:val="20"/>
              </w:rPr>
              <w:t>OR</w:t>
            </w:r>
          </w:p>
          <w:p w14:paraId="49A3F888" w14:textId="77777777" w:rsidR="00270F15" w:rsidRPr="00B5193A" w:rsidRDefault="00270F15" w:rsidP="001A1F5C">
            <w:pPr>
              <w:rPr>
                <w:sz w:val="20"/>
                <w:szCs w:val="20"/>
              </w:rPr>
            </w:pPr>
            <w:r w:rsidRPr="00B5193A">
              <w:rPr>
                <w:sz w:val="20"/>
                <w:szCs w:val="20"/>
              </w:rPr>
              <w:t>If a Capability Assessment is the Reconnection Requirement, Services Australia will lift the Income Support Payment suspension once the Participant contacts them to participate in a Capability Assessment.</w:t>
            </w:r>
          </w:p>
          <w:p w14:paraId="32826827" w14:textId="77777777" w:rsidR="00270F15" w:rsidRPr="00B5193A" w:rsidRDefault="00270F15" w:rsidP="001A1F5C">
            <w:pPr>
              <w:rPr>
                <w:sz w:val="20"/>
                <w:szCs w:val="20"/>
              </w:rPr>
            </w:pPr>
            <w:r w:rsidRPr="00B5193A">
              <w:rPr>
                <w:sz w:val="20"/>
                <w:szCs w:val="20"/>
              </w:rPr>
              <w:t>OR</w:t>
            </w:r>
          </w:p>
          <w:p w14:paraId="4FE2657A" w14:textId="77777777" w:rsidR="00270F15" w:rsidRPr="00B5193A" w:rsidRDefault="00270F15" w:rsidP="001A1F5C">
            <w:pPr>
              <w:rPr>
                <w:sz w:val="20"/>
                <w:szCs w:val="20"/>
              </w:rPr>
            </w:pPr>
            <w:r w:rsidRPr="00B5193A">
              <w:rPr>
                <w:sz w:val="20"/>
                <w:szCs w:val="20"/>
              </w:rPr>
              <w:t>When the Provider selects ‘Compliance action no longer appropriate’ on the Provider Re</w:t>
            </w:r>
            <w:r w:rsidRPr="00B5193A">
              <w:rPr>
                <w:rFonts w:ascii="Cambria Math" w:hAnsi="Cambria Math" w:cs="Cambria Math"/>
                <w:sz w:val="20"/>
                <w:szCs w:val="20"/>
              </w:rPr>
              <w:t>‑</w:t>
            </w:r>
            <w:r w:rsidRPr="00B5193A">
              <w:rPr>
                <w:sz w:val="20"/>
                <w:szCs w:val="20"/>
              </w:rPr>
              <w:t>engagement page. See the discussion on page 19 of this Guideline regarding when a Provider must select ‘Compliance action no longer appropriate’.</w:t>
            </w:r>
          </w:p>
        </w:tc>
      </w:tr>
      <w:tr w:rsidR="00A64312" w:rsidRPr="00B75090" w14:paraId="7BD08CE6" w14:textId="77777777" w:rsidTr="00B21902">
        <w:tc>
          <w:tcPr>
            <w:tcW w:w="795" w:type="pct"/>
            <w:vMerge w:val="restart"/>
          </w:tcPr>
          <w:p w14:paraId="16B6EF9E" w14:textId="77777777" w:rsidR="00A64312" w:rsidRPr="00B75090" w:rsidRDefault="00A64312" w:rsidP="00B21902">
            <w:r w:rsidRPr="00B75090">
              <w:rPr>
                <w:b/>
              </w:rPr>
              <w:t>Job Search Failure</w:t>
            </w:r>
          </w:p>
          <w:p w14:paraId="03132B30" w14:textId="77777777" w:rsidR="00A64312" w:rsidRPr="00B75090" w:rsidRDefault="00A64312" w:rsidP="00B21902">
            <w:pPr>
              <w:rPr>
                <w:sz w:val="20"/>
                <w:szCs w:val="20"/>
                <w:highlight w:val="magenta"/>
              </w:rPr>
            </w:pPr>
            <w:r w:rsidRPr="00B75090">
              <w:rPr>
                <w:sz w:val="20"/>
                <w:szCs w:val="20"/>
              </w:rPr>
              <w:t xml:space="preserve">The </w:t>
            </w:r>
            <w:r>
              <w:rPr>
                <w:sz w:val="20"/>
                <w:szCs w:val="20"/>
              </w:rPr>
              <w:t>Participant</w:t>
            </w:r>
            <w:r w:rsidRPr="00B75090">
              <w:rPr>
                <w:sz w:val="20"/>
                <w:szCs w:val="20"/>
              </w:rPr>
              <w:t xml:space="preserve"> failed to undertake adequate Job Searches</w:t>
            </w:r>
            <w:r>
              <w:rPr>
                <w:sz w:val="20"/>
                <w:szCs w:val="20"/>
              </w:rPr>
              <w:t>.</w:t>
            </w:r>
          </w:p>
        </w:tc>
        <w:tc>
          <w:tcPr>
            <w:tcW w:w="759" w:type="pct"/>
          </w:tcPr>
          <w:p w14:paraId="116C790D"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 System is not equal to the number of Job Search efforts that are required under the </w:t>
            </w:r>
            <w:r>
              <w:rPr>
                <w:sz w:val="20"/>
                <w:szCs w:val="20"/>
              </w:rPr>
              <w:t>Participant</w:t>
            </w:r>
            <w:r w:rsidRPr="00B75090">
              <w:rPr>
                <w:sz w:val="20"/>
                <w:szCs w:val="20"/>
              </w:rPr>
              <w:t>’s Job Plan.</w:t>
            </w:r>
          </w:p>
        </w:tc>
        <w:tc>
          <w:tcPr>
            <w:tcW w:w="799" w:type="pct"/>
          </w:tcPr>
          <w:p w14:paraId="096CAC70"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w:t>
            </w:r>
            <w:r>
              <w:rPr>
                <w:sz w:val="20"/>
                <w:szCs w:val="20"/>
              </w:rPr>
              <w:t> </w:t>
            </w:r>
            <w:r w:rsidRPr="00B75090">
              <w:rPr>
                <w:sz w:val="20"/>
                <w:szCs w:val="20"/>
              </w:rPr>
              <w:t xml:space="preserve">System is not equal to the number of Job Search efforts that are required under the </w:t>
            </w:r>
            <w:r>
              <w:rPr>
                <w:sz w:val="20"/>
                <w:szCs w:val="20"/>
              </w:rPr>
              <w:t>Participant</w:t>
            </w:r>
            <w:r w:rsidRPr="00B75090">
              <w:rPr>
                <w:sz w:val="20"/>
                <w:szCs w:val="20"/>
              </w:rPr>
              <w:t>’s Job Plan.</w:t>
            </w:r>
          </w:p>
          <w:p w14:paraId="291FFE75" w14:textId="77777777" w:rsidR="00A64312" w:rsidRPr="00B75090" w:rsidRDefault="00A64312" w:rsidP="00B21902">
            <w:pPr>
              <w:rPr>
                <w:sz w:val="20"/>
                <w:szCs w:val="20"/>
                <w:highlight w:val="magenta"/>
              </w:rPr>
            </w:pPr>
            <w:r w:rsidRPr="00B75090">
              <w:rPr>
                <w:sz w:val="20"/>
                <w:szCs w:val="20"/>
              </w:rPr>
              <w:t>Demerit is automatically created and confirmed.</w:t>
            </w:r>
          </w:p>
        </w:tc>
        <w:tc>
          <w:tcPr>
            <w:tcW w:w="751" w:type="pct"/>
          </w:tcPr>
          <w:p w14:paraId="4B71AA11" w14:textId="77777777" w:rsidR="00A64312" w:rsidRPr="00B75090" w:rsidRDefault="00A64312" w:rsidP="00B21902">
            <w:pPr>
              <w:rPr>
                <w:sz w:val="20"/>
                <w:szCs w:val="20"/>
                <w:highlight w:val="magenta"/>
              </w:rPr>
            </w:pPr>
            <w:r w:rsidRPr="00B75090">
              <w:rPr>
                <w:sz w:val="20"/>
                <w:szCs w:val="20"/>
              </w:rPr>
              <w:t xml:space="preserve">When the Job Search Period ends and the number of Job Search efforts that are recorded by the </w:t>
            </w:r>
            <w:r>
              <w:rPr>
                <w:sz w:val="20"/>
                <w:szCs w:val="20"/>
              </w:rPr>
              <w:t>Participant</w:t>
            </w:r>
            <w:r w:rsidRPr="00B75090">
              <w:rPr>
                <w:sz w:val="20"/>
                <w:szCs w:val="20"/>
              </w:rPr>
              <w:t xml:space="preserve"> in the Department’s IT System is not equal to the number of Job Search efforts that are required under the </w:t>
            </w:r>
            <w:r>
              <w:rPr>
                <w:sz w:val="20"/>
                <w:szCs w:val="20"/>
              </w:rPr>
              <w:t>Participant</w:t>
            </w:r>
            <w:r w:rsidRPr="00B75090">
              <w:rPr>
                <w:sz w:val="20"/>
                <w:szCs w:val="20"/>
              </w:rPr>
              <w:t>’s Job Plan.</w:t>
            </w:r>
          </w:p>
          <w:p w14:paraId="629626AA" w14:textId="77777777" w:rsidR="00A64312" w:rsidRPr="00B75090" w:rsidRDefault="00A64312" w:rsidP="00B21902">
            <w:pPr>
              <w:rPr>
                <w:sz w:val="20"/>
                <w:szCs w:val="20"/>
                <w:highlight w:val="magenta"/>
              </w:rPr>
            </w:pPr>
            <w:r w:rsidRPr="00B75090">
              <w:rPr>
                <w:sz w:val="20"/>
                <w:szCs w:val="20"/>
              </w:rPr>
              <w:t>Demerit is automatically confirmed</w:t>
            </w:r>
            <w:r w:rsidRPr="00B75090">
              <w:rPr>
                <w:rFonts w:cstheme="minorHAnsi"/>
                <w:sz w:val="20"/>
                <w:szCs w:val="20"/>
              </w:rPr>
              <w:t>.</w:t>
            </w:r>
          </w:p>
        </w:tc>
        <w:tc>
          <w:tcPr>
            <w:tcW w:w="1896" w:type="pct"/>
            <w:vMerge w:val="restart"/>
          </w:tcPr>
          <w:p w14:paraId="7BD0E09D" w14:textId="4708F26E" w:rsidR="00270F15" w:rsidRPr="00B5193A" w:rsidRDefault="00270F15" w:rsidP="00270F15">
            <w:pPr>
              <w:rPr>
                <w:sz w:val="20"/>
                <w:szCs w:val="20"/>
              </w:rPr>
            </w:pPr>
            <w:r w:rsidRPr="00B5193A">
              <w:rPr>
                <w:sz w:val="20"/>
              </w:rPr>
              <w:t>When the Provider selects ‘</w:t>
            </w:r>
            <w:r w:rsidRPr="00B5193A">
              <w:rPr>
                <w:sz w:val="20"/>
                <w:szCs w:val="20"/>
              </w:rPr>
              <w:t>Yes’</w:t>
            </w:r>
            <w:r w:rsidRPr="00B5193A">
              <w:rPr>
                <w:sz w:val="20"/>
              </w:rPr>
              <w:t xml:space="preserve"> in </w:t>
            </w:r>
            <w:r w:rsidRPr="00B5193A">
              <w:rPr>
                <w:sz w:val="20"/>
                <w:szCs w:val="20"/>
              </w:rPr>
              <w:t>response</w:t>
            </w:r>
            <w:r w:rsidRPr="00B5193A">
              <w:rPr>
                <w:sz w:val="20"/>
              </w:rPr>
              <w:t xml:space="preserve"> to </w:t>
            </w:r>
            <w:r w:rsidRPr="00B5193A">
              <w:rPr>
                <w:sz w:val="20"/>
                <w:szCs w:val="20"/>
              </w:rPr>
              <w:t>the</w:t>
            </w:r>
            <w:r w:rsidRPr="00B5193A">
              <w:rPr>
                <w:sz w:val="20"/>
              </w:rPr>
              <w:t xml:space="preserve"> question ‘Do you accept the job seeker’s reason?’ and records the reason accepted as </w:t>
            </w:r>
            <w:r w:rsidRPr="00B5193A">
              <w:rPr>
                <w:sz w:val="20"/>
                <w:szCs w:val="20"/>
              </w:rPr>
              <w:t xml:space="preserve">a </w:t>
            </w:r>
            <w:r w:rsidRPr="00B5193A">
              <w:rPr>
                <w:sz w:val="20"/>
              </w:rPr>
              <w:t>Valid</w:t>
            </w:r>
            <w:r w:rsidRPr="00B5193A">
              <w:rPr>
                <w:sz w:val="20"/>
                <w:szCs w:val="20"/>
              </w:rPr>
              <w:t xml:space="preserve"> Reason</w:t>
            </w:r>
            <w:r w:rsidRPr="00B5193A">
              <w:rPr>
                <w:sz w:val="20"/>
              </w:rPr>
              <w:t xml:space="preserve"> on the Provider Re-engagement Page in the </w:t>
            </w:r>
            <w:r w:rsidRPr="00B5193A">
              <w:rPr>
                <w:sz w:val="20"/>
                <w:szCs w:val="20"/>
              </w:rPr>
              <w:t>Department’s</w:t>
            </w:r>
            <w:r w:rsidRPr="00B5193A">
              <w:rPr>
                <w:sz w:val="20"/>
              </w:rPr>
              <w:t xml:space="preserve"> IT Systems.</w:t>
            </w:r>
          </w:p>
          <w:p w14:paraId="1745E1C5" w14:textId="77777777" w:rsidR="00270F15" w:rsidRPr="005B6382" w:rsidRDefault="00270F15" w:rsidP="00270F15">
            <w:pPr>
              <w:rPr>
                <w:i/>
                <w:sz w:val="20"/>
                <w:szCs w:val="20"/>
              </w:rPr>
            </w:pPr>
            <w:r w:rsidRPr="005B6382">
              <w:rPr>
                <w:i/>
                <w:sz w:val="20"/>
                <w:szCs w:val="20"/>
              </w:rPr>
              <w:t>OR</w:t>
            </w:r>
          </w:p>
          <w:p w14:paraId="6EF30A6C" w14:textId="77777777" w:rsidR="00270F15" w:rsidRPr="00B5193A" w:rsidRDefault="00270F15" w:rsidP="00270F15">
            <w:pPr>
              <w:rPr>
                <w:sz w:val="20"/>
                <w:szCs w:val="20"/>
              </w:rPr>
            </w:pPr>
            <w:r w:rsidRPr="00B5193A">
              <w:rPr>
                <w:sz w:val="20"/>
                <w:szCs w:val="20"/>
              </w:rPr>
              <w:t>When the Provider selects ‘Yes’ in response to the question ‘Has the job seeker now met their re-engagement requirement?’ on the Provider Re-engagement Page in the Department’s IT System</w:t>
            </w:r>
            <w:r>
              <w:rPr>
                <w:sz w:val="20"/>
                <w:szCs w:val="20"/>
              </w:rPr>
              <w:t>s</w:t>
            </w:r>
            <w:r w:rsidRPr="00B5193A">
              <w:rPr>
                <w:sz w:val="20"/>
                <w:szCs w:val="20"/>
              </w:rPr>
              <w:t>.</w:t>
            </w:r>
          </w:p>
          <w:p w14:paraId="474D79FB" w14:textId="77777777" w:rsidR="00A64312" w:rsidRPr="00B75090" w:rsidRDefault="00A64312" w:rsidP="00B21902">
            <w:pPr>
              <w:rPr>
                <w:i/>
                <w:sz w:val="20"/>
                <w:szCs w:val="20"/>
              </w:rPr>
            </w:pPr>
            <w:r w:rsidRPr="00B75090">
              <w:rPr>
                <w:i/>
                <w:sz w:val="20"/>
                <w:szCs w:val="20"/>
              </w:rPr>
              <w:t xml:space="preserve">OR </w:t>
            </w:r>
          </w:p>
          <w:p w14:paraId="024D8008" w14:textId="6457C998" w:rsidR="00A64312" w:rsidRPr="00B75090" w:rsidRDefault="00A64312" w:rsidP="00B21902">
            <w:pPr>
              <w:rPr>
                <w:sz w:val="20"/>
                <w:szCs w:val="20"/>
              </w:rPr>
            </w:pPr>
            <w:r w:rsidRPr="00B75090">
              <w:rPr>
                <w:sz w:val="20"/>
                <w:szCs w:val="20"/>
              </w:rPr>
              <w:t xml:space="preserve">When the Provider selects ‘Unable to Re-engage Within </w:t>
            </w:r>
            <w:r>
              <w:rPr>
                <w:sz w:val="20"/>
                <w:szCs w:val="20"/>
              </w:rPr>
              <w:t>2 </w:t>
            </w:r>
            <w:r w:rsidRPr="00B75090">
              <w:rPr>
                <w:sz w:val="20"/>
                <w:szCs w:val="20"/>
              </w:rPr>
              <w:t xml:space="preserve">Business Days’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w:t>
            </w:r>
            <w:proofErr w:type="gramStart"/>
            <w:r w:rsidRPr="00B75090">
              <w:rPr>
                <w:sz w:val="20"/>
                <w:szCs w:val="20"/>
              </w:rPr>
              <w:t>page</w:t>
            </w:r>
            <w:proofErr w:type="gramEnd"/>
            <w:r w:rsidRPr="00B75090">
              <w:rPr>
                <w:sz w:val="20"/>
                <w:szCs w:val="20"/>
              </w:rPr>
              <w:t xml:space="preserve"> in the Department’s IT Systems. See the discussion on page</w:t>
            </w:r>
            <w:r>
              <w:rPr>
                <w:sz w:val="20"/>
                <w:szCs w:val="20"/>
              </w:rPr>
              <w:t> </w:t>
            </w:r>
            <w:r w:rsidR="00063E26">
              <w:rPr>
                <w:sz w:val="20"/>
                <w:szCs w:val="20"/>
                <w:highlight w:val="yellow"/>
              </w:rPr>
              <w:fldChar w:fldCharType="begin"/>
            </w:r>
            <w:r w:rsidR="00063E26">
              <w:rPr>
                <w:sz w:val="20"/>
                <w:szCs w:val="20"/>
              </w:rPr>
              <w:instrText xml:space="preserve"> PAGEREF Unable_to_reengage \h </w:instrText>
            </w:r>
            <w:r w:rsidR="00063E26">
              <w:rPr>
                <w:sz w:val="20"/>
                <w:szCs w:val="20"/>
                <w:highlight w:val="yellow"/>
              </w:rPr>
            </w:r>
            <w:r w:rsidR="00063E26">
              <w:rPr>
                <w:sz w:val="20"/>
                <w:szCs w:val="20"/>
                <w:highlight w:val="yellow"/>
              </w:rPr>
              <w:fldChar w:fldCharType="separate"/>
            </w:r>
            <w:r w:rsidR="00666D4F">
              <w:rPr>
                <w:noProof/>
                <w:sz w:val="20"/>
                <w:szCs w:val="20"/>
              </w:rPr>
              <w:t>25</w:t>
            </w:r>
            <w:r w:rsidR="00063E26">
              <w:rPr>
                <w:sz w:val="20"/>
                <w:szCs w:val="20"/>
                <w:highlight w:val="yellow"/>
              </w:rPr>
              <w:fldChar w:fldCharType="end"/>
            </w:r>
            <w:r w:rsidRPr="00B75090">
              <w:rPr>
                <w:sz w:val="20"/>
                <w:szCs w:val="20"/>
              </w:rPr>
              <w:t xml:space="preserve"> of this Guideline regarding when a Provider must select ‘Unable to Re-engage Within </w:t>
            </w:r>
            <w:r>
              <w:rPr>
                <w:sz w:val="20"/>
                <w:szCs w:val="20"/>
              </w:rPr>
              <w:t>2 </w:t>
            </w:r>
            <w:r w:rsidRPr="00B75090">
              <w:rPr>
                <w:sz w:val="20"/>
                <w:szCs w:val="20"/>
              </w:rPr>
              <w:t>Business Days’.</w:t>
            </w:r>
          </w:p>
          <w:p w14:paraId="72357152" w14:textId="77777777" w:rsidR="00A64312" w:rsidRPr="00B75090" w:rsidRDefault="00A64312" w:rsidP="00B21902">
            <w:pPr>
              <w:rPr>
                <w:sz w:val="20"/>
                <w:szCs w:val="20"/>
              </w:rPr>
            </w:pPr>
            <w:r w:rsidRPr="00B75090">
              <w:rPr>
                <w:i/>
                <w:sz w:val="20"/>
                <w:szCs w:val="20"/>
              </w:rPr>
              <w:t>OR</w:t>
            </w:r>
          </w:p>
          <w:p w14:paraId="1643C718" w14:textId="77777777" w:rsidR="00270F15" w:rsidRPr="00B5193A" w:rsidRDefault="00270F15" w:rsidP="00270F15">
            <w:pPr>
              <w:rPr>
                <w:sz w:val="20"/>
                <w:szCs w:val="20"/>
              </w:rPr>
            </w:pPr>
            <w:r w:rsidRPr="00B5193A">
              <w:rPr>
                <w:sz w:val="20"/>
                <w:szCs w:val="20"/>
              </w:rPr>
              <w:t>When the Provider selects ‘Requirement no longer needs to be met’ on the Provider Re-engagement page in the Department’s IT Systems.</w:t>
            </w:r>
          </w:p>
          <w:p w14:paraId="4139AD00" w14:textId="77777777" w:rsidR="00270F15" w:rsidRPr="00155C91" w:rsidRDefault="00270F15" w:rsidP="00270F15">
            <w:pPr>
              <w:rPr>
                <w:i/>
                <w:sz w:val="20"/>
                <w:szCs w:val="20"/>
              </w:rPr>
            </w:pPr>
            <w:r w:rsidRPr="00155C91">
              <w:rPr>
                <w:i/>
                <w:sz w:val="20"/>
                <w:szCs w:val="20"/>
              </w:rPr>
              <w:t>OR</w:t>
            </w:r>
          </w:p>
          <w:p w14:paraId="07493C66" w14:textId="77777777" w:rsidR="00A64312" w:rsidRPr="00B75090" w:rsidRDefault="00A64312" w:rsidP="00B21902">
            <w:pPr>
              <w:rPr>
                <w:sz w:val="20"/>
                <w:szCs w:val="20"/>
              </w:rPr>
            </w:pPr>
            <w:r w:rsidRPr="00B75090">
              <w:rPr>
                <w:sz w:val="20"/>
                <w:szCs w:val="20"/>
              </w:rPr>
              <w:t xml:space="preserve">If a Capability Assessment is the Reconnection Requirement, </w:t>
            </w:r>
            <w:r w:rsidRPr="003D09EB">
              <w:rPr>
                <w:sz w:val="20"/>
                <w:szCs w:val="20"/>
              </w:rPr>
              <w:t>Services Australia</w:t>
            </w:r>
            <w:r w:rsidRPr="00B75090">
              <w:rPr>
                <w:sz w:val="20"/>
                <w:szCs w:val="20"/>
              </w:rPr>
              <w:t xml:space="preserve"> will lift the Income Support Payment suspension once the </w:t>
            </w:r>
            <w:r>
              <w:rPr>
                <w:sz w:val="20"/>
                <w:szCs w:val="20"/>
              </w:rPr>
              <w:t>Participant</w:t>
            </w:r>
            <w:r w:rsidRPr="00B75090">
              <w:rPr>
                <w:sz w:val="20"/>
                <w:szCs w:val="20"/>
              </w:rPr>
              <w:t xml:space="preserve"> contacts them to participate in a Capability Assessment. </w:t>
            </w:r>
          </w:p>
          <w:p w14:paraId="1F9EC4F0" w14:textId="77777777" w:rsidR="00A64312" w:rsidRPr="00B75090" w:rsidRDefault="00A64312" w:rsidP="00B21902">
            <w:pPr>
              <w:rPr>
                <w:i/>
                <w:sz w:val="20"/>
                <w:szCs w:val="20"/>
              </w:rPr>
            </w:pPr>
            <w:r w:rsidRPr="00B75090">
              <w:rPr>
                <w:i/>
                <w:sz w:val="20"/>
                <w:szCs w:val="20"/>
              </w:rPr>
              <w:t>OR</w:t>
            </w:r>
          </w:p>
          <w:p w14:paraId="28F5E14A" w14:textId="52466774" w:rsidR="00A64312" w:rsidRPr="00B75090" w:rsidRDefault="00A64312">
            <w:pPr>
              <w:rPr>
                <w:sz w:val="20"/>
                <w:szCs w:val="20"/>
                <w:highlight w:val="magenta"/>
              </w:rPr>
            </w:pPr>
            <w:r w:rsidRPr="00B75090">
              <w:rPr>
                <w:sz w:val="20"/>
                <w:szCs w:val="20"/>
              </w:rPr>
              <w:t xml:space="preserve">When the Provider selects ‘Compliance action no longer appropriate’ on the Provider </w:t>
            </w:r>
            <w:r>
              <w:rPr>
                <w:sz w:val="20"/>
                <w:szCs w:val="20"/>
              </w:rPr>
              <w:t>Re</w:t>
            </w:r>
            <w:r>
              <w:rPr>
                <w:rFonts w:ascii="Cambria Math" w:hAnsi="Cambria Math" w:cs="Cambria Math"/>
                <w:sz w:val="20"/>
                <w:szCs w:val="20"/>
              </w:rPr>
              <w:t>‑</w:t>
            </w:r>
            <w:r>
              <w:rPr>
                <w:sz w:val="20"/>
                <w:szCs w:val="20"/>
              </w:rPr>
              <w:t>engagement</w:t>
            </w:r>
            <w:r w:rsidRPr="00B75090">
              <w:rPr>
                <w:sz w:val="20"/>
                <w:szCs w:val="20"/>
              </w:rPr>
              <w:t xml:space="preserve"> page. See the discussion on page</w:t>
            </w:r>
            <w:r>
              <w:rPr>
                <w:sz w:val="20"/>
                <w:szCs w:val="20"/>
              </w:rPr>
              <w:t> </w:t>
            </w:r>
            <w:r w:rsidR="00063E26">
              <w:rPr>
                <w:sz w:val="20"/>
                <w:szCs w:val="20"/>
                <w:highlight w:val="yellow"/>
              </w:rPr>
              <w:fldChar w:fldCharType="begin"/>
            </w:r>
            <w:r w:rsidR="00063E26">
              <w:rPr>
                <w:sz w:val="20"/>
                <w:szCs w:val="20"/>
              </w:rPr>
              <w:instrText xml:space="preserve"> PAGEREF Compliance_action_no_longer_appropriate \h </w:instrText>
            </w:r>
            <w:r w:rsidR="00063E26">
              <w:rPr>
                <w:sz w:val="20"/>
                <w:szCs w:val="20"/>
                <w:highlight w:val="yellow"/>
              </w:rPr>
            </w:r>
            <w:r w:rsidR="00063E26">
              <w:rPr>
                <w:sz w:val="20"/>
                <w:szCs w:val="20"/>
                <w:highlight w:val="yellow"/>
              </w:rPr>
              <w:fldChar w:fldCharType="separate"/>
            </w:r>
            <w:r w:rsidR="00666D4F">
              <w:rPr>
                <w:noProof/>
                <w:sz w:val="20"/>
                <w:szCs w:val="20"/>
              </w:rPr>
              <w:t>26</w:t>
            </w:r>
            <w:r w:rsidR="00063E26">
              <w:rPr>
                <w:sz w:val="20"/>
                <w:szCs w:val="20"/>
                <w:highlight w:val="yellow"/>
              </w:rPr>
              <w:fldChar w:fldCharType="end"/>
            </w:r>
            <w:r w:rsidRPr="00B75090">
              <w:rPr>
                <w:sz w:val="20"/>
                <w:szCs w:val="20"/>
              </w:rPr>
              <w:t xml:space="preserve"> of this Guideline regarding when a Provider must select ‘Compliance action no longer appropriate’.</w:t>
            </w:r>
          </w:p>
        </w:tc>
      </w:tr>
      <w:tr w:rsidR="00A64312" w:rsidRPr="00B75090" w14:paraId="669F1227" w14:textId="77777777" w:rsidTr="00B21902">
        <w:tc>
          <w:tcPr>
            <w:tcW w:w="795" w:type="pct"/>
            <w:vMerge/>
          </w:tcPr>
          <w:p w14:paraId="0ABA5C87" w14:textId="77777777" w:rsidR="00A64312" w:rsidRPr="00B75090" w:rsidRDefault="00A64312" w:rsidP="00B21902">
            <w:pPr>
              <w:ind w:left="720"/>
              <w:contextualSpacing/>
              <w:rPr>
                <w:sz w:val="20"/>
                <w:szCs w:val="20"/>
              </w:rPr>
            </w:pPr>
          </w:p>
        </w:tc>
        <w:tc>
          <w:tcPr>
            <w:tcW w:w="759" w:type="pct"/>
          </w:tcPr>
          <w:p w14:paraId="2A7C5C05" w14:textId="77777777" w:rsidR="00A64312" w:rsidRPr="00B75090" w:rsidRDefault="00A64312" w:rsidP="00B21902">
            <w:pPr>
              <w:rPr>
                <w:sz w:val="20"/>
                <w:szCs w:val="20"/>
              </w:rPr>
            </w:pPr>
            <w:r w:rsidRPr="00B75090">
              <w:rPr>
                <w:sz w:val="20"/>
                <w:szCs w:val="20"/>
              </w:rPr>
              <w:t>If the Provider assesses that submitted Job Search efforts are not of satisfactory quality to have satisfactorily met their requirement, payment is suspended when the Provider records an ‘Unsatisfactory’ assessment result in the Job Search Reporting page.</w:t>
            </w:r>
          </w:p>
        </w:tc>
        <w:tc>
          <w:tcPr>
            <w:tcW w:w="799" w:type="pct"/>
          </w:tcPr>
          <w:p w14:paraId="7FE2EF66" w14:textId="77777777" w:rsidR="00A64312" w:rsidRPr="00B75090" w:rsidRDefault="00A64312" w:rsidP="00B21902">
            <w:pPr>
              <w:rPr>
                <w:sz w:val="20"/>
                <w:szCs w:val="20"/>
              </w:rPr>
            </w:pPr>
            <w:r w:rsidRPr="00B75090">
              <w:rPr>
                <w:sz w:val="20"/>
                <w:szCs w:val="20"/>
              </w:rPr>
              <w:t>When the Provider records an ‘Unsatisfactory’ assessment result in the Job Search Reporting page.</w:t>
            </w:r>
          </w:p>
        </w:tc>
        <w:tc>
          <w:tcPr>
            <w:tcW w:w="751" w:type="pct"/>
          </w:tcPr>
          <w:p w14:paraId="4007161D" w14:textId="77777777" w:rsidR="00A64312" w:rsidRPr="00B75090" w:rsidRDefault="00A64312" w:rsidP="00B21902">
            <w:pPr>
              <w:rPr>
                <w:sz w:val="20"/>
                <w:szCs w:val="20"/>
              </w:rPr>
            </w:pPr>
            <w:r w:rsidRPr="00B75090">
              <w:rPr>
                <w:sz w:val="20"/>
                <w:szCs w:val="20"/>
              </w:rPr>
              <w:t xml:space="preserve">When the Provider records the </w:t>
            </w:r>
            <w:proofErr w:type="gramStart"/>
            <w:r w:rsidRPr="00B75090">
              <w:rPr>
                <w:sz w:val="20"/>
                <w:szCs w:val="20"/>
              </w:rPr>
              <w:t>reason</w:t>
            </w:r>
            <w:proofErr w:type="gramEnd"/>
            <w:r w:rsidRPr="00B75090">
              <w:rPr>
                <w:sz w:val="20"/>
                <w:szCs w:val="20"/>
              </w:rPr>
              <w:t xml:space="preserve"> they did not accept as a Valid Reason in the Department’s IT Systems.</w:t>
            </w:r>
          </w:p>
          <w:p w14:paraId="6AE82C53" w14:textId="602786FF" w:rsidR="00A64312" w:rsidRPr="00B75090" w:rsidRDefault="00A64312">
            <w:pPr>
              <w:rPr>
                <w:sz w:val="20"/>
                <w:szCs w:val="20"/>
              </w:rPr>
            </w:pPr>
            <w:r w:rsidRPr="00B75090">
              <w:rPr>
                <w:sz w:val="20"/>
                <w:szCs w:val="20"/>
              </w:rPr>
              <w:t>See the discussion on page</w:t>
            </w:r>
            <w:r>
              <w:rPr>
                <w:sz w:val="20"/>
                <w:szCs w:val="20"/>
              </w:rPr>
              <w:t> </w:t>
            </w:r>
            <w:r w:rsidR="00063E26">
              <w:rPr>
                <w:sz w:val="20"/>
                <w:szCs w:val="20"/>
                <w:highlight w:val="yellow"/>
              </w:rPr>
              <w:fldChar w:fldCharType="begin"/>
            </w:r>
            <w:r w:rsidR="00063E26">
              <w:rPr>
                <w:sz w:val="20"/>
                <w:szCs w:val="20"/>
              </w:rPr>
              <w:instrText xml:space="preserve"> PAGEREF DNAI \h </w:instrText>
            </w:r>
            <w:r w:rsidR="00063E26">
              <w:rPr>
                <w:sz w:val="20"/>
                <w:szCs w:val="20"/>
                <w:highlight w:val="yellow"/>
              </w:rPr>
            </w:r>
            <w:r w:rsidR="00063E26">
              <w:rPr>
                <w:sz w:val="20"/>
                <w:szCs w:val="20"/>
                <w:highlight w:val="yellow"/>
              </w:rPr>
              <w:fldChar w:fldCharType="separate"/>
            </w:r>
            <w:r w:rsidR="00666D4F">
              <w:rPr>
                <w:noProof/>
                <w:sz w:val="20"/>
                <w:szCs w:val="20"/>
              </w:rPr>
              <w:t>20</w:t>
            </w:r>
            <w:r w:rsidR="00063E26">
              <w:rPr>
                <w:sz w:val="20"/>
                <w:szCs w:val="20"/>
                <w:highlight w:val="yellow"/>
              </w:rPr>
              <w:fldChar w:fldCharType="end"/>
            </w:r>
            <w:r w:rsidRPr="00B75090">
              <w:rPr>
                <w:sz w:val="20"/>
                <w:szCs w:val="20"/>
              </w:rPr>
              <w:t xml:space="preserve"> of this Guideline regarding when a Provider must select a description of the </w:t>
            </w:r>
            <w:r>
              <w:rPr>
                <w:sz w:val="20"/>
                <w:szCs w:val="20"/>
              </w:rPr>
              <w:t>Participant</w:t>
            </w:r>
            <w:r w:rsidRPr="00B75090">
              <w:rPr>
                <w:sz w:val="20"/>
                <w:szCs w:val="20"/>
              </w:rPr>
              <w:t>’s reason that was not a Valid Reason.</w:t>
            </w:r>
          </w:p>
        </w:tc>
        <w:tc>
          <w:tcPr>
            <w:tcW w:w="1896" w:type="pct"/>
            <w:vMerge/>
          </w:tcPr>
          <w:p w14:paraId="67F96B87" w14:textId="77777777" w:rsidR="00A64312" w:rsidRPr="00B75090" w:rsidRDefault="00A64312" w:rsidP="00B21902">
            <w:pPr>
              <w:rPr>
                <w:sz w:val="20"/>
                <w:szCs w:val="20"/>
              </w:rPr>
            </w:pPr>
          </w:p>
        </w:tc>
      </w:tr>
    </w:tbl>
    <w:p w14:paraId="2357DBE6" w14:textId="77777777" w:rsidR="00A64312" w:rsidRDefault="00A64312">
      <w:pPr>
        <w:spacing w:before="0" w:after="0"/>
        <w:rPr>
          <w:rFonts w:eastAsiaTheme="majorEastAsia" w:cstheme="majorBidi"/>
          <w:b/>
          <w:bCs/>
          <w:sz w:val="24"/>
        </w:rPr>
      </w:pPr>
      <w:r>
        <w:br w:type="page"/>
      </w:r>
    </w:p>
    <w:p w14:paraId="7EB19241" w14:textId="74CF532C" w:rsidR="008B5CBE" w:rsidRPr="005B6382" w:rsidRDefault="008B5CBE" w:rsidP="005B6382">
      <w:pPr>
        <w:pStyle w:val="Heading2"/>
        <w:spacing w:before="0"/>
        <w:ind w:left="567" w:hanging="567"/>
        <w:rPr>
          <w:sz w:val="28"/>
        </w:rPr>
      </w:pPr>
      <w:bookmarkStart w:id="119" w:name="_Toc177568234"/>
      <w:r w:rsidRPr="005B6382">
        <w:rPr>
          <w:sz w:val="28"/>
        </w:rPr>
        <w:t xml:space="preserve">Attachment </w:t>
      </w:r>
      <w:r w:rsidR="00A64312" w:rsidRPr="005B6382">
        <w:rPr>
          <w:sz w:val="28"/>
        </w:rPr>
        <w:t xml:space="preserve">B </w:t>
      </w:r>
      <w:r w:rsidRPr="005B6382">
        <w:rPr>
          <w:sz w:val="28"/>
        </w:rPr>
        <w:t>- Overview of the Targeted Compliance Framework</w:t>
      </w:r>
      <w:bookmarkEnd w:id="116"/>
      <w:bookmarkEnd w:id="119"/>
    </w:p>
    <w:p w14:paraId="7D44D680" w14:textId="76011399" w:rsidR="008B5CBE" w:rsidRDefault="008B5CBE" w:rsidP="008B5CBE">
      <w:pPr>
        <w:pStyle w:val="guidelinebullet"/>
      </w:pPr>
    </w:p>
    <w:p w14:paraId="2259BCE2" w14:textId="77777777" w:rsidR="00A64312" w:rsidRDefault="00A64312" w:rsidP="008B5CBE">
      <w:pPr>
        <w:pStyle w:val="guidelinebullet"/>
      </w:pPr>
    </w:p>
    <w:bookmarkEnd w:id="29"/>
    <w:p w14:paraId="54E5D553" w14:textId="1E2B628F" w:rsidR="008B5CBE" w:rsidRDefault="00742BDF" w:rsidP="008B5CBE">
      <w:pPr>
        <w:pStyle w:val="guidelinebullet"/>
      </w:pPr>
      <w:r>
        <w:rPr>
          <w:noProof/>
          <w:lang w:eastAsia="en-AU"/>
        </w:rPr>
        <w:drawing>
          <wp:inline distT="0" distB="0" distL="0" distR="0" wp14:anchorId="238E4594" wp14:editId="5A79068C">
            <wp:extent cx="8863330" cy="4421342"/>
            <wp:effectExtent l="0" t="0" r="0" b="0"/>
            <wp:docPr id="6" name="Picture 6" descr="An overview of the Targeted Compliance Framework giving an end to end visual for the process. This flowchart will assist Providers in navigating the Targeted Compliance Framework. " title="Overview of the T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3330" cy="4421342"/>
                    </a:xfrm>
                    <a:prstGeom prst="rect">
                      <a:avLst/>
                    </a:prstGeom>
                  </pic:spPr>
                </pic:pic>
              </a:graphicData>
            </a:graphic>
          </wp:inline>
        </w:drawing>
      </w:r>
    </w:p>
    <w:p w14:paraId="1035AF7E" w14:textId="77777777" w:rsidR="00155727" w:rsidRDefault="00155727" w:rsidP="008B5CBE">
      <w:pPr>
        <w:pStyle w:val="guidelinebullet"/>
        <w:sectPr w:rsidR="00155727" w:rsidSect="008B5CBE">
          <w:pgSz w:w="16838" w:h="11906" w:orient="landscape" w:code="9"/>
          <w:pgMar w:top="1440" w:right="1440" w:bottom="1440" w:left="1440" w:header="708" w:footer="170" w:gutter="0"/>
          <w:cols w:space="708"/>
          <w:titlePg/>
          <w:docGrid w:linePitch="360"/>
        </w:sectPr>
      </w:pPr>
    </w:p>
    <w:p w14:paraId="71C4C355" w14:textId="77777777" w:rsidR="00B21902" w:rsidRPr="005B6382" w:rsidRDefault="00B21902" w:rsidP="005B6382">
      <w:pPr>
        <w:pStyle w:val="Heading2"/>
        <w:spacing w:before="0"/>
        <w:ind w:left="567" w:hanging="567"/>
        <w:rPr>
          <w:sz w:val="28"/>
        </w:rPr>
      </w:pPr>
      <w:bookmarkStart w:id="120" w:name="_Toc21095889"/>
      <w:bookmarkStart w:id="121" w:name="_Toc177568235"/>
      <w:bookmarkStart w:id="122" w:name="_Toc527715472"/>
      <w:bookmarkStart w:id="123" w:name="_Toc511902197"/>
      <w:bookmarkStart w:id="124" w:name="_Toc515518507"/>
      <w:r w:rsidRPr="005B6382">
        <w:rPr>
          <w:sz w:val="28"/>
        </w:rPr>
        <w:t>Attachment C—‘Rescheduled’, ‘No Longer Required’ and ‘Requirement no longer needs to be met’ reason options</w:t>
      </w:r>
      <w:bookmarkEnd w:id="120"/>
      <w:bookmarkEnd w:id="121"/>
    </w:p>
    <w:tbl>
      <w:tblPr>
        <w:tblStyle w:val="ListTable2"/>
        <w:tblW w:w="0" w:type="auto"/>
        <w:tblLook w:val="0620" w:firstRow="1" w:lastRow="0" w:firstColumn="0" w:lastColumn="0" w:noHBand="1" w:noVBand="1"/>
        <w:tblCaption w:val="'Rescheduled' and 'No Longer Required'  reason options"/>
        <w:tblDescription w:val="This table lists all of the system drop-downs that are available to a Provider when they record 'Rescheduled' or 'No Longer Required' against a requirement in the Department's IT System."/>
      </w:tblPr>
      <w:tblGrid>
        <w:gridCol w:w="4508"/>
        <w:gridCol w:w="4508"/>
      </w:tblGrid>
      <w:tr w:rsidR="00B21902" w:rsidRPr="00E100FF" w14:paraId="55DE0A23"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24867909" w14:textId="77777777" w:rsidR="00B21902" w:rsidRPr="00E100FF" w:rsidRDefault="00B21902" w:rsidP="00B21902">
            <w:r w:rsidRPr="00E100FF">
              <w:t>‘Rescheduled’ or ‘No Longer Required’</w:t>
            </w:r>
          </w:p>
        </w:tc>
      </w:tr>
      <w:tr w:rsidR="00B21902" w:rsidRPr="00E100FF" w14:paraId="507BD25C" w14:textId="77777777" w:rsidTr="00B21902">
        <w:tc>
          <w:tcPr>
            <w:tcW w:w="4508" w:type="dxa"/>
          </w:tcPr>
          <w:p w14:paraId="4237BF93"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Reason—Caring/family reasons</w:t>
            </w:r>
          </w:p>
          <w:p w14:paraId="6FBD4297"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Reason—Housing—instability issues/inspections</w:t>
            </w:r>
          </w:p>
          <w:p w14:paraId="4AB0930A"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Reason—Legal requirements</w:t>
            </w:r>
          </w:p>
          <w:p w14:paraId="7305CDF5"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Reason—Travel/transport—access/financial issues</w:t>
            </w:r>
          </w:p>
          <w:p w14:paraId="40BB1C5A"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Reason—Local issue/natural disaster</w:t>
            </w:r>
          </w:p>
          <w:p w14:paraId="653B7558" w14:textId="77777777" w:rsidR="00B21902" w:rsidRPr="00E100FF" w:rsidRDefault="00B21902" w:rsidP="00B21902">
            <w:pPr>
              <w:pStyle w:val="guidelinetext"/>
              <w:numPr>
                <w:ilvl w:val="0"/>
                <w:numId w:val="28"/>
              </w:numPr>
              <w:spacing w:before="60" w:after="60" w:line="240" w:lineRule="auto"/>
              <w:ind w:left="284" w:hanging="284"/>
            </w:pPr>
            <w:r w:rsidRPr="00E100FF">
              <w:t xml:space="preserve">Reason not </w:t>
            </w:r>
            <w:proofErr w:type="gramStart"/>
            <w:r w:rsidRPr="00E100FF">
              <w:t>acceptable—flexibility</w:t>
            </w:r>
            <w:proofErr w:type="gramEnd"/>
            <w:r w:rsidRPr="00E100FF">
              <w:t xml:space="preserve"> utilised</w:t>
            </w:r>
          </w:p>
        </w:tc>
        <w:tc>
          <w:tcPr>
            <w:tcW w:w="4508" w:type="dxa"/>
          </w:tcPr>
          <w:p w14:paraId="3511AA34"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Reason—Cultural business</w:t>
            </w:r>
          </w:p>
          <w:p w14:paraId="01BB62B0" w14:textId="761810B2" w:rsidR="00B21902" w:rsidRPr="00E100FF" w:rsidRDefault="00B21902" w:rsidP="00B21902">
            <w:pPr>
              <w:pStyle w:val="guidelinetext"/>
              <w:numPr>
                <w:ilvl w:val="0"/>
                <w:numId w:val="28"/>
              </w:numPr>
              <w:spacing w:before="240" w:after="60" w:line="240" w:lineRule="auto"/>
              <w:ind w:left="284" w:hanging="284"/>
            </w:pPr>
            <w:r w:rsidRPr="00E100FF">
              <w:t>Acceptable Reason—Major personal crisis affecting job seeker</w:t>
            </w:r>
          </w:p>
          <w:p w14:paraId="0CC5AC98"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Reason—Medical/health reason</w:t>
            </w:r>
          </w:p>
          <w:p w14:paraId="167AEE9C" w14:textId="77777777" w:rsidR="00B21902" w:rsidRPr="00E100FF" w:rsidRDefault="00B21902" w:rsidP="00B21902">
            <w:pPr>
              <w:pStyle w:val="guidelinetext"/>
              <w:numPr>
                <w:ilvl w:val="0"/>
                <w:numId w:val="28"/>
              </w:numPr>
              <w:spacing w:before="60" w:after="60" w:line="240" w:lineRule="auto"/>
              <w:ind w:left="284" w:hanging="284"/>
            </w:pPr>
            <w:r w:rsidRPr="00E100FF">
              <w:t>Acceptable Reason—Working on day of requirement</w:t>
            </w:r>
          </w:p>
          <w:p w14:paraId="0520814D" w14:textId="77777777" w:rsidR="00B21902" w:rsidRPr="00E100FF" w:rsidRDefault="00B21902" w:rsidP="00B21902">
            <w:pPr>
              <w:pStyle w:val="guidelinetext"/>
              <w:numPr>
                <w:ilvl w:val="0"/>
                <w:numId w:val="28"/>
              </w:numPr>
              <w:spacing w:before="60" w:after="60" w:line="240" w:lineRule="auto"/>
              <w:ind w:left="284" w:hanging="284"/>
            </w:pPr>
            <w:r w:rsidRPr="00E100FF">
              <w:t>Provider Initiated—Requirement can’t be delivered</w:t>
            </w:r>
          </w:p>
          <w:p w14:paraId="4B0D18C3" w14:textId="77777777" w:rsidR="00B21902" w:rsidRPr="00E100FF" w:rsidRDefault="00B21902" w:rsidP="00B21902">
            <w:pPr>
              <w:pStyle w:val="guidelinetext"/>
              <w:spacing w:before="60" w:after="60" w:line="240" w:lineRule="auto"/>
              <w:ind w:left="284"/>
            </w:pPr>
          </w:p>
        </w:tc>
      </w:tr>
    </w:tbl>
    <w:p w14:paraId="3941E997" w14:textId="77777777" w:rsidR="00B21902" w:rsidRPr="00E100FF" w:rsidRDefault="00B21902" w:rsidP="00B21902">
      <w:pPr>
        <w:pStyle w:val="guidelinetext"/>
        <w:ind w:left="0"/>
      </w:pPr>
    </w:p>
    <w:tbl>
      <w:tblPr>
        <w:tblStyle w:val="ListTable2"/>
        <w:tblW w:w="0" w:type="auto"/>
        <w:tblLook w:val="0420" w:firstRow="1" w:lastRow="0" w:firstColumn="0" w:lastColumn="0" w:noHBand="0" w:noVBand="1"/>
        <w:tblCaption w:val="'Requirement no longer needs to be met' reason options"/>
        <w:tblDescription w:val="This table lists all of the system drop-downs that are available to a Provider when they record 'Requirement no longer needs to be met' against a Job Search Requirement in the Department's IT System."/>
      </w:tblPr>
      <w:tblGrid>
        <w:gridCol w:w="4508"/>
        <w:gridCol w:w="4508"/>
      </w:tblGrid>
      <w:tr w:rsidR="00B21902" w:rsidRPr="00E100FF" w14:paraId="2F4508D7"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30AB1B5A" w14:textId="77777777" w:rsidR="00B21902" w:rsidRPr="00E100FF" w:rsidRDefault="00B21902" w:rsidP="00B21902">
            <w:r w:rsidRPr="00E100FF">
              <w:t>‘Requirement no longer needs to be met’</w:t>
            </w:r>
          </w:p>
        </w:tc>
      </w:tr>
      <w:tr w:rsidR="00B21902" w:rsidRPr="00E100FF" w14:paraId="3499019E"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tcPr>
          <w:p w14:paraId="0670DBFA" w14:textId="77777777" w:rsidR="00B21902" w:rsidRPr="00E100FF" w:rsidRDefault="00B21902" w:rsidP="00B21902">
            <w:pPr>
              <w:spacing w:before="60" w:after="60"/>
              <w:rPr>
                <w:b/>
                <w:bCs/>
              </w:rPr>
            </w:pPr>
            <w:r w:rsidRPr="00E100FF">
              <w:rPr>
                <w:b/>
                <w:bCs/>
              </w:rPr>
              <w:t>Job Search</w:t>
            </w:r>
          </w:p>
        </w:tc>
        <w:tc>
          <w:tcPr>
            <w:tcW w:w="4508" w:type="dxa"/>
          </w:tcPr>
          <w:p w14:paraId="32B3BE51" w14:textId="77777777" w:rsidR="00B21902" w:rsidRPr="00E100FF" w:rsidRDefault="00B21902" w:rsidP="00B21902">
            <w:pPr>
              <w:spacing w:before="60" w:after="60"/>
              <w:rPr>
                <w:b/>
              </w:rPr>
            </w:pPr>
            <w:r w:rsidRPr="00E100FF">
              <w:rPr>
                <w:b/>
              </w:rPr>
              <w:t>Job referrals</w:t>
            </w:r>
          </w:p>
        </w:tc>
      </w:tr>
      <w:tr w:rsidR="00B21902" w:rsidRPr="00E100FF" w14:paraId="5234B91C" w14:textId="77777777" w:rsidTr="00B21902">
        <w:tc>
          <w:tcPr>
            <w:tcW w:w="4508" w:type="dxa"/>
          </w:tcPr>
          <w:p w14:paraId="6CDFDC38" w14:textId="77777777" w:rsidR="00B21902" w:rsidRPr="00E100FF" w:rsidRDefault="00B21902" w:rsidP="00B21902">
            <w:pPr>
              <w:pStyle w:val="guidelinetext"/>
              <w:numPr>
                <w:ilvl w:val="0"/>
                <w:numId w:val="28"/>
              </w:numPr>
              <w:spacing w:before="60" w:after="60" w:line="240" w:lineRule="auto"/>
              <w:ind w:left="284" w:hanging="284"/>
            </w:pPr>
            <w:r w:rsidRPr="00E100FF">
              <w:t>Job Plan requires update to reflect new job search efforts</w:t>
            </w:r>
          </w:p>
          <w:p w14:paraId="631037AB" w14:textId="77777777" w:rsidR="00B21902" w:rsidRPr="00E100FF" w:rsidRDefault="00B21902" w:rsidP="00B21902">
            <w:pPr>
              <w:pStyle w:val="guidelinetext"/>
              <w:numPr>
                <w:ilvl w:val="0"/>
                <w:numId w:val="28"/>
              </w:numPr>
              <w:spacing w:before="60" w:after="60" w:line="240" w:lineRule="auto"/>
              <w:ind w:left="284" w:hanging="284"/>
            </w:pPr>
            <w:r w:rsidRPr="00E100FF">
              <w:t>Paid work impacting level of job search</w:t>
            </w:r>
          </w:p>
          <w:p w14:paraId="0034878C" w14:textId="3D2CF9EB" w:rsidR="00B21902" w:rsidRPr="00E100FF" w:rsidRDefault="00B21902" w:rsidP="00B21902">
            <w:pPr>
              <w:pStyle w:val="guidelinetext"/>
              <w:numPr>
                <w:ilvl w:val="0"/>
                <w:numId w:val="28"/>
              </w:numPr>
              <w:spacing w:before="60" w:after="60" w:line="240" w:lineRule="auto"/>
              <w:ind w:left="284" w:hanging="284"/>
            </w:pPr>
            <w:r w:rsidRPr="00E100FF">
              <w:t>Major personal crisis impacting job seeker</w:t>
            </w:r>
          </w:p>
          <w:p w14:paraId="7A40B2F7" w14:textId="77777777" w:rsidR="00B21902" w:rsidRPr="00E100FF" w:rsidRDefault="00B21902" w:rsidP="00B21902">
            <w:pPr>
              <w:pStyle w:val="guidelinetext"/>
              <w:numPr>
                <w:ilvl w:val="0"/>
                <w:numId w:val="28"/>
              </w:numPr>
              <w:spacing w:before="60" w:after="60" w:line="240" w:lineRule="auto"/>
              <w:ind w:left="284" w:hanging="284"/>
            </w:pPr>
            <w:r w:rsidRPr="00E100FF">
              <w:t>Ongoing local issue/natural disaster impacts ongoing compliance</w:t>
            </w:r>
          </w:p>
          <w:p w14:paraId="1F1E94E9"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73437526" w14:textId="77777777" w:rsidR="00B21902" w:rsidRPr="00E100FF" w:rsidRDefault="00B21902" w:rsidP="00B21902">
            <w:pPr>
              <w:pStyle w:val="guidelinetext"/>
              <w:numPr>
                <w:ilvl w:val="0"/>
                <w:numId w:val="28"/>
              </w:numPr>
              <w:spacing w:before="60" w:after="60" w:line="240" w:lineRule="auto"/>
              <w:ind w:left="284" w:hanging="284"/>
            </w:pPr>
            <w:r w:rsidRPr="00E100FF">
              <w:t>Significant and ongoing caring/family duties—no exemption</w:t>
            </w:r>
          </w:p>
          <w:p w14:paraId="7DF23015" w14:textId="77777777" w:rsidR="00B21902" w:rsidRPr="00E100FF" w:rsidRDefault="00B21902" w:rsidP="00B21902">
            <w:pPr>
              <w:pStyle w:val="guidelinetext"/>
              <w:numPr>
                <w:ilvl w:val="0"/>
                <w:numId w:val="28"/>
              </w:numPr>
              <w:spacing w:before="60" w:after="60" w:line="240" w:lineRule="auto"/>
              <w:ind w:left="284" w:hanging="284"/>
            </w:pPr>
            <w:r w:rsidRPr="00E100FF">
              <w:t>Significant and ongoing medical/health issues—no exemption</w:t>
            </w:r>
          </w:p>
        </w:tc>
        <w:tc>
          <w:tcPr>
            <w:tcW w:w="4508" w:type="dxa"/>
          </w:tcPr>
          <w:p w14:paraId="4F2B8A71" w14:textId="77777777" w:rsidR="00B21902" w:rsidRPr="00E100FF" w:rsidRDefault="00B21902" w:rsidP="00B21902">
            <w:pPr>
              <w:pStyle w:val="guidelinetext"/>
              <w:numPr>
                <w:ilvl w:val="0"/>
                <w:numId w:val="28"/>
              </w:numPr>
              <w:spacing w:before="60" w:after="60" w:line="240" w:lineRule="auto"/>
              <w:ind w:left="284" w:hanging="284"/>
            </w:pPr>
            <w:r w:rsidRPr="00E100FF">
              <w:t>Applications closed/Vacancy withdrawn</w:t>
            </w:r>
          </w:p>
          <w:p w14:paraId="546AF1C8"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w:t>
            </w:r>
          </w:p>
          <w:p w14:paraId="25CA729B" w14:textId="77777777" w:rsidR="00B21902" w:rsidRPr="00E100FF" w:rsidRDefault="00B21902" w:rsidP="00B21902">
            <w:pPr>
              <w:pStyle w:val="guidelinetext"/>
              <w:numPr>
                <w:ilvl w:val="0"/>
                <w:numId w:val="28"/>
              </w:numPr>
              <w:spacing w:before="60" w:after="60" w:line="240" w:lineRule="auto"/>
              <w:ind w:left="284" w:hanging="284"/>
            </w:pPr>
            <w:r w:rsidRPr="00E100FF">
              <w:t>Conditions or pay not suitable</w:t>
            </w:r>
          </w:p>
          <w:p w14:paraId="629B5BD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instability/emergency</w:t>
            </w:r>
          </w:p>
          <w:p w14:paraId="7D1EC4B4"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w:t>
            </w:r>
          </w:p>
          <w:p w14:paraId="206D34CA"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w:t>
            </w:r>
          </w:p>
          <w:p w14:paraId="188EE58E" w14:textId="77777777" w:rsidR="00B21902" w:rsidRPr="00E100FF" w:rsidRDefault="00B21902" w:rsidP="00B21902">
            <w:pPr>
              <w:pStyle w:val="guidelinetext"/>
              <w:numPr>
                <w:ilvl w:val="0"/>
                <w:numId w:val="28"/>
              </w:numPr>
              <w:spacing w:before="60" w:after="60" w:line="240" w:lineRule="auto"/>
              <w:ind w:left="284" w:hanging="284"/>
            </w:pPr>
            <w:r w:rsidRPr="00E100FF">
              <w:t>Medical/health issue</w:t>
            </w:r>
          </w:p>
          <w:p w14:paraId="3D092698" w14:textId="017C8ADC" w:rsidR="00B21902" w:rsidRPr="00E100FF" w:rsidRDefault="00B21902" w:rsidP="00B21902">
            <w:pPr>
              <w:pStyle w:val="guidelinetext"/>
              <w:numPr>
                <w:ilvl w:val="0"/>
                <w:numId w:val="28"/>
              </w:numPr>
              <w:spacing w:before="60" w:after="60" w:line="240" w:lineRule="auto"/>
              <w:ind w:left="284" w:hanging="284"/>
            </w:pPr>
            <w:r w:rsidRPr="00E100FF">
              <w:t>Major personal crisis affecting job seeker</w:t>
            </w:r>
          </w:p>
          <w:p w14:paraId="231A5CED" w14:textId="77777777" w:rsidR="00B21902" w:rsidRPr="00E100FF" w:rsidRDefault="00B21902" w:rsidP="00B21902">
            <w:pPr>
              <w:pStyle w:val="guidelinetext"/>
              <w:numPr>
                <w:ilvl w:val="0"/>
                <w:numId w:val="28"/>
              </w:numPr>
              <w:spacing w:before="60" w:after="60" w:line="240" w:lineRule="auto"/>
              <w:ind w:left="284" w:hanging="284"/>
            </w:pPr>
            <w:r w:rsidRPr="00E100FF">
              <w:t>Position no longer suitable</w:t>
            </w:r>
          </w:p>
          <w:p w14:paraId="456BC36B" w14:textId="77777777" w:rsidR="00B21902" w:rsidRPr="00E100FF" w:rsidRDefault="00B21902" w:rsidP="00B21902">
            <w:pPr>
              <w:pStyle w:val="guidelinetext"/>
              <w:numPr>
                <w:ilvl w:val="0"/>
                <w:numId w:val="28"/>
              </w:numPr>
              <w:spacing w:before="60" w:after="60" w:line="240" w:lineRule="auto"/>
              <w:ind w:left="284" w:hanging="284"/>
            </w:pPr>
            <w:r w:rsidRPr="00E100FF">
              <w:t>Referral created in error</w:t>
            </w:r>
          </w:p>
        </w:tc>
      </w:tr>
    </w:tbl>
    <w:p w14:paraId="4BAE4DD3" w14:textId="30F142F1" w:rsidR="00B21902" w:rsidRDefault="00B21902" w:rsidP="00B21902">
      <w:r w:rsidRPr="00E100FF">
        <w:br w:type="page"/>
      </w:r>
    </w:p>
    <w:p w14:paraId="43B7ADED" w14:textId="05210F1B" w:rsidR="0016422B" w:rsidRPr="005B6382" w:rsidRDefault="0016422B" w:rsidP="005B6382">
      <w:pPr>
        <w:pStyle w:val="Heading2"/>
        <w:spacing w:before="0"/>
        <w:ind w:left="567" w:hanging="567"/>
        <w:rPr>
          <w:sz w:val="28"/>
        </w:rPr>
      </w:pPr>
      <w:bookmarkStart w:id="125" w:name="_Toc70944014"/>
      <w:bookmarkStart w:id="126" w:name="_Toc177568236"/>
      <w:r w:rsidRPr="005B6382">
        <w:rPr>
          <w:sz w:val="28"/>
        </w:rPr>
        <w:t>Attachment D – Targeted Compliance Framework (TCF) workflow</w:t>
      </w:r>
      <w:bookmarkEnd w:id="125"/>
      <w:bookmarkEnd w:id="126"/>
    </w:p>
    <w:p w14:paraId="789838A8" w14:textId="0A08EEE2" w:rsidR="0016422B" w:rsidRDefault="0016422B" w:rsidP="0016422B">
      <w:pPr>
        <w:pStyle w:val="guidelinetext"/>
        <w:ind w:left="0"/>
      </w:pPr>
      <w:r w:rsidRPr="00D804A9">
        <w:t xml:space="preserve">The following table describes the </w:t>
      </w:r>
      <w:bookmarkStart w:id="127" w:name="_Hlk66721344"/>
      <w:r w:rsidRPr="00D804A9">
        <w:t xml:space="preserve">TCF workflow </w:t>
      </w:r>
      <w:bookmarkEnd w:id="127"/>
      <w:r w:rsidRPr="00D804A9">
        <w:t xml:space="preserve">Providers must </w:t>
      </w:r>
      <w:r w:rsidRPr="00542D0B">
        <w:t>undertake</w:t>
      </w:r>
      <w:r>
        <w:t xml:space="preserve"> when the Provider considers that the TCF cannot be applied but the Participant has been non-compliant.</w:t>
      </w:r>
    </w:p>
    <w:p w14:paraId="02C283E4" w14:textId="77777777" w:rsidR="0016422B" w:rsidRDefault="0016422B" w:rsidP="0016422B"/>
    <w:tbl>
      <w:tblPr>
        <w:tblStyle w:val="TableGrid"/>
        <w:tblW w:w="9072" w:type="dxa"/>
        <w:tblInd w:w="-5" w:type="dxa"/>
        <w:tblLook w:val="04A0" w:firstRow="1" w:lastRow="0" w:firstColumn="1" w:lastColumn="0" w:noHBand="0" w:noVBand="1"/>
        <w:tblCaption w:val="Table describes the TCF workflow Providers must undertake when the Provider considers that the TCF cannot be applied but the Participant has been non-compliant."/>
        <w:tblDescription w:val="Table describes the TCF workflow Providers must undertake when the Provider considers that the TCF cannot be applied but the Participant has been non-compliant."/>
      </w:tblPr>
      <w:tblGrid>
        <w:gridCol w:w="1418"/>
        <w:gridCol w:w="3402"/>
        <w:gridCol w:w="4252"/>
      </w:tblGrid>
      <w:tr w:rsidR="0016422B" w:rsidRPr="008071BD" w14:paraId="19B0BC7D" w14:textId="77777777" w:rsidTr="008E3348">
        <w:trPr>
          <w:trHeight w:val="500"/>
          <w:tblHeader/>
        </w:trPr>
        <w:tc>
          <w:tcPr>
            <w:tcW w:w="1418" w:type="dxa"/>
            <w:shd w:val="clear" w:color="auto" w:fill="EEECE1" w:themeFill="background2"/>
            <w:vAlign w:val="center"/>
          </w:tcPr>
          <w:p w14:paraId="7B4A62DE" w14:textId="77777777" w:rsidR="0016422B" w:rsidRPr="008071BD" w:rsidRDefault="0016422B" w:rsidP="001A1F5C">
            <w:pPr>
              <w:rPr>
                <w:rFonts w:cstheme="minorHAnsi"/>
                <w:sz w:val="20"/>
                <w:szCs w:val="20"/>
              </w:rPr>
            </w:pPr>
            <w:bookmarkStart w:id="128" w:name="_Hlk65829748"/>
            <w:r w:rsidRPr="008071BD">
              <w:rPr>
                <w:rFonts w:cstheme="minorHAnsi"/>
                <w:b/>
                <w:bCs/>
                <w:color w:val="000000"/>
                <w:sz w:val="20"/>
                <w:szCs w:val="20"/>
              </w:rPr>
              <w:t>Reason</w:t>
            </w:r>
          </w:p>
        </w:tc>
        <w:tc>
          <w:tcPr>
            <w:tcW w:w="3402" w:type="dxa"/>
            <w:shd w:val="clear" w:color="auto" w:fill="EEECE1" w:themeFill="background2"/>
            <w:vAlign w:val="center"/>
          </w:tcPr>
          <w:p w14:paraId="6FBFE2D2" w14:textId="77777777" w:rsidR="0016422B" w:rsidRPr="008071BD" w:rsidRDefault="0016422B" w:rsidP="001A1F5C">
            <w:pPr>
              <w:rPr>
                <w:rFonts w:cstheme="minorHAnsi"/>
                <w:sz w:val="20"/>
                <w:szCs w:val="20"/>
              </w:rPr>
            </w:pPr>
            <w:r w:rsidRPr="008071BD">
              <w:rPr>
                <w:rFonts w:cstheme="minorHAnsi"/>
                <w:b/>
                <w:bCs/>
                <w:color w:val="000000"/>
                <w:sz w:val="20"/>
                <w:szCs w:val="20"/>
              </w:rPr>
              <w:t xml:space="preserve"> TCF is applicable</w:t>
            </w:r>
          </w:p>
        </w:tc>
        <w:tc>
          <w:tcPr>
            <w:tcW w:w="4252" w:type="dxa"/>
            <w:shd w:val="clear" w:color="auto" w:fill="EEECE1" w:themeFill="background2"/>
            <w:vAlign w:val="center"/>
          </w:tcPr>
          <w:p w14:paraId="2F6D9318" w14:textId="77777777" w:rsidR="0016422B" w:rsidRPr="008071BD" w:rsidRDefault="0016422B" w:rsidP="001A1F5C">
            <w:pPr>
              <w:rPr>
                <w:rFonts w:cstheme="minorHAnsi"/>
                <w:sz w:val="20"/>
                <w:szCs w:val="20"/>
              </w:rPr>
            </w:pPr>
            <w:r w:rsidRPr="008071BD">
              <w:rPr>
                <w:rFonts w:cstheme="minorHAnsi"/>
                <w:b/>
                <w:bCs/>
                <w:color w:val="000000"/>
                <w:sz w:val="20"/>
                <w:szCs w:val="20"/>
              </w:rPr>
              <w:t>TCF is not applicable</w:t>
            </w:r>
          </w:p>
        </w:tc>
      </w:tr>
      <w:tr w:rsidR="0016422B" w:rsidRPr="008071BD" w14:paraId="2985DD66" w14:textId="77777777" w:rsidTr="005B6382">
        <w:tc>
          <w:tcPr>
            <w:tcW w:w="1418" w:type="dxa"/>
            <w:shd w:val="clear" w:color="auto" w:fill="auto"/>
          </w:tcPr>
          <w:p w14:paraId="2C3BC6CD" w14:textId="77777777" w:rsidR="0016422B" w:rsidRPr="008071BD" w:rsidRDefault="0016422B" w:rsidP="001A1F5C">
            <w:pPr>
              <w:rPr>
                <w:rFonts w:cstheme="minorHAnsi"/>
                <w:sz w:val="20"/>
                <w:szCs w:val="20"/>
              </w:rPr>
            </w:pPr>
            <w:r w:rsidRPr="008071BD">
              <w:rPr>
                <w:rFonts w:cstheme="minorHAnsi"/>
                <w:sz w:val="20"/>
                <w:szCs w:val="20"/>
              </w:rPr>
              <w:t>Job seeker submitted</w:t>
            </w:r>
            <w:r>
              <w:rPr>
                <w:rFonts w:cstheme="minorHAnsi"/>
                <w:sz w:val="20"/>
                <w:szCs w:val="20"/>
              </w:rPr>
              <w:t xml:space="preserve"> </w:t>
            </w:r>
            <w:r w:rsidRPr="008071BD">
              <w:rPr>
                <w:rFonts w:cstheme="minorHAnsi"/>
                <w:sz w:val="20"/>
                <w:szCs w:val="20"/>
              </w:rPr>
              <w:t xml:space="preserve">a </w:t>
            </w:r>
            <w:proofErr w:type="gramStart"/>
            <w:r>
              <w:rPr>
                <w:rFonts w:cstheme="minorHAnsi"/>
                <w:sz w:val="20"/>
                <w:szCs w:val="20"/>
              </w:rPr>
              <w:t>poor quality</w:t>
            </w:r>
            <w:proofErr w:type="gramEnd"/>
            <w:r>
              <w:rPr>
                <w:rFonts w:cstheme="minorHAnsi"/>
                <w:sz w:val="20"/>
                <w:szCs w:val="20"/>
              </w:rPr>
              <w:t xml:space="preserve"> </w:t>
            </w:r>
            <w:r w:rsidRPr="008071BD">
              <w:rPr>
                <w:rFonts w:cstheme="minorHAnsi"/>
                <w:sz w:val="20"/>
                <w:szCs w:val="20"/>
              </w:rPr>
              <w:t xml:space="preserve">job </w:t>
            </w:r>
            <w:r>
              <w:rPr>
                <w:rFonts w:cstheme="minorHAnsi"/>
                <w:sz w:val="20"/>
                <w:szCs w:val="20"/>
              </w:rPr>
              <w:t xml:space="preserve">search </w:t>
            </w:r>
            <w:r w:rsidRPr="008071BD">
              <w:rPr>
                <w:rFonts w:cstheme="minorHAnsi"/>
                <w:sz w:val="20"/>
                <w:szCs w:val="20"/>
              </w:rPr>
              <w:t>application</w:t>
            </w:r>
          </w:p>
        </w:tc>
        <w:tc>
          <w:tcPr>
            <w:tcW w:w="3402" w:type="dxa"/>
            <w:shd w:val="clear" w:color="auto" w:fill="auto"/>
          </w:tcPr>
          <w:p w14:paraId="05CCA4B9" w14:textId="77777777" w:rsidR="0016422B" w:rsidRPr="008071BD"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As per the Guideline, i</w:t>
            </w:r>
            <w:r w:rsidRPr="008071BD">
              <w:rPr>
                <w:rFonts w:cstheme="minorHAnsi"/>
                <w:color w:val="000000"/>
                <w:sz w:val="20"/>
                <w:szCs w:val="20"/>
              </w:rPr>
              <w:t xml:space="preserve">f </w:t>
            </w:r>
            <w:r>
              <w:rPr>
                <w:rFonts w:cstheme="minorHAnsi"/>
                <w:color w:val="000000"/>
                <w:sz w:val="20"/>
                <w:szCs w:val="20"/>
              </w:rPr>
              <w:t xml:space="preserve">job search is </w:t>
            </w:r>
            <w:r w:rsidRPr="008071BD">
              <w:rPr>
                <w:rFonts w:cstheme="minorHAnsi"/>
                <w:color w:val="000000"/>
                <w:sz w:val="20"/>
                <w:szCs w:val="20"/>
              </w:rPr>
              <w:t>unsatisfactory</w:t>
            </w:r>
            <w:r>
              <w:rPr>
                <w:rFonts w:cstheme="minorHAnsi"/>
                <w:color w:val="000000"/>
                <w:sz w:val="20"/>
                <w:szCs w:val="20"/>
              </w:rPr>
              <w:t xml:space="preserve"> in quality </w:t>
            </w:r>
            <w:r w:rsidRPr="008071BD">
              <w:rPr>
                <w:rFonts w:cstheme="minorHAnsi"/>
                <w:color w:val="000000"/>
                <w:sz w:val="20"/>
                <w:szCs w:val="20"/>
              </w:rPr>
              <w:t>apply the TCF</w:t>
            </w:r>
            <w:r>
              <w:rPr>
                <w:rFonts w:cstheme="minorHAnsi"/>
                <w:color w:val="000000"/>
                <w:sz w:val="20"/>
                <w:szCs w:val="20"/>
              </w:rPr>
              <w:t>.</w:t>
            </w:r>
          </w:p>
          <w:p w14:paraId="16D80A47" w14:textId="77777777" w:rsidR="0016422B" w:rsidRPr="008071BD" w:rsidRDefault="0016422B" w:rsidP="001A1F5C">
            <w:pPr>
              <w:rPr>
                <w:rFonts w:cstheme="minorHAnsi"/>
                <w:color w:val="000000"/>
                <w:sz w:val="20"/>
                <w:szCs w:val="20"/>
              </w:rPr>
            </w:pPr>
          </w:p>
          <w:p w14:paraId="790EFAB0" w14:textId="77777777" w:rsidR="0016422B" w:rsidRDefault="0016422B" w:rsidP="001A1F5C">
            <w:pPr>
              <w:rPr>
                <w:rFonts w:cstheme="minorHAnsi"/>
                <w:color w:val="000000"/>
                <w:sz w:val="20"/>
                <w:szCs w:val="20"/>
              </w:rPr>
            </w:pPr>
            <w:r w:rsidRPr="008071BD">
              <w:rPr>
                <w:rFonts w:cstheme="minorHAnsi"/>
                <w:color w:val="000000"/>
                <w:sz w:val="20"/>
                <w:szCs w:val="20"/>
              </w:rPr>
              <w:t xml:space="preserve">For details on how to report non-compliance due to unsatisfactory Job Search efforts, refer to: </w:t>
            </w:r>
          </w:p>
          <w:p w14:paraId="7353110B"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Monitoring Job Search Requirements.</w:t>
            </w:r>
          </w:p>
          <w:p w14:paraId="54C1D5AC" w14:textId="77777777" w:rsidR="0016422B" w:rsidRPr="008071BD" w:rsidRDefault="0016422B" w:rsidP="001A1F5C">
            <w:pPr>
              <w:rPr>
                <w:rFonts w:cstheme="minorHAnsi"/>
                <w:sz w:val="20"/>
                <w:szCs w:val="20"/>
              </w:rPr>
            </w:pPr>
            <w:r w:rsidRPr="008071BD">
              <w:rPr>
                <w:rFonts w:cstheme="minorHAnsi"/>
                <w:color w:val="000000"/>
                <w:sz w:val="20"/>
                <w:szCs w:val="20"/>
              </w:rPr>
              <w:t xml:space="preserve"> </w:t>
            </w:r>
          </w:p>
        </w:tc>
        <w:tc>
          <w:tcPr>
            <w:tcW w:w="4252" w:type="dxa"/>
            <w:shd w:val="clear" w:color="auto" w:fill="auto"/>
            <w:tcMar>
              <w:top w:w="142" w:type="dxa"/>
              <w:bottom w:w="142" w:type="dxa"/>
            </w:tcMar>
          </w:tcPr>
          <w:p w14:paraId="4410AD4F"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When the TCF cannot be applied, for example if the unsatisfactory job application was submitted in a previous reporting period that is now finalised and cannot be quality reviewed, attempt contact with the job seeker to discuss the matter.</w:t>
            </w:r>
          </w:p>
          <w:p w14:paraId="4ED58A49"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contact is unsuccessful, schedule a Provider Appointment for the job seeker to attend (if there is not one already scheduled to occur within a reasonable timeframe).</w:t>
            </w:r>
          </w:p>
          <w:p w14:paraId="00BE8F23" w14:textId="2706365D" w:rsidR="0016422B" w:rsidRPr="00CE6A83" w:rsidRDefault="0016422B" w:rsidP="005B6382">
            <w:pPr>
              <w:pStyle w:val="ListParagraph"/>
              <w:numPr>
                <w:ilvl w:val="0"/>
                <w:numId w:val="53"/>
              </w:numPr>
              <w:spacing w:before="0" w:after="0"/>
              <w:ind w:left="319" w:hanging="290"/>
            </w:pPr>
            <w:r w:rsidRPr="00CE6A83">
              <w:rPr>
                <w:rFonts w:cstheme="minorHAnsi"/>
                <w:color w:val="000000"/>
                <w:sz w:val="20"/>
                <w:szCs w:val="20"/>
              </w:rPr>
              <w:t xml:space="preserve">Discuss with the job seeker – over the phone or during the Provider Appointment – and where applicable, the information provided by the Employer Reporting Line (through the Employer Report Referral) - and provide guidance on how to improve the quality of the job seeker’s job search applications. During this discussion Providers should also consider referring the job seeker to activities </w:t>
            </w:r>
            <w:r w:rsidRPr="00CE6A83">
              <w:rPr>
                <w:sz w:val="20"/>
                <w:szCs w:val="20"/>
              </w:rPr>
              <w:t>to build or improve employability skills</w:t>
            </w:r>
            <w:r w:rsidRPr="00CE6A83">
              <w:rPr>
                <w:rFonts w:cstheme="minorHAnsi"/>
                <w:color w:val="000000"/>
                <w:sz w:val="20"/>
                <w:szCs w:val="20"/>
              </w:rPr>
              <w:t xml:space="preserve"> or similar appropriate activities.</w:t>
            </w:r>
          </w:p>
        </w:tc>
      </w:tr>
      <w:tr w:rsidR="0016422B" w:rsidRPr="008071BD" w14:paraId="374A3551" w14:textId="77777777" w:rsidTr="005B6382">
        <w:tc>
          <w:tcPr>
            <w:tcW w:w="1418" w:type="dxa"/>
            <w:shd w:val="clear" w:color="000000" w:fill="EDEDED"/>
          </w:tcPr>
          <w:p w14:paraId="0F8B67ED" w14:textId="77777777" w:rsidR="0016422B" w:rsidRPr="008071BD" w:rsidRDefault="0016422B" w:rsidP="001A1F5C">
            <w:pPr>
              <w:rPr>
                <w:rFonts w:cstheme="minorHAnsi"/>
                <w:sz w:val="20"/>
                <w:szCs w:val="20"/>
              </w:rPr>
            </w:pPr>
            <w:r w:rsidRPr="008071BD">
              <w:rPr>
                <w:rFonts w:cstheme="minorHAnsi"/>
                <w:color w:val="000000"/>
                <w:sz w:val="20"/>
                <w:szCs w:val="20"/>
              </w:rPr>
              <w:t>Job seeker did not attend or behave appropriately at a job interview</w:t>
            </w:r>
          </w:p>
        </w:tc>
        <w:tc>
          <w:tcPr>
            <w:tcW w:w="3402" w:type="dxa"/>
            <w:shd w:val="clear" w:color="000000" w:fill="EDEDED"/>
          </w:tcPr>
          <w:p w14:paraId="1EF4A49F" w14:textId="77777777" w:rsidR="0016422B" w:rsidRPr="00B7423A" w:rsidRDefault="0016422B" w:rsidP="005B6382">
            <w:pPr>
              <w:pStyle w:val="ListParagraph"/>
              <w:numPr>
                <w:ilvl w:val="0"/>
                <w:numId w:val="52"/>
              </w:numPr>
              <w:spacing w:before="0" w:after="0"/>
              <w:ind w:left="320" w:hanging="284"/>
              <w:rPr>
                <w:rFonts w:cstheme="minorHAnsi"/>
                <w:color w:val="000000"/>
                <w:sz w:val="20"/>
                <w:szCs w:val="20"/>
              </w:rPr>
            </w:pPr>
            <w:r w:rsidRPr="00B7423A">
              <w:rPr>
                <w:rFonts w:cstheme="minorHAnsi"/>
                <w:color w:val="000000"/>
                <w:sz w:val="20"/>
                <w:szCs w:val="20"/>
              </w:rPr>
              <w:t>As per</w:t>
            </w:r>
            <w:r>
              <w:rPr>
                <w:rFonts w:cstheme="minorHAnsi"/>
                <w:color w:val="000000"/>
                <w:sz w:val="20"/>
                <w:szCs w:val="20"/>
              </w:rPr>
              <w:t xml:space="preserve"> the Guideline,</w:t>
            </w:r>
            <w:r w:rsidRPr="00B7423A">
              <w:rPr>
                <w:rFonts w:cstheme="minorHAnsi"/>
                <w:color w:val="000000"/>
                <w:sz w:val="20"/>
                <w:szCs w:val="20"/>
              </w:rPr>
              <w:t xml:space="preserve"> if </w:t>
            </w:r>
            <w:r>
              <w:rPr>
                <w:rFonts w:cstheme="minorHAnsi"/>
                <w:color w:val="000000"/>
                <w:sz w:val="20"/>
                <w:szCs w:val="20"/>
              </w:rPr>
              <w:t xml:space="preserve">a job seeker failed to attend or behaved inappropriately at a scheduled job interview </w:t>
            </w:r>
            <w:r w:rsidRPr="00FE2E67">
              <w:rPr>
                <w:rFonts w:cstheme="minorHAnsi"/>
                <w:color w:val="000000"/>
                <w:sz w:val="20"/>
                <w:szCs w:val="20"/>
              </w:rPr>
              <w:t xml:space="preserve">that </w:t>
            </w:r>
            <w:r>
              <w:rPr>
                <w:rFonts w:cstheme="minorHAnsi"/>
                <w:color w:val="000000"/>
                <w:sz w:val="20"/>
                <w:szCs w:val="20"/>
              </w:rPr>
              <w:t>their Provider</w:t>
            </w:r>
            <w:r w:rsidRPr="00FE2E67">
              <w:rPr>
                <w:rFonts w:cstheme="minorHAnsi"/>
                <w:color w:val="000000"/>
                <w:sz w:val="20"/>
                <w:szCs w:val="20"/>
              </w:rPr>
              <w:t xml:space="preserve"> notified them of </w:t>
            </w:r>
            <w:r>
              <w:rPr>
                <w:rFonts w:cstheme="minorHAnsi"/>
                <w:color w:val="000000"/>
                <w:sz w:val="20"/>
                <w:szCs w:val="20"/>
              </w:rPr>
              <w:t>with</w:t>
            </w:r>
            <w:r w:rsidRPr="00B7423A">
              <w:rPr>
                <w:rFonts w:cstheme="minorHAnsi"/>
                <w:color w:val="000000"/>
                <w:sz w:val="20"/>
                <w:szCs w:val="20"/>
              </w:rPr>
              <w:t xml:space="preserve"> no valid reason apply the TCF.</w:t>
            </w:r>
          </w:p>
          <w:p w14:paraId="2A5C2295" w14:textId="77777777" w:rsidR="0016422B" w:rsidRPr="008071BD" w:rsidRDefault="0016422B" w:rsidP="001A1F5C">
            <w:pPr>
              <w:rPr>
                <w:rFonts w:cstheme="minorHAnsi"/>
                <w:color w:val="000000"/>
                <w:sz w:val="20"/>
                <w:szCs w:val="20"/>
              </w:rPr>
            </w:pPr>
          </w:p>
          <w:p w14:paraId="2BA77829" w14:textId="77777777" w:rsidR="0016422B" w:rsidRDefault="0016422B" w:rsidP="001A1F5C">
            <w:pPr>
              <w:rPr>
                <w:rFonts w:cstheme="minorHAnsi"/>
                <w:color w:val="000000"/>
                <w:sz w:val="20"/>
                <w:szCs w:val="20"/>
              </w:rPr>
            </w:pPr>
            <w:r w:rsidRPr="008071BD">
              <w:rPr>
                <w:rFonts w:cstheme="minorHAnsi"/>
                <w:color w:val="000000"/>
                <w:sz w:val="20"/>
                <w:szCs w:val="20"/>
              </w:rPr>
              <w:t xml:space="preserve">For details on how to report non-compliance refer to: </w:t>
            </w:r>
          </w:p>
          <w:p w14:paraId="31BF1FAA"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 xml:space="preserve">Task Card Guide – Recording attendance results for Third Party Appointments, Job Interviews and Activities where the </w:t>
            </w:r>
            <w:r>
              <w:rPr>
                <w:rFonts w:cstheme="minorHAnsi"/>
                <w:i/>
                <w:iCs/>
                <w:color w:val="000000"/>
                <w:sz w:val="20"/>
                <w:szCs w:val="20"/>
              </w:rPr>
              <w:t>Provider</w:t>
            </w:r>
            <w:r w:rsidRPr="008071BD">
              <w:rPr>
                <w:rFonts w:cstheme="minorHAnsi"/>
                <w:i/>
                <w:iCs/>
                <w:color w:val="000000"/>
                <w:sz w:val="20"/>
                <w:szCs w:val="20"/>
              </w:rPr>
              <w:t xml:space="preserve"> is responsible for this. </w:t>
            </w:r>
          </w:p>
          <w:p w14:paraId="703D954E"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Actions following a no Result Entered (NRE) and Did Not Attend (DNA) result.</w:t>
            </w:r>
          </w:p>
          <w:p w14:paraId="0595D058" w14:textId="77777777" w:rsidR="0016422B" w:rsidRPr="008071BD" w:rsidRDefault="0016422B" w:rsidP="001A1F5C">
            <w:pPr>
              <w:rPr>
                <w:rFonts w:cstheme="minorHAnsi"/>
                <w:sz w:val="20"/>
                <w:szCs w:val="20"/>
              </w:rPr>
            </w:pPr>
          </w:p>
        </w:tc>
        <w:tc>
          <w:tcPr>
            <w:tcW w:w="4252" w:type="dxa"/>
            <w:shd w:val="clear" w:color="000000" w:fill="EDEDED"/>
            <w:tcMar>
              <w:top w:w="142" w:type="dxa"/>
              <w:bottom w:w="142" w:type="dxa"/>
            </w:tcMar>
          </w:tcPr>
          <w:p w14:paraId="77BB35D8"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Review the job seeker’s calendar. If the interview was not scheduled in the job seeker’s calendar the TCF is not applicable. However, Providers must discuss the information provided in the Employer Report Referral with the job seeker.</w:t>
            </w:r>
          </w:p>
          <w:p w14:paraId="640D89F1"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Attempt contact with the job seeker to discuss the matter.</w:t>
            </w:r>
          </w:p>
          <w:p w14:paraId="7671C0BC" w14:textId="77777777" w:rsidR="0016422B" w:rsidRPr="00CE6A83" w:rsidRDefault="0016422B" w:rsidP="005B6382">
            <w:pPr>
              <w:pStyle w:val="ListParagraph"/>
              <w:numPr>
                <w:ilvl w:val="0"/>
                <w:numId w:val="53"/>
              </w:numPr>
              <w:spacing w:before="0" w:after="0"/>
              <w:ind w:left="319" w:hanging="290"/>
              <w:rPr>
                <w:rFonts w:cstheme="minorHAnsi"/>
                <w:color w:val="000000"/>
                <w:sz w:val="20"/>
                <w:szCs w:val="20"/>
              </w:rPr>
            </w:pPr>
            <w:r w:rsidRPr="005B6382">
              <w:rPr>
                <w:rFonts w:cstheme="minorHAnsi"/>
                <w:color w:val="000000"/>
                <w:sz w:val="20"/>
                <w:szCs w:val="20"/>
              </w:rPr>
              <w:t>If contact is unsuccessful, schedule a Provider Appointment for the job seeker to attend (if there is not one already scheduled to occur within a reasonable timeframe)</w:t>
            </w:r>
            <w:r w:rsidRPr="00CE6A83">
              <w:rPr>
                <w:rFonts w:cstheme="minorHAnsi"/>
                <w:color w:val="000000"/>
                <w:sz w:val="20"/>
                <w:szCs w:val="20"/>
              </w:rPr>
              <w:t>.</w:t>
            </w:r>
          </w:p>
          <w:p w14:paraId="4BC7490C" w14:textId="0F69302D" w:rsidR="0016422B" w:rsidRPr="00CE6A83" w:rsidRDefault="0016422B" w:rsidP="005B6382">
            <w:pPr>
              <w:pStyle w:val="ListParagraph"/>
              <w:numPr>
                <w:ilvl w:val="0"/>
                <w:numId w:val="53"/>
              </w:numPr>
              <w:spacing w:before="0" w:after="0"/>
              <w:ind w:left="319" w:hanging="290"/>
              <w:rPr>
                <w:rFonts w:cstheme="minorHAnsi"/>
                <w:sz w:val="20"/>
                <w:szCs w:val="20"/>
              </w:rPr>
            </w:pPr>
            <w:r w:rsidRPr="005B6382">
              <w:rPr>
                <w:rFonts w:cstheme="minorHAnsi"/>
                <w:color w:val="000000"/>
                <w:sz w:val="20"/>
                <w:szCs w:val="20"/>
              </w:rPr>
              <w:t>Discuss with the job seeker – over the phone or during the Provider Appointment – and where applicable, the information provided by the Employer</w:t>
            </w:r>
            <w:r w:rsidRPr="00CE6A83">
              <w:rPr>
                <w:sz w:val="20"/>
                <w:szCs w:val="20"/>
              </w:rPr>
              <w:t xml:space="preserve"> Reporting Line </w:t>
            </w:r>
            <w:r w:rsidRPr="00CE6A83">
              <w:rPr>
                <w:rFonts w:cstheme="minorHAnsi"/>
                <w:color w:val="000000"/>
                <w:sz w:val="20"/>
                <w:szCs w:val="20"/>
              </w:rPr>
              <w:t xml:space="preserve">(through the Employer Report Referral) - </w:t>
            </w:r>
            <w:r w:rsidRPr="00CE6A83">
              <w:rPr>
                <w:sz w:val="20"/>
                <w:szCs w:val="20"/>
              </w:rPr>
              <w:t>and provide guidance on successful job interview techniques. During this discussion Providers should also consider referring the job seeker to activities to build or improve employability or similar appropriate activities.</w:t>
            </w:r>
          </w:p>
        </w:tc>
      </w:tr>
      <w:tr w:rsidR="0016422B" w:rsidRPr="008071BD" w14:paraId="04CA13FE" w14:textId="77777777" w:rsidTr="007F3649">
        <w:tc>
          <w:tcPr>
            <w:tcW w:w="1418" w:type="dxa"/>
            <w:shd w:val="clear" w:color="auto" w:fill="auto"/>
          </w:tcPr>
          <w:p w14:paraId="34EC23BE" w14:textId="77777777" w:rsidR="0016422B" w:rsidRPr="008071BD" w:rsidRDefault="0016422B" w:rsidP="001A1F5C">
            <w:pPr>
              <w:rPr>
                <w:rFonts w:cstheme="minorHAnsi"/>
                <w:color w:val="000000"/>
                <w:sz w:val="20"/>
                <w:szCs w:val="20"/>
              </w:rPr>
            </w:pPr>
            <w:r w:rsidRPr="008071BD">
              <w:rPr>
                <w:rFonts w:cstheme="minorHAnsi"/>
                <w:color w:val="000000"/>
                <w:sz w:val="20"/>
                <w:szCs w:val="20"/>
              </w:rPr>
              <w:t xml:space="preserve">Job seeker was offered a </w:t>
            </w:r>
            <w:r>
              <w:rPr>
                <w:rFonts w:cstheme="minorHAnsi"/>
                <w:color w:val="000000"/>
                <w:sz w:val="20"/>
                <w:szCs w:val="20"/>
              </w:rPr>
              <w:t xml:space="preserve">suitable </w:t>
            </w:r>
            <w:r w:rsidRPr="008071BD">
              <w:rPr>
                <w:rFonts w:cstheme="minorHAnsi"/>
                <w:color w:val="000000"/>
                <w:sz w:val="20"/>
                <w:szCs w:val="20"/>
              </w:rPr>
              <w:t>job by an employer but did not accept the job, or accepted a job offer but did not commence on the agreed start date</w:t>
            </w:r>
          </w:p>
        </w:tc>
        <w:tc>
          <w:tcPr>
            <w:tcW w:w="3402" w:type="dxa"/>
            <w:shd w:val="clear" w:color="auto" w:fill="auto"/>
          </w:tcPr>
          <w:p w14:paraId="18A736F9" w14:textId="77777777" w:rsidR="0016422B"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If not already assessed undertake a suitable work assessment.</w:t>
            </w:r>
          </w:p>
          <w:p w14:paraId="61F4AB26" w14:textId="5D9AB1E3" w:rsidR="0016422B" w:rsidRPr="00B7423A" w:rsidRDefault="0016422B" w:rsidP="007F3649">
            <w:pPr>
              <w:pStyle w:val="ListParagraph"/>
              <w:numPr>
                <w:ilvl w:val="0"/>
                <w:numId w:val="52"/>
              </w:numPr>
              <w:spacing w:before="0" w:after="0"/>
              <w:ind w:left="320" w:hanging="284"/>
              <w:rPr>
                <w:rFonts w:cstheme="minorHAnsi"/>
                <w:color w:val="000000"/>
                <w:sz w:val="20"/>
                <w:szCs w:val="20"/>
              </w:rPr>
            </w:pPr>
            <w:r w:rsidRPr="003D2073">
              <w:rPr>
                <w:rFonts w:cstheme="minorHAnsi"/>
                <w:color w:val="000000"/>
                <w:sz w:val="20"/>
                <w:szCs w:val="20"/>
              </w:rPr>
              <w:t xml:space="preserve">As per the </w:t>
            </w:r>
            <w:r w:rsidR="007F3649" w:rsidRPr="007F3649">
              <w:rPr>
                <w:rFonts w:cstheme="minorHAnsi"/>
                <w:i/>
                <w:color w:val="000000"/>
                <w:sz w:val="20"/>
                <w:szCs w:val="20"/>
              </w:rPr>
              <w:t>Work Refusal and Unemployment Failure</w:t>
            </w:r>
            <w:r w:rsidRPr="007F3649">
              <w:rPr>
                <w:rFonts w:cstheme="minorHAnsi"/>
                <w:i/>
                <w:color w:val="000000"/>
                <w:sz w:val="20"/>
                <w:szCs w:val="20"/>
              </w:rPr>
              <w:t xml:space="preserve"> Guideline</w:t>
            </w:r>
            <w:r>
              <w:rPr>
                <w:rFonts w:cstheme="minorHAnsi"/>
                <w:color w:val="000000"/>
                <w:sz w:val="20"/>
                <w:szCs w:val="20"/>
              </w:rPr>
              <w:t>,</w:t>
            </w:r>
            <w:r w:rsidRPr="003D2073" w:rsidDel="003D2073">
              <w:rPr>
                <w:rFonts w:cstheme="minorHAnsi"/>
                <w:color w:val="000000"/>
                <w:sz w:val="20"/>
                <w:szCs w:val="20"/>
              </w:rPr>
              <w:t xml:space="preserve"> </w:t>
            </w:r>
            <w:r w:rsidRPr="00B7423A">
              <w:rPr>
                <w:rFonts w:cstheme="minorHAnsi"/>
                <w:color w:val="000000"/>
                <w:sz w:val="20"/>
                <w:szCs w:val="20"/>
              </w:rPr>
              <w:t xml:space="preserve">if no valid reason </w:t>
            </w:r>
            <w:proofErr w:type="gramStart"/>
            <w:r w:rsidRPr="00B7423A">
              <w:rPr>
                <w:rFonts w:cstheme="minorHAnsi"/>
                <w:color w:val="000000"/>
                <w:sz w:val="20"/>
                <w:szCs w:val="20"/>
              </w:rPr>
              <w:t>apply</w:t>
            </w:r>
            <w:proofErr w:type="gramEnd"/>
            <w:r w:rsidRPr="00B7423A">
              <w:rPr>
                <w:rFonts w:cstheme="minorHAnsi"/>
                <w:color w:val="000000"/>
                <w:sz w:val="20"/>
                <w:szCs w:val="20"/>
              </w:rPr>
              <w:t xml:space="preserve"> the TCF.</w:t>
            </w:r>
          </w:p>
          <w:p w14:paraId="0256AF98" w14:textId="77777777" w:rsidR="0016422B" w:rsidRPr="008071BD" w:rsidRDefault="0016422B" w:rsidP="007F3649">
            <w:pPr>
              <w:pStyle w:val="ListParagraph"/>
              <w:numPr>
                <w:ilvl w:val="0"/>
                <w:numId w:val="52"/>
              </w:numPr>
              <w:spacing w:before="0" w:after="0"/>
              <w:ind w:left="320" w:hanging="284"/>
              <w:rPr>
                <w:rFonts w:cstheme="minorHAnsi"/>
                <w:color w:val="000000"/>
                <w:sz w:val="20"/>
                <w:szCs w:val="20"/>
              </w:rPr>
            </w:pPr>
            <w:r w:rsidRPr="008071BD">
              <w:rPr>
                <w:rFonts w:cstheme="minorHAnsi"/>
                <w:color w:val="000000"/>
                <w:sz w:val="20"/>
                <w:szCs w:val="20"/>
              </w:rPr>
              <w:t>This must be reported to Services Australia as a Work Refusal Failure.</w:t>
            </w:r>
          </w:p>
          <w:p w14:paraId="529B0514" w14:textId="77777777" w:rsidR="0016422B" w:rsidRPr="008071BD" w:rsidRDefault="0016422B" w:rsidP="001A1F5C">
            <w:pPr>
              <w:rPr>
                <w:rFonts w:cstheme="minorHAnsi"/>
                <w:color w:val="000000"/>
                <w:sz w:val="20"/>
                <w:szCs w:val="20"/>
              </w:rPr>
            </w:pPr>
          </w:p>
          <w:p w14:paraId="201EA637" w14:textId="77777777" w:rsidR="0016422B" w:rsidRDefault="0016422B" w:rsidP="001A1F5C">
            <w:pPr>
              <w:rPr>
                <w:rFonts w:cstheme="minorHAnsi"/>
                <w:color w:val="000000"/>
                <w:sz w:val="20"/>
                <w:szCs w:val="20"/>
              </w:rPr>
            </w:pPr>
            <w:r w:rsidRPr="008071BD">
              <w:rPr>
                <w:rFonts w:cstheme="minorHAnsi"/>
                <w:color w:val="000000"/>
                <w:sz w:val="20"/>
                <w:szCs w:val="20"/>
              </w:rPr>
              <w:t>For details on how to create a Work Refusal Failure Report, refer to</w:t>
            </w:r>
            <w:r>
              <w:rPr>
                <w:rFonts w:cstheme="minorHAnsi"/>
                <w:color w:val="000000"/>
                <w:sz w:val="20"/>
                <w:szCs w:val="20"/>
              </w:rPr>
              <w:t>:</w:t>
            </w:r>
            <w:r w:rsidRPr="008071BD">
              <w:rPr>
                <w:rFonts w:cstheme="minorHAnsi"/>
                <w:color w:val="000000"/>
                <w:sz w:val="20"/>
                <w:szCs w:val="20"/>
              </w:rPr>
              <w:t xml:space="preserve"> </w:t>
            </w:r>
          </w:p>
          <w:p w14:paraId="3FC8010E"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Reporting Work Refusal Failures.</w:t>
            </w:r>
          </w:p>
          <w:p w14:paraId="76DD5804" w14:textId="77777777" w:rsidR="0016422B" w:rsidRPr="008071BD" w:rsidRDefault="0016422B" w:rsidP="001A1F5C">
            <w:pPr>
              <w:rPr>
                <w:rFonts w:cstheme="minorHAnsi"/>
                <w:color w:val="000000"/>
                <w:sz w:val="20"/>
                <w:szCs w:val="20"/>
              </w:rPr>
            </w:pPr>
          </w:p>
        </w:tc>
        <w:tc>
          <w:tcPr>
            <w:tcW w:w="4252" w:type="dxa"/>
            <w:shd w:val="clear" w:color="auto" w:fill="auto"/>
            <w:tcMar>
              <w:top w:w="142" w:type="dxa"/>
              <w:bottom w:w="142" w:type="dxa"/>
            </w:tcMar>
          </w:tcPr>
          <w:p w14:paraId="5621F34C"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not already assessed undertake a suitable work assessment.</w:t>
            </w:r>
          </w:p>
          <w:p w14:paraId="6F7F88DE"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the assessment determines that the work is unsuitable, no further action required.</w:t>
            </w:r>
          </w:p>
          <w:p w14:paraId="0AB299D3"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the assessment determines that the work was suitable, review the date of the job offer. If it is more than 10 business days since this date the TCF is not applicable. However, Providers must discuss the information provided in the report with the job seeker.</w:t>
            </w:r>
          </w:p>
          <w:p w14:paraId="00C3D9CC"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 xml:space="preserve">Attempt contact with the job seeker to discuss the matter. </w:t>
            </w:r>
          </w:p>
          <w:p w14:paraId="748705AD" w14:textId="77777777"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CE6A83">
              <w:rPr>
                <w:rFonts w:cstheme="minorHAnsi"/>
                <w:color w:val="000000"/>
                <w:sz w:val="20"/>
                <w:szCs w:val="20"/>
              </w:rPr>
              <w:t>If contact is unsuccessful, schedule a Provider Appointment for the job seeker to attend (if there is not one already scheduled to occur within a reasonable timeframe).</w:t>
            </w:r>
          </w:p>
          <w:p w14:paraId="27B5CEC5" w14:textId="6D8A9196" w:rsidR="0016422B" w:rsidRPr="00CE6A83" w:rsidRDefault="0016422B" w:rsidP="007F3649">
            <w:pPr>
              <w:pStyle w:val="ListParagraph"/>
              <w:numPr>
                <w:ilvl w:val="0"/>
                <w:numId w:val="53"/>
              </w:numPr>
              <w:spacing w:before="0" w:after="0"/>
              <w:ind w:left="319" w:hanging="290"/>
              <w:rPr>
                <w:rFonts w:cstheme="minorHAnsi"/>
                <w:color w:val="000000"/>
                <w:sz w:val="20"/>
                <w:szCs w:val="20"/>
              </w:rPr>
            </w:pPr>
            <w:r w:rsidRPr="007F3649">
              <w:rPr>
                <w:rFonts w:cstheme="minorHAnsi"/>
                <w:color w:val="000000"/>
                <w:sz w:val="20"/>
                <w:szCs w:val="20"/>
              </w:rPr>
              <w:t>Discuss with the job seeker – over the phone or during the Provider Appointment – and where applicable, the information provided by the Employer</w:t>
            </w:r>
            <w:r w:rsidRPr="00CE6A83">
              <w:rPr>
                <w:sz w:val="20"/>
                <w:szCs w:val="20"/>
              </w:rPr>
              <w:t xml:space="preserve"> Reporting Line </w:t>
            </w:r>
            <w:r w:rsidRPr="00CE6A83">
              <w:rPr>
                <w:rFonts w:cstheme="minorHAnsi"/>
                <w:color w:val="000000"/>
                <w:sz w:val="20"/>
                <w:szCs w:val="20"/>
              </w:rPr>
              <w:t xml:space="preserve">(through the Employer Report Referral) - </w:t>
            </w:r>
            <w:r w:rsidRPr="00CE6A83">
              <w:rPr>
                <w:sz w:val="20"/>
                <w:szCs w:val="20"/>
              </w:rPr>
              <w:t>and provide guidance on accepting and commencing suitable employment. During this discussion Providers should also consider referring the job seeker to activities to build or improve employability or similar appropriate activities.</w:t>
            </w:r>
          </w:p>
        </w:tc>
      </w:tr>
      <w:tr w:rsidR="0016422B" w:rsidRPr="008071BD" w14:paraId="42F8637C" w14:textId="77777777" w:rsidTr="005B6382">
        <w:tc>
          <w:tcPr>
            <w:tcW w:w="1418" w:type="dxa"/>
            <w:shd w:val="clear" w:color="000000" w:fill="EDEDED"/>
          </w:tcPr>
          <w:p w14:paraId="576DA222" w14:textId="77777777" w:rsidR="0016422B" w:rsidRPr="008071BD" w:rsidRDefault="0016422B" w:rsidP="001A1F5C">
            <w:pPr>
              <w:rPr>
                <w:rFonts w:cstheme="minorHAnsi"/>
                <w:color w:val="000000"/>
                <w:sz w:val="20"/>
                <w:szCs w:val="20"/>
              </w:rPr>
            </w:pPr>
            <w:r w:rsidRPr="008071BD">
              <w:rPr>
                <w:rFonts w:cstheme="minorHAnsi"/>
                <w:color w:val="000000"/>
                <w:sz w:val="20"/>
                <w:szCs w:val="20"/>
              </w:rPr>
              <w:t>Job seeker voluntarily left a suitable job or was dismissed due to misconduct</w:t>
            </w:r>
          </w:p>
        </w:tc>
        <w:tc>
          <w:tcPr>
            <w:tcW w:w="3402" w:type="dxa"/>
            <w:shd w:val="clear" w:color="000000" w:fill="EDEDED"/>
          </w:tcPr>
          <w:p w14:paraId="0D9DCC33" w14:textId="77777777" w:rsidR="0016422B" w:rsidRDefault="0016422B" w:rsidP="007F3649">
            <w:pPr>
              <w:pStyle w:val="ListParagraph"/>
              <w:numPr>
                <w:ilvl w:val="0"/>
                <w:numId w:val="52"/>
              </w:numPr>
              <w:spacing w:before="0" w:after="0"/>
              <w:ind w:left="320" w:hanging="284"/>
              <w:rPr>
                <w:rFonts w:cstheme="minorHAnsi"/>
                <w:color w:val="000000"/>
                <w:sz w:val="20"/>
                <w:szCs w:val="20"/>
              </w:rPr>
            </w:pPr>
            <w:r w:rsidRPr="00407345">
              <w:rPr>
                <w:rFonts w:cstheme="minorHAnsi"/>
                <w:color w:val="000000"/>
                <w:sz w:val="20"/>
                <w:szCs w:val="20"/>
              </w:rPr>
              <w:t xml:space="preserve">As per </w:t>
            </w:r>
            <w:r>
              <w:rPr>
                <w:rFonts w:cstheme="minorHAnsi"/>
                <w:color w:val="000000"/>
                <w:sz w:val="20"/>
                <w:szCs w:val="20"/>
              </w:rPr>
              <w:t xml:space="preserve">the </w:t>
            </w:r>
            <w:hyperlink r:id="rId14" w:history="1">
              <w:r>
                <w:rPr>
                  <w:rStyle w:val="Hyperlink"/>
                  <w:rFonts w:cstheme="minorHAnsi"/>
                  <w:sz w:val="20"/>
                  <w:szCs w:val="20"/>
                </w:rPr>
                <w:t>Work Refusal Failures and Unemployment Failures</w:t>
              </w:r>
            </w:hyperlink>
            <w:r>
              <w:rPr>
                <w:rFonts w:cstheme="minorHAnsi"/>
                <w:color w:val="000000"/>
                <w:sz w:val="20"/>
                <w:szCs w:val="20"/>
              </w:rPr>
              <w:t xml:space="preserve"> Guideline,</w:t>
            </w:r>
            <w:r w:rsidRPr="00407345">
              <w:rPr>
                <w:rFonts w:cstheme="minorHAnsi"/>
                <w:color w:val="000000"/>
                <w:sz w:val="20"/>
                <w:szCs w:val="20"/>
              </w:rPr>
              <w:t xml:space="preserve"> </w:t>
            </w:r>
            <w:r>
              <w:rPr>
                <w:rFonts w:cstheme="minorHAnsi"/>
                <w:color w:val="000000"/>
                <w:sz w:val="20"/>
                <w:szCs w:val="20"/>
              </w:rPr>
              <w:t xml:space="preserve">if following a discussion with the job seeker, the Provider considers that the job seeker has committed an apparent Unemployment Failure, </w:t>
            </w:r>
          </w:p>
          <w:p w14:paraId="79AF8A07" w14:textId="77777777" w:rsidR="0016422B" w:rsidRPr="00A6160F"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a</w:t>
            </w:r>
            <w:r w:rsidRPr="00A6160F">
              <w:rPr>
                <w:rFonts w:cstheme="minorHAnsi"/>
                <w:color w:val="000000"/>
                <w:sz w:val="20"/>
                <w:szCs w:val="20"/>
              </w:rPr>
              <w:t>pply the TCF.</w:t>
            </w:r>
          </w:p>
          <w:p w14:paraId="5E4F3603" w14:textId="77777777" w:rsidR="0016422B" w:rsidRPr="00B7423A" w:rsidRDefault="0016422B" w:rsidP="007F3649">
            <w:pPr>
              <w:pStyle w:val="ListParagraph"/>
              <w:numPr>
                <w:ilvl w:val="0"/>
                <w:numId w:val="52"/>
              </w:numPr>
              <w:spacing w:before="0" w:after="0"/>
              <w:ind w:left="320" w:hanging="284"/>
              <w:rPr>
                <w:rFonts w:cstheme="minorHAnsi"/>
                <w:color w:val="000000"/>
                <w:sz w:val="20"/>
                <w:szCs w:val="20"/>
              </w:rPr>
            </w:pPr>
            <w:r>
              <w:rPr>
                <w:rFonts w:cstheme="minorHAnsi"/>
                <w:color w:val="000000"/>
                <w:sz w:val="20"/>
                <w:szCs w:val="20"/>
              </w:rPr>
              <w:t>This must be reported to Services Australia as an Unemployment Failure.</w:t>
            </w:r>
          </w:p>
          <w:p w14:paraId="1FD7FA84" w14:textId="77777777" w:rsidR="0016422B" w:rsidRPr="008071BD" w:rsidRDefault="0016422B" w:rsidP="001A1F5C">
            <w:pPr>
              <w:rPr>
                <w:rFonts w:cstheme="minorHAnsi"/>
                <w:color w:val="000000"/>
                <w:sz w:val="20"/>
                <w:szCs w:val="20"/>
              </w:rPr>
            </w:pPr>
          </w:p>
          <w:p w14:paraId="3BB2633C" w14:textId="77777777" w:rsidR="0016422B" w:rsidRDefault="0016422B" w:rsidP="001A1F5C">
            <w:pPr>
              <w:rPr>
                <w:rFonts w:cstheme="minorHAnsi"/>
                <w:color w:val="000000"/>
                <w:sz w:val="20"/>
                <w:szCs w:val="20"/>
              </w:rPr>
            </w:pPr>
            <w:r w:rsidRPr="008071BD">
              <w:rPr>
                <w:rFonts w:cstheme="minorHAnsi"/>
                <w:color w:val="000000"/>
                <w:sz w:val="20"/>
                <w:szCs w:val="20"/>
              </w:rPr>
              <w:t>For details on how to create an Unemployment Failure Report, refer to</w:t>
            </w:r>
            <w:r>
              <w:rPr>
                <w:rFonts w:cstheme="minorHAnsi"/>
                <w:color w:val="000000"/>
                <w:sz w:val="20"/>
                <w:szCs w:val="20"/>
              </w:rPr>
              <w:t>:</w:t>
            </w:r>
          </w:p>
          <w:p w14:paraId="1D19EC6D" w14:textId="77777777" w:rsidR="0016422B" w:rsidRPr="008071BD" w:rsidRDefault="0016422B" w:rsidP="001A1F5C">
            <w:pPr>
              <w:rPr>
                <w:rFonts w:cstheme="minorHAnsi"/>
                <w:i/>
                <w:iCs/>
                <w:color w:val="000000"/>
                <w:sz w:val="20"/>
                <w:szCs w:val="20"/>
              </w:rPr>
            </w:pPr>
            <w:r w:rsidRPr="008071BD">
              <w:rPr>
                <w:rFonts w:cstheme="minorHAnsi"/>
                <w:i/>
                <w:iCs/>
                <w:color w:val="000000"/>
                <w:sz w:val="20"/>
                <w:szCs w:val="20"/>
              </w:rPr>
              <w:t>Task Card Guide – Reporting Unemployment Failures.</w:t>
            </w:r>
          </w:p>
          <w:p w14:paraId="068FD9C2" w14:textId="77777777" w:rsidR="0016422B" w:rsidRPr="008071BD" w:rsidRDefault="0016422B" w:rsidP="001A1F5C">
            <w:pPr>
              <w:rPr>
                <w:rFonts w:cstheme="minorHAnsi"/>
                <w:color w:val="000000"/>
                <w:sz w:val="20"/>
                <w:szCs w:val="20"/>
              </w:rPr>
            </w:pPr>
          </w:p>
        </w:tc>
        <w:tc>
          <w:tcPr>
            <w:tcW w:w="4252" w:type="dxa"/>
            <w:shd w:val="clear" w:color="000000" w:fill="EDEDED"/>
            <w:tcMar>
              <w:top w:w="142" w:type="dxa"/>
              <w:bottom w:w="142" w:type="dxa"/>
            </w:tcMar>
          </w:tcPr>
          <w:p w14:paraId="6D4C799D" w14:textId="77777777" w:rsidR="0016422B" w:rsidRPr="00D31B75" w:rsidRDefault="0016422B" w:rsidP="007F3649">
            <w:pPr>
              <w:pStyle w:val="ListParagraph"/>
              <w:numPr>
                <w:ilvl w:val="0"/>
                <w:numId w:val="53"/>
              </w:numPr>
              <w:spacing w:before="0" w:after="0"/>
              <w:ind w:left="319" w:hanging="290"/>
              <w:rPr>
                <w:rFonts w:cstheme="minorHAnsi"/>
                <w:color w:val="000000"/>
                <w:sz w:val="20"/>
                <w:szCs w:val="20"/>
              </w:rPr>
            </w:pPr>
            <w:r w:rsidRPr="003D2073">
              <w:rPr>
                <w:rFonts w:cstheme="minorHAnsi"/>
                <w:color w:val="000000"/>
                <w:sz w:val="20"/>
                <w:szCs w:val="20"/>
              </w:rPr>
              <w:t xml:space="preserve">As per the </w:t>
            </w:r>
            <w:hyperlink r:id="rId15" w:history="1">
              <w:r w:rsidRPr="005B05BB">
                <w:rPr>
                  <w:rStyle w:val="Hyperlink"/>
                  <w:rFonts w:cstheme="minorHAnsi"/>
                  <w:sz w:val="20"/>
                  <w:szCs w:val="20"/>
                </w:rPr>
                <w:t>Work Refusal and Unemployment Failure</w:t>
              </w:r>
            </w:hyperlink>
            <w:r w:rsidRPr="003D2073">
              <w:rPr>
                <w:rFonts w:cstheme="minorHAnsi"/>
                <w:color w:val="000000"/>
                <w:sz w:val="20"/>
                <w:szCs w:val="20"/>
              </w:rPr>
              <w:t xml:space="preserve"> Guideline</w:t>
            </w:r>
            <w:r w:rsidRPr="004657B2">
              <w:rPr>
                <w:rFonts w:cstheme="minorHAnsi"/>
                <w:color w:val="000000"/>
                <w:sz w:val="20"/>
                <w:szCs w:val="20"/>
              </w:rPr>
              <w:t xml:space="preserve">, if following a discussion with the job seeker, the </w:t>
            </w:r>
            <w:r>
              <w:rPr>
                <w:rFonts w:cstheme="minorHAnsi"/>
                <w:color w:val="000000"/>
                <w:sz w:val="20"/>
                <w:szCs w:val="20"/>
              </w:rPr>
              <w:t>Provider</w:t>
            </w:r>
            <w:r w:rsidRPr="004657B2">
              <w:rPr>
                <w:rFonts w:cstheme="minorHAnsi"/>
                <w:color w:val="000000"/>
                <w:sz w:val="20"/>
                <w:szCs w:val="20"/>
              </w:rPr>
              <w:t xml:space="preserve"> considers that the job seeker has </w:t>
            </w:r>
            <w:r>
              <w:rPr>
                <w:rFonts w:cstheme="minorHAnsi"/>
                <w:color w:val="000000"/>
                <w:sz w:val="20"/>
                <w:szCs w:val="20"/>
              </w:rPr>
              <w:t xml:space="preserve">not </w:t>
            </w:r>
            <w:r w:rsidRPr="004657B2">
              <w:rPr>
                <w:rFonts w:cstheme="minorHAnsi"/>
                <w:color w:val="000000"/>
                <w:sz w:val="20"/>
                <w:szCs w:val="20"/>
              </w:rPr>
              <w:t>committed an apparent Unemployment Failure</w:t>
            </w:r>
            <w:r>
              <w:rPr>
                <w:rFonts w:cstheme="minorHAnsi"/>
                <w:color w:val="000000"/>
                <w:sz w:val="20"/>
                <w:szCs w:val="20"/>
              </w:rPr>
              <w:t>, no further action is required</w:t>
            </w:r>
            <w:r w:rsidRPr="004657B2">
              <w:rPr>
                <w:rFonts w:cstheme="minorHAnsi"/>
                <w:color w:val="000000"/>
                <w:sz w:val="20"/>
                <w:szCs w:val="20"/>
              </w:rPr>
              <w:t>.</w:t>
            </w:r>
          </w:p>
          <w:p w14:paraId="29E264F0" w14:textId="77777777" w:rsidR="0016422B" w:rsidRPr="00B54149" w:rsidRDefault="0016422B" w:rsidP="007F3649">
            <w:pPr>
              <w:pStyle w:val="ListParagraph"/>
              <w:numPr>
                <w:ilvl w:val="0"/>
                <w:numId w:val="53"/>
              </w:numPr>
              <w:spacing w:before="0" w:after="0"/>
              <w:ind w:left="319" w:hanging="290"/>
              <w:rPr>
                <w:rFonts w:cstheme="minorHAnsi"/>
                <w:color w:val="000000"/>
                <w:sz w:val="20"/>
                <w:szCs w:val="20"/>
              </w:rPr>
            </w:pPr>
            <w:r>
              <w:rPr>
                <w:rFonts w:cstheme="minorHAnsi"/>
                <w:color w:val="000000"/>
                <w:sz w:val="20"/>
                <w:szCs w:val="20"/>
              </w:rPr>
              <w:t xml:space="preserve">However, if the Provider considers that the job seeker has committed an apparent Unemployment </w:t>
            </w:r>
            <w:proofErr w:type="gramStart"/>
            <w:r>
              <w:rPr>
                <w:rFonts w:cstheme="minorHAnsi"/>
                <w:color w:val="000000"/>
                <w:sz w:val="20"/>
                <w:szCs w:val="20"/>
              </w:rPr>
              <w:t>Failure</w:t>
            </w:r>
            <w:proofErr w:type="gramEnd"/>
            <w:r>
              <w:rPr>
                <w:rFonts w:cstheme="minorHAnsi"/>
                <w:color w:val="000000"/>
                <w:sz w:val="20"/>
                <w:szCs w:val="20"/>
              </w:rPr>
              <w:t xml:space="preserve"> but the TCF cannot be applied, as</w:t>
            </w:r>
            <w:r w:rsidRPr="00411166">
              <w:rPr>
                <w:rFonts w:cstheme="minorHAnsi"/>
                <w:color w:val="000000"/>
                <w:sz w:val="20"/>
                <w:szCs w:val="20"/>
              </w:rPr>
              <w:t xml:space="preserve"> more than 20 business days </w:t>
            </w:r>
            <w:r>
              <w:rPr>
                <w:rFonts w:cstheme="minorHAnsi"/>
                <w:color w:val="000000"/>
                <w:sz w:val="20"/>
                <w:szCs w:val="20"/>
              </w:rPr>
              <w:t xml:space="preserve">have passed </w:t>
            </w:r>
            <w:r w:rsidRPr="00411166">
              <w:rPr>
                <w:rFonts w:cstheme="minorHAnsi"/>
                <w:color w:val="000000"/>
                <w:sz w:val="20"/>
                <w:szCs w:val="20"/>
              </w:rPr>
              <w:t>since the incident date</w:t>
            </w:r>
            <w:r>
              <w:rPr>
                <w:rFonts w:cstheme="minorHAnsi"/>
                <w:color w:val="000000"/>
                <w:sz w:val="20"/>
                <w:szCs w:val="20"/>
              </w:rPr>
              <w:t xml:space="preserve">, Providers must while in contact with the job seeker: </w:t>
            </w:r>
          </w:p>
          <w:p w14:paraId="6D470A0D" w14:textId="77777777" w:rsidR="0016422B" w:rsidRPr="00CE6A83" w:rsidRDefault="0016422B" w:rsidP="0016422B">
            <w:pPr>
              <w:pStyle w:val="ListParagraph"/>
              <w:numPr>
                <w:ilvl w:val="0"/>
                <w:numId w:val="58"/>
              </w:numPr>
              <w:spacing w:before="0" w:after="0"/>
              <w:ind w:left="608" w:hanging="283"/>
              <w:rPr>
                <w:rFonts w:cstheme="minorHAnsi"/>
                <w:color w:val="000000"/>
                <w:sz w:val="20"/>
                <w:szCs w:val="20"/>
              </w:rPr>
            </w:pPr>
            <w:r>
              <w:rPr>
                <w:rFonts w:cstheme="minorHAnsi"/>
                <w:color w:val="000000"/>
                <w:sz w:val="20"/>
                <w:szCs w:val="20"/>
              </w:rPr>
              <w:t xml:space="preserve">discuss the </w:t>
            </w:r>
            <w:r w:rsidRPr="00D31B75">
              <w:rPr>
                <w:rFonts w:cstheme="minorHAnsi"/>
                <w:color w:val="000000"/>
                <w:sz w:val="20"/>
                <w:szCs w:val="20"/>
              </w:rPr>
              <w:t xml:space="preserve">information provided by the </w:t>
            </w:r>
            <w:r>
              <w:rPr>
                <w:rFonts w:cstheme="minorHAnsi"/>
                <w:color w:val="000000"/>
                <w:sz w:val="20"/>
                <w:szCs w:val="20"/>
              </w:rPr>
              <w:t xml:space="preserve">Employer Reporting </w:t>
            </w:r>
            <w:r w:rsidRPr="00CE6A83">
              <w:rPr>
                <w:rFonts w:cstheme="minorHAnsi"/>
                <w:color w:val="000000"/>
                <w:sz w:val="20"/>
                <w:szCs w:val="20"/>
              </w:rPr>
              <w:t>Line (through the Employer Report Referral) where applicable and provide guidance on sustaining employment.</w:t>
            </w:r>
          </w:p>
          <w:p w14:paraId="593AE1E1" w14:textId="2DEEA4FF" w:rsidR="0016422B" w:rsidRPr="00B855F5" w:rsidRDefault="0016422B" w:rsidP="007F3649">
            <w:pPr>
              <w:pStyle w:val="ListParagraph"/>
              <w:numPr>
                <w:ilvl w:val="0"/>
                <w:numId w:val="58"/>
              </w:numPr>
              <w:spacing w:before="0" w:after="0"/>
              <w:ind w:left="608" w:hanging="283"/>
              <w:rPr>
                <w:rFonts w:cstheme="minorHAnsi"/>
                <w:color w:val="000000"/>
                <w:sz w:val="20"/>
                <w:szCs w:val="20"/>
              </w:rPr>
            </w:pPr>
            <w:r>
              <w:rPr>
                <w:rFonts w:cstheme="minorHAnsi"/>
                <w:color w:val="000000"/>
                <w:sz w:val="20"/>
                <w:szCs w:val="20"/>
              </w:rPr>
              <w:t>d</w:t>
            </w:r>
            <w:r w:rsidRPr="00B855F5">
              <w:rPr>
                <w:rFonts w:cstheme="minorHAnsi"/>
                <w:color w:val="000000"/>
                <w:sz w:val="20"/>
                <w:szCs w:val="20"/>
              </w:rPr>
              <w:t>uring this discussion Providers should also consider</w:t>
            </w:r>
            <w:r w:rsidRPr="00D31B75">
              <w:rPr>
                <w:rFonts w:cstheme="minorHAnsi"/>
                <w:color w:val="000000"/>
                <w:sz w:val="20"/>
                <w:szCs w:val="20"/>
              </w:rPr>
              <w:t xml:space="preserve"> referring the job seeker to activities</w:t>
            </w:r>
            <w:r w:rsidRPr="00892DDA">
              <w:rPr>
                <w:rFonts w:cstheme="minorHAnsi"/>
                <w:color w:val="000000"/>
                <w:sz w:val="20"/>
                <w:szCs w:val="20"/>
              </w:rPr>
              <w:t xml:space="preserve"> to build or improve employability</w:t>
            </w:r>
            <w:r w:rsidRPr="00D31B75">
              <w:rPr>
                <w:rFonts w:cstheme="minorHAnsi"/>
                <w:color w:val="000000"/>
                <w:sz w:val="20"/>
                <w:szCs w:val="20"/>
              </w:rPr>
              <w:t xml:space="preserve"> or similar appropriate activities</w:t>
            </w:r>
            <w:r>
              <w:rPr>
                <w:rFonts w:cstheme="minorHAnsi"/>
                <w:color w:val="000000"/>
                <w:sz w:val="20"/>
                <w:szCs w:val="20"/>
              </w:rPr>
              <w:t>.</w:t>
            </w:r>
          </w:p>
        </w:tc>
      </w:tr>
      <w:bookmarkEnd w:id="128"/>
    </w:tbl>
    <w:p w14:paraId="4E0D515B" w14:textId="77777777" w:rsidR="0016422B" w:rsidRPr="007C45B4" w:rsidRDefault="0016422B" w:rsidP="0016422B">
      <w:pPr>
        <w:ind w:left="-284" w:hanging="283"/>
      </w:pPr>
      <w:r w:rsidRPr="007C45B4">
        <w:br w:type="page"/>
      </w:r>
    </w:p>
    <w:p w14:paraId="32A1E182" w14:textId="77777777" w:rsidR="0016422B" w:rsidRPr="00E100FF" w:rsidRDefault="0016422B" w:rsidP="00B21902"/>
    <w:p w14:paraId="78EC6BA5" w14:textId="21E7CF46" w:rsidR="00B21902" w:rsidRPr="005B6382" w:rsidRDefault="00B21902" w:rsidP="005B6382">
      <w:pPr>
        <w:pStyle w:val="Heading2"/>
        <w:spacing w:before="0"/>
        <w:ind w:left="567" w:hanging="567"/>
        <w:rPr>
          <w:sz w:val="28"/>
        </w:rPr>
      </w:pPr>
      <w:bookmarkStart w:id="129" w:name="_Attachment_C—Valid_reason"/>
      <w:bookmarkStart w:id="130" w:name="_Attachment_D—Valid_Reason"/>
      <w:bookmarkStart w:id="131" w:name="_Toc21095890"/>
      <w:bookmarkStart w:id="132" w:name="_Toc177568237"/>
      <w:bookmarkEnd w:id="129"/>
      <w:bookmarkEnd w:id="130"/>
      <w:r w:rsidRPr="005B6382">
        <w:rPr>
          <w:sz w:val="28"/>
        </w:rPr>
        <w:t xml:space="preserve">Attachment </w:t>
      </w:r>
      <w:r w:rsidR="007F3649" w:rsidRPr="005B6382">
        <w:rPr>
          <w:sz w:val="28"/>
        </w:rPr>
        <w:t>E</w:t>
      </w:r>
      <w:r w:rsidRPr="005B6382">
        <w:rPr>
          <w:sz w:val="28"/>
        </w:rPr>
        <w:t>—Valid Reason assessment options</w:t>
      </w:r>
      <w:bookmarkEnd w:id="131"/>
      <w:bookmarkEnd w:id="132"/>
    </w:p>
    <w:p w14:paraId="20EA8A89" w14:textId="5507707E" w:rsidR="00B21902" w:rsidRDefault="00B21902" w:rsidP="00B21902">
      <w:pPr>
        <w:pStyle w:val="guidelinetext"/>
        <w:spacing w:before="60"/>
        <w:ind w:left="0"/>
      </w:pPr>
      <w:r w:rsidRPr="00E100FF">
        <w:t>The following tables replicate the drop-down menus in the system. When recording a reason that is a Valid Reason or that is not a Valid Reason in the Department’s IT Systems, the appropriate menu will appear. Reasons may appear in both columns and may be a Valid Reason or not</w:t>
      </w:r>
      <w:r>
        <w:t xml:space="preserve"> a</w:t>
      </w:r>
      <w:r w:rsidRPr="00E100FF">
        <w:t xml:space="preserve"> Valid Reason, depending on the Pro</w:t>
      </w:r>
      <w:r>
        <w:t xml:space="preserve">vider’s determination (see the </w:t>
      </w:r>
      <w:r w:rsidR="007F3649" w:rsidRPr="007F3649">
        <w:t>Assessing Valid Reasons</w:t>
      </w:r>
      <w:r w:rsidR="007F3649">
        <w:t>’</w:t>
      </w:r>
      <w:r w:rsidRPr="00E100FF">
        <w:t xml:space="preserve"> section of th</w:t>
      </w:r>
      <w:r>
        <w:t>ese</w:t>
      </w:r>
      <w:r w:rsidRPr="00E100FF">
        <w:t xml:space="preserve"> Guideline</w:t>
      </w:r>
      <w:r>
        <w:t>s</w:t>
      </w:r>
      <w:r w:rsidRPr="00E100FF">
        <w:t>, above). In the Department’s IT Systems, ‘reasons accepted’ refers to Reasons that the Provider determines are Valid Reasons, and ‘reasons not accepted’ refers to Reasons that the Provider determines are not Valid Reasons.</w:t>
      </w:r>
    </w:p>
    <w:p w14:paraId="592F0631" w14:textId="77777777" w:rsidR="001A1D43" w:rsidRPr="00E100FF" w:rsidRDefault="001A1D43" w:rsidP="00B21902">
      <w:pPr>
        <w:pStyle w:val="guidelinetext"/>
        <w:spacing w:before="60"/>
        <w:ind w:left="0"/>
      </w:pPr>
    </w:p>
    <w:tbl>
      <w:tblPr>
        <w:tblStyle w:val="ListTable2"/>
        <w:tblW w:w="0" w:type="auto"/>
        <w:tblLook w:val="0420" w:firstRow="1" w:lastRow="0" w:firstColumn="0" w:lastColumn="0" w:noHBand="0" w:noVBand="1"/>
        <w:tblCaption w:val="Valid Reason assessment options: failure to attend a Provider Appointment, Third Party Appointment, activity or job interview"/>
        <w:tblDescription w:val="This table replicates the drop-down menu options in the system when a provider records that the job seeker does or does not have a Valid Reason for failing to attend a Provider Appointment, Third Party Appointment, activity or job interview."/>
      </w:tblPr>
      <w:tblGrid>
        <w:gridCol w:w="4508"/>
        <w:gridCol w:w="4508"/>
      </w:tblGrid>
      <w:tr w:rsidR="00B21902" w:rsidRPr="00E100FF" w14:paraId="5D0F733E"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0D16B55" w14:textId="77777777" w:rsidR="00B21902" w:rsidRPr="00E100FF" w:rsidRDefault="00B21902" w:rsidP="00B21902">
            <w:r w:rsidRPr="00E100FF">
              <w:t>Failure to attend a Provider Appointment, Third Party Appointment, activity or job interview</w:t>
            </w:r>
          </w:p>
        </w:tc>
      </w:tr>
      <w:tr w:rsidR="00B21902" w:rsidRPr="00E100FF" w14:paraId="7543F180"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4508" w:type="dxa"/>
            <w:shd w:val="clear" w:color="auto" w:fill="CCCCCC"/>
          </w:tcPr>
          <w:p w14:paraId="34C509C9" w14:textId="77777777" w:rsidR="00B21902" w:rsidRPr="00E100FF" w:rsidRDefault="00B21902" w:rsidP="00B21902">
            <w:pPr>
              <w:spacing w:before="60" w:after="60"/>
              <w:rPr>
                <w:bCs w:val="0"/>
              </w:rPr>
            </w:pPr>
            <w:r w:rsidRPr="00E100FF">
              <w:rPr>
                <w:bCs w:val="0"/>
              </w:rPr>
              <w:t>Reasons accepted</w:t>
            </w:r>
          </w:p>
        </w:tc>
        <w:tc>
          <w:tcPr>
            <w:tcW w:w="4508" w:type="dxa"/>
            <w:tcBorders>
              <w:bottom w:val="single" w:sz="4" w:space="0" w:color="666666" w:themeColor="text1" w:themeTint="99"/>
            </w:tcBorders>
            <w:shd w:val="clear" w:color="auto" w:fill="CCCCCC"/>
          </w:tcPr>
          <w:p w14:paraId="06152BF4" w14:textId="77777777" w:rsidR="00B21902" w:rsidRPr="00E100FF" w:rsidRDefault="00B21902" w:rsidP="00B21902">
            <w:pPr>
              <w:spacing w:before="60" w:after="60"/>
            </w:pPr>
            <w:r w:rsidRPr="00E100FF">
              <w:t>Reasons not accepted</w:t>
            </w:r>
          </w:p>
        </w:tc>
      </w:tr>
      <w:tr w:rsidR="00B21902" w:rsidRPr="00E100FF" w14:paraId="3DB24DAB"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tcBorders>
              <w:right w:val="single" w:sz="4" w:space="0" w:color="auto"/>
            </w:tcBorders>
            <w:shd w:val="clear" w:color="auto" w:fill="auto"/>
          </w:tcPr>
          <w:p w14:paraId="4A94AEBD" w14:textId="77777777" w:rsidR="00B21902" w:rsidRPr="00E100FF" w:rsidRDefault="00B21902" w:rsidP="00B21902">
            <w:pPr>
              <w:pStyle w:val="guidelinetext"/>
              <w:numPr>
                <w:ilvl w:val="0"/>
                <w:numId w:val="28"/>
              </w:numPr>
              <w:spacing w:before="40" w:after="40" w:line="240" w:lineRule="auto"/>
              <w:ind w:left="284" w:hanging="284"/>
            </w:pPr>
            <w:r w:rsidRPr="00E100FF">
              <w:t>Caring/family reasons that were unforeseeable—unable to advise prior</w:t>
            </w:r>
          </w:p>
          <w:p w14:paraId="45007096" w14:textId="725A0115" w:rsidR="00B21902" w:rsidRPr="00E100FF" w:rsidRDefault="00B21902" w:rsidP="00B21902">
            <w:pPr>
              <w:pStyle w:val="guidelinetext"/>
              <w:numPr>
                <w:ilvl w:val="0"/>
                <w:numId w:val="28"/>
              </w:numPr>
              <w:spacing w:before="40" w:after="40" w:line="240" w:lineRule="auto"/>
              <w:ind w:left="284" w:hanging="284"/>
            </w:pPr>
            <w:r w:rsidRPr="00E100FF">
              <w:t>Conditions or pay not suitable*</w:t>
            </w:r>
          </w:p>
          <w:p w14:paraId="3CEC01DC" w14:textId="1CF35D21" w:rsidR="00B21902" w:rsidRPr="00E100FF" w:rsidRDefault="00B21902" w:rsidP="00B21902">
            <w:pPr>
              <w:pStyle w:val="guidelinetext"/>
              <w:numPr>
                <w:ilvl w:val="0"/>
                <w:numId w:val="28"/>
              </w:numPr>
              <w:spacing w:before="40" w:after="40" w:line="240" w:lineRule="auto"/>
              <w:ind w:left="284" w:hanging="284"/>
            </w:pPr>
            <w:r w:rsidRPr="00E100FF">
              <w:t>Conditions/skills beyond job seeke</w:t>
            </w:r>
            <w:r>
              <w:t xml:space="preserve">r </w:t>
            </w:r>
            <w:r w:rsidRPr="00E100FF">
              <w:t>capacity*</w:t>
            </w:r>
          </w:p>
          <w:p w14:paraId="451026D2" w14:textId="77777777" w:rsidR="00B21902" w:rsidRPr="00E100FF" w:rsidRDefault="00B21902" w:rsidP="00B21902">
            <w:pPr>
              <w:pStyle w:val="guidelinetext"/>
              <w:numPr>
                <w:ilvl w:val="0"/>
                <w:numId w:val="28"/>
              </w:numPr>
              <w:spacing w:before="40" w:after="40" w:line="240" w:lineRule="auto"/>
              <w:ind w:left="284" w:hanging="284"/>
            </w:pPr>
            <w:r w:rsidRPr="00E100FF">
              <w:t>Cultural business—unable to advise prior</w:t>
            </w:r>
          </w:p>
          <w:p w14:paraId="17AE0E39" w14:textId="197382BB" w:rsidR="00B21902" w:rsidRPr="00E100FF" w:rsidRDefault="00B21902" w:rsidP="00B21902">
            <w:pPr>
              <w:pStyle w:val="guidelinetext"/>
              <w:numPr>
                <w:ilvl w:val="0"/>
                <w:numId w:val="28"/>
              </w:numPr>
              <w:spacing w:before="40" w:after="40" w:line="240" w:lineRule="auto"/>
              <w:ind w:left="284" w:hanging="284"/>
            </w:pPr>
            <w:r w:rsidRPr="00E100FF">
              <w:t>Believe job seeker thought they were exempt</w:t>
            </w:r>
          </w:p>
          <w:p w14:paraId="0B646293" w14:textId="77777777" w:rsidR="00B21902" w:rsidRPr="00E100FF" w:rsidRDefault="00B21902" w:rsidP="00B21902">
            <w:pPr>
              <w:pStyle w:val="guidelinetext"/>
              <w:numPr>
                <w:ilvl w:val="0"/>
                <w:numId w:val="28"/>
              </w:numPr>
              <w:spacing w:before="40" w:after="40" w:line="240" w:lineRule="auto"/>
              <w:ind w:left="284" w:hanging="284"/>
            </w:pPr>
            <w:r w:rsidRPr="00E100FF">
              <w:t>Housing instability issues—unable to advise prior</w:t>
            </w:r>
          </w:p>
          <w:p w14:paraId="252647EB" w14:textId="77777777" w:rsidR="00B21902" w:rsidRPr="00E100FF" w:rsidRDefault="00B21902" w:rsidP="00B21902">
            <w:pPr>
              <w:pStyle w:val="guidelinetext"/>
              <w:numPr>
                <w:ilvl w:val="0"/>
                <w:numId w:val="28"/>
              </w:numPr>
              <w:spacing w:before="40" w:after="40" w:line="240" w:lineRule="auto"/>
              <w:ind w:left="284" w:hanging="284"/>
            </w:pPr>
            <w:r w:rsidRPr="00E100FF">
              <w:t>Housing—landlord/property inspection—unable to advise prior</w:t>
            </w:r>
          </w:p>
          <w:p w14:paraId="48A1C3C9" w14:textId="77777777" w:rsidR="00B21902" w:rsidRPr="00E100FF" w:rsidRDefault="00B21902" w:rsidP="00B21902">
            <w:pPr>
              <w:pStyle w:val="guidelinetext"/>
              <w:numPr>
                <w:ilvl w:val="0"/>
                <w:numId w:val="28"/>
              </w:numPr>
              <w:spacing w:before="40" w:after="40" w:line="240" w:lineRule="auto"/>
              <w:ind w:left="284" w:hanging="284"/>
            </w:pPr>
            <w:r w:rsidRPr="00E100FF">
              <w:t>Legal requirements—unable to advise prior</w:t>
            </w:r>
          </w:p>
          <w:p w14:paraId="00E0BF74" w14:textId="77777777" w:rsidR="00B21902" w:rsidRPr="00E100FF" w:rsidRDefault="00B21902" w:rsidP="00B21902">
            <w:pPr>
              <w:pStyle w:val="guidelinetext"/>
              <w:numPr>
                <w:ilvl w:val="0"/>
                <w:numId w:val="28"/>
              </w:numPr>
              <w:spacing w:before="40" w:after="40" w:line="240" w:lineRule="auto"/>
              <w:ind w:left="284" w:hanging="284"/>
            </w:pPr>
            <w:r w:rsidRPr="00E100FF">
              <w:t>Local issue/natural disaster—unable to advise prior</w:t>
            </w:r>
          </w:p>
          <w:p w14:paraId="491D78EA" w14:textId="7F6AFFC5" w:rsidR="00B21902" w:rsidRPr="00E100FF" w:rsidRDefault="00B21902" w:rsidP="00B21902">
            <w:pPr>
              <w:pStyle w:val="guidelinetext"/>
              <w:numPr>
                <w:ilvl w:val="0"/>
                <w:numId w:val="28"/>
              </w:numPr>
              <w:spacing w:before="40" w:after="40" w:line="240" w:lineRule="auto"/>
              <w:ind w:left="284" w:hanging="284"/>
            </w:pPr>
            <w:r w:rsidRPr="00E100FF">
              <w:t>Major personal crisis affected job seeker—unable to advise prior</w:t>
            </w:r>
          </w:p>
          <w:p w14:paraId="0AB4968F" w14:textId="77777777" w:rsidR="00B21902" w:rsidRPr="00E100FF" w:rsidRDefault="00B21902" w:rsidP="00B21902">
            <w:pPr>
              <w:pStyle w:val="guidelinetext"/>
              <w:numPr>
                <w:ilvl w:val="0"/>
                <w:numId w:val="28"/>
              </w:numPr>
              <w:spacing w:before="40" w:after="40" w:line="240" w:lineRule="auto"/>
              <w:ind w:left="284" w:hanging="284"/>
            </w:pPr>
            <w:r w:rsidRPr="00E100FF">
              <w:t>Medical/health reason—unable to advise prior</w:t>
            </w:r>
          </w:p>
          <w:p w14:paraId="4D0099F4" w14:textId="77777777" w:rsidR="00B21902" w:rsidRPr="00E100FF" w:rsidRDefault="00B21902" w:rsidP="00B21902">
            <w:pPr>
              <w:pStyle w:val="guidelinetext"/>
              <w:numPr>
                <w:ilvl w:val="0"/>
                <w:numId w:val="28"/>
              </w:numPr>
              <w:spacing w:before="40" w:after="40" w:line="240" w:lineRule="auto"/>
              <w:ind w:left="284" w:hanging="284"/>
            </w:pPr>
            <w:r w:rsidRPr="00E100FF">
              <w:t>Notification issue—not aware of requirement</w:t>
            </w:r>
          </w:p>
          <w:p w14:paraId="2B1F13B6" w14:textId="77777777" w:rsidR="00B21902" w:rsidRPr="00E100FF" w:rsidRDefault="00B21902" w:rsidP="00B21902">
            <w:pPr>
              <w:pStyle w:val="guidelinetext"/>
              <w:numPr>
                <w:ilvl w:val="0"/>
                <w:numId w:val="28"/>
              </w:numPr>
              <w:spacing w:before="40" w:after="40" w:line="240" w:lineRule="auto"/>
              <w:ind w:left="284" w:hanging="284"/>
            </w:pPr>
            <w:r w:rsidRPr="00E100FF">
              <w:t>Travel/transport, did not have money to pay—unable to advise prior</w:t>
            </w:r>
          </w:p>
          <w:p w14:paraId="62440070" w14:textId="77777777" w:rsidR="00B21902" w:rsidRPr="00E100FF" w:rsidRDefault="00B21902" w:rsidP="00B21902">
            <w:pPr>
              <w:pStyle w:val="guidelinetext"/>
              <w:numPr>
                <w:ilvl w:val="0"/>
                <w:numId w:val="28"/>
              </w:numPr>
              <w:spacing w:before="40" w:after="40" w:line="240" w:lineRule="auto"/>
              <w:ind w:left="284" w:hanging="284"/>
            </w:pPr>
            <w:r w:rsidRPr="00E100FF">
              <w:t>Travel/transport access issue—unable to advise prior</w:t>
            </w:r>
          </w:p>
          <w:p w14:paraId="65D1A1ED" w14:textId="77777777" w:rsidR="00B21902" w:rsidRPr="00E100FF" w:rsidRDefault="00B21902" w:rsidP="00B21902">
            <w:pPr>
              <w:pStyle w:val="guidelinetext"/>
              <w:numPr>
                <w:ilvl w:val="0"/>
                <w:numId w:val="28"/>
              </w:numPr>
              <w:spacing w:before="40" w:after="40" w:line="240" w:lineRule="auto"/>
              <w:ind w:left="284" w:hanging="284"/>
            </w:pPr>
            <w:r w:rsidRPr="00E100FF">
              <w:t>Working on day of requirement—unable to advise prior</w:t>
            </w:r>
          </w:p>
        </w:tc>
        <w:tc>
          <w:tcPr>
            <w:tcW w:w="4508" w:type="dxa"/>
            <w:tcBorders>
              <w:left w:val="single" w:sz="4" w:space="0" w:color="auto"/>
            </w:tcBorders>
            <w:shd w:val="clear" w:color="auto" w:fill="auto"/>
          </w:tcPr>
          <w:p w14:paraId="363DE7C0" w14:textId="77777777" w:rsidR="00B21902" w:rsidRPr="00E100FF" w:rsidRDefault="00B21902" w:rsidP="00B21902">
            <w:pPr>
              <w:pStyle w:val="guidelinetext"/>
              <w:numPr>
                <w:ilvl w:val="0"/>
                <w:numId w:val="28"/>
              </w:numPr>
              <w:spacing w:before="40" w:after="40" w:line="240" w:lineRule="auto"/>
              <w:ind w:left="284" w:hanging="284"/>
            </w:pPr>
            <w:r w:rsidRPr="00E100FF">
              <w:t>Away from home/on holiday</w:t>
            </w:r>
          </w:p>
          <w:p w14:paraId="7FF084BE" w14:textId="77777777" w:rsidR="00B21902" w:rsidRPr="00E100FF" w:rsidRDefault="00B21902" w:rsidP="00B21902">
            <w:pPr>
              <w:pStyle w:val="guidelinetext"/>
              <w:numPr>
                <w:ilvl w:val="0"/>
                <w:numId w:val="28"/>
              </w:numPr>
              <w:spacing w:before="40" w:after="40" w:line="240" w:lineRule="auto"/>
              <w:ind w:left="284" w:hanging="284"/>
            </w:pPr>
            <w:r w:rsidRPr="00E100FF">
              <w:t>Caring/family reasons</w:t>
            </w:r>
          </w:p>
          <w:p w14:paraId="49215E9D" w14:textId="0254A76F" w:rsidR="00B21902" w:rsidRPr="00E100FF" w:rsidRDefault="00B21902" w:rsidP="00B21902">
            <w:pPr>
              <w:pStyle w:val="guidelinetext"/>
              <w:numPr>
                <w:ilvl w:val="0"/>
                <w:numId w:val="28"/>
              </w:numPr>
              <w:spacing w:before="40" w:after="40" w:line="240" w:lineRule="auto"/>
              <w:ind w:left="284" w:hanging="284"/>
            </w:pPr>
            <w:r w:rsidRPr="00E100FF">
              <w:t>Caring—claims childcare will be too expensive if offered job*</w:t>
            </w:r>
          </w:p>
          <w:p w14:paraId="203794F7" w14:textId="77777777" w:rsidR="00B21902" w:rsidRPr="00E100FF" w:rsidRDefault="00B21902" w:rsidP="00B21902">
            <w:pPr>
              <w:pStyle w:val="guidelinetext"/>
              <w:numPr>
                <w:ilvl w:val="0"/>
                <w:numId w:val="28"/>
              </w:numPr>
              <w:spacing w:before="40" w:after="40" w:line="240" w:lineRule="auto"/>
              <w:ind w:left="284" w:hanging="284"/>
            </w:pPr>
            <w:r w:rsidRPr="00E100FF">
              <w:t>Conditions—claims job does not match skills*</w:t>
            </w:r>
          </w:p>
          <w:p w14:paraId="0F5A78BD" w14:textId="46E31F7A" w:rsidR="00B21902" w:rsidRPr="00E100FF" w:rsidRDefault="00B21902" w:rsidP="00B21902">
            <w:pPr>
              <w:pStyle w:val="guidelinetext"/>
              <w:numPr>
                <w:ilvl w:val="0"/>
                <w:numId w:val="28"/>
              </w:numPr>
              <w:spacing w:before="40" w:after="40" w:line="240" w:lineRule="auto"/>
              <w:ind w:left="284" w:hanging="284"/>
            </w:pPr>
            <w:r w:rsidRPr="00E100FF">
              <w:t>Conditions—claims not in preferred employment industry*</w:t>
            </w:r>
          </w:p>
          <w:p w14:paraId="1CD69632" w14:textId="77777777" w:rsidR="00B21902" w:rsidRPr="00E100FF" w:rsidRDefault="00B21902" w:rsidP="00B21902">
            <w:pPr>
              <w:pStyle w:val="guidelinetext"/>
              <w:numPr>
                <w:ilvl w:val="0"/>
                <w:numId w:val="28"/>
              </w:numPr>
              <w:spacing w:before="40" w:after="40" w:line="240" w:lineRule="auto"/>
              <w:ind w:left="284" w:hanging="284"/>
            </w:pPr>
            <w:r w:rsidRPr="00E100FF">
              <w:t>Did not believe they had a requirement</w:t>
            </w:r>
          </w:p>
          <w:p w14:paraId="6F4CC418" w14:textId="77777777" w:rsidR="00B21902" w:rsidRPr="00E100FF" w:rsidRDefault="00B21902" w:rsidP="00B21902">
            <w:pPr>
              <w:pStyle w:val="guidelinetext"/>
              <w:numPr>
                <w:ilvl w:val="0"/>
                <w:numId w:val="28"/>
              </w:numPr>
              <w:spacing w:before="40" w:after="40" w:line="240" w:lineRule="auto"/>
              <w:ind w:left="284" w:hanging="284"/>
            </w:pPr>
            <w:r w:rsidRPr="00E100FF">
              <w:t>Did not think they had to attend—thought exempt</w:t>
            </w:r>
          </w:p>
          <w:p w14:paraId="6F0BB4F1" w14:textId="77777777" w:rsidR="00B21902" w:rsidRPr="00E100FF" w:rsidRDefault="00B21902" w:rsidP="00B21902">
            <w:pPr>
              <w:pStyle w:val="guidelinetext"/>
              <w:numPr>
                <w:ilvl w:val="0"/>
                <w:numId w:val="28"/>
              </w:numPr>
              <w:spacing w:before="40" w:after="40" w:line="240" w:lineRule="auto"/>
              <w:ind w:left="284" w:hanging="284"/>
            </w:pPr>
            <w:r w:rsidRPr="00E100FF">
              <w:t>Did not want to attend requirement</w:t>
            </w:r>
          </w:p>
          <w:p w14:paraId="2F2974DE" w14:textId="77777777" w:rsidR="00B21902" w:rsidRPr="00E100FF" w:rsidRDefault="00B21902" w:rsidP="00B21902">
            <w:pPr>
              <w:pStyle w:val="guidelinetext"/>
              <w:numPr>
                <w:ilvl w:val="0"/>
                <w:numId w:val="28"/>
              </w:numPr>
              <w:spacing w:before="40" w:after="40" w:line="240" w:lineRule="auto"/>
              <w:ind w:left="284" w:hanging="284"/>
            </w:pPr>
            <w:r w:rsidRPr="00E100FF">
              <w:t>Forgot about requirement</w:t>
            </w:r>
          </w:p>
          <w:p w14:paraId="6475311A" w14:textId="77777777" w:rsidR="00B21902" w:rsidRPr="00E100FF" w:rsidRDefault="00B21902" w:rsidP="00B21902">
            <w:pPr>
              <w:pStyle w:val="guidelinetext"/>
              <w:numPr>
                <w:ilvl w:val="0"/>
                <w:numId w:val="28"/>
              </w:numPr>
              <w:spacing w:before="40" w:after="40" w:line="240" w:lineRule="auto"/>
              <w:ind w:left="284" w:hanging="284"/>
            </w:pPr>
            <w:r w:rsidRPr="00E100FF">
              <w:t>Got lost/got time wrong</w:t>
            </w:r>
          </w:p>
          <w:p w14:paraId="7EE9A515" w14:textId="77777777" w:rsidR="00B21902" w:rsidRPr="00E100FF" w:rsidRDefault="00B21902" w:rsidP="00B21902">
            <w:pPr>
              <w:pStyle w:val="guidelinetext"/>
              <w:numPr>
                <w:ilvl w:val="0"/>
                <w:numId w:val="28"/>
              </w:numPr>
              <w:spacing w:before="40" w:after="40" w:line="240" w:lineRule="auto"/>
              <w:ind w:left="284" w:hanging="284"/>
            </w:pPr>
            <w:r w:rsidRPr="00E100FF">
              <w:t>Housing instability issues</w:t>
            </w:r>
          </w:p>
          <w:p w14:paraId="646F1362" w14:textId="77777777" w:rsidR="00B21902" w:rsidRPr="00E100FF" w:rsidRDefault="00B21902" w:rsidP="00B21902">
            <w:pPr>
              <w:pStyle w:val="guidelinetext"/>
              <w:numPr>
                <w:ilvl w:val="0"/>
                <w:numId w:val="28"/>
              </w:numPr>
              <w:spacing w:before="40" w:after="40" w:line="240" w:lineRule="auto"/>
              <w:ind w:left="284" w:hanging="284"/>
            </w:pPr>
            <w:r w:rsidRPr="00E100FF">
              <w:t>Medical/health reason</w:t>
            </w:r>
          </w:p>
          <w:p w14:paraId="14478114" w14:textId="77777777" w:rsidR="00B21902" w:rsidRPr="00E100FF" w:rsidRDefault="00B21902" w:rsidP="00B21902">
            <w:pPr>
              <w:pStyle w:val="guidelinetext"/>
              <w:numPr>
                <w:ilvl w:val="0"/>
                <w:numId w:val="28"/>
              </w:numPr>
              <w:spacing w:before="40" w:after="40" w:line="240" w:lineRule="auto"/>
              <w:ind w:left="284" w:hanging="284"/>
            </w:pPr>
            <w:r w:rsidRPr="00E100FF">
              <w:t>Slept in/missed requirement</w:t>
            </w:r>
          </w:p>
          <w:p w14:paraId="162F9404" w14:textId="77777777" w:rsidR="00B21902" w:rsidRPr="00E100FF" w:rsidRDefault="00B21902" w:rsidP="00B21902">
            <w:pPr>
              <w:pStyle w:val="guidelinetext"/>
              <w:numPr>
                <w:ilvl w:val="0"/>
                <w:numId w:val="28"/>
              </w:numPr>
              <w:spacing w:before="40" w:after="40" w:line="240" w:lineRule="auto"/>
              <w:ind w:left="284" w:hanging="284"/>
            </w:pPr>
            <w:r w:rsidRPr="00E100FF">
              <w:t>Travel/transport—did not have money to pay</w:t>
            </w:r>
          </w:p>
          <w:p w14:paraId="3A4E1653" w14:textId="77777777" w:rsidR="00B21902" w:rsidRPr="00E100FF" w:rsidRDefault="00B21902" w:rsidP="00B21902">
            <w:pPr>
              <w:pStyle w:val="guidelinetext"/>
              <w:numPr>
                <w:ilvl w:val="0"/>
                <w:numId w:val="28"/>
              </w:numPr>
              <w:spacing w:before="40" w:after="40" w:line="240" w:lineRule="auto"/>
              <w:ind w:left="284" w:hanging="284"/>
            </w:pPr>
            <w:r w:rsidRPr="00E100FF">
              <w:t>Travel/transport issue—did not have access</w:t>
            </w:r>
          </w:p>
          <w:p w14:paraId="60BB42D2" w14:textId="77777777" w:rsidR="00B21902" w:rsidRPr="00E100FF" w:rsidRDefault="00B21902" w:rsidP="00B21902">
            <w:pPr>
              <w:pStyle w:val="guidelinetext"/>
              <w:numPr>
                <w:ilvl w:val="0"/>
                <w:numId w:val="28"/>
              </w:numPr>
              <w:spacing w:before="40" w:after="40" w:line="240" w:lineRule="auto"/>
              <w:ind w:left="284" w:hanging="284"/>
            </w:pPr>
            <w:r w:rsidRPr="00E100FF">
              <w:t>Travel/transport issue—claims distance too great</w:t>
            </w:r>
          </w:p>
          <w:p w14:paraId="0AFF55DF" w14:textId="77777777" w:rsidR="00B21902" w:rsidRPr="00E100FF" w:rsidRDefault="00B21902" w:rsidP="00B21902">
            <w:pPr>
              <w:pStyle w:val="guidelinetext"/>
              <w:numPr>
                <w:ilvl w:val="0"/>
                <w:numId w:val="28"/>
              </w:numPr>
              <w:spacing w:before="40" w:after="40" w:line="240" w:lineRule="auto"/>
              <w:ind w:left="284" w:hanging="284"/>
            </w:pPr>
            <w:r w:rsidRPr="00E100FF">
              <w:t>Undertaking other non-mutual obligation requirement</w:t>
            </w:r>
          </w:p>
          <w:p w14:paraId="008E0EDA" w14:textId="77777777" w:rsidR="00B21902" w:rsidRPr="005B6382" w:rsidRDefault="00B21902" w:rsidP="005B6382">
            <w:pPr>
              <w:pStyle w:val="guidelinetext"/>
              <w:numPr>
                <w:ilvl w:val="0"/>
                <w:numId w:val="28"/>
              </w:numPr>
              <w:spacing w:before="40" w:after="40" w:line="240" w:lineRule="auto"/>
              <w:ind w:left="284" w:hanging="284"/>
            </w:pPr>
            <w:r w:rsidRPr="005B6382">
              <w:t>Prior notice not given and reasonable to expect:</w:t>
            </w:r>
          </w:p>
          <w:p w14:paraId="64DC7591" w14:textId="77777777" w:rsidR="00B21902" w:rsidRPr="00E100FF" w:rsidRDefault="00B21902" w:rsidP="00B21902">
            <w:pPr>
              <w:pStyle w:val="guidelinetext"/>
              <w:numPr>
                <w:ilvl w:val="0"/>
                <w:numId w:val="28"/>
              </w:numPr>
              <w:spacing w:before="40" w:after="40" w:line="240" w:lineRule="auto"/>
              <w:ind w:left="568" w:hanging="284"/>
            </w:pPr>
            <w:r w:rsidRPr="00E100FF">
              <w:t>Caring/family reasons</w:t>
            </w:r>
          </w:p>
          <w:p w14:paraId="78973A9A" w14:textId="77777777" w:rsidR="00B21902" w:rsidRPr="00E100FF" w:rsidRDefault="00B21902" w:rsidP="00B21902">
            <w:pPr>
              <w:pStyle w:val="guidelinetext"/>
              <w:numPr>
                <w:ilvl w:val="0"/>
                <w:numId w:val="28"/>
              </w:numPr>
              <w:spacing w:before="40" w:after="40" w:line="240" w:lineRule="auto"/>
              <w:ind w:left="568" w:hanging="284"/>
            </w:pPr>
            <w:r w:rsidRPr="00E100FF">
              <w:t>Housing—landlord/property inspection</w:t>
            </w:r>
          </w:p>
          <w:p w14:paraId="5CB02612" w14:textId="77777777" w:rsidR="00B21902" w:rsidRPr="00E100FF" w:rsidRDefault="00B21902" w:rsidP="00B21902">
            <w:pPr>
              <w:pStyle w:val="guidelinetext"/>
              <w:numPr>
                <w:ilvl w:val="0"/>
                <w:numId w:val="28"/>
              </w:numPr>
              <w:spacing w:before="40" w:after="40" w:line="240" w:lineRule="auto"/>
              <w:ind w:left="568" w:hanging="284"/>
            </w:pPr>
            <w:r w:rsidRPr="00E100FF">
              <w:t>Legal requirement</w:t>
            </w:r>
          </w:p>
          <w:p w14:paraId="6CB171C1" w14:textId="77777777" w:rsidR="00B21902" w:rsidRPr="00E100FF" w:rsidRDefault="00B21902" w:rsidP="00B21902">
            <w:pPr>
              <w:pStyle w:val="guidelinetext"/>
              <w:numPr>
                <w:ilvl w:val="0"/>
                <w:numId w:val="28"/>
              </w:numPr>
              <w:spacing w:before="40" w:after="40" w:line="240" w:lineRule="auto"/>
              <w:ind w:left="568" w:hanging="284"/>
            </w:pPr>
            <w:r w:rsidRPr="00E100FF">
              <w:t>Medical/health reason</w:t>
            </w:r>
          </w:p>
          <w:p w14:paraId="6E65E48F" w14:textId="77777777" w:rsidR="00B21902" w:rsidRPr="00E100FF" w:rsidRDefault="00B21902" w:rsidP="00B21902">
            <w:pPr>
              <w:pStyle w:val="guidelinetext"/>
              <w:numPr>
                <w:ilvl w:val="0"/>
                <w:numId w:val="28"/>
              </w:numPr>
              <w:spacing w:before="40" w:after="40" w:line="240" w:lineRule="auto"/>
              <w:ind w:left="568" w:hanging="284"/>
            </w:pPr>
            <w:r w:rsidRPr="00E100FF">
              <w:t>Travel/transport—did not have money to pay</w:t>
            </w:r>
          </w:p>
          <w:p w14:paraId="55FE2E12" w14:textId="77777777" w:rsidR="00B21902" w:rsidRPr="00E100FF" w:rsidRDefault="00B21902" w:rsidP="00B21902">
            <w:pPr>
              <w:pStyle w:val="guidelinetext"/>
              <w:numPr>
                <w:ilvl w:val="0"/>
                <w:numId w:val="28"/>
              </w:numPr>
              <w:spacing w:before="40" w:after="40" w:line="240" w:lineRule="auto"/>
              <w:ind w:left="568" w:hanging="284"/>
            </w:pPr>
            <w:r w:rsidRPr="00E100FF">
              <w:t>Travel/transport issue—did not have access</w:t>
            </w:r>
          </w:p>
          <w:p w14:paraId="133A4694" w14:textId="77777777" w:rsidR="00B21902" w:rsidRPr="00E100FF" w:rsidRDefault="00B21902" w:rsidP="00B21902">
            <w:pPr>
              <w:pStyle w:val="guidelinetext"/>
              <w:numPr>
                <w:ilvl w:val="0"/>
                <w:numId w:val="28"/>
              </w:numPr>
              <w:spacing w:before="40" w:after="40" w:line="240" w:lineRule="auto"/>
              <w:ind w:left="568" w:hanging="284"/>
            </w:pPr>
            <w:r w:rsidRPr="00E100FF">
              <w:t>Working on day of requirement</w:t>
            </w:r>
          </w:p>
        </w:tc>
      </w:tr>
    </w:tbl>
    <w:p w14:paraId="7C5A71E8" w14:textId="77777777" w:rsidR="00B21902" w:rsidRPr="00E100FF" w:rsidRDefault="00B21902" w:rsidP="00B21902">
      <w:pPr>
        <w:pStyle w:val="guidelinetext"/>
        <w:spacing w:before="0" w:after="240"/>
        <w:ind w:left="0"/>
        <w:rPr>
          <w:i/>
          <w:sz w:val="20"/>
        </w:rPr>
      </w:pPr>
      <w:r w:rsidRPr="00E100FF">
        <w:rPr>
          <w:i/>
          <w:sz w:val="20"/>
        </w:rPr>
        <w:t>*Applicable to Job Interviews only</w:t>
      </w:r>
    </w:p>
    <w:tbl>
      <w:tblPr>
        <w:tblStyle w:val="ListTable2"/>
        <w:tblW w:w="0" w:type="auto"/>
        <w:tblLook w:val="0420" w:firstRow="1" w:lastRow="0" w:firstColumn="0" w:lastColumn="0" w:noHBand="0" w:noVBand="1"/>
        <w:tblCaption w:val="Valid Reason assessment options: misconduct at a Provider Appointment, Third Party Appointment, activity or job interview"/>
        <w:tblDescription w:val="This table replicates the drop-down menu options in the system when a provider records that the job seeker does or does not have a Valid Reason for behaving inappropriately at a Provider Appointment, Third Party Appointment, activity or job interview."/>
      </w:tblPr>
      <w:tblGrid>
        <w:gridCol w:w="4508"/>
        <w:gridCol w:w="4508"/>
      </w:tblGrid>
      <w:tr w:rsidR="00B21902" w:rsidRPr="00E100FF" w14:paraId="4B68A38D"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Borders>
              <w:bottom w:val="single" w:sz="4" w:space="0" w:color="666666" w:themeColor="text1" w:themeTint="99"/>
            </w:tcBorders>
          </w:tcPr>
          <w:p w14:paraId="3BC20537" w14:textId="77777777" w:rsidR="001A1D43" w:rsidRDefault="001A1D43" w:rsidP="00B21902"/>
          <w:p w14:paraId="34D0DADA" w14:textId="30DA24C9" w:rsidR="00B21902" w:rsidRPr="00E100FF" w:rsidRDefault="00B21902" w:rsidP="00B21902">
            <w:r w:rsidRPr="00E100FF">
              <w:t>Misconduct at a Provider Appointment, Third Party Appointment, activity or job interview</w:t>
            </w:r>
          </w:p>
        </w:tc>
      </w:tr>
      <w:tr w:rsidR="00B21902" w:rsidRPr="00E100FF" w14:paraId="17615C5F" w14:textId="77777777" w:rsidTr="00B21902">
        <w:trPr>
          <w:cnfStyle w:val="000000100000" w:firstRow="0" w:lastRow="0" w:firstColumn="0" w:lastColumn="0" w:oddVBand="0" w:evenVBand="0" w:oddHBand="1" w:evenHBand="0" w:firstRowFirstColumn="0" w:firstRowLastColumn="0" w:lastRowFirstColumn="0" w:lastRowLastColumn="0"/>
        </w:trPr>
        <w:tc>
          <w:tcPr>
            <w:tcW w:w="9016" w:type="dxa"/>
            <w:gridSpan w:val="2"/>
            <w:tcBorders>
              <w:bottom w:val="nil"/>
            </w:tcBorders>
            <w:shd w:val="clear" w:color="auto" w:fill="auto"/>
          </w:tcPr>
          <w:p w14:paraId="08574792" w14:textId="77777777" w:rsidR="00B21902" w:rsidRPr="00E100FF" w:rsidRDefault="00B21902" w:rsidP="00B21902">
            <w:pPr>
              <w:spacing w:before="60" w:after="60"/>
            </w:pPr>
            <w:r w:rsidRPr="00E100FF">
              <w:t>Behaviours that may be considered misconduct which prevent the purpose of the requirement from being met include:</w:t>
            </w:r>
          </w:p>
        </w:tc>
      </w:tr>
      <w:tr w:rsidR="00B21902" w:rsidRPr="00E100FF" w14:paraId="053129B9" w14:textId="77777777" w:rsidTr="001A1D43">
        <w:tc>
          <w:tcPr>
            <w:tcW w:w="4508" w:type="dxa"/>
            <w:tcBorders>
              <w:top w:val="single" w:sz="4" w:space="0" w:color="auto"/>
              <w:bottom w:val="single" w:sz="4" w:space="0" w:color="666666" w:themeColor="text1" w:themeTint="99"/>
              <w:right w:val="single" w:sz="4" w:space="0" w:color="auto"/>
            </w:tcBorders>
            <w:shd w:val="clear" w:color="auto" w:fill="auto"/>
          </w:tcPr>
          <w:p w14:paraId="0D21620F" w14:textId="77777777" w:rsidR="00B21902" w:rsidRPr="00E100FF" w:rsidRDefault="00B21902" w:rsidP="00B21902">
            <w:pPr>
              <w:pStyle w:val="guidelinetext"/>
              <w:numPr>
                <w:ilvl w:val="0"/>
                <w:numId w:val="28"/>
              </w:numPr>
              <w:spacing w:before="60" w:after="60" w:line="240" w:lineRule="auto"/>
              <w:ind w:left="284" w:hanging="284"/>
            </w:pPr>
            <w:r w:rsidRPr="00E100FF">
              <w:t>Appeared intoxicated/under the influence</w:t>
            </w:r>
          </w:p>
          <w:p w14:paraId="54BBA01B" w14:textId="77777777" w:rsidR="00B21902" w:rsidRPr="00E100FF" w:rsidRDefault="00B21902" w:rsidP="00B21902">
            <w:pPr>
              <w:pStyle w:val="guidelinetext"/>
              <w:numPr>
                <w:ilvl w:val="0"/>
                <w:numId w:val="28"/>
              </w:numPr>
              <w:spacing w:before="60" w:after="60" w:line="240" w:lineRule="auto"/>
              <w:ind w:left="284" w:hanging="284"/>
            </w:pPr>
            <w:r w:rsidRPr="00E100FF">
              <w:t>Disingenuous</w:t>
            </w:r>
          </w:p>
          <w:p w14:paraId="3CFA10AA" w14:textId="77777777" w:rsidR="00B21902" w:rsidRPr="00E100FF" w:rsidRDefault="00B21902" w:rsidP="00B21902">
            <w:pPr>
              <w:pStyle w:val="guidelinetext"/>
              <w:numPr>
                <w:ilvl w:val="0"/>
                <w:numId w:val="28"/>
              </w:numPr>
              <w:spacing w:before="60" w:after="60" w:line="240" w:lineRule="auto"/>
              <w:ind w:left="284" w:hanging="284"/>
            </w:pPr>
            <w:r w:rsidRPr="00E100FF">
              <w:t>Disruptive/disengaged—unable to complete requirement</w:t>
            </w:r>
          </w:p>
          <w:p w14:paraId="605E0FF7" w14:textId="77777777" w:rsidR="00B21902" w:rsidRPr="00E100FF" w:rsidRDefault="00B21902" w:rsidP="00B21902">
            <w:pPr>
              <w:pStyle w:val="guidelinetext"/>
              <w:numPr>
                <w:ilvl w:val="0"/>
                <w:numId w:val="28"/>
              </w:numPr>
              <w:spacing w:before="60" w:after="60" w:line="240" w:lineRule="auto"/>
              <w:ind w:left="284" w:hanging="284"/>
            </w:pPr>
            <w:r w:rsidRPr="00E100FF">
              <w:t>Inadequate presentation/attire at requirement</w:t>
            </w:r>
          </w:p>
          <w:p w14:paraId="13975824" w14:textId="77777777" w:rsidR="00B21902" w:rsidRPr="00E100FF" w:rsidRDefault="00B21902" w:rsidP="00B21902">
            <w:pPr>
              <w:pStyle w:val="guidelinetext"/>
              <w:numPr>
                <w:ilvl w:val="0"/>
                <w:numId w:val="28"/>
              </w:numPr>
              <w:spacing w:before="60" w:after="60" w:line="240" w:lineRule="auto"/>
              <w:ind w:left="284" w:hanging="284"/>
            </w:pPr>
            <w:r w:rsidRPr="00E100FF">
              <w:t>Left prior to completion of requirement</w:t>
            </w:r>
          </w:p>
        </w:tc>
        <w:tc>
          <w:tcPr>
            <w:tcW w:w="4508" w:type="dxa"/>
            <w:tcBorders>
              <w:top w:val="single" w:sz="4" w:space="0" w:color="auto"/>
              <w:left w:val="single" w:sz="4" w:space="0" w:color="auto"/>
              <w:bottom w:val="single" w:sz="4" w:space="0" w:color="666666" w:themeColor="text1" w:themeTint="99"/>
            </w:tcBorders>
            <w:shd w:val="clear" w:color="auto" w:fill="auto"/>
          </w:tcPr>
          <w:p w14:paraId="301D15A6" w14:textId="77777777" w:rsidR="00B21902" w:rsidRPr="00E100FF" w:rsidRDefault="00B21902" w:rsidP="001A1D43">
            <w:pPr>
              <w:pStyle w:val="guidelinetext"/>
              <w:numPr>
                <w:ilvl w:val="0"/>
                <w:numId w:val="28"/>
              </w:numPr>
              <w:spacing w:before="60" w:after="60" w:line="240" w:lineRule="auto"/>
              <w:ind w:left="284" w:hanging="284"/>
            </w:pPr>
            <w:r w:rsidRPr="00E100FF">
              <w:t>Physically abusive—unable to deliver requirement</w:t>
            </w:r>
          </w:p>
          <w:p w14:paraId="66D46076" w14:textId="77777777" w:rsidR="00B21902" w:rsidRPr="00E100FF" w:rsidRDefault="00B21902" w:rsidP="001A1D43">
            <w:pPr>
              <w:pStyle w:val="guidelinetext"/>
              <w:numPr>
                <w:ilvl w:val="0"/>
                <w:numId w:val="28"/>
              </w:numPr>
              <w:spacing w:before="60" w:after="60" w:line="240" w:lineRule="auto"/>
              <w:ind w:left="284" w:hanging="284"/>
            </w:pPr>
            <w:r w:rsidRPr="00E100FF">
              <w:t>Self-sabotage</w:t>
            </w:r>
          </w:p>
          <w:p w14:paraId="7C8582EE" w14:textId="77777777" w:rsidR="00B21902" w:rsidRPr="00E100FF" w:rsidRDefault="00B21902" w:rsidP="001A1D43">
            <w:pPr>
              <w:pStyle w:val="guidelinetext"/>
              <w:numPr>
                <w:ilvl w:val="0"/>
                <w:numId w:val="28"/>
              </w:numPr>
              <w:spacing w:before="60" w:after="60" w:line="240" w:lineRule="auto"/>
              <w:ind w:left="284" w:hanging="284"/>
            </w:pPr>
            <w:r w:rsidRPr="00E100FF">
              <w:t>Theft</w:t>
            </w:r>
          </w:p>
          <w:p w14:paraId="28FCCC2A" w14:textId="77777777" w:rsidR="00B21902" w:rsidRPr="00E100FF" w:rsidRDefault="00B21902" w:rsidP="001A1D43">
            <w:pPr>
              <w:pStyle w:val="guidelinetext"/>
              <w:numPr>
                <w:ilvl w:val="0"/>
                <w:numId w:val="28"/>
              </w:numPr>
              <w:spacing w:before="60" w:after="60" w:line="240" w:lineRule="auto"/>
              <w:ind w:left="284" w:hanging="284"/>
            </w:pPr>
            <w:r w:rsidRPr="00E100FF">
              <w:t>Verbally abusive—unable to deliver requirement.</w:t>
            </w:r>
          </w:p>
        </w:tc>
      </w:tr>
      <w:tr w:rsidR="00B21902" w:rsidRPr="00E100FF" w14:paraId="399849D3" w14:textId="77777777" w:rsidTr="001A1D43">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666666" w:themeColor="text1" w:themeTint="99"/>
            </w:tcBorders>
            <w:shd w:val="clear" w:color="auto" w:fill="CCCCCC"/>
          </w:tcPr>
          <w:p w14:paraId="4A1A561A" w14:textId="77777777" w:rsidR="00B21902" w:rsidRPr="00E100FF" w:rsidRDefault="00B21902" w:rsidP="00B21902">
            <w:pPr>
              <w:spacing w:before="60" w:after="60"/>
              <w:rPr>
                <w:b/>
                <w:bCs/>
              </w:rPr>
            </w:pPr>
            <w:r w:rsidRPr="00E100FF">
              <w:rPr>
                <w:b/>
                <w:bCs/>
              </w:rPr>
              <w:t>Reasons accepted</w:t>
            </w:r>
          </w:p>
        </w:tc>
        <w:tc>
          <w:tcPr>
            <w:tcW w:w="4508" w:type="dxa"/>
            <w:tcBorders>
              <w:top w:val="single" w:sz="4" w:space="0" w:color="666666" w:themeColor="text1" w:themeTint="99"/>
              <w:bottom w:val="single" w:sz="4" w:space="0" w:color="666666" w:themeColor="text1" w:themeTint="99"/>
            </w:tcBorders>
            <w:shd w:val="clear" w:color="auto" w:fill="CCCCCC"/>
          </w:tcPr>
          <w:p w14:paraId="6F66109D" w14:textId="77777777" w:rsidR="00B21902" w:rsidRPr="00E100FF" w:rsidRDefault="00B21902" w:rsidP="00B21902">
            <w:pPr>
              <w:spacing w:before="60" w:after="60"/>
              <w:rPr>
                <w:b/>
              </w:rPr>
            </w:pPr>
            <w:r w:rsidRPr="00E100FF">
              <w:rPr>
                <w:b/>
              </w:rPr>
              <w:t>Reasons not accepted</w:t>
            </w:r>
          </w:p>
        </w:tc>
      </w:tr>
      <w:tr w:rsidR="00B21902" w:rsidRPr="00E100FF" w14:paraId="22664CB6" w14:textId="77777777" w:rsidTr="00B21902">
        <w:tc>
          <w:tcPr>
            <w:tcW w:w="4508" w:type="dxa"/>
            <w:tcBorders>
              <w:top w:val="nil"/>
              <w:right w:val="single" w:sz="4" w:space="0" w:color="auto"/>
            </w:tcBorders>
            <w:shd w:val="clear" w:color="auto" w:fill="auto"/>
          </w:tcPr>
          <w:p w14:paraId="225507FC" w14:textId="77777777" w:rsidR="00B21902" w:rsidRPr="00E100FF" w:rsidRDefault="00B21902" w:rsidP="00B21902">
            <w:pPr>
              <w:pStyle w:val="guidelinetext"/>
              <w:numPr>
                <w:ilvl w:val="0"/>
                <w:numId w:val="28"/>
              </w:numPr>
              <w:spacing w:before="60" w:after="60" w:line="240" w:lineRule="auto"/>
              <w:ind w:left="284" w:hanging="284"/>
            </w:pPr>
            <w:r w:rsidRPr="00E100FF">
              <w:t>Did not have appropriate attire to wear at requirement</w:t>
            </w:r>
          </w:p>
          <w:p w14:paraId="33200A57" w14:textId="77777777" w:rsidR="00B21902" w:rsidRPr="00E100FF" w:rsidRDefault="00B21902" w:rsidP="00B21902">
            <w:pPr>
              <w:pStyle w:val="guidelinetext"/>
              <w:numPr>
                <w:ilvl w:val="0"/>
                <w:numId w:val="28"/>
              </w:numPr>
              <w:spacing w:before="60" w:after="60" w:line="240" w:lineRule="auto"/>
              <w:ind w:left="284" w:hanging="284"/>
            </w:pPr>
            <w:r w:rsidRPr="00E100FF">
              <w:t>Disability/condition presenting itself as misconduct</w:t>
            </w:r>
          </w:p>
          <w:p w14:paraId="6F39837E" w14:textId="38E53236" w:rsidR="00B21902" w:rsidRPr="00E100FF" w:rsidRDefault="00B21902" w:rsidP="00B21902">
            <w:pPr>
              <w:pStyle w:val="guidelinetext"/>
              <w:numPr>
                <w:ilvl w:val="0"/>
                <w:numId w:val="28"/>
              </w:numPr>
              <w:spacing w:before="60" w:after="60" w:line="240" w:lineRule="auto"/>
              <w:ind w:left="284" w:hanging="284"/>
            </w:pPr>
            <w:r w:rsidRPr="00E100FF">
              <w:t>Major personal crisis affected job seeker</w:t>
            </w:r>
          </w:p>
          <w:p w14:paraId="0C767B74" w14:textId="77777777" w:rsidR="00B21902" w:rsidRPr="00E100FF" w:rsidRDefault="00B21902" w:rsidP="00B21902">
            <w:pPr>
              <w:pStyle w:val="guidelinetext"/>
              <w:numPr>
                <w:ilvl w:val="0"/>
                <w:numId w:val="28"/>
              </w:numPr>
              <w:spacing w:before="60" w:after="60" w:line="240" w:lineRule="auto"/>
              <w:ind w:left="284" w:hanging="284"/>
            </w:pPr>
            <w:r w:rsidRPr="00E100FF">
              <w:t>Medical issue/condition contributed to behaviour</w:t>
            </w:r>
          </w:p>
        </w:tc>
        <w:tc>
          <w:tcPr>
            <w:tcW w:w="4508" w:type="dxa"/>
            <w:tcBorders>
              <w:top w:val="single" w:sz="4" w:space="0" w:color="666666" w:themeColor="text1" w:themeTint="99"/>
              <w:left w:val="single" w:sz="4" w:space="0" w:color="auto"/>
            </w:tcBorders>
            <w:shd w:val="clear" w:color="auto" w:fill="auto"/>
          </w:tcPr>
          <w:p w14:paraId="386ABC3A" w14:textId="77777777" w:rsidR="00B21902" w:rsidRPr="00E100FF" w:rsidRDefault="00B21902" w:rsidP="00B21902">
            <w:pPr>
              <w:pStyle w:val="guidelinetext"/>
              <w:numPr>
                <w:ilvl w:val="0"/>
                <w:numId w:val="28"/>
              </w:numPr>
              <w:spacing w:before="60" w:after="60" w:line="240" w:lineRule="auto"/>
              <w:ind w:left="284" w:hanging="284"/>
            </w:pPr>
            <w:r w:rsidRPr="00E100FF">
              <w:t>Couldn’t control behaviour/self</w:t>
            </w:r>
          </w:p>
          <w:p w14:paraId="71C3C18D" w14:textId="77777777" w:rsidR="00B21902" w:rsidRPr="00E100FF" w:rsidRDefault="00B21902" w:rsidP="00B21902">
            <w:pPr>
              <w:pStyle w:val="guidelinetext"/>
              <w:numPr>
                <w:ilvl w:val="0"/>
                <w:numId w:val="28"/>
              </w:numPr>
              <w:spacing w:before="60" w:after="60" w:line="240" w:lineRule="auto"/>
              <w:ind w:left="284" w:hanging="284"/>
            </w:pPr>
            <w:r w:rsidRPr="00E100FF">
              <w:t>Denied nature of misconduct</w:t>
            </w:r>
          </w:p>
          <w:p w14:paraId="7DE53F2C" w14:textId="77777777" w:rsidR="00B21902" w:rsidRPr="00E100FF" w:rsidRDefault="00B21902" w:rsidP="00B21902">
            <w:pPr>
              <w:pStyle w:val="guidelinetext"/>
              <w:numPr>
                <w:ilvl w:val="0"/>
                <w:numId w:val="28"/>
              </w:numPr>
              <w:spacing w:before="60" w:after="60" w:line="240" w:lineRule="auto"/>
              <w:ind w:left="284" w:hanging="284"/>
            </w:pPr>
            <w:r w:rsidRPr="00E100FF">
              <w:t>Did not believe they were impacted by substances</w:t>
            </w:r>
          </w:p>
          <w:p w14:paraId="5EB56C0D" w14:textId="77777777" w:rsidR="00B21902" w:rsidRPr="00E100FF" w:rsidRDefault="00B21902" w:rsidP="00B21902">
            <w:pPr>
              <w:pStyle w:val="guidelinetext"/>
              <w:numPr>
                <w:ilvl w:val="0"/>
                <w:numId w:val="28"/>
              </w:numPr>
              <w:spacing w:before="60" w:after="60" w:line="240" w:lineRule="auto"/>
              <w:ind w:left="284" w:hanging="284"/>
            </w:pPr>
            <w:r w:rsidRPr="00E100FF">
              <w:t>Did not think they had to stay for the duration</w:t>
            </w:r>
          </w:p>
          <w:p w14:paraId="70FF0C4E" w14:textId="77777777" w:rsidR="00B21902" w:rsidRPr="00E100FF" w:rsidRDefault="00B21902" w:rsidP="00B21902">
            <w:pPr>
              <w:pStyle w:val="guidelinetext"/>
              <w:numPr>
                <w:ilvl w:val="0"/>
                <w:numId w:val="28"/>
              </w:numPr>
              <w:spacing w:before="60" w:after="60" w:line="240" w:lineRule="auto"/>
              <w:ind w:left="284" w:hanging="284"/>
            </w:pPr>
            <w:r w:rsidRPr="00E100FF">
              <w:t>Did not think they were dressed inappropriately</w:t>
            </w:r>
          </w:p>
          <w:p w14:paraId="03880786" w14:textId="77777777" w:rsidR="00B21902" w:rsidRPr="00E100FF" w:rsidRDefault="00B21902" w:rsidP="00B21902">
            <w:pPr>
              <w:pStyle w:val="guidelinetext"/>
              <w:numPr>
                <w:ilvl w:val="0"/>
                <w:numId w:val="28"/>
              </w:numPr>
              <w:spacing w:before="60" w:after="60" w:line="240" w:lineRule="auto"/>
              <w:ind w:left="284" w:hanging="284"/>
            </w:pPr>
            <w:r w:rsidRPr="00E100FF">
              <w:t>Did not want to participate/engage with requirement</w:t>
            </w:r>
          </w:p>
          <w:p w14:paraId="14954479" w14:textId="77777777" w:rsidR="00B21902" w:rsidRPr="00E100FF" w:rsidRDefault="00B21902" w:rsidP="00B21902">
            <w:pPr>
              <w:pStyle w:val="guidelinetext"/>
              <w:numPr>
                <w:ilvl w:val="0"/>
                <w:numId w:val="28"/>
              </w:numPr>
              <w:spacing w:before="60" w:after="60" w:line="240" w:lineRule="auto"/>
              <w:ind w:left="284" w:hanging="284"/>
            </w:pPr>
            <w:r w:rsidRPr="00E100FF">
              <w:t>Falsified disability/condition presenting itself as misconduct</w:t>
            </w:r>
          </w:p>
          <w:p w14:paraId="3D70908D" w14:textId="77777777" w:rsidR="00B21902" w:rsidRPr="00E100FF" w:rsidRDefault="00B21902" w:rsidP="00B21902">
            <w:pPr>
              <w:pStyle w:val="guidelinetext"/>
              <w:numPr>
                <w:ilvl w:val="0"/>
                <w:numId w:val="28"/>
              </w:numPr>
              <w:spacing w:before="60" w:after="60" w:line="240" w:lineRule="auto"/>
              <w:ind w:left="284" w:hanging="284"/>
            </w:pPr>
            <w:r w:rsidRPr="00E100FF">
              <w:t>Did not want that job*</w:t>
            </w:r>
          </w:p>
        </w:tc>
      </w:tr>
    </w:tbl>
    <w:p w14:paraId="4999B3A4" w14:textId="77777777" w:rsidR="00B21902" w:rsidRPr="00E100FF" w:rsidRDefault="00B21902" w:rsidP="00B21902">
      <w:pPr>
        <w:pStyle w:val="guidelinetext"/>
        <w:spacing w:before="0"/>
        <w:ind w:left="0"/>
        <w:rPr>
          <w:i/>
          <w:sz w:val="20"/>
        </w:rPr>
      </w:pPr>
      <w:r w:rsidRPr="00E100FF">
        <w:rPr>
          <w:i/>
          <w:sz w:val="20"/>
        </w:rPr>
        <w:t>*Applicable to Job Interviews only</w:t>
      </w:r>
    </w:p>
    <w:p w14:paraId="288D6608"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afree to a Job Plan"/>
        <w:tblDescription w:val="This table replicates the drop-down menu options in the system when a provider records that the job seeker does or does not have a Valid Reason for failing to agree to a Job Plan."/>
      </w:tblPr>
      <w:tblGrid>
        <w:gridCol w:w="4508"/>
        <w:gridCol w:w="4508"/>
      </w:tblGrid>
      <w:tr w:rsidR="00B21902" w:rsidRPr="00E100FF" w14:paraId="59DD88E1"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5390175F" w14:textId="77777777" w:rsidR="00B21902" w:rsidRPr="00E100FF" w:rsidRDefault="00B21902" w:rsidP="00B21902">
            <w:r w:rsidRPr="00E100FF">
              <w:t>Failure to agree to a Job Plan</w:t>
            </w:r>
          </w:p>
        </w:tc>
      </w:tr>
      <w:tr w:rsidR="00B21902" w:rsidRPr="00E100FF" w14:paraId="48D72207"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22D8F2C3"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77E5E034" w14:textId="77777777" w:rsidR="00B21902" w:rsidRPr="00E100FF" w:rsidRDefault="00B21902" w:rsidP="00B21902">
            <w:pPr>
              <w:spacing w:before="60" w:after="60"/>
              <w:rPr>
                <w:b/>
              </w:rPr>
            </w:pPr>
            <w:r w:rsidRPr="00E100FF">
              <w:rPr>
                <w:b/>
              </w:rPr>
              <w:t>Reasons not accepted</w:t>
            </w:r>
          </w:p>
        </w:tc>
      </w:tr>
      <w:tr w:rsidR="00B21902" w:rsidRPr="00E100FF" w14:paraId="173C5999" w14:textId="77777777" w:rsidTr="00B21902">
        <w:tc>
          <w:tcPr>
            <w:tcW w:w="4508" w:type="dxa"/>
            <w:tcBorders>
              <w:right w:val="single" w:sz="4" w:space="0" w:color="auto"/>
            </w:tcBorders>
          </w:tcPr>
          <w:p w14:paraId="00413931" w14:textId="77777777" w:rsidR="00B21902" w:rsidRPr="00E100FF" w:rsidRDefault="00B21902" w:rsidP="00B21902">
            <w:pPr>
              <w:pStyle w:val="guidelinetext"/>
              <w:numPr>
                <w:ilvl w:val="0"/>
                <w:numId w:val="28"/>
              </w:numPr>
              <w:spacing w:before="60" w:after="60" w:line="240" w:lineRule="auto"/>
              <w:ind w:left="284" w:hanging="284"/>
            </w:pPr>
            <w:r w:rsidRPr="00E100FF">
              <w:t>Did not understand requirement to agree to Job Plan</w:t>
            </w:r>
          </w:p>
          <w:p w14:paraId="613BCDB0" w14:textId="77777777" w:rsidR="00B21902" w:rsidRPr="00E100FF" w:rsidRDefault="00B21902" w:rsidP="00B21902">
            <w:pPr>
              <w:pStyle w:val="guidelinetext"/>
              <w:numPr>
                <w:ilvl w:val="0"/>
                <w:numId w:val="28"/>
              </w:numPr>
              <w:spacing w:before="60" w:after="60" w:line="240" w:lineRule="auto"/>
              <w:ind w:left="284" w:hanging="284"/>
            </w:pPr>
            <w:r w:rsidRPr="00E100FF">
              <w:t>Required further assistance to understand terms of Job Plan</w:t>
            </w:r>
          </w:p>
          <w:p w14:paraId="4E4EBE51"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issues—unable to return Plan or advise prior</w:t>
            </w:r>
          </w:p>
          <w:p w14:paraId="3DE8086F"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disaster—unable to return Plan or advise prior</w:t>
            </w:r>
          </w:p>
          <w:p w14:paraId="0998707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requirements—unable to return Plan or advise prior</w:t>
            </w:r>
          </w:p>
          <w:p w14:paraId="381EDBB9"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reason—unable to return Plan or advise prior</w:t>
            </w:r>
          </w:p>
          <w:p w14:paraId="12E009EC" w14:textId="77777777" w:rsidR="00B21902" w:rsidRPr="00E100FF" w:rsidRDefault="00B21902" w:rsidP="00B21902">
            <w:pPr>
              <w:pStyle w:val="guidelinetext"/>
              <w:numPr>
                <w:ilvl w:val="0"/>
                <w:numId w:val="28"/>
              </w:numPr>
              <w:spacing w:before="60" w:after="60" w:line="240" w:lineRule="auto"/>
              <w:ind w:left="284" w:hanging="284"/>
            </w:pPr>
            <w:r w:rsidRPr="00E100FF">
              <w:t>Travel/transport access issue—unable to return Plan or advise prior</w:t>
            </w:r>
          </w:p>
        </w:tc>
        <w:tc>
          <w:tcPr>
            <w:tcW w:w="4508" w:type="dxa"/>
            <w:tcBorders>
              <w:left w:val="single" w:sz="4" w:space="0" w:color="auto"/>
            </w:tcBorders>
          </w:tcPr>
          <w:p w14:paraId="37E961AD"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w:t>
            </w:r>
          </w:p>
          <w:p w14:paraId="0F54F381" w14:textId="77777777" w:rsidR="00B21902" w:rsidRPr="00E100FF" w:rsidRDefault="00B21902" w:rsidP="00B21902">
            <w:pPr>
              <w:pStyle w:val="guidelinetext"/>
              <w:numPr>
                <w:ilvl w:val="0"/>
                <w:numId w:val="28"/>
              </w:numPr>
              <w:spacing w:before="60" w:after="60" w:line="240" w:lineRule="auto"/>
              <w:ind w:left="284" w:hanging="284"/>
            </w:pPr>
            <w:r w:rsidRPr="00E100FF">
              <w:t>Caring/family reasons—claims no time to participate</w:t>
            </w:r>
          </w:p>
          <w:p w14:paraId="490E648B" w14:textId="77777777" w:rsidR="00B21902" w:rsidRPr="00E100FF" w:rsidRDefault="00B21902" w:rsidP="00B21902">
            <w:pPr>
              <w:pStyle w:val="guidelinetext"/>
              <w:numPr>
                <w:ilvl w:val="0"/>
                <w:numId w:val="28"/>
              </w:numPr>
              <w:spacing w:before="60" w:after="60" w:line="240" w:lineRule="auto"/>
              <w:ind w:left="284" w:hanging="284"/>
            </w:pPr>
            <w:r w:rsidRPr="00E100FF">
              <w:t>Does not believe they have to meet requirements</w:t>
            </w:r>
          </w:p>
          <w:p w14:paraId="483409AE"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in employment services</w:t>
            </w:r>
          </w:p>
          <w:p w14:paraId="0F64223E" w14:textId="77777777" w:rsidR="00B21902" w:rsidRPr="00E100FF" w:rsidRDefault="00B21902" w:rsidP="00B21902">
            <w:pPr>
              <w:pStyle w:val="guidelinetext"/>
              <w:numPr>
                <w:ilvl w:val="0"/>
                <w:numId w:val="28"/>
              </w:numPr>
              <w:spacing w:before="60" w:after="60" w:line="240" w:lineRule="auto"/>
              <w:ind w:left="284" w:hanging="284"/>
            </w:pPr>
            <w:r w:rsidRPr="00E100FF">
              <w:t>Refuses to look for work—number or overall</w:t>
            </w:r>
          </w:p>
          <w:p w14:paraId="0F8269AF"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study</w:t>
            </w:r>
          </w:p>
          <w:p w14:paraId="191D2B27"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in specific activity</w:t>
            </w:r>
          </w:p>
          <w:p w14:paraId="0F0D4313"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participate/claims to have no time due to paid work</w:t>
            </w:r>
          </w:p>
          <w:p w14:paraId="0AD2E375"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self-employment</w:t>
            </w:r>
          </w:p>
          <w:p w14:paraId="576CB1C8" w14:textId="77777777" w:rsidR="00B21902" w:rsidRPr="00E100FF" w:rsidRDefault="00B21902" w:rsidP="00B21902">
            <w:pPr>
              <w:pStyle w:val="guidelinetext"/>
              <w:numPr>
                <w:ilvl w:val="0"/>
                <w:numId w:val="28"/>
              </w:numPr>
              <w:spacing w:before="60" w:after="60" w:line="240" w:lineRule="auto"/>
              <w:ind w:left="284" w:hanging="284"/>
            </w:pPr>
            <w:r w:rsidRPr="00E100FF">
              <w:t>Refuses to discuss requirements</w:t>
            </w:r>
          </w:p>
          <w:p w14:paraId="7FED1AEC" w14:textId="77777777" w:rsidR="00B21902" w:rsidRPr="00E100FF" w:rsidRDefault="00B21902" w:rsidP="00B21902">
            <w:pPr>
              <w:pStyle w:val="guidelinetext"/>
              <w:numPr>
                <w:ilvl w:val="0"/>
                <w:numId w:val="28"/>
              </w:numPr>
              <w:spacing w:before="60" w:after="60" w:line="240" w:lineRule="auto"/>
              <w:ind w:left="284" w:hanging="284"/>
            </w:pPr>
            <w:r w:rsidRPr="00E100FF">
              <w:t>Refuses to participate due to undertaking other, non-mutual obligation requirements</w:t>
            </w:r>
          </w:p>
          <w:p w14:paraId="462EC4B3" w14:textId="77777777" w:rsidR="00B21902" w:rsidRPr="00E100FF" w:rsidRDefault="00B21902" w:rsidP="00B21902">
            <w:pPr>
              <w:pStyle w:val="guidelinetext"/>
              <w:numPr>
                <w:ilvl w:val="0"/>
                <w:numId w:val="28"/>
              </w:numPr>
              <w:spacing w:before="60" w:after="60" w:line="240" w:lineRule="auto"/>
              <w:ind w:left="284" w:hanging="284"/>
            </w:pPr>
            <w:r w:rsidRPr="00E100FF">
              <w:t xml:space="preserve">Does not want to </w:t>
            </w:r>
            <w:proofErr w:type="gramStart"/>
            <w:r w:rsidRPr="00E100FF">
              <w:t>enter into</w:t>
            </w:r>
            <w:proofErr w:type="gramEnd"/>
            <w:r w:rsidRPr="00E100FF">
              <w:t xml:space="preserve"> a Job Plan</w:t>
            </w:r>
          </w:p>
          <w:p w14:paraId="0B3CCF56" w14:textId="77777777" w:rsidR="00B21902" w:rsidRPr="00E100FF" w:rsidRDefault="00B21902" w:rsidP="00B21902">
            <w:pPr>
              <w:pStyle w:val="guidelinetext"/>
              <w:numPr>
                <w:ilvl w:val="0"/>
                <w:numId w:val="28"/>
              </w:numPr>
              <w:spacing w:before="60" w:after="60" w:line="240" w:lineRule="auto"/>
              <w:ind w:left="284" w:hanging="284"/>
            </w:pPr>
            <w:r w:rsidRPr="00E100FF">
              <w:t>Forgot about requirement</w:t>
            </w:r>
          </w:p>
          <w:p w14:paraId="36EAD495"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reason—could not return Plan</w:t>
            </w:r>
          </w:p>
          <w:p w14:paraId="69EA36C3" w14:textId="77777777" w:rsidR="00B21902" w:rsidRPr="00E100FF" w:rsidRDefault="00B21902" w:rsidP="00B21902">
            <w:pPr>
              <w:pStyle w:val="guidelinetext"/>
              <w:numPr>
                <w:ilvl w:val="0"/>
                <w:numId w:val="28"/>
              </w:numPr>
              <w:spacing w:before="60" w:after="60" w:line="240" w:lineRule="auto"/>
              <w:ind w:left="284" w:hanging="284"/>
            </w:pPr>
            <w:r w:rsidRPr="00E100FF">
              <w:t>Caring/family reasons—could not return Plan</w:t>
            </w:r>
          </w:p>
          <w:p w14:paraId="5943C07D" w14:textId="77777777" w:rsidR="00B21902" w:rsidRPr="00E100FF" w:rsidRDefault="00B21902" w:rsidP="00B21902">
            <w:pPr>
              <w:pStyle w:val="guidelinetext"/>
              <w:numPr>
                <w:ilvl w:val="0"/>
                <w:numId w:val="28"/>
              </w:numPr>
              <w:spacing w:before="60" w:after="60" w:line="240" w:lineRule="auto"/>
              <w:ind w:left="284" w:hanging="284"/>
            </w:pPr>
            <w:r w:rsidRPr="00E100FF">
              <w:t>Travel/transport issues—could not return Plan</w:t>
            </w:r>
          </w:p>
        </w:tc>
      </w:tr>
    </w:tbl>
    <w:p w14:paraId="0146026D" w14:textId="77777777" w:rsidR="00B21902" w:rsidRPr="00E100FF" w:rsidRDefault="00B21902" w:rsidP="00B21902"/>
    <w:p w14:paraId="75D7B9C8"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satisfactorily meet a Job Search Requirement"/>
        <w:tblDescription w:val="This table replicates the drop-down menu options in the system when a provider records that the job seeker does or does not have a Valid Reason for failing to satisfactorily meet a Job Search Requirement."/>
      </w:tblPr>
      <w:tblGrid>
        <w:gridCol w:w="4508"/>
        <w:gridCol w:w="4508"/>
      </w:tblGrid>
      <w:tr w:rsidR="00B21902" w:rsidRPr="00E100FF" w14:paraId="27537EE4"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FFF119C" w14:textId="77777777" w:rsidR="00B21902" w:rsidRPr="00E100FF" w:rsidRDefault="00B21902" w:rsidP="00B21902">
            <w:r w:rsidRPr="00E100FF">
              <w:t>Failure to satisfactorily meet a Job Search Requirement</w:t>
            </w:r>
          </w:p>
        </w:tc>
      </w:tr>
      <w:tr w:rsidR="00B21902" w:rsidRPr="00E100FF" w14:paraId="2BEDC250"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4937B5FD"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794D777C" w14:textId="77777777" w:rsidR="00B21902" w:rsidRPr="00E100FF" w:rsidRDefault="00B21902" w:rsidP="00B21902">
            <w:pPr>
              <w:spacing w:before="60" w:after="60"/>
              <w:rPr>
                <w:b/>
              </w:rPr>
            </w:pPr>
            <w:r w:rsidRPr="00E100FF">
              <w:rPr>
                <w:b/>
              </w:rPr>
              <w:t>Reasons not accepted</w:t>
            </w:r>
          </w:p>
        </w:tc>
      </w:tr>
      <w:tr w:rsidR="00B21902" w:rsidRPr="00E100FF" w14:paraId="0196FA68" w14:textId="77777777" w:rsidTr="00B21902">
        <w:tc>
          <w:tcPr>
            <w:tcW w:w="4508" w:type="dxa"/>
            <w:tcBorders>
              <w:right w:val="single" w:sz="4" w:space="0" w:color="auto"/>
            </w:tcBorders>
          </w:tcPr>
          <w:p w14:paraId="5B44510D"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that were significant—no exemption</w:t>
            </w:r>
          </w:p>
          <w:p w14:paraId="66E63F54"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2A187107"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w:t>
            </w:r>
          </w:p>
          <w:p w14:paraId="06B4E88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impacted job search</w:t>
            </w:r>
          </w:p>
          <w:p w14:paraId="6548FB06"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impacted job search</w:t>
            </w:r>
          </w:p>
          <w:p w14:paraId="3BD304AC"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reason—no exemption</w:t>
            </w:r>
          </w:p>
          <w:p w14:paraId="29671F1D" w14:textId="77777777" w:rsidR="00B21902" w:rsidRPr="00E100FF" w:rsidRDefault="00B21902" w:rsidP="00B21902">
            <w:pPr>
              <w:pStyle w:val="guidelinetext"/>
              <w:numPr>
                <w:ilvl w:val="0"/>
                <w:numId w:val="28"/>
              </w:numPr>
              <w:spacing w:before="60" w:after="60" w:line="240" w:lineRule="auto"/>
              <w:ind w:left="284" w:hanging="284"/>
            </w:pPr>
            <w:r w:rsidRPr="00E100FF">
              <w:t>Major personal crisis—no exemption</w:t>
            </w:r>
          </w:p>
        </w:tc>
        <w:tc>
          <w:tcPr>
            <w:tcW w:w="4508" w:type="dxa"/>
            <w:tcBorders>
              <w:left w:val="single" w:sz="4" w:space="0" w:color="auto"/>
            </w:tcBorders>
          </w:tcPr>
          <w:p w14:paraId="74217333"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holidays</w:t>
            </w:r>
          </w:p>
          <w:p w14:paraId="424D594C" w14:textId="77777777" w:rsidR="00B21902" w:rsidRPr="00E100FF" w:rsidRDefault="00B21902" w:rsidP="00B21902">
            <w:pPr>
              <w:pStyle w:val="guidelinetext"/>
              <w:numPr>
                <w:ilvl w:val="0"/>
                <w:numId w:val="28"/>
              </w:numPr>
              <w:spacing w:before="60" w:after="60" w:line="240" w:lineRule="auto"/>
              <w:ind w:left="284" w:hanging="284"/>
            </w:pPr>
            <w:r w:rsidRPr="00E100FF">
              <w:t>Caring/family requirements affected job search</w:t>
            </w:r>
          </w:p>
          <w:p w14:paraId="2C67967F" w14:textId="77777777" w:rsidR="00B21902" w:rsidRPr="00E100FF" w:rsidRDefault="00B21902" w:rsidP="00B21902">
            <w:pPr>
              <w:pStyle w:val="guidelinetext"/>
              <w:numPr>
                <w:ilvl w:val="0"/>
                <w:numId w:val="28"/>
              </w:numPr>
              <w:spacing w:before="60" w:after="60" w:line="240" w:lineRule="auto"/>
              <w:ind w:left="284" w:hanging="284"/>
            </w:pPr>
            <w:r w:rsidRPr="00E100FF">
              <w:t>Claims other requirements affected job search</w:t>
            </w:r>
          </w:p>
          <w:p w14:paraId="1D055078" w14:textId="77777777" w:rsidR="00B21902" w:rsidRPr="00E100FF" w:rsidRDefault="00B21902" w:rsidP="00B21902">
            <w:pPr>
              <w:pStyle w:val="guidelinetext"/>
              <w:numPr>
                <w:ilvl w:val="0"/>
                <w:numId w:val="28"/>
              </w:numPr>
              <w:spacing w:before="60" w:after="60" w:line="240" w:lineRule="auto"/>
              <w:ind w:left="284" w:hanging="284"/>
            </w:pPr>
            <w:r w:rsidRPr="00E100FF">
              <w:t>Does not believe suitable jobs are available</w:t>
            </w:r>
          </w:p>
          <w:p w14:paraId="6FECC643"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apply for jobs</w:t>
            </w:r>
          </w:p>
          <w:p w14:paraId="697EDACB"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apply for jobs using different methods</w:t>
            </w:r>
          </w:p>
          <w:p w14:paraId="429C91A9"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look for work in diverse industries</w:t>
            </w:r>
          </w:p>
          <w:p w14:paraId="0B8CDA2A" w14:textId="77777777" w:rsidR="00B21902" w:rsidRPr="00E100FF" w:rsidRDefault="00B21902" w:rsidP="00B21902">
            <w:pPr>
              <w:pStyle w:val="guidelinetext"/>
              <w:numPr>
                <w:ilvl w:val="0"/>
                <w:numId w:val="28"/>
              </w:numPr>
              <w:spacing w:before="60" w:after="60" w:line="240" w:lineRule="auto"/>
              <w:ind w:left="284" w:hanging="284"/>
            </w:pPr>
            <w:r w:rsidRPr="00E100FF">
              <w:t>Does not want to tailor applications to industry</w:t>
            </w:r>
          </w:p>
          <w:p w14:paraId="359A2199" w14:textId="77777777" w:rsidR="00B21902" w:rsidRPr="00E100FF" w:rsidRDefault="00B21902" w:rsidP="00B21902">
            <w:pPr>
              <w:pStyle w:val="guidelinetext"/>
              <w:numPr>
                <w:ilvl w:val="0"/>
                <w:numId w:val="28"/>
              </w:numPr>
              <w:spacing w:before="60" w:after="60" w:line="240" w:lineRule="auto"/>
              <w:ind w:left="284" w:hanging="284"/>
            </w:pPr>
            <w:r w:rsidRPr="00E100FF">
              <w:t>Forgot about job search/got due date wrong</w:t>
            </w:r>
          </w:p>
          <w:p w14:paraId="7507C817"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w:t>
            </w:r>
          </w:p>
          <w:p w14:paraId="46940E92"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reasons</w:t>
            </w:r>
          </w:p>
          <w:p w14:paraId="38FFC664" w14:textId="77777777" w:rsidR="00B21902" w:rsidRPr="00E100FF" w:rsidRDefault="00B21902" w:rsidP="00B21902">
            <w:pPr>
              <w:pStyle w:val="guidelinetext"/>
              <w:numPr>
                <w:ilvl w:val="0"/>
                <w:numId w:val="28"/>
              </w:numPr>
              <w:spacing w:before="60" w:after="60" w:line="240" w:lineRule="auto"/>
              <w:ind w:left="284" w:hanging="284"/>
            </w:pPr>
            <w:r w:rsidRPr="00E100FF">
              <w:t>States not required to look for work</w:t>
            </w:r>
          </w:p>
          <w:p w14:paraId="476AAB84" w14:textId="77777777" w:rsidR="00B21902" w:rsidRPr="00E100FF" w:rsidRDefault="00B21902" w:rsidP="00B21902">
            <w:pPr>
              <w:pStyle w:val="guidelinetext"/>
              <w:numPr>
                <w:ilvl w:val="0"/>
                <w:numId w:val="28"/>
              </w:numPr>
              <w:spacing w:before="60" w:after="60" w:line="240" w:lineRule="auto"/>
              <w:ind w:left="284" w:hanging="284"/>
            </w:pPr>
            <w:r w:rsidRPr="00E100FF">
              <w:t>States too many job searches required</w:t>
            </w:r>
          </w:p>
          <w:p w14:paraId="6242C1D7" w14:textId="77777777" w:rsidR="00B21902" w:rsidRPr="00E100FF" w:rsidRDefault="00B21902" w:rsidP="00B21902">
            <w:pPr>
              <w:pStyle w:val="guidelinetext"/>
              <w:numPr>
                <w:ilvl w:val="0"/>
                <w:numId w:val="28"/>
              </w:numPr>
              <w:spacing w:before="60" w:after="60" w:line="240" w:lineRule="auto"/>
              <w:ind w:left="284" w:hanging="284"/>
            </w:pPr>
            <w:r w:rsidRPr="00E100FF">
              <w:t>Technology issue—claims could not submit efforts online</w:t>
            </w:r>
          </w:p>
          <w:p w14:paraId="36133B9C" w14:textId="77777777" w:rsidR="00B21902" w:rsidRPr="00E100FF" w:rsidRDefault="00B21902" w:rsidP="00B21902">
            <w:pPr>
              <w:pStyle w:val="guidelinetext"/>
              <w:numPr>
                <w:ilvl w:val="0"/>
                <w:numId w:val="28"/>
              </w:numPr>
              <w:spacing w:before="60" w:after="60" w:line="240" w:lineRule="auto"/>
              <w:ind w:left="284" w:hanging="284"/>
            </w:pPr>
            <w:r w:rsidRPr="00E100FF">
              <w:t>Technology issue—reported job search efforts incorrectly</w:t>
            </w:r>
          </w:p>
          <w:p w14:paraId="1AE295BB" w14:textId="77777777" w:rsidR="00B21902" w:rsidRPr="00E100FF" w:rsidRDefault="00B21902" w:rsidP="00B21902">
            <w:pPr>
              <w:pStyle w:val="guidelinetext"/>
              <w:numPr>
                <w:ilvl w:val="0"/>
                <w:numId w:val="28"/>
              </w:numPr>
              <w:spacing w:before="60" w:after="60" w:line="240" w:lineRule="auto"/>
              <w:ind w:left="284" w:hanging="284"/>
            </w:pPr>
            <w:r w:rsidRPr="00E100FF">
              <w:t>Thinks quality of applications is satisfactory</w:t>
            </w:r>
          </w:p>
        </w:tc>
      </w:tr>
    </w:tbl>
    <w:p w14:paraId="18112899" w14:textId="77777777" w:rsidR="00B21902" w:rsidRPr="00E100FF" w:rsidRDefault="00B21902" w:rsidP="00B21902"/>
    <w:p w14:paraId="654F2DA1" w14:textId="77777777" w:rsidR="00B21902" w:rsidRPr="00E100FF" w:rsidRDefault="00B21902" w:rsidP="00B21902">
      <w:r w:rsidRPr="00E100FF">
        <w:br w:type="page"/>
      </w:r>
    </w:p>
    <w:tbl>
      <w:tblPr>
        <w:tblStyle w:val="ListTable2"/>
        <w:tblW w:w="0" w:type="auto"/>
        <w:tblLook w:val="0420" w:firstRow="1" w:lastRow="0" w:firstColumn="0" w:lastColumn="0" w:noHBand="0" w:noVBand="1"/>
        <w:tblCaption w:val="Valid Reason assessment options: failure to act on a job referral"/>
        <w:tblDescription w:val="This table replicates the drop-down menu options in the system when a provider records that the job seeker does or does not have a Valid Reason for bfailing to act on a job referral."/>
      </w:tblPr>
      <w:tblGrid>
        <w:gridCol w:w="4508"/>
        <w:gridCol w:w="4508"/>
      </w:tblGrid>
      <w:tr w:rsidR="00B21902" w:rsidRPr="00E100FF" w14:paraId="07FD542C"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299659BC" w14:textId="77777777" w:rsidR="00B21902" w:rsidRPr="00E100FF" w:rsidRDefault="00B21902" w:rsidP="00B21902">
            <w:r w:rsidRPr="00E100FF">
              <w:t>Failure to act on a job referral</w:t>
            </w:r>
          </w:p>
        </w:tc>
      </w:tr>
      <w:tr w:rsidR="00B21902" w:rsidRPr="00E100FF" w14:paraId="7C73386C" w14:textId="77777777" w:rsidTr="00B21902">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1C92CB6B" w14:textId="77777777" w:rsidR="00B21902" w:rsidRPr="00E100FF" w:rsidRDefault="00B21902" w:rsidP="00B21902">
            <w:pPr>
              <w:spacing w:before="60" w:after="60"/>
              <w:rPr>
                <w:b/>
                <w:bCs/>
              </w:rPr>
            </w:pPr>
            <w:r w:rsidRPr="00E100FF">
              <w:rPr>
                <w:b/>
                <w:bCs/>
              </w:rPr>
              <w:t>Reasons accepted</w:t>
            </w:r>
          </w:p>
        </w:tc>
        <w:tc>
          <w:tcPr>
            <w:tcW w:w="4508" w:type="dxa"/>
            <w:tcBorders>
              <w:bottom w:val="single" w:sz="4" w:space="0" w:color="666666" w:themeColor="text1" w:themeTint="99"/>
            </w:tcBorders>
            <w:shd w:val="clear" w:color="auto" w:fill="CCCCCC"/>
          </w:tcPr>
          <w:p w14:paraId="46927A86" w14:textId="77777777" w:rsidR="00B21902" w:rsidRPr="00E100FF" w:rsidRDefault="00B21902" w:rsidP="00B21902">
            <w:pPr>
              <w:spacing w:before="60" w:after="60"/>
              <w:rPr>
                <w:b/>
              </w:rPr>
            </w:pPr>
            <w:r w:rsidRPr="00E100FF">
              <w:rPr>
                <w:b/>
              </w:rPr>
              <w:t>Reasons not accepted</w:t>
            </w:r>
          </w:p>
        </w:tc>
      </w:tr>
      <w:tr w:rsidR="00B21902" w:rsidRPr="00E100FF" w14:paraId="16B60628" w14:textId="77777777" w:rsidTr="00B21902">
        <w:tc>
          <w:tcPr>
            <w:tcW w:w="4508" w:type="dxa"/>
            <w:tcBorders>
              <w:right w:val="single" w:sz="4" w:space="0" w:color="auto"/>
            </w:tcBorders>
          </w:tcPr>
          <w:p w14:paraId="6B488DF4"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were significant—no exemption</w:t>
            </w:r>
          </w:p>
          <w:p w14:paraId="597ABA42" w14:textId="77777777" w:rsidR="00B21902" w:rsidRPr="00E100FF" w:rsidRDefault="00B21902" w:rsidP="00B21902">
            <w:pPr>
              <w:pStyle w:val="guidelinetext"/>
              <w:numPr>
                <w:ilvl w:val="0"/>
                <w:numId w:val="28"/>
              </w:numPr>
              <w:spacing w:before="60" w:after="60" w:line="240" w:lineRule="auto"/>
              <w:ind w:left="284" w:hanging="284"/>
            </w:pPr>
            <w:r w:rsidRPr="00E100FF">
              <w:t>Commute to/from workplace—distance too great/expensive</w:t>
            </w:r>
          </w:p>
          <w:p w14:paraId="5448501D" w14:textId="77777777" w:rsidR="00B21902" w:rsidRPr="00E100FF" w:rsidRDefault="00B21902" w:rsidP="00B21902">
            <w:pPr>
              <w:pStyle w:val="guidelinetext"/>
              <w:numPr>
                <w:ilvl w:val="0"/>
                <w:numId w:val="28"/>
              </w:numPr>
              <w:spacing w:before="60" w:after="60" w:line="240" w:lineRule="auto"/>
              <w:ind w:left="284" w:hanging="284"/>
            </w:pPr>
            <w:r w:rsidRPr="00E100FF">
              <w:t>Conditions or pay not suitable</w:t>
            </w:r>
          </w:p>
          <w:p w14:paraId="75365614" w14:textId="02EDED0B" w:rsidR="00B21902" w:rsidRPr="00E100FF" w:rsidRDefault="00B21902" w:rsidP="00B21902">
            <w:pPr>
              <w:pStyle w:val="guidelinetext"/>
              <w:numPr>
                <w:ilvl w:val="0"/>
                <w:numId w:val="28"/>
              </w:numPr>
              <w:spacing w:before="60" w:after="60" w:line="240" w:lineRule="auto"/>
              <w:ind w:left="284" w:hanging="284"/>
            </w:pPr>
            <w:r w:rsidRPr="00E100FF">
              <w:t>Conditions/skills for job beyond job seeker capacity</w:t>
            </w:r>
          </w:p>
          <w:p w14:paraId="40912C89"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for extended period</w:t>
            </w:r>
          </w:p>
          <w:p w14:paraId="1C665392" w14:textId="77777777" w:rsidR="00B21902" w:rsidRPr="00E100FF" w:rsidRDefault="00B21902" w:rsidP="00B21902">
            <w:pPr>
              <w:pStyle w:val="guidelinetext"/>
              <w:numPr>
                <w:ilvl w:val="0"/>
                <w:numId w:val="28"/>
              </w:numPr>
              <w:spacing w:before="60" w:after="60" w:line="240" w:lineRule="auto"/>
              <w:ind w:left="284" w:hanging="284"/>
            </w:pPr>
            <w:r w:rsidRPr="00E100FF">
              <w:t>Cultural—workplace unsuitable for cultural/religious reasons</w:t>
            </w:r>
          </w:p>
          <w:p w14:paraId="1CA0CCAD"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 issues</w:t>
            </w:r>
          </w:p>
          <w:p w14:paraId="5FD8CB02"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prevented compliance</w:t>
            </w:r>
          </w:p>
          <w:p w14:paraId="1AF0F47B"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prevented compliance</w:t>
            </w:r>
          </w:p>
          <w:p w14:paraId="28DFC39D" w14:textId="123B6F5A" w:rsidR="00B21902" w:rsidRPr="00E100FF" w:rsidRDefault="00B21902" w:rsidP="00B21902">
            <w:pPr>
              <w:pStyle w:val="guidelinetext"/>
              <w:numPr>
                <w:ilvl w:val="0"/>
                <w:numId w:val="28"/>
              </w:numPr>
              <w:spacing w:before="60" w:after="60" w:line="240" w:lineRule="auto"/>
              <w:ind w:left="284" w:hanging="284"/>
            </w:pPr>
            <w:r w:rsidRPr="00E100FF">
              <w:t>Major personal crisis affected job seeker</w:t>
            </w:r>
          </w:p>
          <w:p w14:paraId="2B6028F7"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 prevented compliance</w:t>
            </w:r>
          </w:p>
          <w:p w14:paraId="231057C9" w14:textId="77777777" w:rsidR="00B21902" w:rsidRPr="00E100FF" w:rsidRDefault="00B21902" w:rsidP="00B21902">
            <w:pPr>
              <w:pStyle w:val="guidelinetext"/>
              <w:numPr>
                <w:ilvl w:val="0"/>
                <w:numId w:val="28"/>
              </w:numPr>
              <w:spacing w:before="60" w:after="60" w:line="240" w:lineRule="auto"/>
              <w:ind w:left="284" w:hanging="284"/>
            </w:pPr>
            <w:r w:rsidRPr="00E100FF">
              <w:t>Notification issue—not aware of requirement</w:t>
            </w:r>
          </w:p>
          <w:p w14:paraId="45047B82" w14:textId="0D2B95FB" w:rsidR="00B21902" w:rsidRPr="00E100FF" w:rsidRDefault="00B21902" w:rsidP="00B21902">
            <w:pPr>
              <w:pStyle w:val="guidelinetext"/>
              <w:numPr>
                <w:ilvl w:val="0"/>
                <w:numId w:val="28"/>
              </w:numPr>
              <w:spacing w:before="60" w:after="60" w:line="240" w:lineRule="auto"/>
              <w:ind w:left="284" w:hanging="284"/>
            </w:pPr>
            <w:r w:rsidRPr="00E100FF">
              <w:t>PCP—job seeker not better off financially</w:t>
            </w:r>
          </w:p>
          <w:p w14:paraId="5802FAA0" w14:textId="77777777" w:rsidR="00B21902" w:rsidRPr="00E100FF" w:rsidRDefault="00B21902" w:rsidP="00B21902">
            <w:pPr>
              <w:pStyle w:val="guidelinetext"/>
              <w:numPr>
                <w:ilvl w:val="0"/>
                <w:numId w:val="28"/>
              </w:numPr>
              <w:spacing w:before="60" w:after="60" w:line="240" w:lineRule="auto"/>
              <w:ind w:left="284" w:hanging="284"/>
            </w:pPr>
            <w:r w:rsidRPr="00E100FF">
              <w:t>Technology—no access to technology to complete requirement</w:t>
            </w:r>
          </w:p>
          <w:p w14:paraId="0555A226" w14:textId="77777777" w:rsidR="00B21902" w:rsidRPr="00E100FF" w:rsidRDefault="00B21902" w:rsidP="00B21902">
            <w:pPr>
              <w:pStyle w:val="guidelinetext"/>
              <w:numPr>
                <w:ilvl w:val="0"/>
                <w:numId w:val="28"/>
              </w:numPr>
              <w:spacing w:before="60" w:after="60" w:line="240" w:lineRule="auto"/>
              <w:ind w:left="284" w:hanging="284"/>
            </w:pPr>
            <w:r w:rsidRPr="00E100FF">
              <w:t>Technology—no phone or credit to contact employer</w:t>
            </w:r>
          </w:p>
        </w:tc>
        <w:tc>
          <w:tcPr>
            <w:tcW w:w="4508" w:type="dxa"/>
            <w:tcBorders>
              <w:left w:val="single" w:sz="4" w:space="0" w:color="auto"/>
            </w:tcBorders>
          </w:tcPr>
          <w:p w14:paraId="413A2D00" w14:textId="77777777" w:rsidR="00B21902" w:rsidRPr="00E100FF" w:rsidRDefault="00B21902" w:rsidP="00B21902">
            <w:pPr>
              <w:pStyle w:val="guidelinetext"/>
              <w:numPr>
                <w:ilvl w:val="0"/>
                <w:numId w:val="28"/>
              </w:numPr>
              <w:spacing w:before="60" w:after="60" w:line="240" w:lineRule="auto"/>
              <w:ind w:left="284" w:hanging="284"/>
            </w:pPr>
            <w:r w:rsidRPr="00E100FF">
              <w:t>Acted in a manner that did not result in a job offer/interview</w:t>
            </w:r>
          </w:p>
          <w:p w14:paraId="6FDD1E62" w14:textId="77777777" w:rsidR="00B21902" w:rsidRPr="00E100FF" w:rsidRDefault="00B21902" w:rsidP="00B21902">
            <w:pPr>
              <w:pStyle w:val="guidelinetext"/>
              <w:numPr>
                <w:ilvl w:val="0"/>
                <w:numId w:val="28"/>
              </w:numPr>
              <w:spacing w:before="60" w:after="60" w:line="240" w:lineRule="auto"/>
              <w:ind w:left="284" w:hanging="284"/>
            </w:pPr>
            <w:r w:rsidRPr="00E100FF">
              <w:t>Away from home/on holiday</w:t>
            </w:r>
          </w:p>
          <w:p w14:paraId="10E37716" w14:textId="77777777" w:rsidR="00B21902" w:rsidRPr="00E100FF" w:rsidRDefault="00B21902" w:rsidP="00B21902">
            <w:pPr>
              <w:pStyle w:val="guidelinetext"/>
              <w:numPr>
                <w:ilvl w:val="0"/>
                <w:numId w:val="28"/>
              </w:numPr>
              <w:spacing w:before="60" w:after="60" w:line="240" w:lineRule="auto"/>
              <w:ind w:left="284" w:hanging="284"/>
            </w:pPr>
            <w:r w:rsidRPr="00E100FF">
              <w:t>Believes not required to look for work</w:t>
            </w:r>
          </w:p>
          <w:p w14:paraId="015C469C" w14:textId="77777777" w:rsidR="00B21902" w:rsidRPr="00E100FF" w:rsidRDefault="00B21902" w:rsidP="00B21902">
            <w:pPr>
              <w:pStyle w:val="guidelinetext"/>
              <w:numPr>
                <w:ilvl w:val="0"/>
                <w:numId w:val="28"/>
              </w:numPr>
              <w:spacing w:before="60" w:after="60" w:line="240" w:lineRule="auto"/>
              <w:ind w:left="284" w:hanging="284"/>
            </w:pPr>
            <w:r w:rsidRPr="00E100FF">
              <w:t>Caring/family requirements</w:t>
            </w:r>
          </w:p>
          <w:p w14:paraId="4C0D8A50" w14:textId="77777777" w:rsidR="00B21902" w:rsidRPr="00E100FF" w:rsidRDefault="00B21902" w:rsidP="00B21902">
            <w:pPr>
              <w:pStyle w:val="guidelinetext"/>
              <w:numPr>
                <w:ilvl w:val="0"/>
                <w:numId w:val="28"/>
              </w:numPr>
              <w:spacing w:before="60" w:after="60" w:line="240" w:lineRule="auto"/>
              <w:ind w:left="284" w:hanging="284"/>
            </w:pPr>
            <w:r w:rsidRPr="00E100FF">
              <w:t>Caring—claims childcare will be too expensive if job offered</w:t>
            </w:r>
          </w:p>
          <w:p w14:paraId="3E800F62"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job does not match skills</w:t>
            </w:r>
          </w:p>
          <w:p w14:paraId="51DAEC41"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not in preferred employment industry</w:t>
            </w:r>
          </w:p>
          <w:p w14:paraId="56A668A8" w14:textId="77777777" w:rsidR="00B21902" w:rsidRPr="00E100FF" w:rsidRDefault="00B21902" w:rsidP="00B21902">
            <w:pPr>
              <w:pStyle w:val="guidelinetext"/>
              <w:numPr>
                <w:ilvl w:val="0"/>
                <w:numId w:val="28"/>
              </w:numPr>
              <w:spacing w:before="60" w:after="60" w:line="240" w:lineRule="auto"/>
              <w:ind w:left="284" w:hanging="284"/>
            </w:pPr>
            <w:r w:rsidRPr="00E100FF">
              <w:t>Conditions—claims too many or too few hours</w:t>
            </w:r>
          </w:p>
          <w:p w14:paraId="4909D637" w14:textId="77777777" w:rsidR="00B21902" w:rsidRPr="00E100FF" w:rsidRDefault="00B21902" w:rsidP="00B21902">
            <w:pPr>
              <w:pStyle w:val="guidelinetext"/>
              <w:numPr>
                <w:ilvl w:val="0"/>
                <w:numId w:val="28"/>
              </w:numPr>
              <w:spacing w:before="60" w:after="60" w:line="240" w:lineRule="auto"/>
              <w:ind w:left="284" w:hanging="284"/>
            </w:pPr>
            <w:r w:rsidRPr="00E100FF">
              <w:t>Conditions—pay not enough (within allowable policy)</w:t>
            </w:r>
          </w:p>
          <w:p w14:paraId="196BC603" w14:textId="77777777" w:rsidR="00B21902" w:rsidRPr="00E100FF" w:rsidRDefault="00B21902" w:rsidP="00B21902">
            <w:pPr>
              <w:pStyle w:val="guidelinetext"/>
              <w:numPr>
                <w:ilvl w:val="0"/>
                <w:numId w:val="28"/>
              </w:numPr>
              <w:spacing w:before="60" w:after="60" w:line="240" w:lineRule="auto"/>
              <w:ind w:left="284" w:hanging="284"/>
            </w:pPr>
            <w:r w:rsidRPr="00E100FF">
              <w:t>Does not want job</w:t>
            </w:r>
          </w:p>
          <w:p w14:paraId="5698263F" w14:textId="77777777" w:rsidR="00B21902" w:rsidRPr="00E100FF" w:rsidRDefault="00B21902" w:rsidP="00B21902">
            <w:pPr>
              <w:pStyle w:val="guidelinetext"/>
              <w:numPr>
                <w:ilvl w:val="0"/>
                <w:numId w:val="28"/>
              </w:numPr>
              <w:spacing w:before="60" w:after="60" w:line="240" w:lineRule="auto"/>
              <w:ind w:left="284" w:hanging="284"/>
            </w:pPr>
            <w:r w:rsidRPr="00E100FF">
              <w:t>Forgot about requirement</w:t>
            </w:r>
          </w:p>
          <w:p w14:paraId="260031D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w:t>
            </w:r>
          </w:p>
          <w:p w14:paraId="70845DEA" w14:textId="77777777" w:rsidR="00B21902" w:rsidRPr="00E100FF" w:rsidRDefault="00B21902" w:rsidP="00B21902">
            <w:pPr>
              <w:pStyle w:val="guidelinetext"/>
              <w:numPr>
                <w:ilvl w:val="0"/>
                <w:numId w:val="28"/>
              </w:numPr>
              <w:spacing w:before="60" w:after="60" w:line="240" w:lineRule="auto"/>
              <w:ind w:left="284" w:hanging="284"/>
            </w:pPr>
            <w:r w:rsidRPr="00E100FF">
              <w:t>Medical/health reason</w:t>
            </w:r>
          </w:p>
          <w:p w14:paraId="2113DA4A" w14:textId="77777777" w:rsidR="00B21902" w:rsidRPr="00E100FF" w:rsidRDefault="00B21902" w:rsidP="00B21902">
            <w:pPr>
              <w:pStyle w:val="guidelinetext"/>
              <w:numPr>
                <w:ilvl w:val="0"/>
                <w:numId w:val="28"/>
              </w:numPr>
              <w:spacing w:before="60" w:after="60" w:line="240" w:lineRule="auto"/>
              <w:ind w:left="284" w:hanging="284"/>
            </w:pPr>
            <w:r w:rsidRPr="00E100FF">
              <w:t>Résumé not acceptable standard</w:t>
            </w:r>
          </w:p>
          <w:p w14:paraId="11A9FB2A" w14:textId="77777777" w:rsidR="00B21902" w:rsidRPr="00E100FF" w:rsidRDefault="00B21902" w:rsidP="00B21902">
            <w:pPr>
              <w:pStyle w:val="guidelinetext"/>
              <w:numPr>
                <w:ilvl w:val="0"/>
                <w:numId w:val="28"/>
              </w:numPr>
              <w:spacing w:before="60" w:after="60" w:line="240" w:lineRule="auto"/>
              <w:ind w:left="284" w:hanging="284"/>
            </w:pPr>
            <w:r w:rsidRPr="00E100FF">
              <w:t>Technology—claims no access to technology to complete requirement</w:t>
            </w:r>
          </w:p>
          <w:p w14:paraId="4115292A" w14:textId="77777777" w:rsidR="00B21902" w:rsidRPr="00E100FF" w:rsidRDefault="00B21902" w:rsidP="00B21902">
            <w:pPr>
              <w:pStyle w:val="guidelinetext"/>
              <w:numPr>
                <w:ilvl w:val="0"/>
                <w:numId w:val="28"/>
              </w:numPr>
              <w:spacing w:before="60" w:after="60" w:line="240" w:lineRule="auto"/>
              <w:ind w:left="284" w:hanging="284"/>
            </w:pPr>
            <w:r w:rsidRPr="00E100FF">
              <w:t>Technology—claims no phone or credit to contact employer</w:t>
            </w:r>
          </w:p>
          <w:p w14:paraId="63D8FEDB" w14:textId="77777777" w:rsidR="00B21902" w:rsidRPr="00E100FF" w:rsidRDefault="00B21902" w:rsidP="00B21902">
            <w:pPr>
              <w:pStyle w:val="guidelinetext"/>
              <w:numPr>
                <w:ilvl w:val="0"/>
                <w:numId w:val="28"/>
              </w:numPr>
              <w:spacing w:before="60" w:after="60" w:line="240" w:lineRule="auto"/>
              <w:ind w:left="284" w:hanging="284"/>
            </w:pPr>
            <w:r w:rsidRPr="00E100FF">
              <w:t>Travel/transport issue—claims distance too great/expensive</w:t>
            </w:r>
          </w:p>
        </w:tc>
      </w:tr>
    </w:tbl>
    <w:p w14:paraId="6016E3E7" w14:textId="77777777" w:rsidR="00B21902" w:rsidRPr="00E100FF" w:rsidRDefault="00B21902" w:rsidP="00B21902"/>
    <w:p w14:paraId="6931F7AC" w14:textId="77777777" w:rsidR="00B21902" w:rsidRPr="00E100FF" w:rsidRDefault="00B21902" w:rsidP="00B21902"/>
    <w:p w14:paraId="3CF76AC2" w14:textId="77777777" w:rsidR="00B21902" w:rsidRPr="00E100FF" w:rsidRDefault="00B21902" w:rsidP="00B21902">
      <w:r w:rsidRPr="00E100FF">
        <w:br w:type="page"/>
      </w:r>
    </w:p>
    <w:p w14:paraId="7AC7762E" w14:textId="5C258032" w:rsidR="00B21902" w:rsidRPr="005B6382" w:rsidRDefault="00B21902" w:rsidP="005B6382">
      <w:pPr>
        <w:pStyle w:val="Heading2"/>
        <w:spacing w:before="0"/>
        <w:ind w:left="567" w:hanging="567"/>
        <w:rPr>
          <w:sz w:val="28"/>
        </w:rPr>
      </w:pPr>
      <w:bookmarkStart w:id="133" w:name="_Attachment_D—Manual_demerit"/>
      <w:bookmarkStart w:id="134" w:name="_Attachment_E—Manual_Demerit"/>
      <w:bookmarkStart w:id="135" w:name="_Toc21095891"/>
      <w:bookmarkStart w:id="136" w:name="_Toc177568238"/>
      <w:bookmarkEnd w:id="133"/>
      <w:bookmarkEnd w:id="134"/>
      <w:r w:rsidRPr="005B6382">
        <w:rPr>
          <w:sz w:val="28"/>
        </w:rPr>
        <w:t xml:space="preserve">Attachment </w:t>
      </w:r>
      <w:r w:rsidR="009F3A4E">
        <w:rPr>
          <w:sz w:val="28"/>
        </w:rPr>
        <w:t>F</w:t>
      </w:r>
      <w:r w:rsidRPr="005B6382">
        <w:rPr>
          <w:sz w:val="28"/>
        </w:rPr>
        <w:t>—Manual Demerit removal options</w:t>
      </w:r>
      <w:bookmarkEnd w:id="135"/>
      <w:bookmarkEnd w:id="136"/>
    </w:p>
    <w:tbl>
      <w:tblPr>
        <w:tblStyle w:val="ListTable2"/>
        <w:tblW w:w="9072" w:type="dxa"/>
        <w:tblLook w:val="0420" w:firstRow="1" w:lastRow="0" w:firstColumn="0" w:lastColumn="0" w:noHBand="0" w:noVBand="1"/>
        <w:tblCaption w:val="Manual Demerit removal options: all Demerit types"/>
        <w:tblDescription w:val="This table replicates and explains the options in the system that providers have to choose from when they manually remove any Demerit."/>
      </w:tblPr>
      <w:tblGrid>
        <w:gridCol w:w="2268"/>
        <w:gridCol w:w="6804"/>
      </w:tblGrid>
      <w:tr w:rsidR="00B21902" w:rsidRPr="00E100FF" w14:paraId="172C6612"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72" w:type="dxa"/>
            <w:gridSpan w:val="2"/>
          </w:tcPr>
          <w:p w14:paraId="510DBD85" w14:textId="77777777" w:rsidR="00B21902" w:rsidRPr="00E100FF" w:rsidRDefault="00B21902" w:rsidP="00B21902">
            <w:r w:rsidRPr="00E100FF">
              <w:t>All Demerit types</w:t>
            </w:r>
          </w:p>
        </w:tc>
      </w:tr>
      <w:tr w:rsidR="00B21902" w:rsidRPr="00E100FF" w14:paraId="3E4C535F"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bottom w:val="single" w:sz="4" w:space="0" w:color="666666" w:themeColor="text1" w:themeTint="99"/>
            </w:tcBorders>
            <w:shd w:val="clear" w:color="auto" w:fill="CCCCCC"/>
          </w:tcPr>
          <w:p w14:paraId="1D547059" w14:textId="77777777" w:rsidR="00B21902" w:rsidRPr="00E100FF" w:rsidRDefault="00B21902" w:rsidP="00B21902">
            <w:pPr>
              <w:spacing w:before="60" w:after="60"/>
              <w:rPr>
                <w:b/>
                <w:bCs/>
              </w:rPr>
            </w:pPr>
            <w:r w:rsidRPr="00E100FF">
              <w:rPr>
                <w:b/>
                <w:bCs/>
              </w:rPr>
              <w:t>Reason</w:t>
            </w:r>
          </w:p>
        </w:tc>
        <w:tc>
          <w:tcPr>
            <w:tcW w:w="6804" w:type="dxa"/>
            <w:tcBorders>
              <w:bottom w:val="single" w:sz="4" w:space="0" w:color="666666" w:themeColor="text1" w:themeTint="99"/>
            </w:tcBorders>
            <w:shd w:val="clear" w:color="auto" w:fill="CCCCCC"/>
          </w:tcPr>
          <w:p w14:paraId="4B66B576" w14:textId="77777777" w:rsidR="00B21902" w:rsidRPr="00E100FF" w:rsidRDefault="00B21902" w:rsidP="00B21902">
            <w:pPr>
              <w:spacing w:before="60" w:after="60"/>
              <w:rPr>
                <w:b/>
              </w:rPr>
            </w:pPr>
            <w:r w:rsidRPr="00E100FF">
              <w:rPr>
                <w:b/>
              </w:rPr>
              <w:t>Description</w:t>
            </w:r>
          </w:p>
        </w:tc>
      </w:tr>
      <w:tr w:rsidR="00B21902" w:rsidRPr="00E100FF" w14:paraId="0CE37E4C" w14:textId="77777777" w:rsidTr="00B21902">
        <w:tc>
          <w:tcPr>
            <w:tcW w:w="2268" w:type="dxa"/>
            <w:tcBorders>
              <w:right w:val="nil"/>
            </w:tcBorders>
            <w:shd w:val="clear" w:color="auto" w:fill="auto"/>
            <w:vAlign w:val="center"/>
          </w:tcPr>
          <w:p w14:paraId="112745BF" w14:textId="77777777" w:rsidR="00B21902" w:rsidRPr="00E100FF" w:rsidRDefault="00B21902" w:rsidP="00B21902">
            <w:pPr>
              <w:pStyle w:val="guidelinetext"/>
              <w:spacing w:before="60" w:after="60" w:line="240" w:lineRule="auto"/>
              <w:ind w:left="0"/>
            </w:pPr>
            <w:r w:rsidRPr="00E100FF">
              <w:t>Issue affected overall capability—requirements changed</w:t>
            </w:r>
          </w:p>
        </w:tc>
        <w:tc>
          <w:tcPr>
            <w:tcW w:w="6804" w:type="dxa"/>
            <w:tcBorders>
              <w:left w:val="nil"/>
            </w:tcBorders>
            <w:shd w:val="clear" w:color="auto" w:fill="auto"/>
            <w:vAlign w:val="center"/>
          </w:tcPr>
          <w:p w14:paraId="2AAB68E2" w14:textId="77777777" w:rsidR="00B21902" w:rsidRPr="00523AB2" w:rsidRDefault="00B21902" w:rsidP="00B21902">
            <w:pPr>
              <w:pStyle w:val="guidelinetext"/>
              <w:spacing w:before="60" w:after="60" w:line="240" w:lineRule="auto"/>
              <w:ind w:left="0"/>
            </w:pPr>
            <w:r w:rsidRPr="00523AB2">
              <w:t xml:space="preserve">The </w:t>
            </w:r>
            <w:r>
              <w:t>Participant</w:t>
            </w:r>
            <w:r w:rsidRPr="00523AB2">
              <w:t>’s personal circumstances would have likely affected their overall capability to meet requirements. Their</w:t>
            </w:r>
            <w:r>
              <w:t xml:space="preserve"> Provider has updated their</w:t>
            </w:r>
            <w:r w:rsidRPr="00523AB2">
              <w:t xml:space="preserve"> requirements to be more appropriate</w:t>
            </w:r>
            <w:r>
              <w:t xml:space="preserve"> and</w:t>
            </w:r>
            <w:r w:rsidRPr="00523AB2">
              <w:t xml:space="preserve"> to support the </w:t>
            </w:r>
            <w:r>
              <w:t>Participant</w:t>
            </w:r>
            <w:r w:rsidRPr="00523AB2">
              <w:t xml:space="preserve"> to meet them.</w:t>
            </w:r>
          </w:p>
        </w:tc>
      </w:tr>
      <w:tr w:rsidR="00B21902" w:rsidRPr="00E100FF" w14:paraId="49A71ED9"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right w:val="nil"/>
            </w:tcBorders>
            <w:shd w:val="clear" w:color="auto" w:fill="auto"/>
            <w:vAlign w:val="center"/>
          </w:tcPr>
          <w:p w14:paraId="0E70D512" w14:textId="72A110F3" w:rsidR="00B21902" w:rsidRPr="00E100FF" w:rsidRDefault="00B21902" w:rsidP="00B21902">
            <w:pPr>
              <w:pStyle w:val="guidelinetext"/>
              <w:spacing w:before="60" w:after="60" w:line="240" w:lineRule="auto"/>
              <w:ind w:left="0"/>
            </w:pPr>
            <w:r w:rsidRPr="00E100FF">
              <w:t>New information disclosed—job seeker in services to address</w:t>
            </w:r>
          </w:p>
        </w:tc>
        <w:tc>
          <w:tcPr>
            <w:tcW w:w="6804" w:type="dxa"/>
            <w:tcBorders>
              <w:left w:val="nil"/>
            </w:tcBorders>
            <w:shd w:val="clear" w:color="auto" w:fill="auto"/>
            <w:vAlign w:val="center"/>
          </w:tcPr>
          <w:p w14:paraId="19AAD481" w14:textId="77777777" w:rsidR="00B21902" w:rsidRPr="00523AB2" w:rsidRDefault="00B21902" w:rsidP="00B21902">
            <w:pPr>
              <w:pStyle w:val="guidelinetext"/>
              <w:spacing w:before="60" w:after="60" w:line="240" w:lineRule="auto"/>
              <w:ind w:left="0"/>
            </w:pPr>
            <w:r w:rsidRPr="00523AB2">
              <w:t xml:space="preserve">New information about the </w:t>
            </w:r>
            <w:r>
              <w:t>Participant</w:t>
            </w:r>
            <w:r w:rsidRPr="00523AB2">
              <w:t xml:space="preserve"> has been disclosed which impacted their ability to meet requirements at the time they accrued the Demerit. The</w:t>
            </w:r>
            <w:r>
              <w:t xml:space="preserve"> Provider has referred the</w:t>
            </w:r>
            <w:r w:rsidRPr="00523AB2">
              <w:t xml:space="preserve"> </w:t>
            </w:r>
            <w:r>
              <w:t>Participant to services, or the Participant is in services,</w:t>
            </w:r>
            <w:r w:rsidRPr="00523AB2">
              <w:t xml:space="preserve"> to address this issue.</w:t>
            </w:r>
          </w:p>
        </w:tc>
      </w:tr>
      <w:tr w:rsidR="00B21902" w:rsidRPr="00E100FF" w14:paraId="366AD362" w14:textId="77777777" w:rsidTr="00B21902">
        <w:tc>
          <w:tcPr>
            <w:tcW w:w="2268" w:type="dxa"/>
            <w:tcBorders>
              <w:right w:val="nil"/>
            </w:tcBorders>
            <w:shd w:val="clear" w:color="auto" w:fill="auto"/>
            <w:vAlign w:val="center"/>
          </w:tcPr>
          <w:p w14:paraId="2B573756" w14:textId="77777777" w:rsidR="00B21902" w:rsidRPr="00E100FF" w:rsidRDefault="00B21902" w:rsidP="00B21902">
            <w:pPr>
              <w:pStyle w:val="guidelinetext"/>
              <w:spacing w:before="60" w:after="60" w:line="240" w:lineRule="auto"/>
              <w:ind w:left="0"/>
            </w:pPr>
            <w:r w:rsidRPr="00E100FF">
              <w:t>New information disclosed—likely impacted compliance</w:t>
            </w:r>
          </w:p>
        </w:tc>
        <w:tc>
          <w:tcPr>
            <w:tcW w:w="6804" w:type="dxa"/>
            <w:tcBorders>
              <w:left w:val="nil"/>
            </w:tcBorders>
            <w:shd w:val="clear" w:color="auto" w:fill="auto"/>
            <w:vAlign w:val="center"/>
          </w:tcPr>
          <w:p w14:paraId="4BF2A32D" w14:textId="77777777" w:rsidR="00B21902" w:rsidRPr="00523AB2" w:rsidRDefault="00B21902" w:rsidP="00B21902">
            <w:pPr>
              <w:pStyle w:val="guidelinetext"/>
              <w:spacing w:before="60" w:after="60" w:line="240" w:lineRule="auto"/>
              <w:ind w:left="0"/>
            </w:pPr>
            <w:r w:rsidRPr="00523AB2">
              <w:t xml:space="preserve">New information about the </w:t>
            </w:r>
            <w:r>
              <w:t>Participant</w:t>
            </w:r>
            <w:r w:rsidRPr="00523AB2">
              <w:t xml:space="preserve"> has been disclosed which impacted their ability to meet requirements at the time they accrued the Demerit, and should it have been known, would likely have meant the </w:t>
            </w:r>
            <w:r>
              <w:t>Participant</w:t>
            </w:r>
            <w:r w:rsidRPr="00523AB2">
              <w:t xml:space="preserve"> had a Valid Reason.</w:t>
            </w:r>
          </w:p>
        </w:tc>
      </w:tr>
      <w:tr w:rsidR="00B21902" w:rsidRPr="00E100FF" w14:paraId="156252E5" w14:textId="77777777" w:rsidTr="00B21902">
        <w:trPr>
          <w:cnfStyle w:val="000000100000" w:firstRow="0" w:lastRow="0" w:firstColumn="0" w:lastColumn="0" w:oddVBand="0" w:evenVBand="0" w:oddHBand="1" w:evenHBand="0" w:firstRowFirstColumn="0" w:firstRowLastColumn="0" w:lastRowFirstColumn="0" w:lastRowLastColumn="0"/>
        </w:trPr>
        <w:tc>
          <w:tcPr>
            <w:tcW w:w="2268" w:type="dxa"/>
            <w:tcBorders>
              <w:right w:val="nil"/>
            </w:tcBorders>
            <w:shd w:val="clear" w:color="auto" w:fill="auto"/>
            <w:vAlign w:val="center"/>
          </w:tcPr>
          <w:p w14:paraId="3B3C2EDE" w14:textId="77777777" w:rsidR="00B21902" w:rsidRPr="00E100FF" w:rsidRDefault="00B21902" w:rsidP="00B21902">
            <w:pPr>
              <w:pStyle w:val="guidelinetext"/>
              <w:spacing w:before="60" w:after="60" w:line="240" w:lineRule="auto"/>
              <w:ind w:left="0"/>
            </w:pPr>
            <w:r w:rsidRPr="00E100FF">
              <w:t>Provider Error</w:t>
            </w:r>
          </w:p>
        </w:tc>
        <w:tc>
          <w:tcPr>
            <w:tcW w:w="6804" w:type="dxa"/>
            <w:tcBorders>
              <w:left w:val="nil"/>
            </w:tcBorders>
            <w:shd w:val="clear" w:color="auto" w:fill="auto"/>
            <w:vAlign w:val="center"/>
          </w:tcPr>
          <w:p w14:paraId="0EDED371" w14:textId="77777777" w:rsidR="00B21902" w:rsidRPr="00523AB2" w:rsidRDefault="00B21902" w:rsidP="00B21902">
            <w:pPr>
              <w:pStyle w:val="guidelinetext"/>
              <w:spacing w:before="60" w:after="60" w:line="240" w:lineRule="auto"/>
              <w:ind w:left="0"/>
            </w:pPr>
            <w:r w:rsidRPr="00523AB2">
              <w:t xml:space="preserve">An error occurred and the </w:t>
            </w:r>
            <w:r>
              <w:t>Participant</w:t>
            </w:r>
            <w:r w:rsidRPr="00523AB2">
              <w:t xml:space="preserve"> should not have accrued a Demerit—for example, they had a Valid </w:t>
            </w:r>
            <w:proofErr w:type="gramStart"/>
            <w:r w:rsidRPr="00523AB2">
              <w:t>Reason</w:t>
            </w:r>
            <w:proofErr w:type="gramEnd"/>
            <w:r w:rsidRPr="00523AB2">
              <w:t xml:space="preserve"> or they should not have had the requirement.</w:t>
            </w:r>
          </w:p>
        </w:tc>
      </w:tr>
    </w:tbl>
    <w:p w14:paraId="7812E18C" w14:textId="77777777" w:rsidR="00B21902" w:rsidRPr="00E100FF" w:rsidRDefault="00B21902" w:rsidP="00B21902">
      <w:pPr>
        <w:pStyle w:val="guidelinetext"/>
        <w:ind w:left="0"/>
      </w:pPr>
    </w:p>
    <w:p w14:paraId="0763A735" w14:textId="77777777" w:rsidR="00B21902" w:rsidRPr="00E100FF" w:rsidRDefault="00B21902" w:rsidP="00B21902">
      <w:r w:rsidRPr="00E100FF">
        <w:br w:type="page"/>
      </w:r>
    </w:p>
    <w:tbl>
      <w:tblPr>
        <w:tblStyle w:val="ListTable2"/>
        <w:tblW w:w="9072" w:type="dxa"/>
        <w:tblLook w:val="0420" w:firstRow="1" w:lastRow="0" w:firstColumn="0" w:lastColumn="0" w:noHBand="0" w:noVBand="1"/>
        <w:tblCaption w:val="Manual Demerit Removal options: Job Search Demerits"/>
        <w:tblDescription w:val="This table replicates and explains the options in the system that providers have to choose from when they manually remove Job Search Demerits."/>
      </w:tblPr>
      <w:tblGrid>
        <w:gridCol w:w="2410"/>
        <w:gridCol w:w="6662"/>
      </w:tblGrid>
      <w:tr w:rsidR="00B21902" w:rsidRPr="00E100FF" w14:paraId="7A168FC6"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72" w:type="dxa"/>
            <w:gridSpan w:val="2"/>
            <w:vAlign w:val="center"/>
          </w:tcPr>
          <w:p w14:paraId="15124CBC" w14:textId="77777777" w:rsidR="00B21902" w:rsidRPr="00E100FF" w:rsidRDefault="00B21902" w:rsidP="00B21902">
            <w:r w:rsidRPr="00E100FF">
              <w:t>Job Search Demerits</w:t>
            </w:r>
          </w:p>
        </w:tc>
      </w:tr>
      <w:tr w:rsidR="00B21902" w:rsidRPr="00E100FF" w14:paraId="061CDC7B"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bottom w:val="single" w:sz="4" w:space="0" w:color="666666" w:themeColor="text1" w:themeTint="99"/>
            </w:tcBorders>
            <w:shd w:val="clear" w:color="auto" w:fill="CCCCCC"/>
            <w:vAlign w:val="center"/>
          </w:tcPr>
          <w:p w14:paraId="4E96AA12" w14:textId="77777777" w:rsidR="00B21902" w:rsidRPr="00E100FF" w:rsidRDefault="00B21902" w:rsidP="00B21902">
            <w:pPr>
              <w:spacing w:before="60" w:after="60"/>
              <w:rPr>
                <w:b/>
                <w:bCs/>
              </w:rPr>
            </w:pPr>
            <w:r w:rsidRPr="00E100FF">
              <w:rPr>
                <w:b/>
                <w:bCs/>
              </w:rPr>
              <w:t>Reason</w:t>
            </w:r>
          </w:p>
        </w:tc>
        <w:tc>
          <w:tcPr>
            <w:tcW w:w="6662" w:type="dxa"/>
            <w:tcBorders>
              <w:bottom w:val="single" w:sz="4" w:space="0" w:color="666666" w:themeColor="text1" w:themeTint="99"/>
            </w:tcBorders>
            <w:shd w:val="clear" w:color="auto" w:fill="CCCCCC"/>
            <w:vAlign w:val="center"/>
          </w:tcPr>
          <w:p w14:paraId="05075A38" w14:textId="77777777" w:rsidR="00B21902" w:rsidRPr="00E100FF" w:rsidRDefault="00B21902" w:rsidP="00B21902">
            <w:pPr>
              <w:spacing w:before="60" w:after="60"/>
              <w:rPr>
                <w:b/>
              </w:rPr>
            </w:pPr>
            <w:r w:rsidRPr="00E100FF">
              <w:rPr>
                <w:b/>
              </w:rPr>
              <w:t>Description</w:t>
            </w:r>
          </w:p>
        </w:tc>
      </w:tr>
      <w:tr w:rsidR="00B21902" w:rsidRPr="00E100FF" w14:paraId="57B93F30" w14:textId="77777777" w:rsidTr="00B21902">
        <w:tc>
          <w:tcPr>
            <w:tcW w:w="2410" w:type="dxa"/>
            <w:tcBorders>
              <w:right w:val="nil"/>
            </w:tcBorders>
            <w:shd w:val="clear" w:color="auto" w:fill="auto"/>
            <w:vAlign w:val="center"/>
          </w:tcPr>
          <w:p w14:paraId="1C430EC3" w14:textId="77777777" w:rsidR="00B21902" w:rsidRPr="00E100FF" w:rsidRDefault="00B21902" w:rsidP="00B21902">
            <w:pPr>
              <w:pStyle w:val="guidelinetext"/>
              <w:spacing w:before="60" w:after="60" w:line="240" w:lineRule="auto"/>
              <w:ind w:left="0"/>
            </w:pPr>
            <w:r w:rsidRPr="00E100FF">
              <w:t>Issue affected overall capability—requirements changed</w:t>
            </w:r>
          </w:p>
        </w:tc>
        <w:tc>
          <w:tcPr>
            <w:tcW w:w="6662" w:type="dxa"/>
            <w:tcBorders>
              <w:left w:val="nil"/>
            </w:tcBorders>
            <w:shd w:val="clear" w:color="auto" w:fill="auto"/>
            <w:vAlign w:val="center"/>
          </w:tcPr>
          <w:p w14:paraId="539A0B88"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’s personal circumstances would have likely affected their overall capability to meet requirements. Their </w:t>
            </w:r>
            <w:r>
              <w:t xml:space="preserve">Provider has updated their </w:t>
            </w:r>
            <w:r w:rsidRPr="00E100FF">
              <w:t>requirements to be more appropriate</w:t>
            </w:r>
            <w:r>
              <w:t xml:space="preserve"> and</w:t>
            </w:r>
            <w:r w:rsidRPr="00E100FF">
              <w:t xml:space="preserve"> to support the </w:t>
            </w:r>
            <w:r>
              <w:t>Participant</w:t>
            </w:r>
            <w:r w:rsidRPr="00E100FF">
              <w:t xml:space="preserve"> to meet them.</w:t>
            </w:r>
          </w:p>
        </w:tc>
      </w:tr>
      <w:tr w:rsidR="00B21902" w:rsidRPr="00E100FF" w14:paraId="11E6444B"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78BA0C05" w14:textId="77777777" w:rsidR="00B21902" w:rsidRPr="00E100FF" w:rsidRDefault="00B21902" w:rsidP="00B21902">
            <w:pPr>
              <w:pStyle w:val="guidelinetext"/>
              <w:spacing w:before="60" w:after="60" w:line="240" w:lineRule="auto"/>
              <w:ind w:left="0"/>
            </w:pPr>
            <w:r w:rsidRPr="00E100FF">
              <w:t>Job Search efforts submitted after end of Job Search Period—Valid Reason identified</w:t>
            </w:r>
          </w:p>
        </w:tc>
        <w:tc>
          <w:tcPr>
            <w:tcW w:w="6662" w:type="dxa"/>
            <w:tcBorders>
              <w:left w:val="nil"/>
            </w:tcBorders>
            <w:shd w:val="clear" w:color="auto" w:fill="auto"/>
            <w:vAlign w:val="center"/>
          </w:tcPr>
          <w:p w14:paraId="146C1820"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has submitted their outstanding Job Search efforts online, following payment suspension. Upon </w:t>
            </w:r>
            <w:r>
              <w:t>Participant</w:t>
            </w:r>
            <w:r w:rsidRPr="00E100FF">
              <w:t xml:space="preserve"> contact, </w:t>
            </w:r>
            <w:r>
              <w:t>the Provider</w:t>
            </w:r>
            <w:r w:rsidRPr="00E100FF">
              <w:t xml:space="preserve"> identified that </w:t>
            </w:r>
            <w:r>
              <w:t>the Participant</w:t>
            </w:r>
            <w:r w:rsidRPr="00E100FF">
              <w:t xml:space="preserve"> </w:t>
            </w:r>
            <w:r>
              <w:t>had</w:t>
            </w:r>
            <w:r w:rsidRPr="00E100FF">
              <w:t xml:space="preserve"> a Valid Reason for not submitting their efforts by the end of their Job Search Period.</w:t>
            </w:r>
          </w:p>
        </w:tc>
      </w:tr>
      <w:tr w:rsidR="00B21902" w:rsidRPr="00E100FF" w14:paraId="4C46D1DE" w14:textId="77777777" w:rsidTr="00B21902">
        <w:tc>
          <w:tcPr>
            <w:tcW w:w="2410" w:type="dxa"/>
            <w:tcBorders>
              <w:right w:val="nil"/>
            </w:tcBorders>
            <w:shd w:val="clear" w:color="auto" w:fill="auto"/>
            <w:vAlign w:val="center"/>
          </w:tcPr>
          <w:p w14:paraId="49D69B5B" w14:textId="77777777" w:rsidR="00B21902" w:rsidRPr="00E100FF" w:rsidRDefault="00B21902" w:rsidP="00B21902">
            <w:pPr>
              <w:pStyle w:val="guidelinetext"/>
              <w:spacing w:before="60" w:after="60" w:line="240" w:lineRule="auto"/>
              <w:ind w:left="0"/>
            </w:pPr>
            <w:r w:rsidRPr="00E100FF">
              <w:t>Adjustment not made—paid work impacted number required</w:t>
            </w:r>
          </w:p>
        </w:tc>
        <w:tc>
          <w:tcPr>
            <w:tcW w:w="6662" w:type="dxa"/>
            <w:tcBorders>
              <w:left w:val="nil"/>
            </w:tcBorders>
            <w:shd w:val="clear" w:color="auto" w:fill="auto"/>
            <w:vAlign w:val="center"/>
          </w:tcPr>
          <w:p w14:paraId="4912CF0B"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’s declared earnings for that period mean</w:t>
            </w:r>
            <w:r>
              <w:t xml:space="preserve"> that their Provider should have reduced</w:t>
            </w:r>
            <w:r w:rsidRPr="00E100FF">
              <w:t xml:space="preserve"> their level of job search.</w:t>
            </w:r>
          </w:p>
          <w:p w14:paraId="719DC2CB" w14:textId="77777777" w:rsidR="00B21902" w:rsidRPr="00E100FF" w:rsidRDefault="00B21902" w:rsidP="00B21902">
            <w:pPr>
              <w:pStyle w:val="guidelinetext"/>
              <w:spacing w:before="60" w:after="60" w:line="240" w:lineRule="auto"/>
              <w:ind w:left="0"/>
              <w:rPr>
                <w:i/>
              </w:rPr>
            </w:pPr>
            <w:r w:rsidRPr="00E100FF">
              <w:rPr>
                <w:i/>
                <w:sz w:val="20"/>
              </w:rPr>
              <w:t>Note: this is o</w:t>
            </w:r>
            <w:r>
              <w:rPr>
                <w:i/>
                <w:sz w:val="20"/>
              </w:rPr>
              <w:t>nly applicable where paid work/</w:t>
            </w:r>
            <w:r w:rsidRPr="00E100FF">
              <w:rPr>
                <w:i/>
                <w:sz w:val="20"/>
              </w:rPr>
              <w:t>self-employment is not included in the Job Plan as a requirement. Where it is included, the Department’s IT</w:t>
            </w:r>
            <w:r>
              <w:rPr>
                <w:i/>
                <w:sz w:val="20"/>
              </w:rPr>
              <w:t> </w:t>
            </w:r>
            <w:r w:rsidRPr="00E100FF">
              <w:rPr>
                <w:i/>
                <w:sz w:val="20"/>
              </w:rPr>
              <w:t>system will automatically make this adjustment based on hours committed to per fortnight (regardless of actual earnings).</w:t>
            </w:r>
          </w:p>
        </w:tc>
      </w:tr>
      <w:tr w:rsidR="00B21902" w:rsidRPr="00E100FF" w14:paraId="1CE104E6"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53EE0FAF" w14:textId="77777777" w:rsidR="00B21902" w:rsidRPr="00E100FF" w:rsidRDefault="00B21902" w:rsidP="00B21902">
            <w:pPr>
              <w:pStyle w:val="guidelinetext"/>
              <w:spacing w:before="60" w:after="60" w:line="240" w:lineRule="auto"/>
              <w:ind w:left="0"/>
            </w:pPr>
            <w:r w:rsidRPr="00E100FF">
              <w:t xml:space="preserve">Adjustment not </w:t>
            </w:r>
            <w:proofErr w:type="gramStart"/>
            <w:r w:rsidRPr="00E100FF">
              <w:t>made—exemption</w:t>
            </w:r>
            <w:proofErr w:type="gramEnd"/>
            <w:r w:rsidRPr="00E100FF">
              <w:t xml:space="preserve"> impacted number required</w:t>
            </w:r>
          </w:p>
        </w:tc>
        <w:tc>
          <w:tcPr>
            <w:tcW w:w="6662" w:type="dxa"/>
            <w:tcBorders>
              <w:left w:val="nil"/>
            </w:tcBorders>
            <w:shd w:val="clear" w:color="auto" w:fill="auto"/>
            <w:vAlign w:val="center"/>
          </w:tcPr>
          <w:p w14:paraId="6EDC84D6"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had an Exemption during the Job Search Period. Although the system re calculated their required efforts based on the exemption period, </w:t>
            </w:r>
            <w:r>
              <w:t xml:space="preserve">the Provider should have made </w:t>
            </w:r>
            <w:r w:rsidRPr="00E100FF">
              <w:t>further adjustment due to the nature of the Exemption.</w:t>
            </w:r>
          </w:p>
        </w:tc>
      </w:tr>
      <w:tr w:rsidR="00B21902" w:rsidRPr="00E100FF" w14:paraId="31C77061" w14:textId="77777777" w:rsidTr="00B21902">
        <w:tc>
          <w:tcPr>
            <w:tcW w:w="2410" w:type="dxa"/>
            <w:tcBorders>
              <w:right w:val="nil"/>
            </w:tcBorders>
            <w:shd w:val="clear" w:color="auto" w:fill="auto"/>
            <w:vAlign w:val="center"/>
          </w:tcPr>
          <w:p w14:paraId="7F85A878" w14:textId="77777777" w:rsidR="00B21902" w:rsidRPr="00E100FF" w:rsidRDefault="00B21902" w:rsidP="00B21902">
            <w:pPr>
              <w:pStyle w:val="guidelinetext"/>
              <w:spacing w:before="60" w:after="60" w:line="240" w:lineRule="auto"/>
              <w:ind w:left="0"/>
            </w:pPr>
            <w:r w:rsidRPr="00E100FF">
              <w:t>Adjustment not made to number of Job Search efforts required</w:t>
            </w:r>
          </w:p>
        </w:tc>
        <w:tc>
          <w:tcPr>
            <w:tcW w:w="6662" w:type="dxa"/>
            <w:tcBorders>
              <w:left w:val="nil"/>
            </w:tcBorders>
            <w:shd w:val="clear" w:color="auto" w:fill="auto"/>
            <w:vAlign w:val="center"/>
          </w:tcPr>
          <w:p w14:paraId="459CF748" w14:textId="77777777" w:rsidR="00B21902" w:rsidRPr="00E100FF" w:rsidRDefault="00B21902" w:rsidP="00B21902">
            <w:pPr>
              <w:pStyle w:val="guidelinetext"/>
              <w:spacing w:before="60" w:after="60" w:line="240" w:lineRule="auto"/>
              <w:ind w:left="0"/>
            </w:pPr>
            <w:r>
              <w:t>The Provider failed to adjust</w:t>
            </w:r>
            <w:r w:rsidRPr="00E100FF">
              <w:t xml:space="preserve"> the </w:t>
            </w:r>
            <w:r>
              <w:t>Participant</w:t>
            </w:r>
            <w:r w:rsidRPr="00E100FF">
              <w:t>’s required Job Search efforts for the Job Search Period. The result was that the number of required efforts was too high</w:t>
            </w:r>
            <w:r>
              <w:t>,</w:t>
            </w:r>
            <w:r w:rsidRPr="00E100FF">
              <w:t xml:space="preserve"> and</w:t>
            </w:r>
            <w:r>
              <w:t xml:space="preserve"> the Provider will </w:t>
            </w:r>
            <w:proofErr w:type="gramStart"/>
            <w:r>
              <w:t>makes</w:t>
            </w:r>
            <w:proofErr w:type="gramEnd"/>
            <w:r>
              <w:t xml:space="preserve"> the adjustment</w:t>
            </w:r>
            <w:r w:rsidRPr="00E100FF">
              <w:t xml:space="preserve"> in the Job Plan for the next Job Search Period.</w:t>
            </w:r>
          </w:p>
        </w:tc>
      </w:tr>
      <w:tr w:rsidR="00B21902" w:rsidRPr="00E100FF" w14:paraId="4E9EFD9F" w14:textId="77777777" w:rsidTr="00B21902">
        <w:trPr>
          <w:cnfStyle w:val="000000100000" w:firstRow="0" w:lastRow="0" w:firstColumn="0" w:lastColumn="0" w:oddVBand="0" w:evenVBand="0" w:oddHBand="1" w:evenHBand="0" w:firstRowFirstColumn="0" w:firstRowLastColumn="0" w:lastRowFirstColumn="0" w:lastRowLastColumn="0"/>
        </w:trPr>
        <w:tc>
          <w:tcPr>
            <w:tcW w:w="2410" w:type="dxa"/>
            <w:tcBorders>
              <w:right w:val="nil"/>
            </w:tcBorders>
            <w:shd w:val="clear" w:color="auto" w:fill="auto"/>
            <w:vAlign w:val="center"/>
          </w:tcPr>
          <w:p w14:paraId="4B2F104E" w14:textId="77777777" w:rsidR="00B21902" w:rsidRPr="00E100FF" w:rsidRDefault="00B21902" w:rsidP="00B21902">
            <w:pPr>
              <w:pStyle w:val="guidelinetext"/>
              <w:spacing w:before="60" w:after="60" w:line="240" w:lineRule="auto"/>
              <w:ind w:left="0"/>
            </w:pPr>
            <w:r w:rsidRPr="00E100FF">
              <w:t>Job Search efforts were reported manually within Job Search Period</w:t>
            </w:r>
          </w:p>
        </w:tc>
        <w:tc>
          <w:tcPr>
            <w:tcW w:w="6662" w:type="dxa"/>
            <w:tcBorders>
              <w:left w:val="nil"/>
            </w:tcBorders>
            <w:shd w:val="clear" w:color="auto" w:fill="auto"/>
            <w:vAlign w:val="center"/>
          </w:tcPr>
          <w:p w14:paraId="67915CB8" w14:textId="77777777" w:rsidR="00B21902" w:rsidRPr="00E100FF" w:rsidRDefault="00B21902" w:rsidP="00B21902">
            <w:pPr>
              <w:pStyle w:val="guidelinetext"/>
              <w:spacing w:before="60" w:after="60" w:line="240" w:lineRule="auto"/>
              <w:ind w:left="0"/>
            </w:pPr>
            <w:r w:rsidRPr="00E100FF">
              <w:t xml:space="preserve">The </w:t>
            </w:r>
            <w:r>
              <w:t>Participant</w:t>
            </w:r>
            <w:r w:rsidRPr="00E100FF">
              <w:t xml:space="preserve"> provided their Job Search efforts to their Provider during the Job Search Period; however</w:t>
            </w:r>
            <w:r>
              <w:t>, the Provider did not record them</w:t>
            </w:r>
            <w:r w:rsidRPr="00E100FF">
              <w:t xml:space="preserve"> in the Department’s IT System before the end of the </w:t>
            </w:r>
            <w:r>
              <w:t>Participant</w:t>
            </w:r>
            <w:r w:rsidRPr="00E100FF">
              <w:t>’s Job Search Period.</w:t>
            </w:r>
          </w:p>
        </w:tc>
      </w:tr>
      <w:tr w:rsidR="00B21902" w:rsidRPr="00E100FF" w14:paraId="1EC3A2FC" w14:textId="77777777" w:rsidTr="00B21902">
        <w:tc>
          <w:tcPr>
            <w:tcW w:w="2410" w:type="dxa"/>
            <w:tcBorders>
              <w:right w:val="nil"/>
            </w:tcBorders>
            <w:shd w:val="clear" w:color="auto" w:fill="auto"/>
            <w:vAlign w:val="center"/>
          </w:tcPr>
          <w:p w14:paraId="4474A37D" w14:textId="77777777" w:rsidR="00B21902" w:rsidRPr="00E100FF" w:rsidRDefault="00B21902" w:rsidP="00B21902">
            <w:pPr>
              <w:pStyle w:val="guidelinetext"/>
              <w:spacing w:before="60" w:after="60" w:line="240" w:lineRule="auto"/>
              <w:ind w:left="0"/>
            </w:pPr>
            <w:r w:rsidRPr="00E100FF">
              <w:t>Job Search efforts were satisfactory</w:t>
            </w:r>
          </w:p>
        </w:tc>
        <w:tc>
          <w:tcPr>
            <w:tcW w:w="6662" w:type="dxa"/>
            <w:tcBorders>
              <w:left w:val="nil"/>
            </w:tcBorders>
            <w:shd w:val="clear" w:color="auto" w:fill="auto"/>
            <w:vAlign w:val="center"/>
          </w:tcPr>
          <w:p w14:paraId="49B0CD5F" w14:textId="77777777" w:rsidR="00B21902" w:rsidRPr="00E100FF" w:rsidRDefault="00B21902" w:rsidP="00B21902">
            <w:pPr>
              <w:pStyle w:val="guidelinetext"/>
              <w:spacing w:before="60" w:after="60" w:line="240" w:lineRule="auto"/>
              <w:ind w:left="0"/>
            </w:pPr>
            <w:r>
              <w:t>The Provider had assessed that the Participant’s Job Search efforts were</w:t>
            </w:r>
            <w:r w:rsidRPr="00E100FF">
              <w:t xml:space="preserve"> unsatisfactory</w:t>
            </w:r>
            <w:r>
              <w:t xml:space="preserve"> in</w:t>
            </w:r>
            <w:r w:rsidRPr="00E100FF">
              <w:t xml:space="preserve"> quality</w:t>
            </w:r>
            <w:r>
              <w:t>.</w:t>
            </w:r>
            <w:r w:rsidRPr="00E100FF">
              <w:t xml:space="preserve"> Upon review, </w:t>
            </w:r>
            <w:r>
              <w:t>the Provider</w:t>
            </w:r>
            <w:r w:rsidRPr="00E100FF">
              <w:t xml:space="preserve"> identified that the efforts and quality were satisfactory.</w:t>
            </w:r>
          </w:p>
        </w:tc>
      </w:tr>
    </w:tbl>
    <w:p w14:paraId="52505F7C" w14:textId="77777777" w:rsidR="00B21902" w:rsidRPr="00E100FF" w:rsidRDefault="00B21902" w:rsidP="00B21902">
      <w:pPr>
        <w:pStyle w:val="guidelinetext"/>
        <w:ind w:left="0"/>
      </w:pPr>
    </w:p>
    <w:p w14:paraId="706BEBE4" w14:textId="77777777" w:rsidR="00B21902" w:rsidRPr="00E100FF" w:rsidRDefault="00B21902" w:rsidP="00B21902">
      <w:r w:rsidRPr="00E100FF">
        <w:br w:type="page"/>
      </w:r>
    </w:p>
    <w:tbl>
      <w:tblPr>
        <w:tblStyle w:val="ListTable2"/>
        <w:tblW w:w="9058" w:type="dxa"/>
        <w:tblLook w:val="0420" w:firstRow="1" w:lastRow="0" w:firstColumn="0" w:lastColumn="0" w:noHBand="0" w:noVBand="1"/>
        <w:tblCaption w:val="Manual Demerit Removal options: Job Plan Demerits"/>
        <w:tblDescription w:val="This table replicates and explains the options in the system that providers have to choose from when they manually remove Job Plan Demerits."/>
      </w:tblPr>
      <w:tblGrid>
        <w:gridCol w:w="2749"/>
        <w:gridCol w:w="4468"/>
        <w:gridCol w:w="1841"/>
      </w:tblGrid>
      <w:tr w:rsidR="00B21902" w:rsidRPr="00E100FF" w14:paraId="3D85F800"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58" w:type="dxa"/>
            <w:gridSpan w:val="3"/>
            <w:vAlign w:val="center"/>
          </w:tcPr>
          <w:p w14:paraId="77456D7B" w14:textId="77777777" w:rsidR="00B21902" w:rsidRPr="00E100FF" w:rsidRDefault="00B21902" w:rsidP="00B21902">
            <w:r w:rsidRPr="00E100FF">
              <w:t>Job Plan Demerits</w:t>
            </w:r>
          </w:p>
        </w:tc>
      </w:tr>
      <w:tr w:rsidR="00B21902" w:rsidRPr="00E100FF" w14:paraId="03E70A00"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bottom w:val="single" w:sz="4" w:space="0" w:color="666666" w:themeColor="text1" w:themeTint="99"/>
            </w:tcBorders>
            <w:shd w:val="clear" w:color="auto" w:fill="CCCCCC"/>
            <w:vAlign w:val="center"/>
          </w:tcPr>
          <w:p w14:paraId="5787FCA1" w14:textId="77777777" w:rsidR="00B21902" w:rsidRPr="00E100FF" w:rsidRDefault="00B21902" w:rsidP="00B21902">
            <w:pPr>
              <w:spacing w:before="60" w:after="60"/>
              <w:rPr>
                <w:b/>
                <w:bCs/>
              </w:rPr>
            </w:pPr>
            <w:r w:rsidRPr="00E100FF">
              <w:rPr>
                <w:b/>
                <w:bCs/>
              </w:rPr>
              <w:t>Reason</w:t>
            </w:r>
          </w:p>
        </w:tc>
        <w:tc>
          <w:tcPr>
            <w:tcW w:w="4987" w:type="dxa"/>
            <w:tcBorders>
              <w:bottom w:val="single" w:sz="4" w:space="0" w:color="666666" w:themeColor="text1" w:themeTint="99"/>
            </w:tcBorders>
            <w:shd w:val="clear" w:color="auto" w:fill="CCCCCC"/>
            <w:vAlign w:val="center"/>
          </w:tcPr>
          <w:p w14:paraId="16F38428" w14:textId="77777777" w:rsidR="00B21902" w:rsidRPr="00E100FF" w:rsidRDefault="00B21902" w:rsidP="00B21902">
            <w:pPr>
              <w:spacing w:before="60" w:after="60"/>
              <w:rPr>
                <w:b/>
              </w:rPr>
            </w:pPr>
            <w:r w:rsidRPr="00E100FF">
              <w:rPr>
                <w:b/>
              </w:rPr>
              <w:t>Description</w:t>
            </w:r>
          </w:p>
        </w:tc>
        <w:tc>
          <w:tcPr>
            <w:tcW w:w="1965" w:type="dxa"/>
            <w:tcBorders>
              <w:bottom w:val="single" w:sz="4" w:space="0" w:color="666666" w:themeColor="text1" w:themeTint="99"/>
            </w:tcBorders>
            <w:shd w:val="clear" w:color="auto" w:fill="CCCCCC"/>
            <w:vAlign w:val="center"/>
          </w:tcPr>
          <w:p w14:paraId="1721B9F1" w14:textId="77777777" w:rsidR="00B21902" w:rsidRPr="00E100FF" w:rsidRDefault="00B21902" w:rsidP="00B21902">
            <w:pPr>
              <w:spacing w:before="60" w:after="60"/>
              <w:rPr>
                <w:b/>
              </w:rPr>
            </w:pPr>
            <w:r w:rsidRPr="00E100FF">
              <w:rPr>
                <w:b/>
              </w:rPr>
              <w:t>Type of failure</w:t>
            </w:r>
          </w:p>
        </w:tc>
      </w:tr>
      <w:tr w:rsidR="00B21902" w:rsidRPr="00E100FF" w14:paraId="0F09A20C" w14:textId="77777777" w:rsidTr="00B21902">
        <w:tc>
          <w:tcPr>
            <w:tcW w:w="2101" w:type="dxa"/>
            <w:tcBorders>
              <w:right w:val="nil"/>
            </w:tcBorders>
            <w:shd w:val="clear" w:color="auto" w:fill="auto"/>
            <w:vAlign w:val="center"/>
          </w:tcPr>
          <w:p w14:paraId="5177655C" w14:textId="77777777" w:rsidR="00B21902" w:rsidRPr="00E100FF" w:rsidRDefault="00B21902" w:rsidP="00B21902">
            <w:pPr>
              <w:pStyle w:val="guidelinetext"/>
              <w:spacing w:before="60" w:after="60" w:line="240" w:lineRule="auto"/>
              <w:ind w:left="0"/>
            </w:pPr>
            <w:r w:rsidRPr="00E100FF">
              <w:t>Job Plan accepted online—Valid Reason identified</w:t>
            </w:r>
          </w:p>
        </w:tc>
        <w:tc>
          <w:tcPr>
            <w:tcW w:w="4987" w:type="dxa"/>
            <w:tcBorders>
              <w:left w:val="nil"/>
            </w:tcBorders>
            <w:shd w:val="clear" w:color="auto" w:fill="auto"/>
            <w:vAlign w:val="center"/>
          </w:tcPr>
          <w:p w14:paraId="6C785F93" w14:textId="77777777" w:rsidR="00B21902" w:rsidRPr="00E100FF" w:rsidRDefault="00B21902" w:rsidP="00B21902">
            <w:pPr>
              <w:pStyle w:val="guidelinetext"/>
              <w:spacing w:before="60" w:after="60" w:line="240" w:lineRule="auto"/>
              <w:ind w:left="0"/>
            </w:pPr>
            <w:r>
              <w:t>The Participant</w:t>
            </w:r>
            <w:r w:rsidRPr="00E100FF">
              <w:t xml:space="preserve"> accepted their Job Plan online, but only after the due date. Upon contact with the </w:t>
            </w:r>
            <w:r>
              <w:t>Participant</w:t>
            </w:r>
            <w:r w:rsidRPr="00E100FF">
              <w:t xml:space="preserve">, </w:t>
            </w:r>
            <w:r>
              <w:t>the Provider</w:t>
            </w:r>
            <w:r w:rsidRPr="00E100FF">
              <w:t xml:space="preserve"> identified that they </w:t>
            </w:r>
            <w:r>
              <w:t>had</w:t>
            </w:r>
            <w:r w:rsidRPr="00E100FF">
              <w:t xml:space="preserve"> a Valid Reason for not agreeing to the Job Plan within the required timeframe.</w:t>
            </w:r>
          </w:p>
        </w:tc>
        <w:tc>
          <w:tcPr>
            <w:tcW w:w="1965" w:type="dxa"/>
            <w:tcBorders>
              <w:left w:val="nil"/>
            </w:tcBorders>
            <w:shd w:val="clear" w:color="auto" w:fill="auto"/>
            <w:vAlign w:val="center"/>
          </w:tcPr>
          <w:p w14:paraId="60F76C7B" w14:textId="77777777" w:rsidR="00B21902" w:rsidRPr="00E100FF" w:rsidRDefault="00B21902" w:rsidP="00B21902">
            <w:pPr>
              <w:pStyle w:val="guidelinetext"/>
              <w:spacing w:before="60" w:after="60" w:line="240" w:lineRule="auto"/>
              <w:ind w:left="0"/>
            </w:pPr>
            <w:r w:rsidRPr="00E100FF">
              <w:t>Job Plan</w:t>
            </w:r>
          </w:p>
        </w:tc>
      </w:tr>
      <w:tr w:rsidR="00B21902" w:rsidRPr="00E100FF" w14:paraId="52B9C15A"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right w:val="nil"/>
            </w:tcBorders>
            <w:shd w:val="clear" w:color="auto" w:fill="auto"/>
            <w:vAlign w:val="center"/>
          </w:tcPr>
          <w:p w14:paraId="7F9A6765" w14:textId="77777777" w:rsidR="00B21902" w:rsidRPr="00E100FF" w:rsidRDefault="00B21902" w:rsidP="00B21902">
            <w:pPr>
              <w:pStyle w:val="guidelinetext"/>
              <w:spacing w:before="60" w:after="60" w:line="240" w:lineRule="auto"/>
              <w:ind w:left="0"/>
            </w:pPr>
            <w:r w:rsidRPr="00E100FF">
              <w:t>Job Plan terms unreasonable/inappropriate</w:t>
            </w:r>
          </w:p>
        </w:tc>
        <w:tc>
          <w:tcPr>
            <w:tcW w:w="4987" w:type="dxa"/>
            <w:tcBorders>
              <w:left w:val="nil"/>
            </w:tcBorders>
            <w:shd w:val="clear" w:color="auto" w:fill="auto"/>
            <w:vAlign w:val="center"/>
          </w:tcPr>
          <w:p w14:paraId="617D8101" w14:textId="77777777" w:rsidR="00B21902" w:rsidRPr="00E100FF" w:rsidRDefault="00B21902" w:rsidP="00B21902">
            <w:pPr>
              <w:pStyle w:val="guidelinetext"/>
              <w:spacing w:before="60" w:after="60" w:line="240" w:lineRule="auto"/>
              <w:ind w:left="0"/>
            </w:pPr>
            <w:r w:rsidRPr="00E100FF">
              <w:t xml:space="preserve">Upon another review of the Job Plan and discussion with the </w:t>
            </w:r>
            <w:r>
              <w:t>Participant</w:t>
            </w:r>
            <w:r w:rsidRPr="00E100FF">
              <w:t xml:space="preserve">, </w:t>
            </w:r>
            <w:r>
              <w:t>the Provider</w:t>
            </w:r>
            <w:r w:rsidRPr="00E100FF">
              <w:t xml:space="preserve"> identified that the requirements in the Plan are not suitable for </w:t>
            </w:r>
            <w:r>
              <w:t>Participant</w:t>
            </w:r>
            <w:r w:rsidRPr="00E100FF">
              <w:t xml:space="preserve">.  </w:t>
            </w:r>
          </w:p>
        </w:tc>
        <w:tc>
          <w:tcPr>
            <w:tcW w:w="1965" w:type="dxa"/>
            <w:tcBorders>
              <w:left w:val="nil"/>
            </w:tcBorders>
            <w:shd w:val="clear" w:color="auto" w:fill="auto"/>
            <w:vAlign w:val="center"/>
          </w:tcPr>
          <w:p w14:paraId="26CAF22F" w14:textId="77777777" w:rsidR="00B21902" w:rsidRPr="00E100FF" w:rsidRDefault="00B21902" w:rsidP="00B21902">
            <w:pPr>
              <w:pStyle w:val="guidelinetext"/>
              <w:spacing w:before="60" w:after="60" w:line="240" w:lineRule="auto"/>
              <w:ind w:left="0"/>
            </w:pPr>
            <w:r w:rsidRPr="00E100FF">
              <w:t>Job Plan</w:t>
            </w:r>
          </w:p>
        </w:tc>
      </w:tr>
      <w:tr w:rsidR="00B21902" w:rsidRPr="00E100FF" w14:paraId="7ECE1C05" w14:textId="77777777" w:rsidTr="00B21902">
        <w:tc>
          <w:tcPr>
            <w:tcW w:w="2101" w:type="dxa"/>
            <w:tcBorders>
              <w:right w:val="nil"/>
            </w:tcBorders>
            <w:shd w:val="clear" w:color="auto" w:fill="auto"/>
            <w:vAlign w:val="center"/>
          </w:tcPr>
          <w:p w14:paraId="3B3B7017" w14:textId="77777777" w:rsidR="00B21902" w:rsidRPr="00E100FF" w:rsidRDefault="00B21902" w:rsidP="00B21902">
            <w:pPr>
              <w:pStyle w:val="guidelinetext"/>
              <w:spacing w:before="60" w:after="60" w:line="240" w:lineRule="auto"/>
              <w:ind w:left="0"/>
            </w:pPr>
            <w:r w:rsidRPr="00E100FF">
              <w:t>Signed Job Plan was returned</w:t>
            </w:r>
          </w:p>
        </w:tc>
        <w:tc>
          <w:tcPr>
            <w:tcW w:w="4987" w:type="dxa"/>
            <w:tcBorders>
              <w:left w:val="nil"/>
            </w:tcBorders>
            <w:shd w:val="clear" w:color="auto" w:fill="auto"/>
            <w:vAlign w:val="center"/>
          </w:tcPr>
          <w:p w14:paraId="7247E663" w14:textId="77777777" w:rsidR="00B21902" w:rsidRPr="00E100FF" w:rsidRDefault="00B21902" w:rsidP="00B21902">
            <w:pPr>
              <w:pStyle w:val="guidelinetext"/>
              <w:spacing w:before="60" w:after="60" w:line="240" w:lineRule="auto"/>
              <w:ind w:left="0"/>
            </w:pPr>
            <w:r w:rsidRPr="00E100FF">
              <w:t xml:space="preserve">An error occurred and the </w:t>
            </w:r>
            <w:r>
              <w:t>Participant</w:t>
            </w:r>
            <w:r w:rsidRPr="00E100FF">
              <w:t xml:space="preserve"> did return their signed hardcopy Job Plan within the required timeframe, however </w:t>
            </w:r>
            <w:r>
              <w:t>the Provider did</w:t>
            </w:r>
            <w:r w:rsidRPr="00E100FF">
              <w:t xml:space="preserve"> </w:t>
            </w:r>
            <w:r>
              <w:t>not record this agreement</w:t>
            </w:r>
            <w:r w:rsidRPr="00E100FF">
              <w:t xml:space="preserve"> in the Department’s IT System.</w:t>
            </w:r>
          </w:p>
        </w:tc>
        <w:tc>
          <w:tcPr>
            <w:tcW w:w="1965" w:type="dxa"/>
            <w:tcBorders>
              <w:left w:val="nil"/>
            </w:tcBorders>
            <w:shd w:val="clear" w:color="auto" w:fill="auto"/>
            <w:vAlign w:val="center"/>
          </w:tcPr>
          <w:p w14:paraId="4B5E6178" w14:textId="77777777" w:rsidR="00B21902" w:rsidRPr="00E100FF" w:rsidRDefault="00B21902" w:rsidP="00B21902">
            <w:pPr>
              <w:pStyle w:val="guidelinetext"/>
              <w:spacing w:before="60" w:after="60" w:line="240" w:lineRule="auto"/>
              <w:ind w:left="0"/>
            </w:pPr>
            <w:r w:rsidRPr="00E100FF">
              <w:t>Job Plan—where think time granted (hardcopy)</w:t>
            </w:r>
          </w:p>
        </w:tc>
      </w:tr>
      <w:tr w:rsidR="00B21902" w:rsidRPr="00E100FF" w14:paraId="2A548755" w14:textId="77777777" w:rsidTr="00B21902">
        <w:trPr>
          <w:cnfStyle w:val="000000100000" w:firstRow="0" w:lastRow="0" w:firstColumn="0" w:lastColumn="0" w:oddVBand="0" w:evenVBand="0" w:oddHBand="1" w:evenHBand="0" w:firstRowFirstColumn="0" w:firstRowLastColumn="0" w:lastRowFirstColumn="0" w:lastRowLastColumn="0"/>
        </w:trPr>
        <w:tc>
          <w:tcPr>
            <w:tcW w:w="2101" w:type="dxa"/>
            <w:tcBorders>
              <w:right w:val="nil"/>
            </w:tcBorders>
            <w:shd w:val="clear" w:color="auto" w:fill="auto"/>
            <w:vAlign w:val="center"/>
          </w:tcPr>
          <w:p w14:paraId="4415ED71" w14:textId="476F2D5D" w:rsidR="00B21902" w:rsidRPr="00E100FF" w:rsidRDefault="00B21902" w:rsidP="00B21902">
            <w:pPr>
              <w:pStyle w:val="guidelinetext"/>
              <w:spacing w:before="60" w:after="60" w:line="240" w:lineRule="auto"/>
              <w:ind w:left="0"/>
            </w:pPr>
            <w:r w:rsidRPr="00E100FF">
              <w:t>Job seeker did agree to Job Plan at appointment</w:t>
            </w:r>
          </w:p>
        </w:tc>
        <w:tc>
          <w:tcPr>
            <w:tcW w:w="4987" w:type="dxa"/>
            <w:tcBorders>
              <w:left w:val="nil"/>
            </w:tcBorders>
            <w:shd w:val="clear" w:color="auto" w:fill="auto"/>
            <w:vAlign w:val="center"/>
          </w:tcPr>
          <w:p w14:paraId="1842EB2F" w14:textId="77777777" w:rsidR="00B21902" w:rsidRPr="00E100FF" w:rsidRDefault="00B21902" w:rsidP="00B21902">
            <w:pPr>
              <w:pStyle w:val="guidelinetext"/>
              <w:spacing w:before="60" w:after="60" w:line="240" w:lineRule="auto"/>
              <w:ind w:left="0"/>
            </w:pPr>
            <w:r w:rsidRPr="00E100FF">
              <w:t xml:space="preserve">An error or misunderstanding </w:t>
            </w:r>
            <w:proofErr w:type="gramStart"/>
            <w:r w:rsidRPr="00E100FF">
              <w:t>occurred</w:t>
            </w:r>
            <w:proofErr w:type="gramEnd"/>
            <w:r w:rsidRPr="00E100FF">
              <w:t xml:space="preserve"> and the </w:t>
            </w:r>
            <w:r>
              <w:t>Participant</w:t>
            </w:r>
            <w:r w:rsidRPr="00E100FF">
              <w:t xml:space="preserve"> did actually agree to their Job Plan onsite</w:t>
            </w:r>
            <w:r>
              <w:t>.</w:t>
            </w:r>
            <w:r w:rsidRPr="00E100FF">
              <w:t xml:space="preserve"> </w:t>
            </w:r>
            <w:r>
              <w:t>H</w:t>
            </w:r>
            <w:r w:rsidRPr="00E100FF">
              <w:t>owever</w:t>
            </w:r>
            <w:r>
              <w:t>, the Provider did not record</w:t>
            </w:r>
            <w:r w:rsidRPr="00E100FF">
              <w:t xml:space="preserve"> this agreement in the Department’s IT System</w:t>
            </w:r>
            <w:r>
              <w:t>,</w:t>
            </w:r>
            <w:r w:rsidRPr="00E100FF">
              <w:t xml:space="preserve"> and </w:t>
            </w:r>
            <w:r>
              <w:t xml:space="preserve">they used the </w:t>
            </w:r>
            <w:r w:rsidRPr="00E100FF">
              <w:t>compliance framework</w:t>
            </w:r>
            <w:r>
              <w:t xml:space="preserve"> instead</w:t>
            </w:r>
            <w:r w:rsidRPr="00E100FF">
              <w:t>.</w:t>
            </w:r>
          </w:p>
        </w:tc>
        <w:tc>
          <w:tcPr>
            <w:tcW w:w="1965" w:type="dxa"/>
            <w:tcBorders>
              <w:left w:val="nil"/>
            </w:tcBorders>
            <w:shd w:val="clear" w:color="auto" w:fill="auto"/>
            <w:vAlign w:val="center"/>
          </w:tcPr>
          <w:p w14:paraId="5A452976" w14:textId="77777777" w:rsidR="00B21902" w:rsidRPr="00E100FF" w:rsidRDefault="00B21902" w:rsidP="00B21902">
            <w:pPr>
              <w:pStyle w:val="guidelinetext"/>
              <w:spacing w:before="60" w:after="60" w:line="240" w:lineRule="auto"/>
              <w:ind w:left="0"/>
            </w:pPr>
            <w:r w:rsidRPr="00E100FF">
              <w:t>Job Plan—think time granted (hard copy) or refusal recorded</w:t>
            </w:r>
          </w:p>
        </w:tc>
      </w:tr>
      <w:tr w:rsidR="00B21902" w:rsidRPr="00E100FF" w14:paraId="0B656AAB" w14:textId="77777777" w:rsidTr="00B21902">
        <w:tc>
          <w:tcPr>
            <w:tcW w:w="2101" w:type="dxa"/>
            <w:tcBorders>
              <w:right w:val="nil"/>
            </w:tcBorders>
            <w:shd w:val="clear" w:color="auto" w:fill="auto"/>
            <w:vAlign w:val="center"/>
          </w:tcPr>
          <w:p w14:paraId="07D89E33" w14:textId="25B3D8FB" w:rsidR="00B21902" w:rsidRPr="00E100FF" w:rsidRDefault="00B21902" w:rsidP="001A1D43">
            <w:pPr>
              <w:pStyle w:val="guidelinetext"/>
              <w:spacing w:before="60" w:after="60" w:line="240" w:lineRule="auto"/>
              <w:ind w:left="0"/>
            </w:pPr>
            <w:r w:rsidRPr="00E100FF">
              <w:t>Job seeker did not refuse to sign Job Plan</w:t>
            </w:r>
          </w:p>
        </w:tc>
        <w:tc>
          <w:tcPr>
            <w:tcW w:w="4987" w:type="dxa"/>
            <w:tcBorders>
              <w:left w:val="nil"/>
            </w:tcBorders>
            <w:shd w:val="clear" w:color="auto" w:fill="auto"/>
            <w:vAlign w:val="center"/>
          </w:tcPr>
          <w:p w14:paraId="1C39C799" w14:textId="77777777" w:rsidR="00B21902" w:rsidRPr="00E100FF" w:rsidRDefault="00B21902" w:rsidP="00B21902">
            <w:pPr>
              <w:pStyle w:val="guidelinetext"/>
              <w:spacing w:before="60" w:after="60" w:line="240" w:lineRule="auto"/>
              <w:ind w:left="0"/>
            </w:pPr>
            <w:r w:rsidRPr="00E100FF">
              <w:t xml:space="preserve">An error or misunderstanding </w:t>
            </w:r>
            <w:proofErr w:type="gramStart"/>
            <w:r w:rsidRPr="00E100FF">
              <w:t>occurred</w:t>
            </w:r>
            <w:proofErr w:type="gramEnd"/>
            <w:r w:rsidRPr="00E100FF">
              <w:t xml:space="preserve"> and the </w:t>
            </w:r>
            <w:r>
              <w:t>Participant</w:t>
            </w:r>
            <w:r w:rsidRPr="00E100FF">
              <w:t xml:space="preserve"> had not refused to agree to their Job Plan onsite. </w:t>
            </w:r>
            <w:proofErr w:type="gramStart"/>
            <w:r w:rsidRPr="00E100FF">
              <w:t>However</w:t>
            </w:r>
            <w:proofErr w:type="gramEnd"/>
            <w:r w:rsidRPr="00E100FF">
              <w:t xml:space="preserve"> </w:t>
            </w:r>
            <w:r>
              <w:t xml:space="preserve">the Provider did not record </w:t>
            </w:r>
            <w:r w:rsidRPr="00E100FF">
              <w:t>their agreement or</w:t>
            </w:r>
            <w:r>
              <w:t xml:space="preserve"> their</w:t>
            </w:r>
            <w:r w:rsidRPr="00E100FF">
              <w:t xml:space="preserve"> request for think time</w:t>
            </w:r>
            <w:r>
              <w:t>, and they used the</w:t>
            </w:r>
            <w:r w:rsidRPr="00E100FF">
              <w:t xml:space="preserve"> compliance framework instead.</w:t>
            </w:r>
          </w:p>
        </w:tc>
        <w:tc>
          <w:tcPr>
            <w:tcW w:w="1965" w:type="dxa"/>
            <w:tcBorders>
              <w:left w:val="nil"/>
            </w:tcBorders>
            <w:shd w:val="clear" w:color="auto" w:fill="auto"/>
            <w:vAlign w:val="center"/>
          </w:tcPr>
          <w:p w14:paraId="6FAAED7B" w14:textId="77777777" w:rsidR="00B21902" w:rsidRPr="00E100FF" w:rsidRDefault="00B21902" w:rsidP="00B21902">
            <w:pPr>
              <w:pStyle w:val="guidelinetext"/>
              <w:spacing w:before="60" w:after="60" w:line="240" w:lineRule="auto"/>
              <w:ind w:left="0"/>
            </w:pPr>
            <w:r w:rsidRPr="00E100FF">
              <w:t>Job Plan—refusal</w:t>
            </w:r>
          </w:p>
        </w:tc>
      </w:tr>
    </w:tbl>
    <w:p w14:paraId="4CB9D3A6" w14:textId="77777777" w:rsidR="00B21902" w:rsidRPr="00E100FF" w:rsidRDefault="00B21902" w:rsidP="00B21902">
      <w:pPr>
        <w:pStyle w:val="guidelinetext"/>
        <w:ind w:left="0"/>
      </w:pPr>
    </w:p>
    <w:p w14:paraId="0FF9639F" w14:textId="77777777" w:rsidR="00B21902" w:rsidRDefault="00B21902" w:rsidP="00B21902">
      <w:bookmarkStart w:id="137" w:name="_Attachment_E—Re-engagement_requirem"/>
      <w:bookmarkStart w:id="138" w:name="_Attachment_F—Single_re-engagement"/>
      <w:bookmarkStart w:id="139" w:name="_Attachment_G—Single_re-engagement"/>
      <w:bookmarkStart w:id="140" w:name="_Attachment_H—Multiple_re-engagement"/>
      <w:bookmarkStart w:id="141" w:name="_Attachment_I—Multiple_re-engagement"/>
      <w:bookmarkStart w:id="142" w:name="_Attachment_J—‘Unable_to"/>
      <w:bookmarkStart w:id="143" w:name="_Attachment_F—‘Unable_to"/>
      <w:bookmarkEnd w:id="137"/>
      <w:bookmarkEnd w:id="138"/>
      <w:bookmarkEnd w:id="139"/>
      <w:bookmarkEnd w:id="140"/>
      <w:bookmarkEnd w:id="141"/>
      <w:bookmarkEnd w:id="142"/>
      <w:bookmarkEnd w:id="143"/>
      <w:r>
        <w:br w:type="page"/>
      </w:r>
    </w:p>
    <w:p w14:paraId="6D6F75D8" w14:textId="7F97CE5A" w:rsidR="00B21902" w:rsidRPr="005B6382" w:rsidRDefault="00B21902" w:rsidP="005B6382">
      <w:pPr>
        <w:pStyle w:val="Heading2"/>
        <w:spacing w:before="0"/>
        <w:ind w:left="567" w:hanging="567"/>
        <w:rPr>
          <w:sz w:val="28"/>
        </w:rPr>
      </w:pPr>
      <w:bookmarkStart w:id="144" w:name="_Attachment_F—‘Unable_to_1"/>
      <w:bookmarkStart w:id="145" w:name="_Toc21095892"/>
      <w:bookmarkStart w:id="146" w:name="_Toc177568239"/>
      <w:bookmarkEnd w:id="144"/>
      <w:r w:rsidRPr="005B6382">
        <w:rPr>
          <w:sz w:val="28"/>
        </w:rPr>
        <w:t xml:space="preserve">Attachment </w:t>
      </w:r>
      <w:r w:rsidR="001A1D43" w:rsidRPr="005B6382">
        <w:rPr>
          <w:sz w:val="28"/>
        </w:rPr>
        <w:t>G</w:t>
      </w:r>
      <w:r w:rsidRPr="005B6382">
        <w:rPr>
          <w:sz w:val="28"/>
        </w:rPr>
        <w:t>—‘Unable to Re-engage Within 2 Business Days’ reason options</w:t>
      </w:r>
      <w:bookmarkEnd w:id="145"/>
      <w:bookmarkEnd w:id="146"/>
    </w:p>
    <w:tbl>
      <w:tblPr>
        <w:tblStyle w:val="ListTable2"/>
        <w:tblW w:w="0" w:type="auto"/>
        <w:tblLook w:val="0620" w:firstRow="1" w:lastRow="0" w:firstColumn="0" w:lastColumn="0" w:noHBand="1" w:noVBand="1"/>
        <w:tblCaption w:val="'Unable to Re-engage Within 2 Business Days' reason options"/>
        <w:tblDescription w:val="This table lists all of the system drop-downs that are available to a Provider when they record 'Unable to Re-engage Within 2 Business Days' against a requirement in the Department's IT System."/>
      </w:tblPr>
      <w:tblGrid>
        <w:gridCol w:w="4508"/>
        <w:gridCol w:w="4508"/>
      </w:tblGrid>
      <w:tr w:rsidR="00B21902" w:rsidRPr="00E100FF" w14:paraId="3446602A" w14:textId="77777777" w:rsidTr="00B2190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808CA50" w14:textId="77777777" w:rsidR="00B21902" w:rsidRPr="00E100FF" w:rsidRDefault="00B21902" w:rsidP="00B21902">
            <w:r w:rsidRPr="00E100FF">
              <w:t>‘Unable to Re-engage within 2 </w:t>
            </w:r>
            <w:r>
              <w:t>Business Day</w:t>
            </w:r>
            <w:r w:rsidRPr="00E100FF">
              <w:t>s’</w:t>
            </w:r>
          </w:p>
        </w:tc>
      </w:tr>
      <w:tr w:rsidR="00B21902" w:rsidRPr="00E100FF" w14:paraId="106F33FD" w14:textId="77777777" w:rsidTr="00B21902">
        <w:tc>
          <w:tcPr>
            <w:tcW w:w="4508" w:type="dxa"/>
          </w:tcPr>
          <w:p w14:paraId="0AE403D4" w14:textId="77777777" w:rsidR="00B21902" w:rsidRPr="00E100FF" w:rsidRDefault="00B21902" w:rsidP="00B21902">
            <w:pPr>
              <w:pStyle w:val="guidelinetext"/>
              <w:numPr>
                <w:ilvl w:val="0"/>
                <w:numId w:val="28"/>
              </w:numPr>
              <w:spacing w:before="60" w:after="60" w:line="240" w:lineRule="auto"/>
              <w:ind w:left="284" w:hanging="284"/>
            </w:pPr>
            <w:r w:rsidRPr="00E100FF">
              <w:t>Caring/family duties that were unexpected impacts attendance</w:t>
            </w:r>
          </w:p>
          <w:p w14:paraId="687383F3" w14:textId="77777777" w:rsidR="00B21902" w:rsidRPr="00E100FF" w:rsidRDefault="00B21902" w:rsidP="00B21902">
            <w:pPr>
              <w:pStyle w:val="guidelinetext"/>
              <w:numPr>
                <w:ilvl w:val="0"/>
                <w:numId w:val="28"/>
              </w:numPr>
              <w:spacing w:before="60" w:after="60" w:line="240" w:lineRule="auto"/>
              <w:ind w:left="284" w:hanging="284"/>
            </w:pPr>
            <w:r w:rsidRPr="00E100FF">
              <w:t>Cultural business over next two business days impacts attendance</w:t>
            </w:r>
          </w:p>
          <w:p w14:paraId="3299FA5D" w14:textId="77777777" w:rsidR="00B21902" w:rsidRPr="00E100FF" w:rsidRDefault="00B21902" w:rsidP="00B21902">
            <w:pPr>
              <w:pStyle w:val="guidelinetext"/>
              <w:numPr>
                <w:ilvl w:val="0"/>
                <w:numId w:val="28"/>
              </w:numPr>
              <w:spacing w:before="60" w:after="60" w:line="240" w:lineRule="auto"/>
              <w:ind w:left="284" w:hanging="284"/>
            </w:pPr>
            <w:r w:rsidRPr="00E100FF">
              <w:t>Full-Time Activity/Training impacts attendance</w:t>
            </w:r>
          </w:p>
          <w:p w14:paraId="582689A4" w14:textId="77777777" w:rsidR="00B21902" w:rsidRPr="00E100FF" w:rsidRDefault="00B21902" w:rsidP="00B21902">
            <w:pPr>
              <w:pStyle w:val="guidelinetext"/>
              <w:numPr>
                <w:ilvl w:val="0"/>
                <w:numId w:val="28"/>
              </w:numPr>
              <w:spacing w:before="60" w:after="60" w:line="240" w:lineRule="auto"/>
              <w:ind w:left="284" w:hanging="284"/>
            </w:pPr>
            <w:r w:rsidRPr="00E100FF">
              <w:t>Housing instability/emergency impacts attendance</w:t>
            </w:r>
          </w:p>
          <w:p w14:paraId="597B39D5" w14:textId="77777777" w:rsidR="00B21902" w:rsidRPr="00E100FF" w:rsidRDefault="00B21902" w:rsidP="00B21902">
            <w:pPr>
              <w:pStyle w:val="guidelinetext"/>
              <w:numPr>
                <w:ilvl w:val="0"/>
                <w:numId w:val="28"/>
              </w:numPr>
              <w:spacing w:before="60" w:after="60" w:line="240" w:lineRule="auto"/>
              <w:ind w:left="284" w:hanging="284"/>
            </w:pPr>
            <w:r w:rsidRPr="00E100FF">
              <w:t>Legal requirements impact attendance</w:t>
            </w:r>
          </w:p>
        </w:tc>
        <w:tc>
          <w:tcPr>
            <w:tcW w:w="4508" w:type="dxa"/>
          </w:tcPr>
          <w:p w14:paraId="676697BD" w14:textId="77777777" w:rsidR="00B21902" w:rsidRPr="00E100FF" w:rsidRDefault="00B21902" w:rsidP="00B21902">
            <w:pPr>
              <w:pStyle w:val="guidelinetext"/>
              <w:numPr>
                <w:ilvl w:val="0"/>
                <w:numId w:val="28"/>
              </w:numPr>
              <w:spacing w:before="60" w:after="60" w:line="240" w:lineRule="auto"/>
              <w:ind w:left="284" w:hanging="284"/>
            </w:pPr>
            <w:r w:rsidRPr="00E100FF">
              <w:t>Local issue/natural disaster impacts attendance</w:t>
            </w:r>
          </w:p>
          <w:p w14:paraId="65D8150F" w14:textId="552DCD0E" w:rsidR="00B21902" w:rsidRPr="00E100FF" w:rsidRDefault="00B21902" w:rsidP="00B21902">
            <w:pPr>
              <w:pStyle w:val="guidelinetext"/>
              <w:numPr>
                <w:ilvl w:val="0"/>
                <w:numId w:val="28"/>
              </w:numPr>
              <w:spacing w:before="60" w:after="60" w:line="240" w:lineRule="auto"/>
              <w:ind w:left="284" w:hanging="284"/>
            </w:pPr>
            <w:r w:rsidRPr="00E100FF">
              <w:t>Major personal crisis affecting job seeker impacts attendance</w:t>
            </w:r>
          </w:p>
          <w:p w14:paraId="2DACD3C4" w14:textId="77777777" w:rsidR="00B21902" w:rsidRPr="00E100FF" w:rsidRDefault="00B21902" w:rsidP="00B21902">
            <w:pPr>
              <w:pStyle w:val="guidelinetext"/>
              <w:numPr>
                <w:ilvl w:val="0"/>
                <w:numId w:val="28"/>
              </w:numPr>
              <w:spacing w:before="60" w:after="60" w:line="240" w:lineRule="auto"/>
              <w:ind w:left="284" w:hanging="284"/>
            </w:pPr>
            <w:r w:rsidRPr="00E100FF">
              <w:t>Medical/health issue over next two days impacts attendance</w:t>
            </w:r>
          </w:p>
          <w:p w14:paraId="5A44CE95" w14:textId="77777777" w:rsidR="00B21902" w:rsidRPr="00E100FF" w:rsidRDefault="00B21902" w:rsidP="00B21902">
            <w:pPr>
              <w:pStyle w:val="guidelinetext"/>
              <w:numPr>
                <w:ilvl w:val="0"/>
                <w:numId w:val="28"/>
              </w:numPr>
              <w:spacing w:before="60" w:after="60" w:line="240" w:lineRule="auto"/>
              <w:ind w:left="284" w:hanging="284"/>
            </w:pPr>
            <w:r w:rsidRPr="00E100FF">
              <w:t>Travel/transport</w:t>
            </w:r>
            <w:r>
              <w:t>–</w:t>
            </w:r>
            <w:r w:rsidRPr="00E100FF">
              <w:t>exceptional issue impacts attendance</w:t>
            </w:r>
          </w:p>
          <w:p w14:paraId="1CB615CE" w14:textId="77777777" w:rsidR="00B21902" w:rsidRPr="00E100FF" w:rsidRDefault="00B21902" w:rsidP="00B21902">
            <w:pPr>
              <w:pStyle w:val="guidelinetext"/>
              <w:numPr>
                <w:ilvl w:val="0"/>
                <w:numId w:val="28"/>
              </w:numPr>
              <w:spacing w:before="60" w:after="60" w:line="240" w:lineRule="auto"/>
              <w:ind w:left="284" w:hanging="284"/>
            </w:pPr>
            <w:r w:rsidRPr="00E100FF">
              <w:t>Working over next two business days</w:t>
            </w:r>
          </w:p>
        </w:tc>
      </w:tr>
    </w:tbl>
    <w:p w14:paraId="152A3493" w14:textId="77777777" w:rsidR="00B21902" w:rsidRPr="00E100FF" w:rsidRDefault="00B21902" w:rsidP="00B21902"/>
    <w:p w14:paraId="0F2F9FB5" w14:textId="77777777" w:rsidR="00B21902" w:rsidRPr="00E100FF" w:rsidRDefault="00B21902" w:rsidP="00B21902">
      <w:r w:rsidRPr="00E100FF">
        <w:br w:type="page"/>
      </w:r>
    </w:p>
    <w:p w14:paraId="310E8DFD" w14:textId="7DD4433C" w:rsidR="00B21902" w:rsidRPr="005B6382" w:rsidRDefault="00B21902" w:rsidP="005B6382">
      <w:pPr>
        <w:pStyle w:val="Heading2"/>
        <w:spacing w:before="0"/>
        <w:ind w:left="567" w:hanging="567"/>
        <w:rPr>
          <w:sz w:val="28"/>
        </w:rPr>
      </w:pPr>
      <w:bookmarkStart w:id="147" w:name="_Attachment_K—‘Re-engagement_Not"/>
      <w:bookmarkStart w:id="148" w:name="_Attachment_G—‘Re-engagement_Not"/>
      <w:bookmarkStart w:id="149" w:name="_Attachment_G—‘Re‑engagement_Not"/>
      <w:bookmarkStart w:id="150" w:name="_Toc21095893"/>
      <w:bookmarkStart w:id="151" w:name="_Toc177568240"/>
      <w:bookmarkEnd w:id="147"/>
      <w:bookmarkEnd w:id="148"/>
      <w:bookmarkEnd w:id="149"/>
      <w:r w:rsidRPr="005B6382">
        <w:rPr>
          <w:sz w:val="28"/>
        </w:rPr>
        <w:t xml:space="preserve">Attachment </w:t>
      </w:r>
      <w:r w:rsidR="001A1D43" w:rsidRPr="005B6382">
        <w:rPr>
          <w:sz w:val="28"/>
        </w:rPr>
        <w:t>H</w:t>
      </w:r>
      <w:r w:rsidRPr="005B6382">
        <w:rPr>
          <w:sz w:val="28"/>
        </w:rPr>
        <w:t>—</w:t>
      </w:r>
      <w:proofErr w:type="spellStart"/>
      <w:r w:rsidRPr="005B6382">
        <w:rPr>
          <w:sz w:val="28"/>
        </w:rPr>
        <w:t>‘Re</w:t>
      </w:r>
      <w:proofErr w:type="spellEnd"/>
      <w:r w:rsidRPr="005B6382">
        <w:rPr>
          <w:rFonts w:ascii="Cambria Math" w:hAnsi="Cambria Math" w:cs="Cambria Math"/>
          <w:sz w:val="28"/>
        </w:rPr>
        <w:t>‑</w:t>
      </w:r>
      <w:r w:rsidRPr="005B6382">
        <w:rPr>
          <w:sz w:val="28"/>
        </w:rPr>
        <w:t>engagement Not Required’ reason options</w:t>
      </w:r>
      <w:bookmarkEnd w:id="150"/>
      <w:bookmarkEnd w:id="151"/>
    </w:p>
    <w:p w14:paraId="1669F556" w14:textId="77777777" w:rsidR="00B21902" w:rsidRPr="00E100FF" w:rsidRDefault="00B21902" w:rsidP="00B21902">
      <w:pPr>
        <w:pStyle w:val="guidelinetext"/>
        <w:ind w:left="0"/>
      </w:pPr>
      <w:r w:rsidRPr="00E100FF">
        <w:t xml:space="preserve">The following table describes the options Providers </w:t>
      </w:r>
      <w:proofErr w:type="gramStart"/>
      <w:r w:rsidRPr="00E100FF">
        <w:t>have to</w:t>
      </w:r>
      <w:proofErr w:type="gramEnd"/>
      <w:r w:rsidRPr="00E100FF">
        <w:t xml:space="preserve"> record the reason a </w:t>
      </w:r>
      <w:r>
        <w:t>Re</w:t>
      </w:r>
      <w:r>
        <w:rPr>
          <w:rFonts w:ascii="Cambria Math" w:hAnsi="Cambria Math" w:cs="Cambria Math"/>
        </w:rPr>
        <w:t>‑</w:t>
      </w:r>
      <w:r>
        <w:t>engagement</w:t>
      </w:r>
      <w:r w:rsidRPr="00E100FF">
        <w:t xml:space="preserve"> is Not Required. The table also indicates which requirements each of the options can be recorded against.</w:t>
      </w:r>
    </w:p>
    <w:tbl>
      <w:tblPr>
        <w:tblStyle w:val="TableGrid"/>
        <w:tblW w:w="9094" w:type="dxa"/>
        <w:tblLook w:val="04A0" w:firstRow="1" w:lastRow="0" w:firstColumn="1" w:lastColumn="0" w:noHBand="0" w:noVBand="1"/>
        <w:tblCaption w:val="'Re-engagement Not Required' reason options"/>
        <w:tblDescription w:val="This table lists all of the system drop-downs that are available to a Provider when they record 'Re-engagement Not Required' against a requirement in the Department's IT System. The table also indicates which requirements each of the options can be recorded against."/>
      </w:tblPr>
      <w:tblGrid>
        <w:gridCol w:w="2263"/>
        <w:gridCol w:w="1502"/>
        <w:gridCol w:w="1304"/>
        <w:gridCol w:w="1474"/>
        <w:gridCol w:w="1247"/>
        <w:gridCol w:w="1304"/>
      </w:tblGrid>
      <w:tr w:rsidR="00B21902" w:rsidRPr="00E100FF" w14:paraId="0BD5D861" w14:textId="77777777" w:rsidTr="00B21902">
        <w:trPr>
          <w:tblHeader/>
        </w:trPr>
        <w:tc>
          <w:tcPr>
            <w:tcW w:w="2263" w:type="dxa"/>
            <w:tcBorders>
              <w:bottom w:val="single" w:sz="4" w:space="0" w:color="auto"/>
            </w:tcBorders>
            <w:shd w:val="clear" w:color="auto" w:fill="CCCCCC"/>
            <w:vAlign w:val="center"/>
          </w:tcPr>
          <w:p w14:paraId="79F59039" w14:textId="77777777" w:rsidR="00B21902" w:rsidRPr="00E100FF" w:rsidRDefault="00B21902" w:rsidP="00B21902">
            <w:pPr>
              <w:pStyle w:val="guidelinetext"/>
              <w:spacing w:before="40" w:after="40"/>
              <w:ind w:left="0"/>
              <w:rPr>
                <w:b/>
              </w:rPr>
            </w:pPr>
            <w:r w:rsidRPr="00E100FF">
              <w:rPr>
                <w:b/>
              </w:rPr>
              <w:t>Reason</w:t>
            </w:r>
          </w:p>
        </w:tc>
        <w:tc>
          <w:tcPr>
            <w:tcW w:w="1502" w:type="dxa"/>
            <w:tcBorders>
              <w:bottom w:val="single" w:sz="4" w:space="0" w:color="auto"/>
            </w:tcBorders>
            <w:shd w:val="clear" w:color="auto" w:fill="CCCCCC"/>
            <w:vAlign w:val="center"/>
          </w:tcPr>
          <w:p w14:paraId="5CAACC72" w14:textId="77777777" w:rsidR="00B21902" w:rsidRPr="00E100FF" w:rsidRDefault="00B21902" w:rsidP="00B21902">
            <w:pPr>
              <w:pStyle w:val="guidelinetext"/>
              <w:spacing w:before="40" w:after="40"/>
              <w:ind w:left="0"/>
              <w:rPr>
                <w:b/>
              </w:rPr>
            </w:pPr>
            <w:r w:rsidRPr="00E100FF">
              <w:rPr>
                <w:b/>
              </w:rPr>
              <w:t>Appointment (Provider or third party)</w:t>
            </w:r>
          </w:p>
        </w:tc>
        <w:tc>
          <w:tcPr>
            <w:tcW w:w="1304" w:type="dxa"/>
            <w:tcBorders>
              <w:bottom w:val="single" w:sz="4" w:space="0" w:color="auto"/>
            </w:tcBorders>
            <w:shd w:val="clear" w:color="auto" w:fill="CCCCCC"/>
            <w:vAlign w:val="center"/>
          </w:tcPr>
          <w:p w14:paraId="1F72276E" w14:textId="77777777" w:rsidR="00B21902" w:rsidRPr="00E100FF" w:rsidRDefault="00B21902" w:rsidP="00B21902">
            <w:pPr>
              <w:pStyle w:val="guidelinetext"/>
              <w:spacing w:before="40" w:after="40"/>
              <w:ind w:left="0"/>
              <w:rPr>
                <w:b/>
              </w:rPr>
            </w:pPr>
            <w:r w:rsidRPr="00E100FF">
              <w:rPr>
                <w:b/>
              </w:rPr>
              <w:t>Activity</w:t>
            </w:r>
          </w:p>
        </w:tc>
        <w:tc>
          <w:tcPr>
            <w:tcW w:w="1474" w:type="dxa"/>
            <w:tcBorders>
              <w:bottom w:val="single" w:sz="4" w:space="0" w:color="auto"/>
            </w:tcBorders>
            <w:shd w:val="clear" w:color="auto" w:fill="CCCCCC"/>
            <w:vAlign w:val="center"/>
          </w:tcPr>
          <w:p w14:paraId="795F5DA8" w14:textId="77777777" w:rsidR="00B21902" w:rsidRPr="00E100FF" w:rsidRDefault="00B21902" w:rsidP="00B21902">
            <w:pPr>
              <w:pStyle w:val="guidelinetext"/>
              <w:spacing w:before="40" w:after="40"/>
              <w:ind w:left="0"/>
              <w:rPr>
                <w:b/>
              </w:rPr>
            </w:pPr>
            <w:r w:rsidRPr="00E100FF">
              <w:rPr>
                <w:b/>
              </w:rPr>
              <w:t>Job interview</w:t>
            </w:r>
          </w:p>
        </w:tc>
        <w:tc>
          <w:tcPr>
            <w:tcW w:w="1247" w:type="dxa"/>
            <w:tcBorders>
              <w:bottom w:val="single" w:sz="4" w:space="0" w:color="auto"/>
            </w:tcBorders>
            <w:shd w:val="clear" w:color="auto" w:fill="CCCCCC"/>
            <w:vAlign w:val="center"/>
          </w:tcPr>
          <w:p w14:paraId="5A98E6CC" w14:textId="77777777" w:rsidR="00B21902" w:rsidRPr="00E100FF" w:rsidRDefault="00B21902" w:rsidP="00B21902">
            <w:pPr>
              <w:pStyle w:val="guidelinetext"/>
              <w:spacing w:before="40" w:after="40"/>
              <w:ind w:left="0"/>
              <w:rPr>
                <w:b/>
              </w:rPr>
            </w:pPr>
            <w:r w:rsidRPr="00E100FF">
              <w:rPr>
                <w:b/>
              </w:rPr>
              <w:t>Job Plan</w:t>
            </w:r>
          </w:p>
        </w:tc>
        <w:tc>
          <w:tcPr>
            <w:tcW w:w="1304" w:type="dxa"/>
            <w:tcBorders>
              <w:bottom w:val="single" w:sz="4" w:space="0" w:color="auto"/>
            </w:tcBorders>
            <w:shd w:val="clear" w:color="auto" w:fill="CCCCCC"/>
            <w:vAlign w:val="center"/>
          </w:tcPr>
          <w:p w14:paraId="36DB0830" w14:textId="77777777" w:rsidR="00B21902" w:rsidRPr="00E100FF" w:rsidRDefault="00B21902" w:rsidP="00B21902">
            <w:pPr>
              <w:pStyle w:val="guidelinetext"/>
              <w:spacing w:before="40" w:after="40"/>
              <w:ind w:left="0"/>
              <w:rPr>
                <w:b/>
              </w:rPr>
            </w:pPr>
            <w:r w:rsidRPr="00E100FF">
              <w:rPr>
                <w:b/>
              </w:rPr>
              <w:t>Job referral</w:t>
            </w:r>
          </w:p>
        </w:tc>
      </w:tr>
      <w:tr w:rsidR="00B21902" w:rsidRPr="00E100FF" w14:paraId="18148BD7" w14:textId="77777777" w:rsidTr="00B21902">
        <w:tc>
          <w:tcPr>
            <w:tcW w:w="2263" w:type="dxa"/>
            <w:tcBorders>
              <w:bottom w:val="nil"/>
            </w:tcBorders>
            <w:vAlign w:val="center"/>
          </w:tcPr>
          <w:p w14:paraId="25DACAE5" w14:textId="77777777" w:rsidR="00B21902" w:rsidRPr="00E100FF" w:rsidRDefault="00B21902" w:rsidP="00B21902">
            <w:pPr>
              <w:pStyle w:val="guidelinetext"/>
              <w:spacing w:before="40" w:after="40"/>
              <w:ind w:left="0"/>
            </w:pPr>
            <w:r>
              <w:t>Re</w:t>
            </w:r>
            <w:r>
              <w:rPr>
                <w:rFonts w:ascii="Cambria Math" w:hAnsi="Cambria Math" w:cs="Cambria Math"/>
              </w:rPr>
              <w:t>‑</w:t>
            </w:r>
            <w:r>
              <w:t>engagement</w:t>
            </w:r>
            <w:r w:rsidRPr="00E100FF">
              <w:t xml:space="preserve"> not required—</w:t>
            </w:r>
            <w:r>
              <w:t>non</w:t>
            </w:r>
            <w:r>
              <w:rPr>
                <w:rFonts w:ascii="Cambria Math" w:hAnsi="Cambria Math" w:cs="Cambria Math"/>
              </w:rPr>
              <w:t>‑</w:t>
            </w:r>
            <w:r>
              <w:t>compliance</w:t>
            </w:r>
            <w:r w:rsidRPr="00E100FF">
              <w:t xml:space="preserve"> discussed</w:t>
            </w:r>
          </w:p>
        </w:tc>
        <w:tc>
          <w:tcPr>
            <w:tcW w:w="1502" w:type="dxa"/>
            <w:tcBorders>
              <w:bottom w:val="nil"/>
            </w:tcBorders>
            <w:vAlign w:val="center"/>
          </w:tcPr>
          <w:p w14:paraId="55A67BD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BC73FAA" wp14:editId="5041DD2D">
                  <wp:extent cx="247650" cy="247650"/>
                  <wp:effectExtent l="0" t="0" r="0" b="0"/>
                  <wp:docPr id="227" name="Picture 22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bottom w:val="nil"/>
            </w:tcBorders>
            <w:vAlign w:val="center"/>
          </w:tcPr>
          <w:p w14:paraId="6EEAFB3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AA735B6" wp14:editId="23460531">
                  <wp:extent cx="247650" cy="247650"/>
                  <wp:effectExtent l="0" t="0" r="0" b="0"/>
                  <wp:docPr id="228" name="Picture 22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bottom w:val="nil"/>
            </w:tcBorders>
            <w:vAlign w:val="center"/>
          </w:tcPr>
          <w:p w14:paraId="47B3773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A7A49B7" wp14:editId="4C2E3221">
                  <wp:extent cx="247650" cy="247650"/>
                  <wp:effectExtent l="0" t="0" r="0" b="0"/>
                  <wp:docPr id="229" name="Picture 22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bottom w:val="nil"/>
            </w:tcBorders>
            <w:vAlign w:val="center"/>
          </w:tcPr>
          <w:p w14:paraId="4AF07E53"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072B02B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88602D0" wp14:editId="2A5C41AB">
                  <wp:extent cx="247650" cy="247650"/>
                  <wp:effectExtent l="0" t="0" r="0" b="0"/>
                  <wp:docPr id="230" name="Picture 23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454FA12C" w14:textId="77777777" w:rsidTr="00B21902">
        <w:tc>
          <w:tcPr>
            <w:tcW w:w="2263" w:type="dxa"/>
            <w:tcBorders>
              <w:top w:val="nil"/>
              <w:bottom w:val="nil"/>
            </w:tcBorders>
            <w:shd w:val="clear" w:color="auto" w:fill="EAF1DD" w:themeFill="accent3" w:themeFillTint="33"/>
            <w:vAlign w:val="center"/>
          </w:tcPr>
          <w:p w14:paraId="67456AA7" w14:textId="77777777" w:rsidR="00B21902" w:rsidRPr="00E100FF" w:rsidRDefault="00B21902" w:rsidP="00B21902">
            <w:pPr>
              <w:pStyle w:val="guidelinetext"/>
              <w:spacing w:before="40" w:after="40"/>
              <w:ind w:left="0"/>
            </w:pPr>
            <w:r w:rsidRPr="00E100FF">
              <w:t xml:space="preserve">Outreach/ Part-time site impacts </w:t>
            </w:r>
            <w:r>
              <w:t>re</w:t>
            </w:r>
            <w:r>
              <w:rPr>
                <w:rFonts w:ascii="Cambria Math" w:hAnsi="Cambria Math" w:cs="Cambria Math"/>
              </w:rPr>
              <w:t>‑</w:t>
            </w:r>
            <w:r>
              <w:t>engagement</w:t>
            </w:r>
          </w:p>
        </w:tc>
        <w:tc>
          <w:tcPr>
            <w:tcW w:w="1502" w:type="dxa"/>
            <w:tcBorders>
              <w:top w:val="nil"/>
              <w:bottom w:val="nil"/>
            </w:tcBorders>
            <w:shd w:val="clear" w:color="auto" w:fill="EAF1DD" w:themeFill="accent3" w:themeFillTint="33"/>
            <w:vAlign w:val="center"/>
          </w:tcPr>
          <w:p w14:paraId="6D1987A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EAF9071" wp14:editId="09CEDFEB">
                  <wp:extent cx="247650" cy="247650"/>
                  <wp:effectExtent l="0" t="0" r="0" b="0"/>
                  <wp:docPr id="231" name="Picture 23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0776A6C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3DBEB65" wp14:editId="6070E24E">
                  <wp:extent cx="247650" cy="247650"/>
                  <wp:effectExtent l="0" t="0" r="0" b="0"/>
                  <wp:docPr id="232" name="Picture 23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shd w:val="clear" w:color="auto" w:fill="EAF1DD" w:themeFill="accent3" w:themeFillTint="33"/>
            <w:vAlign w:val="center"/>
          </w:tcPr>
          <w:p w14:paraId="6DE808D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F216429" wp14:editId="65A6C36B">
                  <wp:extent cx="247650" cy="247650"/>
                  <wp:effectExtent l="0" t="0" r="0" b="0"/>
                  <wp:docPr id="233" name="Picture 23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shd w:val="clear" w:color="auto" w:fill="EAF1DD" w:themeFill="accent3" w:themeFillTint="33"/>
            <w:vAlign w:val="center"/>
          </w:tcPr>
          <w:p w14:paraId="79A8DC73"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5E1E23C8" w14:textId="77777777" w:rsidR="00B21902" w:rsidRPr="00E100FF" w:rsidRDefault="00B21902" w:rsidP="00B21902">
            <w:pPr>
              <w:pStyle w:val="guidelinetext"/>
              <w:spacing w:before="40" w:after="40"/>
              <w:ind w:left="0"/>
              <w:jc w:val="center"/>
            </w:pPr>
          </w:p>
        </w:tc>
      </w:tr>
      <w:tr w:rsidR="00B21902" w:rsidRPr="00E100FF" w14:paraId="52BE1987" w14:textId="77777777" w:rsidTr="00B21902">
        <w:tc>
          <w:tcPr>
            <w:tcW w:w="2263" w:type="dxa"/>
            <w:tcBorders>
              <w:top w:val="nil"/>
              <w:bottom w:val="nil"/>
            </w:tcBorders>
            <w:vAlign w:val="center"/>
          </w:tcPr>
          <w:p w14:paraId="1AE6F5F2" w14:textId="77777777" w:rsidR="00B21902" w:rsidRPr="00E100FF" w:rsidRDefault="00B21902" w:rsidP="00B21902">
            <w:pPr>
              <w:pStyle w:val="guidelinetext"/>
              <w:spacing w:before="40" w:after="40"/>
              <w:ind w:left="0"/>
            </w:pPr>
            <w:r w:rsidRPr="00E100FF">
              <w:t>Unable to be arranged in next two days</w:t>
            </w:r>
          </w:p>
        </w:tc>
        <w:tc>
          <w:tcPr>
            <w:tcW w:w="1502" w:type="dxa"/>
            <w:tcBorders>
              <w:top w:val="nil"/>
              <w:bottom w:val="nil"/>
            </w:tcBorders>
            <w:vAlign w:val="center"/>
          </w:tcPr>
          <w:p w14:paraId="2975FA0A" w14:textId="77777777" w:rsidR="00B21902" w:rsidRPr="00E100FF" w:rsidRDefault="00B21902" w:rsidP="00B21902">
            <w:pPr>
              <w:pStyle w:val="guidelinetext"/>
              <w:spacing w:before="40" w:after="40"/>
              <w:ind w:left="0"/>
              <w:jc w:val="center"/>
            </w:pPr>
          </w:p>
        </w:tc>
        <w:tc>
          <w:tcPr>
            <w:tcW w:w="1304" w:type="dxa"/>
            <w:tcBorders>
              <w:top w:val="nil"/>
              <w:bottom w:val="nil"/>
            </w:tcBorders>
            <w:vAlign w:val="center"/>
          </w:tcPr>
          <w:p w14:paraId="2E062328"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BE20D84" wp14:editId="49A3CE17">
                  <wp:extent cx="247650" cy="247650"/>
                  <wp:effectExtent l="0" t="0" r="0" b="0"/>
                  <wp:docPr id="224" name="Picture 22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3C7F80FC" w14:textId="77777777" w:rsidR="00B21902" w:rsidRPr="00E100FF" w:rsidRDefault="00B21902" w:rsidP="00B21902">
            <w:pPr>
              <w:pStyle w:val="guidelinetext"/>
              <w:spacing w:before="40" w:after="40"/>
              <w:ind w:left="0"/>
              <w:jc w:val="center"/>
            </w:pPr>
          </w:p>
        </w:tc>
        <w:tc>
          <w:tcPr>
            <w:tcW w:w="1247" w:type="dxa"/>
            <w:tcBorders>
              <w:top w:val="nil"/>
              <w:bottom w:val="nil"/>
            </w:tcBorders>
            <w:vAlign w:val="center"/>
          </w:tcPr>
          <w:p w14:paraId="02841A05" w14:textId="77777777" w:rsidR="00B21902" w:rsidRPr="00E100FF" w:rsidRDefault="00B21902" w:rsidP="00B21902">
            <w:pPr>
              <w:pStyle w:val="guidelinetext"/>
              <w:spacing w:before="40" w:after="40"/>
              <w:ind w:left="0"/>
              <w:jc w:val="center"/>
            </w:pPr>
          </w:p>
        </w:tc>
        <w:tc>
          <w:tcPr>
            <w:tcW w:w="1304" w:type="dxa"/>
            <w:tcBorders>
              <w:top w:val="nil"/>
              <w:bottom w:val="nil"/>
            </w:tcBorders>
            <w:vAlign w:val="center"/>
          </w:tcPr>
          <w:p w14:paraId="20E6D675" w14:textId="77777777" w:rsidR="00B21902" w:rsidRPr="00E100FF" w:rsidRDefault="00B21902" w:rsidP="00B21902">
            <w:pPr>
              <w:pStyle w:val="guidelinetext"/>
              <w:spacing w:before="40" w:after="40"/>
              <w:ind w:left="0"/>
              <w:jc w:val="center"/>
            </w:pPr>
          </w:p>
        </w:tc>
      </w:tr>
      <w:tr w:rsidR="00B21902" w:rsidRPr="00E100FF" w14:paraId="7ED3F409" w14:textId="77777777" w:rsidTr="00B21902">
        <w:tc>
          <w:tcPr>
            <w:tcW w:w="2263" w:type="dxa"/>
            <w:tcBorders>
              <w:top w:val="nil"/>
              <w:bottom w:val="nil"/>
            </w:tcBorders>
            <w:shd w:val="clear" w:color="auto" w:fill="EAF1DD" w:themeFill="accent3" w:themeFillTint="33"/>
            <w:vAlign w:val="center"/>
          </w:tcPr>
          <w:p w14:paraId="61E62469" w14:textId="77777777" w:rsidR="00B21902" w:rsidRPr="00E100FF" w:rsidRDefault="00B21902" w:rsidP="00B21902">
            <w:pPr>
              <w:pStyle w:val="guidelinetext"/>
              <w:spacing w:before="40" w:after="40"/>
              <w:ind w:left="0"/>
            </w:pPr>
            <w:r w:rsidRPr="00E100FF">
              <w:t>Applications closed/ Vacancy withdrawn</w:t>
            </w:r>
          </w:p>
        </w:tc>
        <w:tc>
          <w:tcPr>
            <w:tcW w:w="1502" w:type="dxa"/>
            <w:tcBorders>
              <w:top w:val="nil"/>
              <w:bottom w:val="dotted" w:sz="4" w:space="0" w:color="auto"/>
            </w:tcBorders>
            <w:shd w:val="clear" w:color="auto" w:fill="EAF1DD" w:themeFill="accent3" w:themeFillTint="33"/>
            <w:vAlign w:val="center"/>
          </w:tcPr>
          <w:p w14:paraId="550FBE37" w14:textId="77777777" w:rsidR="00B21902" w:rsidRPr="00E100FF" w:rsidRDefault="00B21902" w:rsidP="00B21902">
            <w:pPr>
              <w:pStyle w:val="guidelinetext"/>
              <w:spacing w:before="40" w:after="40"/>
              <w:ind w:left="0"/>
              <w:jc w:val="center"/>
            </w:pPr>
          </w:p>
        </w:tc>
        <w:tc>
          <w:tcPr>
            <w:tcW w:w="1304" w:type="dxa"/>
            <w:tcBorders>
              <w:top w:val="nil"/>
              <w:bottom w:val="dotted" w:sz="4" w:space="0" w:color="auto"/>
            </w:tcBorders>
            <w:shd w:val="clear" w:color="auto" w:fill="EAF1DD" w:themeFill="accent3" w:themeFillTint="33"/>
            <w:vAlign w:val="center"/>
          </w:tcPr>
          <w:p w14:paraId="5801174D" w14:textId="77777777" w:rsidR="00B21902" w:rsidRPr="00E100FF" w:rsidRDefault="00B21902" w:rsidP="00B21902">
            <w:pPr>
              <w:pStyle w:val="guidelinetext"/>
              <w:spacing w:before="40" w:after="40"/>
              <w:ind w:left="0"/>
              <w:jc w:val="center"/>
            </w:pPr>
          </w:p>
        </w:tc>
        <w:tc>
          <w:tcPr>
            <w:tcW w:w="1474" w:type="dxa"/>
            <w:tcBorders>
              <w:top w:val="nil"/>
              <w:bottom w:val="dotted" w:sz="4" w:space="0" w:color="auto"/>
            </w:tcBorders>
            <w:shd w:val="clear" w:color="auto" w:fill="EAF1DD" w:themeFill="accent3" w:themeFillTint="33"/>
            <w:vAlign w:val="center"/>
          </w:tcPr>
          <w:p w14:paraId="3CE7BE36" w14:textId="77777777" w:rsidR="00B21902" w:rsidRPr="00E100FF" w:rsidRDefault="00B21902" w:rsidP="00B21902">
            <w:pPr>
              <w:pStyle w:val="guidelinetext"/>
              <w:spacing w:before="40" w:after="40"/>
              <w:ind w:left="0"/>
              <w:jc w:val="center"/>
            </w:pPr>
          </w:p>
        </w:tc>
        <w:tc>
          <w:tcPr>
            <w:tcW w:w="1247" w:type="dxa"/>
            <w:tcBorders>
              <w:top w:val="nil"/>
              <w:bottom w:val="dotted" w:sz="4" w:space="0" w:color="auto"/>
            </w:tcBorders>
            <w:shd w:val="clear" w:color="auto" w:fill="EAF1DD" w:themeFill="accent3" w:themeFillTint="33"/>
            <w:vAlign w:val="center"/>
          </w:tcPr>
          <w:p w14:paraId="21790445"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3AA59F1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5BF54EC" wp14:editId="2C26299D">
                  <wp:extent cx="247650" cy="247650"/>
                  <wp:effectExtent l="0" t="0" r="0" b="0"/>
                  <wp:docPr id="234" name="Picture 23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0B7E6723" w14:textId="77777777" w:rsidTr="00B21902">
        <w:tc>
          <w:tcPr>
            <w:tcW w:w="2263" w:type="dxa"/>
            <w:tcBorders>
              <w:top w:val="nil"/>
              <w:bottom w:val="nil"/>
            </w:tcBorders>
            <w:vAlign w:val="center"/>
          </w:tcPr>
          <w:p w14:paraId="24460B8F" w14:textId="77777777" w:rsidR="00B21902" w:rsidRPr="00E100FF" w:rsidRDefault="00B21902" w:rsidP="00B21902">
            <w:pPr>
              <w:pStyle w:val="guidelinetext"/>
              <w:spacing w:before="40" w:after="40"/>
              <w:ind w:left="0"/>
            </w:pPr>
            <w:r w:rsidRPr="00E100FF">
              <w:t>Local issue/natural disaster impacts compliance</w:t>
            </w:r>
          </w:p>
        </w:tc>
        <w:tc>
          <w:tcPr>
            <w:tcW w:w="4280" w:type="dxa"/>
            <w:gridSpan w:val="3"/>
            <w:vMerge w:val="restart"/>
            <w:tcBorders>
              <w:top w:val="dotted" w:sz="4" w:space="0" w:color="auto"/>
              <w:bottom w:val="dotted" w:sz="4" w:space="0" w:color="auto"/>
            </w:tcBorders>
            <w:vAlign w:val="center"/>
          </w:tcPr>
          <w:p w14:paraId="2E364464" w14:textId="77777777" w:rsidR="00B21902" w:rsidRPr="00E100FF" w:rsidRDefault="00B21902" w:rsidP="00B21902">
            <w:pPr>
              <w:pStyle w:val="guidelinetext"/>
              <w:spacing w:before="40" w:after="40"/>
              <w:ind w:left="0"/>
              <w:rPr>
                <w:i/>
                <w:sz w:val="20"/>
              </w:rPr>
            </w:pPr>
            <w:r>
              <w:rPr>
                <w:i/>
                <w:sz w:val="20"/>
              </w:rPr>
              <w:t>R</w:t>
            </w:r>
            <w:r w:rsidRPr="00E100FF">
              <w:rPr>
                <w:i/>
                <w:sz w:val="20"/>
              </w:rPr>
              <w:t>ecord as ‘unable to re-engage within 2 business days’</w:t>
            </w:r>
          </w:p>
        </w:tc>
        <w:tc>
          <w:tcPr>
            <w:tcW w:w="1247" w:type="dxa"/>
            <w:vMerge w:val="restart"/>
            <w:tcBorders>
              <w:top w:val="dotted" w:sz="4" w:space="0" w:color="auto"/>
              <w:bottom w:val="dotted" w:sz="4" w:space="0" w:color="auto"/>
            </w:tcBorders>
            <w:vAlign w:val="center"/>
          </w:tcPr>
          <w:p w14:paraId="72EA8931" w14:textId="77777777" w:rsidR="00B21902" w:rsidRPr="00E100FF" w:rsidRDefault="00B21902" w:rsidP="00B21902">
            <w:pPr>
              <w:pStyle w:val="guidelinetext"/>
              <w:spacing w:before="40" w:after="40"/>
              <w:ind w:left="0"/>
              <w:rPr>
                <w:i/>
                <w:sz w:val="20"/>
              </w:rPr>
            </w:pPr>
            <w:r>
              <w:rPr>
                <w:i/>
                <w:sz w:val="20"/>
              </w:rPr>
              <w:t>R</w:t>
            </w:r>
            <w:r w:rsidRPr="00E100FF">
              <w:rPr>
                <w:i/>
                <w:sz w:val="20"/>
              </w:rPr>
              <w:t xml:space="preserve">ecord </w:t>
            </w:r>
            <w:r>
              <w:rPr>
                <w:i/>
                <w:sz w:val="20"/>
              </w:rPr>
              <w:t>‘</w:t>
            </w:r>
            <w:r w:rsidRPr="00E100FF">
              <w:rPr>
                <w:i/>
                <w:sz w:val="20"/>
              </w:rPr>
              <w:t>compliance action no longer appropriate</w:t>
            </w:r>
            <w:r>
              <w:rPr>
                <w:i/>
                <w:sz w:val="20"/>
              </w:rPr>
              <w:t>’</w:t>
            </w:r>
          </w:p>
        </w:tc>
        <w:tc>
          <w:tcPr>
            <w:tcW w:w="1304" w:type="dxa"/>
            <w:tcBorders>
              <w:top w:val="nil"/>
              <w:bottom w:val="nil"/>
            </w:tcBorders>
            <w:vAlign w:val="center"/>
          </w:tcPr>
          <w:p w14:paraId="2A9E06FA"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4DCBEC3" wp14:editId="4F173D08">
                  <wp:extent cx="247650" cy="247650"/>
                  <wp:effectExtent l="0" t="0" r="0" b="0"/>
                  <wp:docPr id="235" name="Picture 23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18EB42D8" w14:textId="77777777" w:rsidTr="00B21902">
        <w:tc>
          <w:tcPr>
            <w:tcW w:w="2263" w:type="dxa"/>
            <w:tcBorders>
              <w:top w:val="nil"/>
              <w:bottom w:val="nil"/>
            </w:tcBorders>
            <w:shd w:val="clear" w:color="auto" w:fill="EAF1DD" w:themeFill="accent3" w:themeFillTint="33"/>
            <w:vAlign w:val="center"/>
          </w:tcPr>
          <w:p w14:paraId="0B4753AE" w14:textId="77777777" w:rsidR="00B21902" w:rsidRPr="00E100FF" w:rsidRDefault="00B21902" w:rsidP="00B21902">
            <w:pPr>
              <w:pStyle w:val="guidelinetext"/>
              <w:spacing w:before="40" w:after="40"/>
              <w:ind w:left="0"/>
            </w:pPr>
            <w:r w:rsidRPr="00E100FF">
              <w:t>Major personal crisis impacts compliance</w:t>
            </w:r>
          </w:p>
        </w:tc>
        <w:tc>
          <w:tcPr>
            <w:tcW w:w="4280" w:type="dxa"/>
            <w:gridSpan w:val="3"/>
            <w:vMerge/>
            <w:tcBorders>
              <w:bottom w:val="dotted" w:sz="4" w:space="0" w:color="auto"/>
            </w:tcBorders>
            <w:vAlign w:val="center"/>
          </w:tcPr>
          <w:p w14:paraId="4A61E2E6" w14:textId="77777777" w:rsidR="00B21902" w:rsidRPr="00E100FF" w:rsidRDefault="00B21902" w:rsidP="00B21902">
            <w:pPr>
              <w:pStyle w:val="guidelinetext"/>
              <w:spacing w:before="40" w:after="40"/>
              <w:ind w:left="0"/>
            </w:pPr>
          </w:p>
        </w:tc>
        <w:tc>
          <w:tcPr>
            <w:tcW w:w="1247" w:type="dxa"/>
            <w:vMerge/>
            <w:tcBorders>
              <w:bottom w:val="dotted" w:sz="4" w:space="0" w:color="auto"/>
            </w:tcBorders>
            <w:vAlign w:val="center"/>
          </w:tcPr>
          <w:p w14:paraId="284A5D3C" w14:textId="77777777" w:rsidR="00B21902" w:rsidRPr="00E100FF" w:rsidRDefault="00B21902" w:rsidP="00B21902">
            <w:pPr>
              <w:pStyle w:val="guidelinetext"/>
              <w:spacing w:before="40" w:after="40"/>
              <w:ind w:left="0"/>
            </w:pPr>
          </w:p>
        </w:tc>
        <w:tc>
          <w:tcPr>
            <w:tcW w:w="1304" w:type="dxa"/>
            <w:tcBorders>
              <w:top w:val="nil"/>
              <w:bottom w:val="nil"/>
            </w:tcBorders>
            <w:shd w:val="clear" w:color="auto" w:fill="EAF1DD" w:themeFill="accent3" w:themeFillTint="33"/>
            <w:vAlign w:val="center"/>
          </w:tcPr>
          <w:p w14:paraId="47E78BCE"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52E0BE3" wp14:editId="498D434F">
                  <wp:extent cx="247650" cy="247650"/>
                  <wp:effectExtent l="0" t="0" r="0" b="0"/>
                  <wp:docPr id="236" name="Picture 23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38C75318" w14:textId="77777777" w:rsidTr="00B21902">
        <w:tc>
          <w:tcPr>
            <w:tcW w:w="2263" w:type="dxa"/>
            <w:tcBorders>
              <w:top w:val="nil"/>
              <w:bottom w:val="nil"/>
            </w:tcBorders>
            <w:vAlign w:val="center"/>
          </w:tcPr>
          <w:p w14:paraId="14700641" w14:textId="77777777" w:rsidR="00B21902" w:rsidRPr="00E100FF" w:rsidRDefault="00B21902" w:rsidP="00B21902">
            <w:pPr>
              <w:pStyle w:val="guidelinetext"/>
              <w:spacing w:before="40" w:after="40"/>
              <w:ind w:left="0"/>
            </w:pPr>
            <w:r w:rsidRPr="00E100FF">
              <w:t>Departmental Override*</w:t>
            </w:r>
          </w:p>
        </w:tc>
        <w:tc>
          <w:tcPr>
            <w:tcW w:w="1502" w:type="dxa"/>
            <w:tcBorders>
              <w:top w:val="dotted" w:sz="4" w:space="0" w:color="auto"/>
              <w:bottom w:val="nil"/>
            </w:tcBorders>
            <w:vAlign w:val="center"/>
          </w:tcPr>
          <w:p w14:paraId="28AC9E6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44A6BA7" wp14:editId="5F4832F3">
                  <wp:extent cx="247650" cy="247650"/>
                  <wp:effectExtent l="0" t="0" r="0" b="0"/>
                  <wp:docPr id="237" name="Picture 23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dotted" w:sz="4" w:space="0" w:color="auto"/>
              <w:bottom w:val="nil"/>
            </w:tcBorders>
            <w:vAlign w:val="center"/>
          </w:tcPr>
          <w:p w14:paraId="0146283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E94ED1D" wp14:editId="7EB0CA27">
                  <wp:extent cx="247650" cy="247650"/>
                  <wp:effectExtent l="0" t="0" r="0" b="0"/>
                  <wp:docPr id="238" name="Picture 23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dotted" w:sz="4" w:space="0" w:color="auto"/>
              <w:bottom w:val="nil"/>
            </w:tcBorders>
            <w:vAlign w:val="center"/>
          </w:tcPr>
          <w:p w14:paraId="7B80B7EA"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174CFAF" wp14:editId="5FAE48E5">
                  <wp:extent cx="247650" cy="247650"/>
                  <wp:effectExtent l="0" t="0" r="0" b="0"/>
                  <wp:docPr id="239" name="Picture 23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dotted" w:sz="4" w:space="0" w:color="auto"/>
              <w:bottom w:val="nil"/>
            </w:tcBorders>
            <w:vAlign w:val="center"/>
          </w:tcPr>
          <w:p w14:paraId="141C7D3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7510630" wp14:editId="2D4E3508">
                  <wp:extent cx="247650" cy="247650"/>
                  <wp:effectExtent l="0" t="0" r="0" b="0"/>
                  <wp:docPr id="240" name="Picture 24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23FCEAC5"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6E1B562" wp14:editId="4B5BFAA6">
                  <wp:extent cx="247650" cy="247650"/>
                  <wp:effectExtent l="0" t="0" r="0" b="0"/>
                  <wp:docPr id="28" name="Picture 2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64A83EC6" w14:textId="77777777" w:rsidTr="00B21902">
        <w:tc>
          <w:tcPr>
            <w:tcW w:w="2263" w:type="dxa"/>
            <w:tcBorders>
              <w:top w:val="nil"/>
            </w:tcBorders>
            <w:shd w:val="clear" w:color="auto" w:fill="EAF1DD" w:themeFill="accent3" w:themeFillTint="33"/>
            <w:vAlign w:val="center"/>
          </w:tcPr>
          <w:p w14:paraId="51CB9D27" w14:textId="77777777" w:rsidR="00B21902" w:rsidRPr="00E100FF" w:rsidRDefault="00B21902" w:rsidP="00B21902">
            <w:pPr>
              <w:pStyle w:val="guidelinetext"/>
              <w:spacing w:before="40" w:after="40"/>
              <w:ind w:left="0"/>
            </w:pPr>
            <w:r w:rsidRPr="00E100FF">
              <w:t>Exit/Transfer from services*</w:t>
            </w:r>
          </w:p>
        </w:tc>
        <w:tc>
          <w:tcPr>
            <w:tcW w:w="1502" w:type="dxa"/>
            <w:tcBorders>
              <w:top w:val="nil"/>
            </w:tcBorders>
            <w:shd w:val="clear" w:color="auto" w:fill="EAF1DD" w:themeFill="accent3" w:themeFillTint="33"/>
            <w:vAlign w:val="center"/>
          </w:tcPr>
          <w:p w14:paraId="0B58CE6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20CE309" wp14:editId="3B48914A">
                  <wp:extent cx="247650" cy="247650"/>
                  <wp:effectExtent l="0" t="0" r="0" b="0"/>
                  <wp:docPr id="29" name="Picture 2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68F38BE7"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B5AB97C" wp14:editId="6FD78CFC">
                  <wp:extent cx="247650" cy="247650"/>
                  <wp:effectExtent l="0" t="0" r="0" b="0"/>
                  <wp:docPr id="30" name="Picture 3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tcBorders>
            <w:shd w:val="clear" w:color="auto" w:fill="EAF1DD" w:themeFill="accent3" w:themeFillTint="33"/>
            <w:vAlign w:val="center"/>
          </w:tcPr>
          <w:p w14:paraId="624AFD2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C8FE3B2" wp14:editId="3C2F53DB">
                  <wp:extent cx="247650" cy="247650"/>
                  <wp:effectExtent l="0" t="0" r="0" b="0"/>
                  <wp:docPr id="31" name="Picture 3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tcBorders>
            <w:shd w:val="clear" w:color="auto" w:fill="EAF1DD" w:themeFill="accent3" w:themeFillTint="33"/>
            <w:vAlign w:val="center"/>
          </w:tcPr>
          <w:p w14:paraId="71DD9727"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BC7A5FD" wp14:editId="2C554E6C">
                  <wp:extent cx="247650" cy="247650"/>
                  <wp:effectExtent l="0" t="0" r="0" b="0"/>
                  <wp:docPr id="225" name="Picture 22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5CFCADE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1104A1B" wp14:editId="22ABA10D">
                  <wp:extent cx="247650" cy="247650"/>
                  <wp:effectExtent l="0" t="0" r="0" b="0"/>
                  <wp:docPr id="226" name="Picture 22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bl>
    <w:p w14:paraId="257D1330" w14:textId="77777777" w:rsidR="00B21902" w:rsidRPr="00E100FF" w:rsidRDefault="00B21902" w:rsidP="00B21902">
      <w:pPr>
        <w:pStyle w:val="Note10pt33"/>
      </w:pPr>
      <w:r w:rsidRPr="00E100FF">
        <w:t>* Departmental Users or the IT system (automatically) only</w:t>
      </w:r>
    </w:p>
    <w:p w14:paraId="4A55E96F" w14:textId="77777777" w:rsidR="00B21902" w:rsidRPr="00E100FF" w:rsidRDefault="00B21902" w:rsidP="00B21902">
      <w:pPr>
        <w:pStyle w:val="guidelinetext"/>
        <w:ind w:left="0"/>
      </w:pPr>
    </w:p>
    <w:p w14:paraId="5CE92EB9" w14:textId="77777777" w:rsidR="00B21902" w:rsidRPr="00E100FF" w:rsidRDefault="00B21902" w:rsidP="00B21902">
      <w:r w:rsidRPr="00E100FF">
        <w:br w:type="page"/>
      </w:r>
    </w:p>
    <w:p w14:paraId="78B26285" w14:textId="53244E68" w:rsidR="00B21902" w:rsidRPr="005B6382" w:rsidRDefault="00B21902" w:rsidP="005B6382">
      <w:pPr>
        <w:pStyle w:val="Heading2"/>
        <w:spacing w:before="0"/>
        <w:ind w:left="567" w:hanging="567"/>
        <w:rPr>
          <w:sz w:val="28"/>
        </w:rPr>
      </w:pPr>
      <w:bookmarkStart w:id="152" w:name="_Attachment_L—‘Compliance_Action"/>
      <w:bookmarkStart w:id="153" w:name="_Attachment_H—‘Compliance_Action"/>
      <w:bookmarkStart w:id="154" w:name="_Toc21095894"/>
      <w:bookmarkStart w:id="155" w:name="_Toc177568241"/>
      <w:bookmarkEnd w:id="152"/>
      <w:bookmarkEnd w:id="153"/>
      <w:r w:rsidRPr="005B6382">
        <w:rPr>
          <w:sz w:val="28"/>
        </w:rPr>
        <w:t xml:space="preserve">Attachment </w:t>
      </w:r>
      <w:r w:rsidR="001A1D43" w:rsidRPr="005B6382">
        <w:rPr>
          <w:sz w:val="28"/>
        </w:rPr>
        <w:t>I</w:t>
      </w:r>
      <w:r w:rsidRPr="005B6382">
        <w:rPr>
          <w:sz w:val="28"/>
        </w:rPr>
        <w:t>—‘Compliance Action No Longer Appropriate’ reason options</w:t>
      </w:r>
      <w:bookmarkEnd w:id="154"/>
      <w:bookmarkEnd w:id="155"/>
    </w:p>
    <w:p w14:paraId="6E7A770F" w14:textId="77777777" w:rsidR="00B21902" w:rsidRPr="00E100FF" w:rsidRDefault="00B21902" w:rsidP="00B21902">
      <w:pPr>
        <w:pStyle w:val="guidelinetext"/>
        <w:ind w:left="0"/>
      </w:pPr>
      <w:r w:rsidRPr="00E100FF">
        <w:t xml:space="preserve">The following table describes the options Providers </w:t>
      </w:r>
      <w:proofErr w:type="gramStart"/>
      <w:r w:rsidRPr="00E100FF">
        <w:t>have to</w:t>
      </w:r>
      <w:proofErr w:type="gramEnd"/>
      <w:r w:rsidRPr="00E100FF">
        <w:t xml:space="preserve"> record the reason Compliance Action is No Longer Appropriate. The table also indicates which requirements each of the options can be recorded against.</w:t>
      </w:r>
    </w:p>
    <w:tbl>
      <w:tblPr>
        <w:tblStyle w:val="TableGrid"/>
        <w:tblW w:w="9094" w:type="dxa"/>
        <w:tblLook w:val="04A0" w:firstRow="1" w:lastRow="0" w:firstColumn="1" w:lastColumn="0" w:noHBand="0" w:noVBand="1"/>
        <w:tblCaption w:val="'Compliance Action No Longer Appropriate' reason options"/>
        <w:tblDescription w:val="This table lists all of the system drop-downs that are available to a Provider when they record 'Compliance Action No Longer Appropriate' against a requirement in the Department's IT System. The table also indicates which requirements each of the options can be recorded against."/>
      </w:tblPr>
      <w:tblGrid>
        <w:gridCol w:w="2263"/>
        <w:gridCol w:w="1502"/>
        <w:gridCol w:w="1304"/>
        <w:gridCol w:w="1474"/>
        <w:gridCol w:w="1247"/>
        <w:gridCol w:w="1304"/>
      </w:tblGrid>
      <w:tr w:rsidR="00B21902" w:rsidRPr="00E100FF" w14:paraId="3D8AA2D1" w14:textId="77777777" w:rsidTr="00B21902">
        <w:trPr>
          <w:tblHeader/>
        </w:trPr>
        <w:tc>
          <w:tcPr>
            <w:tcW w:w="2263" w:type="dxa"/>
            <w:tcBorders>
              <w:bottom w:val="single" w:sz="4" w:space="0" w:color="auto"/>
            </w:tcBorders>
            <w:shd w:val="clear" w:color="auto" w:fill="CCCCCC"/>
            <w:vAlign w:val="center"/>
          </w:tcPr>
          <w:p w14:paraId="6B366645" w14:textId="77777777" w:rsidR="00B21902" w:rsidRPr="00E100FF" w:rsidRDefault="00B21902" w:rsidP="00B21902">
            <w:pPr>
              <w:pStyle w:val="guidelinetext"/>
              <w:spacing w:before="40" w:after="40"/>
              <w:ind w:left="0"/>
              <w:rPr>
                <w:b/>
              </w:rPr>
            </w:pPr>
            <w:r w:rsidRPr="00E100FF">
              <w:rPr>
                <w:b/>
              </w:rPr>
              <w:t>Reason</w:t>
            </w:r>
          </w:p>
        </w:tc>
        <w:tc>
          <w:tcPr>
            <w:tcW w:w="1502" w:type="dxa"/>
            <w:tcBorders>
              <w:bottom w:val="single" w:sz="4" w:space="0" w:color="auto"/>
            </w:tcBorders>
            <w:shd w:val="clear" w:color="auto" w:fill="CCCCCC"/>
            <w:vAlign w:val="center"/>
          </w:tcPr>
          <w:p w14:paraId="20FE4D98" w14:textId="77777777" w:rsidR="00B21902" w:rsidRPr="00E100FF" w:rsidRDefault="00B21902" w:rsidP="00B21902">
            <w:pPr>
              <w:pStyle w:val="guidelinetext"/>
              <w:spacing w:before="40" w:after="40"/>
              <w:ind w:left="0"/>
              <w:rPr>
                <w:b/>
              </w:rPr>
            </w:pPr>
            <w:r w:rsidRPr="00E100FF">
              <w:rPr>
                <w:b/>
              </w:rPr>
              <w:t>Appointment (Provider or third party)</w:t>
            </w:r>
          </w:p>
        </w:tc>
        <w:tc>
          <w:tcPr>
            <w:tcW w:w="1304" w:type="dxa"/>
            <w:tcBorders>
              <w:bottom w:val="single" w:sz="4" w:space="0" w:color="auto"/>
            </w:tcBorders>
            <w:shd w:val="clear" w:color="auto" w:fill="CCCCCC"/>
            <w:vAlign w:val="center"/>
          </w:tcPr>
          <w:p w14:paraId="56F382AE" w14:textId="77777777" w:rsidR="00B21902" w:rsidRPr="00E100FF" w:rsidRDefault="00B21902" w:rsidP="00B21902">
            <w:pPr>
              <w:pStyle w:val="guidelinetext"/>
              <w:spacing w:before="40" w:after="40"/>
              <w:ind w:left="0"/>
              <w:rPr>
                <w:b/>
              </w:rPr>
            </w:pPr>
            <w:r w:rsidRPr="00E100FF">
              <w:rPr>
                <w:b/>
              </w:rPr>
              <w:t>Job Plan</w:t>
            </w:r>
          </w:p>
        </w:tc>
        <w:tc>
          <w:tcPr>
            <w:tcW w:w="1474" w:type="dxa"/>
            <w:tcBorders>
              <w:bottom w:val="single" w:sz="4" w:space="0" w:color="auto"/>
            </w:tcBorders>
            <w:shd w:val="clear" w:color="auto" w:fill="CCCCCC"/>
            <w:vAlign w:val="center"/>
          </w:tcPr>
          <w:p w14:paraId="56E92B78" w14:textId="77777777" w:rsidR="00B21902" w:rsidRPr="00E100FF" w:rsidRDefault="00B21902" w:rsidP="00B21902">
            <w:pPr>
              <w:pStyle w:val="guidelinetext"/>
              <w:spacing w:before="40" w:after="40"/>
              <w:ind w:left="0"/>
              <w:rPr>
                <w:b/>
              </w:rPr>
            </w:pPr>
            <w:r w:rsidRPr="00E100FF">
              <w:rPr>
                <w:b/>
              </w:rPr>
              <w:t>Activity or job interview</w:t>
            </w:r>
          </w:p>
        </w:tc>
        <w:tc>
          <w:tcPr>
            <w:tcW w:w="1247" w:type="dxa"/>
            <w:tcBorders>
              <w:bottom w:val="single" w:sz="4" w:space="0" w:color="auto"/>
            </w:tcBorders>
            <w:shd w:val="clear" w:color="auto" w:fill="CCCCCC"/>
            <w:vAlign w:val="center"/>
          </w:tcPr>
          <w:p w14:paraId="4A3587C4" w14:textId="77777777" w:rsidR="00B21902" w:rsidRPr="00E100FF" w:rsidRDefault="00B21902" w:rsidP="00B21902">
            <w:pPr>
              <w:pStyle w:val="guidelinetext"/>
              <w:spacing w:before="40" w:after="40"/>
              <w:ind w:left="0"/>
              <w:rPr>
                <w:b/>
              </w:rPr>
            </w:pPr>
            <w:r w:rsidRPr="00E100FF">
              <w:rPr>
                <w:b/>
              </w:rPr>
              <w:t>Job Search</w:t>
            </w:r>
          </w:p>
        </w:tc>
        <w:tc>
          <w:tcPr>
            <w:tcW w:w="1304" w:type="dxa"/>
            <w:tcBorders>
              <w:bottom w:val="single" w:sz="4" w:space="0" w:color="auto"/>
            </w:tcBorders>
            <w:shd w:val="clear" w:color="auto" w:fill="CCCCCC"/>
            <w:vAlign w:val="center"/>
          </w:tcPr>
          <w:p w14:paraId="02A636A2" w14:textId="77777777" w:rsidR="00B21902" w:rsidRPr="00E100FF" w:rsidRDefault="00B21902" w:rsidP="00B21902">
            <w:pPr>
              <w:pStyle w:val="guidelinetext"/>
              <w:spacing w:before="40" w:after="40"/>
              <w:ind w:left="0"/>
              <w:rPr>
                <w:b/>
              </w:rPr>
            </w:pPr>
            <w:r w:rsidRPr="00E100FF">
              <w:rPr>
                <w:b/>
              </w:rPr>
              <w:t>Job referral</w:t>
            </w:r>
          </w:p>
        </w:tc>
      </w:tr>
      <w:tr w:rsidR="00B21902" w:rsidRPr="00E100FF" w14:paraId="288565CF" w14:textId="77777777" w:rsidTr="00B21902">
        <w:tc>
          <w:tcPr>
            <w:tcW w:w="2263" w:type="dxa"/>
            <w:tcBorders>
              <w:bottom w:val="nil"/>
            </w:tcBorders>
            <w:vAlign w:val="center"/>
          </w:tcPr>
          <w:p w14:paraId="0A950E16" w14:textId="77777777" w:rsidR="00B21902" w:rsidRPr="00E100FF" w:rsidRDefault="00B21902" w:rsidP="00B21902">
            <w:pPr>
              <w:pStyle w:val="guidelinetext"/>
              <w:spacing w:before="40" w:after="40"/>
              <w:ind w:left="0"/>
            </w:pPr>
            <w:r w:rsidRPr="00E100FF">
              <w:t>Applications closed/ Vacancy withdrawn</w:t>
            </w:r>
          </w:p>
        </w:tc>
        <w:tc>
          <w:tcPr>
            <w:tcW w:w="1502" w:type="dxa"/>
            <w:tcBorders>
              <w:bottom w:val="nil"/>
            </w:tcBorders>
            <w:vAlign w:val="center"/>
          </w:tcPr>
          <w:p w14:paraId="134A2A87"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1F4E29ED" w14:textId="77777777" w:rsidR="00B21902" w:rsidRPr="00E100FF" w:rsidRDefault="00B21902" w:rsidP="00B21902">
            <w:pPr>
              <w:pStyle w:val="guidelinetext"/>
              <w:spacing w:before="40" w:after="40"/>
              <w:ind w:left="0"/>
              <w:jc w:val="center"/>
            </w:pPr>
          </w:p>
        </w:tc>
        <w:tc>
          <w:tcPr>
            <w:tcW w:w="1474" w:type="dxa"/>
            <w:tcBorders>
              <w:bottom w:val="nil"/>
            </w:tcBorders>
            <w:vAlign w:val="center"/>
          </w:tcPr>
          <w:p w14:paraId="14AB3B5F" w14:textId="77777777" w:rsidR="00B21902" w:rsidRPr="00E100FF" w:rsidRDefault="00B21902" w:rsidP="00B21902">
            <w:pPr>
              <w:pStyle w:val="guidelinetext"/>
              <w:spacing w:before="40" w:after="40"/>
              <w:ind w:left="0"/>
              <w:jc w:val="center"/>
            </w:pPr>
          </w:p>
        </w:tc>
        <w:tc>
          <w:tcPr>
            <w:tcW w:w="1247" w:type="dxa"/>
            <w:tcBorders>
              <w:bottom w:val="nil"/>
            </w:tcBorders>
            <w:vAlign w:val="center"/>
          </w:tcPr>
          <w:p w14:paraId="08116FED" w14:textId="77777777" w:rsidR="00B21902" w:rsidRPr="00E100FF" w:rsidRDefault="00B21902" w:rsidP="00B21902">
            <w:pPr>
              <w:pStyle w:val="guidelinetext"/>
              <w:spacing w:before="40" w:after="40"/>
              <w:ind w:left="0"/>
              <w:jc w:val="center"/>
            </w:pPr>
          </w:p>
        </w:tc>
        <w:tc>
          <w:tcPr>
            <w:tcW w:w="1304" w:type="dxa"/>
            <w:tcBorders>
              <w:bottom w:val="nil"/>
            </w:tcBorders>
            <w:vAlign w:val="center"/>
          </w:tcPr>
          <w:p w14:paraId="1FFF845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91CAA26" wp14:editId="71118F6D">
                  <wp:extent cx="247650" cy="247650"/>
                  <wp:effectExtent l="0" t="0" r="0" b="0"/>
                  <wp:docPr id="40" name="Picture 4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3EA971A7" w14:textId="77777777" w:rsidTr="00B21902">
        <w:tc>
          <w:tcPr>
            <w:tcW w:w="2263" w:type="dxa"/>
            <w:tcBorders>
              <w:top w:val="nil"/>
              <w:bottom w:val="nil"/>
            </w:tcBorders>
            <w:shd w:val="clear" w:color="auto" w:fill="EAF1DD" w:themeFill="accent3" w:themeFillTint="33"/>
            <w:vAlign w:val="center"/>
          </w:tcPr>
          <w:p w14:paraId="209F8C5E" w14:textId="77777777" w:rsidR="00B21902" w:rsidRPr="00E100FF" w:rsidRDefault="00B21902" w:rsidP="00B21902">
            <w:pPr>
              <w:pStyle w:val="guidelinetext"/>
              <w:spacing w:before="40" w:after="40"/>
              <w:ind w:left="0"/>
            </w:pPr>
            <w:r w:rsidRPr="00E100FF">
              <w:t>Local issue /natural disaster impacts compliance</w:t>
            </w:r>
          </w:p>
        </w:tc>
        <w:tc>
          <w:tcPr>
            <w:tcW w:w="1502" w:type="dxa"/>
            <w:tcBorders>
              <w:top w:val="nil"/>
              <w:bottom w:val="nil"/>
            </w:tcBorders>
            <w:shd w:val="clear" w:color="auto" w:fill="EAF1DD" w:themeFill="accent3" w:themeFillTint="33"/>
            <w:vAlign w:val="center"/>
          </w:tcPr>
          <w:p w14:paraId="23D8C7A5"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3CF6F188" wp14:editId="51F3740F">
                  <wp:extent cx="247650" cy="247650"/>
                  <wp:effectExtent l="0" t="0" r="0" b="0"/>
                  <wp:docPr id="36" name="Picture 36"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4E6FC215"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307581D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F2E67EA" wp14:editId="49034252">
                  <wp:extent cx="247650" cy="247650"/>
                  <wp:effectExtent l="0" t="0" r="0" b="0"/>
                  <wp:docPr id="39" name="Picture 3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shd w:val="clear" w:color="auto" w:fill="EAF1DD" w:themeFill="accent3" w:themeFillTint="33"/>
            <w:vAlign w:val="center"/>
          </w:tcPr>
          <w:p w14:paraId="2703B3C8"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0F03ECD" wp14:editId="15F27C0C">
                  <wp:extent cx="247650" cy="247650"/>
                  <wp:effectExtent l="0" t="0" r="0" b="0"/>
                  <wp:docPr id="241" name="Picture 24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5414D7D9"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0B44791" wp14:editId="49B82DC0">
                  <wp:extent cx="247650" cy="247650"/>
                  <wp:effectExtent l="0" t="0" r="0" b="0"/>
                  <wp:docPr id="248" name="Picture 24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4CD5F5E4" w14:textId="77777777" w:rsidTr="00B21902">
        <w:tc>
          <w:tcPr>
            <w:tcW w:w="2263" w:type="dxa"/>
            <w:tcBorders>
              <w:top w:val="nil"/>
              <w:bottom w:val="nil"/>
            </w:tcBorders>
            <w:vAlign w:val="center"/>
          </w:tcPr>
          <w:p w14:paraId="0579FAFF" w14:textId="77777777" w:rsidR="00B21902" w:rsidRPr="00E100FF" w:rsidRDefault="00B21902" w:rsidP="00B21902">
            <w:pPr>
              <w:pStyle w:val="guidelinetext"/>
              <w:spacing w:before="40" w:after="40"/>
              <w:ind w:left="0"/>
            </w:pPr>
            <w:r w:rsidRPr="00E100FF">
              <w:t>Major personal crisis impacts compliance</w:t>
            </w:r>
          </w:p>
        </w:tc>
        <w:tc>
          <w:tcPr>
            <w:tcW w:w="1502" w:type="dxa"/>
            <w:tcBorders>
              <w:top w:val="nil"/>
              <w:bottom w:val="nil"/>
            </w:tcBorders>
            <w:vAlign w:val="center"/>
          </w:tcPr>
          <w:p w14:paraId="339ECE9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831B607" wp14:editId="7435E086">
                  <wp:extent cx="247650" cy="247650"/>
                  <wp:effectExtent l="0" t="0" r="0" b="0"/>
                  <wp:docPr id="37" name="Picture 37"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E69764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EA03385" wp14:editId="25C791EC">
                  <wp:extent cx="247650" cy="247650"/>
                  <wp:effectExtent l="0" t="0" r="0" b="0"/>
                  <wp:docPr id="38" name="Picture 38"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5EEAD3A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1D2A66F" wp14:editId="1D141071">
                  <wp:extent cx="247650" cy="247650"/>
                  <wp:effectExtent l="0" t="0" r="0" b="0"/>
                  <wp:docPr id="41" name="Picture 4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vAlign w:val="center"/>
          </w:tcPr>
          <w:p w14:paraId="71C5F23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6033251" wp14:editId="128D8A31">
                  <wp:extent cx="247650" cy="247650"/>
                  <wp:effectExtent l="0" t="0" r="0" b="0"/>
                  <wp:docPr id="43" name="Picture 4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51EB5984"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4FB1461" wp14:editId="39C000FB">
                  <wp:extent cx="247650" cy="247650"/>
                  <wp:effectExtent l="0" t="0" r="0" b="0"/>
                  <wp:docPr id="249" name="Picture 249"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rsidRPr="00E100FF" w14:paraId="1269F5FC" w14:textId="77777777" w:rsidTr="00B21902">
        <w:tc>
          <w:tcPr>
            <w:tcW w:w="2263" w:type="dxa"/>
            <w:tcBorders>
              <w:top w:val="nil"/>
              <w:bottom w:val="nil"/>
            </w:tcBorders>
            <w:shd w:val="clear" w:color="auto" w:fill="EAF1DD" w:themeFill="accent3" w:themeFillTint="33"/>
            <w:vAlign w:val="center"/>
          </w:tcPr>
          <w:p w14:paraId="47471CF8" w14:textId="77777777" w:rsidR="00B21902" w:rsidRPr="00E100FF" w:rsidRDefault="00B21902" w:rsidP="00B21902">
            <w:pPr>
              <w:pStyle w:val="guidelinetext"/>
              <w:spacing w:before="40" w:after="40"/>
              <w:ind w:left="0"/>
            </w:pPr>
            <w:r w:rsidRPr="00E100FF">
              <w:t>Significant and ongoing caring/family duties—no exemption</w:t>
            </w:r>
          </w:p>
        </w:tc>
        <w:tc>
          <w:tcPr>
            <w:tcW w:w="1502" w:type="dxa"/>
            <w:tcBorders>
              <w:top w:val="nil"/>
              <w:bottom w:val="nil"/>
            </w:tcBorders>
            <w:shd w:val="clear" w:color="auto" w:fill="EAF1DD" w:themeFill="accent3" w:themeFillTint="33"/>
            <w:vAlign w:val="center"/>
          </w:tcPr>
          <w:p w14:paraId="0E2F3A93"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44E6E322"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68A45F00"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EAF1DD" w:themeFill="accent3" w:themeFillTint="33"/>
            <w:vAlign w:val="center"/>
          </w:tcPr>
          <w:p w14:paraId="04DD601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1A5209C" wp14:editId="5AFB2542">
                  <wp:extent cx="247650" cy="247650"/>
                  <wp:effectExtent l="0" t="0" r="0" b="0"/>
                  <wp:docPr id="44" name="Picture 4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3BBB1038" w14:textId="77777777" w:rsidR="00B21902" w:rsidRPr="00E100FF" w:rsidRDefault="00B21902" w:rsidP="00B21902">
            <w:pPr>
              <w:pStyle w:val="guidelinetext"/>
              <w:spacing w:before="40" w:after="40"/>
              <w:ind w:left="0"/>
              <w:jc w:val="center"/>
            </w:pPr>
          </w:p>
        </w:tc>
      </w:tr>
      <w:tr w:rsidR="00B21902" w:rsidRPr="00E100FF" w14:paraId="0408FA4E" w14:textId="77777777" w:rsidTr="00B21902">
        <w:tc>
          <w:tcPr>
            <w:tcW w:w="2263" w:type="dxa"/>
            <w:tcBorders>
              <w:top w:val="nil"/>
              <w:bottom w:val="nil"/>
            </w:tcBorders>
            <w:shd w:val="clear" w:color="auto" w:fill="auto"/>
            <w:vAlign w:val="center"/>
          </w:tcPr>
          <w:p w14:paraId="060E7C86" w14:textId="77777777" w:rsidR="00B21902" w:rsidRPr="00E100FF" w:rsidRDefault="00B21902" w:rsidP="00B21902">
            <w:pPr>
              <w:pStyle w:val="guidelinetext"/>
              <w:spacing w:before="40" w:after="40"/>
              <w:ind w:left="0"/>
            </w:pPr>
            <w:r w:rsidRPr="00E100FF">
              <w:t>Significant and ongoing medical/health issues—no exemption</w:t>
            </w:r>
          </w:p>
        </w:tc>
        <w:tc>
          <w:tcPr>
            <w:tcW w:w="1502" w:type="dxa"/>
            <w:tcBorders>
              <w:top w:val="nil"/>
              <w:bottom w:val="nil"/>
            </w:tcBorders>
            <w:shd w:val="clear" w:color="auto" w:fill="auto"/>
            <w:vAlign w:val="center"/>
          </w:tcPr>
          <w:p w14:paraId="74CBC817"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auto"/>
            <w:vAlign w:val="center"/>
          </w:tcPr>
          <w:p w14:paraId="48C80906"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auto"/>
            <w:vAlign w:val="center"/>
          </w:tcPr>
          <w:p w14:paraId="3D0F0FF5"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auto"/>
            <w:vAlign w:val="center"/>
          </w:tcPr>
          <w:p w14:paraId="05E40F9C"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2B59A332" wp14:editId="6FD13C4D">
                  <wp:extent cx="247650" cy="247650"/>
                  <wp:effectExtent l="0" t="0" r="0" b="0"/>
                  <wp:docPr id="45" name="Picture 4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auto"/>
            <w:vAlign w:val="center"/>
          </w:tcPr>
          <w:p w14:paraId="193792D7" w14:textId="77777777" w:rsidR="00B21902" w:rsidRPr="00E100FF" w:rsidRDefault="00B21902" w:rsidP="00B21902">
            <w:pPr>
              <w:pStyle w:val="guidelinetext"/>
              <w:spacing w:before="40" w:after="40"/>
              <w:ind w:left="0"/>
              <w:jc w:val="center"/>
            </w:pPr>
          </w:p>
        </w:tc>
      </w:tr>
      <w:tr w:rsidR="00B21902" w:rsidRPr="00E100FF" w14:paraId="12D0DBC9" w14:textId="77777777" w:rsidTr="00B21902">
        <w:tc>
          <w:tcPr>
            <w:tcW w:w="2263" w:type="dxa"/>
            <w:tcBorders>
              <w:top w:val="nil"/>
              <w:bottom w:val="nil"/>
            </w:tcBorders>
            <w:shd w:val="clear" w:color="auto" w:fill="EAF1DD" w:themeFill="accent3" w:themeFillTint="33"/>
            <w:vAlign w:val="center"/>
          </w:tcPr>
          <w:p w14:paraId="67773EA7" w14:textId="65640A93" w:rsidR="00B21902" w:rsidRPr="00E100FF" w:rsidRDefault="00B21902" w:rsidP="00B21902">
            <w:pPr>
              <w:pStyle w:val="guidelinetext"/>
              <w:spacing w:before="40" w:after="40"/>
              <w:ind w:left="0"/>
            </w:pPr>
            <w:r w:rsidRPr="00E100FF">
              <w:t>Job seeker requirements changed—job search not applicable</w:t>
            </w:r>
          </w:p>
        </w:tc>
        <w:tc>
          <w:tcPr>
            <w:tcW w:w="1502" w:type="dxa"/>
            <w:tcBorders>
              <w:top w:val="nil"/>
              <w:bottom w:val="nil"/>
            </w:tcBorders>
            <w:shd w:val="clear" w:color="auto" w:fill="EAF1DD" w:themeFill="accent3" w:themeFillTint="33"/>
            <w:vAlign w:val="center"/>
          </w:tcPr>
          <w:p w14:paraId="64AB6EF9" w14:textId="77777777" w:rsidR="00B21902" w:rsidRPr="00E100FF" w:rsidRDefault="00B21902" w:rsidP="00B21902">
            <w:pPr>
              <w:pStyle w:val="guidelinetext"/>
              <w:spacing w:before="40" w:after="40"/>
              <w:ind w:left="0"/>
              <w:jc w:val="center"/>
            </w:pPr>
          </w:p>
        </w:tc>
        <w:tc>
          <w:tcPr>
            <w:tcW w:w="1304" w:type="dxa"/>
            <w:tcBorders>
              <w:top w:val="nil"/>
              <w:bottom w:val="nil"/>
            </w:tcBorders>
            <w:shd w:val="clear" w:color="auto" w:fill="EAF1DD" w:themeFill="accent3" w:themeFillTint="33"/>
            <w:vAlign w:val="center"/>
          </w:tcPr>
          <w:p w14:paraId="1FCD2C49" w14:textId="77777777" w:rsidR="00B21902" w:rsidRPr="00E100FF" w:rsidRDefault="00B21902" w:rsidP="00B21902">
            <w:pPr>
              <w:pStyle w:val="guidelinetext"/>
              <w:spacing w:before="40" w:after="40"/>
              <w:ind w:left="0"/>
              <w:jc w:val="center"/>
            </w:pPr>
          </w:p>
        </w:tc>
        <w:tc>
          <w:tcPr>
            <w:tcW w:w="1474" w:type="dxa"/>
            <w:tcBorders>
              <w:top w:val="nil"/>
              <w:bottom w:val="nil"/>
            </w:tcBorders>
            <w:shd w:val="clear" w:color="auto" w:fill="EAF1DD" w:themeFill="accent3" w:themeFillTint="33"/>
            <w:vAlign w:val="center"/>
          </w:tcPr>
          <w:p w14:paraId="1D28C097" w14:textId="77777777" w:rsidR="00B21902" w:rsidRPr="00E100FF" w:rsidRDefault="00B21902" w:rsidP="00B21902">
            <w:pPr>
              <w:pStyle w:val="guidelinetext"/>
              <w:spacing w:before="40" w:after="40"/>
              <w:ind w:left="0"/>
              <w:jc w:val="center"/>
            </w:pPr>
          </w:p>
        </w:tc>
        <w:tc>
          <w:tcPr>
            <w:tcW w:w="1247" w:type="dxa"/>
            <w:tcBorders>
              <w:top w:val="nil"/>
              <w:bottom w:val="nil"/>
            </w:tcBorders>
            <w:shd w:val="clear" w:color="auto" w:fill="EAF1DD" w:themeFill="accent3" w:themeFillTint="33"/>
            <w:vAlign w:val="center"/>
          </w:tcPr>
          <w:p w14:paraId="3F71330D"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60B9B25" wp14:editId="03B83533">
                  <wp:extent cx="247650" cy="247650"/>
                  <wp:effectExtent l="0" t="0" r="0" b="0"/>
                  <wp:docPr id="242" name="Picture 24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shd w:val="clear" w:color="auto" w:fill="EAF1DD" w:themeFill="accent3" w:themeFillTint="33"/>
            <w:vAlign w:val="center"/>
          </w:tcPr>
          <w:p w14:paraId="74C05D86" w14:textId="77777777" w:rsidR="00B21902" w:rsidRPr="00E100FF" w:rsidRDefault="00B21902" w:rsidP="00B21902">
            <w:pPr>
              <w:pStyle w:val="guidelinetext"/>
              <w:spacing w:before="40" w:after="40"/>
              <w:ind w:left="0"/>
              <w:jc w:val="center"/>
            </w:pPr>
          </w:p>
        </w:tc>
      </w:tr>
      <w:tr w:rsidR="00B21902" w:rsidRPr="00E100FF" w14:paraId="2BB777C6" w14:textId="77777777" w:rsidTr="00B21902">
        <w:tc>
          <w:tcPr>
            <w:tcW w:w="2263" w:type="dxa"/>
            <w:tcBorders>
              <w:top w:val="nil"/>
              <w:bottom w:val="nil"/>
            </w:tcBorders>
            <w:vAlign w:val="center"/>
          </w:tcPr>
          <w:p w14:paraId="718C7C77" w14:textId="77777777" w:rsidR="00B21902" w:rsidRPr="00E100FF" w:rsidRDefault="00B21902" w:rsidP="00B21902">
            <w:pPr>
              <w:pStyle w:val="guidelinetext"/>
              <w:spacing w:before="40" w:after="40"/>
              <w:ind w:left="0"/>
            </w:pPr>
            <w:r w:rsidRPr="00E100FF">
              <w:t>Departmental Override*</w:t>
            </w:r>
          </w:p>
        </w:tc>
        <w:tc>
          <w:tcPr>
            <w:tcW w:w="1502" w:type="dxa"/>
            <w:tcBorders>
              <w:top w:val="nil"/>
              <w:bottom w:val="nil"/>
            </w:tcBorders>
            <w:vAlign w:val="center"/>
          </w:tcPr>
          <w:p w14:paraId="358FE841"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1054330" wp14:editId="1D50F3AA">
                  <wp:extent cx="247650" cy="247650"/>
                  <wp:effectExtent l="0" t="0" r="0" b="0"/>
                  <wp:docPr id="255" name="Picture 25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CCDC560"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C17DBBB" wp14:editId="0316D0B2">
                  <wp:extent cx="247650" cy="247650"/>
                  <wp:effectExtent l="0" t="0" r="0" b="0"/>
                  <wp:docPr id="254" name="Picture 25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bottom w:val="nil"/>
            </w:tcBorders>
            <w:vAlign w:val="center"/>
          </w:tcPr>
          <w:p w14:paraId="2D19E3D2"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063F02C" wp14:editId="70746825">
                  <wp:extent cx="247650" cy="247650"/>
                  <wp:effectExtent l="0" t="0" r="0" b="0"/>
                  <wp:docPr id="253" name="Picture 25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bottom w:val="nil"/>
            </w:tcBorders>
            <w:vAlign w:val="center"/>
          </w:tcPr>
          <w:p w14:paraId="5545B12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75770933" wp14:editId="6D3DA1C8">
                  <wp:extent cx="247650" cy="247650"/>
                  <wp:effectExtent l="0" t="0" r="0" b="0"/>
                  <wp:docPr id="252" name="Picture 25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bottom w:val="nil"/>
            </w:tcBorders>
            <w:vAlign w:val="center"/>
          </w:tcPr>
          <w:p w14:paraId="6DA9F20B"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55AD5E23" wp14:editId="4CDD9F85">
                  <wp:extent cx="247650" cy="247650"/>
                  <wp:effectExtent l="0" t="0" r="0" b="0"/>
                  <wp:docPr id="250" name="Picture 250"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tr w:rsidR="00B21902" w14:paraId="3F1D49D0" w14:textId="77777777" w:rsidTr="00B21902">
        <w:tc>
          <w:tcPr>
            <w:tcW w:w="2263" w:type="dxa"/>
            <w:tcBorders>
              <w:top w:val="nil"/>
            </w:tcBorders>
            <w:shd w:val="clear" w:color="auto" w:fill="EAF1DD" w:themeFill="accent3" w:themeFillTint="33"/>
            <w:vAlign w:val="center"/>
          </w:tcPr>
          <w:p w14:paraId="387AB06F" w14:textId="77777777" w:rsidR="00B21902" w:rsidRPr="00E100FF" w:rsidRDefault="00B21902" w:rsidP="00B21902">
            <w:pPr>
              <w:pStyle w:val="guidelinetext"/>
              <w:spacing w:before="40" w:after="40"/>
              <w:ind w:left="0"/>
            </w:pPr>
            <w:r w:rsidRPr="00E100FF">
              <w:t>Exit/Transfer from services*</w:t>
            </w:r>
          </w:p>
        </w:tc>
        <w:tc>
          <w:tcPr>
            <w:tcW w:w="1502" w:type="dxa"/>
            <w:tcBorders>
              <w:top w:val="nil"/>
            </w:tcBorders>
            <w:shd w:val="clear" w:color="auto" w:fill="EAF1DD" w:themeFill="accent3" w:themeFillTint="33"/>
            <w:vAlign w:val="center"/>
          </w:tcPr>
          <w:p w14:paraId="55CF736E"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0470AEC8" wp14:editId="39753501">
                  <wp:extent cx="247650" cy="247650"/>
                  <wp:effectExtent l="0" t="0" r="0" b="0"/>
                  <wp:docPr id="32" name="Picture 32"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128C2C63"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4D5C8BC8" wp14:editId="45A080AD">
                  <wp:extent cx="247650" cy="247650"/>
                  <wp:effectExtent l="0" t="0" r="0" b="0"/>
                  <wp:docPr id="33" name="Picture 33"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474" w:type="dxa"/>
            <w:tcBorders>
              <w:top w:val="nil"/>
            </w:tcBorders>
            <w:shd w:val="clear" w:color="auto" w:fill="EAF1DD" w:themeFill="accent3" w:themeFillTint="33"/>
            <w:vAlign w:val="center"/>
          </w:tcPr>
          <w:p w14:paraId="268F9B3F"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1CA629D8" wp14:editId="607F3E21">
                  <wp:extent cx="247650" cy="247650"/>
                  <wp:effectExtent l="0" t="0" r="0" b="0"/>
                  <wp:docPr id="34" name="Picture 34"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247" w:type="dxa"/>
            <w:tcBorders>
              <w:top w:val="nil"/>
            </w:tcBorders>
            <w:shd w:val="clear" w:color="auto" w:fill="EAF1DD" w:themeFill="accent3" w:themeFillTint="33"/>
            <w:vAlign w:val="center"/>
          </w:tcPr>
          <w:p w14:paraId="6E438C16" w14:textId="77777777" w:rsidR="00B21902" w:rsidRPr="00E100FF" w:rsidRDefault="00B21902" w:rsidP="00B21902">
            <w:pPr>
              <w:pStyle w:val="guidelinetext"/>
              <w:spacing w:before="40" w:after="40"/>
              <w:ind w:left="0"/>
              <w:jc w:val="center"/>
            </w:pPr>
            <w:r w:rsidRPr="00E100FF">
              <w:rPr>
                <w:noProof/>
                <w:lang w:eastAsia="en-AU"/>
              </w:rPr>
              <w:drawing>
                <wp:inline distT="0" distB="0" distL="0" distR="0" wp14:anchorId="6C69F83D" wp14:editId="0C7F5EDE">
                  <wp:extent cx="247650" cy="247650"/>
                  <wp:effectExtent l="0" t="0" r="0" b="0"/>
                  <wp:docPr id="35" name="Picture 35"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c>
          <w:tcPr>
            <w:tcW w:w="1304" w:type="dxa"/>
            <w:tcBorders>
              <w:top w:val="nil"/>
            </w:tcBorders>
            <w:shd w:val="clear" w:color="auto" w:fill="EAF1DD" w:themeFill="accent3" w:themeFillTint="33"/>
            <w:vAlign w:val="center"/>
          </w:tcPr>
          <w:p w14:paraId="30621DC8" w14:textId="77777777" w:rsidR="00B21902" w:rsidRDefault="00B21902" w:rsidP="00B21902">
            <w:pPr>
              <w:pStyle w:val="guidelinetext"/>
              <w:spacing w:before="40" w:after="40"/>
              <w:ind w:left="0"/>
              <w:jc w:val="center"/>
            </w:pPr>
            <w:r w:rsidRPr="00E100FF">
              <w:rPr>
                <w:noProof/>
                <w:lang w:eastAsia="en-AU"/>
              </w:rPr>
              <w:drawing>
                <wp:inline distT="0" distB="0" distL="0" distR="0" wp14:anchorId="1DF4D71B" wp14:editId="0D672D30">
                  <wp:extent cx="247650" cy="247650"/>
                  <wp:effectExtent l="0" t="0" r="0" b="0"/>
                  <wp:docPr id="251" name="Picture 251" title="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ck.pn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47668" cy="247668"/>
                          </a:xfrm>
                          <a:prstGeom prst="rect">
                            <a:avLst/>
                          </a:prstGeom>
                        </pic:spPr>
                      </pic:pic>
                    </a:graphicData>
                  </a:graphic>
                </wp:inline>
              </w:drawing>
            </w:r>
          </w:p>
        </w:tc>
      </w:tr>
      <w:bookmarkEnd w:id="122"/>
      <w:bookmarkEnd w:id="123"/>
      <w:bookmarkEnd w:id="124"/>
    </w:tbl>
    <w:p w14:paraId="74DCA7A9" w14:textId="77777777" w:rsidR="00155727" w:rsidRDefault="00155727" w:rsidP="00973A61"/>
    <w:sectPr w:rsidR="00155727" w:rsidSect="00B21902">
      <w:headerReference w:type="default" r:id="rId17"/>
      <w:footerReference w:type="default" r:id="rId18"/>
      <w:headerReference w:type="firs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7133" w14:textId="77777777" w:rsidR="00E76EBB" w:rsidRDefault="00E76EBB">
      <w:r>
        <w:separator/>
      </w:r>
    </w:p>
    <w:p w14:paraId="75069DF2" w14:textId="77777777" w:rsidR="00E76EBB" w:rsidRDefault="00E76EBB"/>
  </w:endnote>
  <w:endnote w:type="continuationSeparator" w:id="0">
    <w:p w14:paraId="3237D482" w14:textId="77777777" w:rsidR="00E76EBB" w:rsidRDefault="00E76EBB">
      <w:r>
        <w:continuationSeparator/>
      </w:r>
    </w:p>
    <w:p w14:paraId="22E0607C" w14:textId="77777777" w:rsidR="00E76EBB" w:rsidRDefault="00E76EBB"/>
  </w:endnote>
  <w:endnote w:type="continuationNotice" w:id="1">
    <w:p w14:paraId="47A5FB66" w14:textId="77777777" w:rsidR="00E76EBB" w:rsidRDefault="00E76E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C44E" w14:textId="77777777" w:rsidR="00E273F1" w:rsidRDefault="00E273F1" w:rsidP="00707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CC2FA" w14:textId="77777777" w:rsidR="00E273F1" w:rsidRDefault="00E2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DC86" w14:textId="77777777" w:rsidR="00E273F1" w:rsidRPr="00E74ED7" w:rsidRDefault="00E273F1" w:rsidP="003A2A5D">
    <w:pPr>
      <w:pStyle w:val="Footer"/>
      <w:spacing w:before="40"/>
      <w:rPr>
        <w:color w:val="auto"/>
        <w:sz w:val="20"/>
        <w:szCs w:val="20"/>
      </w:rPr>
    </w:pPr>
    <w:r w:rsidRPr="00E74ED7">
      <w:rPr>
        <w:color w:val="auto"/>
        <w:sz w:val="20"/>
        <w:szCs w:val="20"/>
      </w:rPr>
      <w:t>Targeted Compliance Framework Guidelines</w:t>
    </w:r>
  </w:p>
  <w:p w14:paraId="1386B096" w14:textId="27321E1D" w:rsidR="00E273F1" w:rsidRPr="00E74ED7" w:rsidRDefault="00E273F1" w:rsidP="004E1F22">
    <w:pPr>
      <w:pStyle w:val="Footer"/>
      <w:rPr>
        <w:color w:val="auto"/>
        <w:sz w:val="20"/>
        <w:szCs w:val="20"/>
      </w:rPr>
    </w:pPr>
    <w:r w:rsidRPr="00E74ED7">
      <w:rPr>
        <w:color w:val="auto"/>
        <w:sz w:val="20"/>
        <w:szCs w:val="20"/>
      </w:rPr>
      <w:t>Arc Record Number:</w:t>
    </w:r>
    <w:r w:rsidR="00076DEA" w:rsidRPr="00E74ED7">
      <w:rPr>
        <w:color w:val="auto"/>
        <w:sz w:val="20"/>
        <w:szCs w:val="20"/>
      </w:rPr>
      <w:t xml:space="preserve"> </w:t>
    </w:r>
    <w:r w:rsidR="004E79E5" w:rsidRPr="00E74ED7">
      <w:rPr>
        <w:rFonts w:eastAsia="Calibri" w:cs="Calibri"/>
        <w:color w:val="auto"/>
        <w:sz w:val="20"/>
        <w:szCs w:val="20"/>
        <w:lang w:eastAsia="en-US"/>
      </w:rPr>
      <w:t>D24/1234704</w:t>
    </w:r>
    <w:r w:rsidRPr="00E74ED7">
      <w:rPr>
        <w:color w:val="auto"/>
        <w:sz w:val="20"/>
        <w:szCs w:val="20"/>
      </w:rPr>
      <w:tab/>
      <w:t xml:space="preserve">Effective Date: </w:t>
    </w:r>
    <w:r w:rsidR="004E79E5" w:rsidRPr="00E74ED7">
      <w:rPr>
        <w:color w:val="auto"/>
        <w:sz w:val="20"/>
        <w:szCs w:val="20"/>
      </w:rPr>
      <w:t>1 October 2024</w:t>
    </w:r>
  </w:p>
  <w:p w14:paraId="2FEA10F6" w14:textId="17619961" w:rsidR="00E273F1" w:rsidRPr="00E74ED7" w:rsidRDefault="00E273F1" w:rsidP="000A2106">
    <w:pPr>
      <w:pStyle w:val="Footer"/>
      <w:tabs>
        <w:tab w:val="left" w:pos="7020"/>
      </w:tabs>
      <w:jc w:val="center"/>
      <w:rPr>
        <w:color w:val="auto"/>
        <w:sz w:val="20"/>
        <w:szCs w:val="20"/>
      </w:rPr>
    </w:pPr>
    <w:r w:rsidRPr="00E74ED7">
      <w:rPr>
        <w:color w:val="auto"/>
        <w:sz w:val="20"/>
        <w:szCs w:val="20"/>
      </w:rPr>
      <w:fldChar w:fldCharType="begin"/>
    </w:r>
    <w:r w:rsidRPr="00E74ED7">
      <w:rPr>
        <w:color w:val="auto"/>
        <w:sz w:val="20"/>
        <w:szCs w:val="20"/>
      </w:rPr>
      <w:instrText xml:space="preserve"> PAGE   \* MERGEFORMAT </w:instrText>
    </w:r>
    <w:r w:rsidRPr="00E74ED7">
      <w:rPr>
        <w:color w:val="auto"/>
        <w:sz w:val="20"/>
        <w:szCs w:val="20"/>
      </w:rPr>
      <w:fldChar w:fldCharType="separate"/>
    </w:r>
    <w:r w:rsidR="00076DEA" w:rsidRPr="00E74ED7">
      <w:rPr>
        <w:noProof/>
        <w:color w:val="auto"/>
        <w:sz w:val="20"/>
        <w:szCs w:val="20"/>
      </w:rPr>
      <w:t>2</w:t>
    </w:r>
    <w:r w:rsidRPr="00E74ED7">
      <w:rPr>
        <w:noProof/>
        <w:color w:val="auto"/>
        <w:sz w:val="20"/>
        <w:szCs w:val="20"/>
      </w:rPr>
      <w:fldChar w:fldCharType="end"/>
    </w:r>
  </w:p>
  <w:p w14:paraId="419970CE" w14:textId="77777777" w:rsidR="00E273F1" w:rsidRPr="00E74ED7" w:rsidRDefault="00E273F1" w:rsidP="000A2106">
    <w:pPr>
      <w:pStyle w:val="Foo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292E" w14:textId="04283265" w:rsidR="00E273F1" w:rsidRPr="00E74ED7" w:rsidRDefault="00E273F1" w:rsidP="000A2106">
    <w:pPr>
      <w:pStyle w:val="Footer"/>
      <w:rPr>
        <w:color w:val="auto"/>
        <w:sz w:val="20"/>
        <w:szCs w:val="20"/>
      </w:rPr>
    </w:pPr>
    <w:r w:rsidRPr="00E74ED7">
      <w:rPr>
        <w:color w:val="auto"/>
        <w:sz w:val="20"/>
        <w:szCs w:val="20"/>
      </w:rPr>
      <w:t>Targeted Compliance Framework Guidelines</w:t>
    </w:r>
  </w:p>
  <w:p w14:paraId="235EE80C" w14:textId="2BBCE362" w:rsidR="00E273F1" w:rsidRPr="00E74ED7" w:rsidRDefault="00E273F1" w:rsidP="00680459">
    <w:pPr>
      <w:pStyle w:val="Footer"/>
      <w:rPr>
        <w:color w:val="auto"/>
        <w:sz w:val="20"/>
        <w:szCs w:val="20"/>
      </w:rPr>
    </w:pPr>
    <w:r w:rsidRPr="00E74ED7">
      <w:rPr>
        <w:color w:val="auto"/>
        <w:sz w:val="20"/>
        <w:szCs w:val="20"/>
      </w:rPr>
      <w:t>Arc Record Number:</w:t>
    </w:r>
    <w:r w:rsidR="00076DEA" w:rsidRPr="00E74ED7">
      <w:rPr>
        <w:color w:val="auto"/>
        <w:sz w:val="20"/>
        <w:szCs w:val="20"/>
      </w:rPr>
      <w:t xml:space="preserve"> </w:t>
    </w:r>
    <w:r w:rsidR="004E79E5" w:rsidRPr="00E74ED7">
      <w:rPr>
        <w:rFonts w:eastAsia="Calibri" w:cs="Calibri"/>
        <w:color w:val="auto"/>
        <w:sz w:val="20"/>
        <w:szCs w:val="20"/>
        <w:lang w:eastAsia="en-US"/>
      </w:rPr>
      <w:t>D24/1234704</w:t>
    </w:r>
    <w:r w:rsidRPr="00E74ED7">
      <w:rPr>
        <w:color w:val="auto"/>
        <w:sz w:val="20"/>
        <w:szCs w:val="20"/>
      </w:rPr>
      <w:tab/>
      <w:t xml:space="preserve">Effective Date: </w:t>
    </w:r>
    <w:r w:rsidR="004E79E5" w:rsidRPr="00E74ED7">
      <w:rPr>
        <w:color w:val="auto"/>
        <w:sz w:val="20"/>
        <w:szCs w:val="20"/>
      </w:rPr>
      <w:t>1 October 2024</w:t>
    </w:r>
  </w:p>
  <w:p w14:paraId="0AF8DE3E" w14:textId="74EA476F" w:rsidR="00E273F1" w:rsidRPr="00E74ED7" w:rsidRDefault="00E273F1" w:rsidP="000A2106">
    <w:pPr>
      <w:pStyle w:val="Footer"/>
      <w:tabs>
        <w:tab w:val="left" w:pos="7020"/>
      </w:tabs>
      <w:jc w:val="center"/>
      <w:rPr>
        <w:color w:val="auto"/>
        <w:sz w:val="20"/>
        <w:szCs w:val="20"/>
      </w:rPr>
    </w:pPr>
    <w:r w:rsidRPr="00E74ED7">
      <w:rPr>
        <w:color w:val="auto"/>
        <w:sz w:val="20"/>
        <w:szCs w:val="20"/>
      </w:rPr>
      <w:fldChar w:fldCharType="begin"/>
    </w:r>
    <w:r w:rsidRPr="00E74ED7">
      <w:rPr>
        <w:color w:val="auto"/>
        <w:sz w:val="20"/>
        <w:szCs w:val="20"/>
      </w:rPr>
      <w:instrText xml:space="preserve"> PAGE  \* Arabic  \* MERGEFORMAT </w:instrText>
    </w:r>
    <w:r w:rsidRPr="00E74ED7">
      <w:rPr>
        <w:color w:val="auto"/>
        <w:sz w:val="20"/>
        <w:szCs w:val="20"/>
      </w:rPr>
      <w:fldChar w:fldCharType="separate"/>
    </w:r>
    <w:r w:rsidR="00076DEA" w:rsidRPr="00E74ED7">
      <w:rPr>
        <w:noProof/>
        <w:color w:val="auto"/>
        <w:sz w:val="20"/>
        <w:szCs w:val="20"/>
      </w:rPr>
      <w:t>1</w:t>
    </w:r>
    <w:r w:rsidRPr="00E74ED7">
      <w:rPr>
        <w:color w:val="auto"/>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E5BF" w14:textId="77777777" w:rsidR="00E273F1" w:rsidRPr="00E74ED7" w:rsidRDefault="00E273F1" w:rsidP="008D1525">
    <w:pPr>
      <w:pStyle w:val="Footer"/>
      <w:pBdr>
        <w:top w:val="single" w:sz="4" w:space="1" w:color="948A54" w:themeColor="background2" w:themeShade="80"/>
      </w:pBdr>
      <w:rPr>
        <w:color w:val="auto"/>
        <w:sz w:val="20"/>
        <w:szCs w:val="20"/>
      </w:rPr>
    </w:pPr>
    <w:r w:rsidRPr="00E74ED7">
      <w:rPr>
        <w:color w:val="auto"/>
        <w:sz w:val="20"/>
        <w:szCs w:val="20"/>
      </w:rPr>
      <w:t>Targeted Compliance Framework Guidelines</w:t>
    </w:r>
  </w:p>
  <w:p w14:paraId="637DDF31" w14:textId="0148C1A9" w:rsidR="00E273F1" w:rsidRPr="00E74ED7" w:rsidRDefault="00E273F1" w:rsidP="008D1525">
    <w:pPr>
      <w:pStyle w:val="Footer"/>
      <w:pBdr>
        <w:top w:val="single" w:sz="4" w:space="1" w:color="948A54" w:themeColor="background2" w:themeShade="80"/>
      </w:pBdr>
      <w:rPr>
        <w:color w:val="auto"/>
        <w:sz w:val="20"/>
        <w:szCs w:val="20"/>
      </w:rPr>
    </w:pPr>
    <w:r w:rsidRPr="00E74ED7">
      <w:rPr>
        <w:color w:val="auto"/>
        <w:sz w:val="20"/>
        <w:szCs w:val="20"/>
      </w:rPr>
      <w:t xml:space="preserve">ARC Record Number: </w:t>
    </w:r>
    <w:r w:rsidR="004E79E5" w:rsidRPr="00E74ED7">
      <w:rPr>
        <w:rFonts w:eastAsia="Calibri" w:cs="Calibri"/>
        <w:color w:val="auto"/>
        <w:sz w:val="20"/>
        <w:szCs w:val="20"/>
        <w:lang w:eastAsia="en-US"/>
      </w:rPr>
      <w:t>D24/1234704</w:t>
    </w:r>
  </w:p>
  <w:p w14:paraId="617219BD" w14:textId="23E34F15" w:rsidR="00E273F1" w:rsidRPr="00E74ED7" w:rsidRDefault="00E273F1" w:rsidP="008522B4">
    <w:pPr>
      <w:pStyle w:val="Footer"/>
      <w:pBdr>
        <w:top w:val="single" w:sz="4" w:space="1" w:color="948A54" w:themeColor="background2" w:themeShade="80"/>
      </w:pBdr>
      <w:jc w:val="center"/>
      <w:rPr>
        <w:color w:val="auto"/>
        <w:sz w:val="20"/>
        <w:szCs w:val="20"/>
      </w:rPr>
    </w:pPr>
    <w:r w:rsidRPr="00E74ED7">
      <w:rPr>
        <w:color w:val="auto"/>
        <w:sz w:val="20"/>
        <w:szCs w:val="20"/>
      </w:rPr>
      <w:tab/>
      <w:t xml:space="preserve">Effective Date: </w:t>
    </w:r>
    <w:r w:rsidR="004E79E5" w:rsidRPr="00E74ED7">
      <w:rPr>
        <w:color w:val="auto"/>
        <w:sz w:val="20"/>
        <w:szCs w:val="20"/>
      </w:rPr>
      <w:t>1 October 2024</w:t>
    </w:r>
  </w:p>
  <w:p w14:paraId="3E7564A0" w14:textId="012567FD" w:rsidR="00E273F1" w:rsidRPr="00E74ED7" w:rsidRDefault="00E273F1" w:rsidP="008522B4">
    <w:pPr>
      <w:pStyle w:val="Footer"/>
      <w:pBdr>
        <w:top w:val="single" w:sz="4" w:space="1" w:color="948A54" w:themeColor="background2" w:themeShade="80"/>
      </w:pBdr>
      <w:jc w:val="center"/>
      <w:rPr>
        <w:color w:val="auto"/>
        <w:sz w:val="20"/>
        <w:szCs w:val="20"/>
      </w:rPr>
    </w:pPr>
    <w:r w:rsidRPr="00E74ED7">
      <w:rPr>
        <w:color w:val="auto"/>
        <w:sz w:val="20"/>
        <w:szCs w:val="20"/>
      </w:rPr>
      <w:fldChar w:fldCharType="begin"/>
    </w:r>
    <w:r w:rsidRPr="00E74ED7">
      <w:rPr>
        <w:color w:val="auto"/>
        <w:sz w:val="20"/>
        <w:szCs w:val="20"/>
      </w:rPr>
      <w:instrText xml:space="preserve"> PAGE  \* Arabic  \* MERGEFORMAT </w:instrText>
    </w:r>
    <w:r w:rsidRPr="00E74ED7">
      <w:rPr>
        <w:color w:val="auto"/>
        <w:sz w:val="20"/>
        <w:szCs w:val="20"/>
      </w:rPr>
      <w:fldChar w:fldCharType="separate"/>
    </w:r>
    <w:r w:rsidR="00076DEA" w:rsidRPr="00E74ED7">
      <w:rPr>
        <w:noProof/>
        <w:color w:val="auto"/>
        <w:sz w:val="20"/>
        <w:szCs w:val="20"/>
      </w:rPr>
      <w:t>51</w:t>
    </w:r>
    <w:r w:rsidRPr="00E74ED7">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E9E9" w14:textId="77777777" w:rsidR="00E76EBB" w:rsidRDefault="00E76EBB">
      <w:r>
        <w:separator/>
      </w:r>
    </w:p>
    <w:p w14:paraId="0FCC8044" w14:textId="77777777" w:rsidR="00E76EBB" w:rsidRDefault="00E76EBB"/>
  </w:footnote>
  <w:footnote w:type="continuationSeparator" w:id="0">
    <w:p w14:paraId="3A55A9FF" w14:textId="77777777" w:rsidR="00E76EBB" w:rsidRDefault="00E76EBB">
      <w:r>
        <w:continuationSeparator/>
      </w:r>
    </w:p>
    <w:p w14:paraId="036768AB" w14:textId="77777777" w:rsidR="00E76EBB" w:rsidRDefault="00E76EBB"/>
  </w:footnote>
  <w:footnote w:type="continuationNotice" w:id="1">
    <w:p w14:paraId="42C8205C" w14:textId="77777777" w:rsidR="00E76EBB" w:rsidRDefault="00E76E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1F35" w14:textId="77777777" w:rsidR="00E273F1" w:rsidRPr="00155727" w:rsidRDefault="00E273F1" w:rsidP="0015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E5CA" w14:textId="77777777" w:rsidR="00E273F1" w:rsidRDefault="00E273F1" w:rsidP="008D1525">
    <w:pPr>
      <w:pStyle w:val="Header"/>
      <w:jc w:val="right"/>
    </w:pPr>
    <w:r>
      <w:rPr>
        <w:noProof/>
      </w:rPr>
      <mc:AlternateContent>
        <mc:Choice Requires="wps">
          <w:drawing>
            <wp:anchor distT="0" distB="0" distL="114300" distR="114300" simplePos="0" relativeHeight="251658240" behindDoc="1" locked="0" layoutInCell="0" allowOverlap="1" wp14:anchorId="258E031A" wp14:editId="5419C9FF">
              <wp:simplePos x="0" y="0"/>
              <wp:positionH relativeFrom="margin">
                <wp:align>center</wp:align>
              </wp:positionH>
              <wp:positionV relativeFrom="margin">
                <wp:align>center</wp:align>
              </wp:positionV>
              <wp:extent cx="7425690" cy="654685"/>
              <wp:effectExtent l="0" t="2362200" r="0" b="2374265"/>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5690" cy="654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F11DA" w14:textId="77777777" w:rsidR="00E273F1" w:rsidRPr="00BC79D9" w:rsidRDefault="00E273F1" w:rsidP="008D1525">
                          <w:pPr>
                            <w:pStyle w:val="NormalWeb"/>
                            <w:spacing w:before="0" w:beforeAutospacing="0" w:after="0" w:afterAutospacing="0"/>
                            <w:jc w:val="center"/>
                            <w:rPr>
                              <w14:shadow w14:blurRad="50800" w14:dist="50800" w14:dir="5400000" w14:sx="0" w14:sy="0" w14:kx="0" w14:ky="0" w14:algn="ctr">
                                <w14:schemeClr w14:val="tx1"/>
                              </w14:shadow>
                            </w:rPr>
                          </w:pPr>
                          <w:r w:rsidRPr="00BC79D9">
                            <w:rPr>
                              <w:rFonts w:ascii="Calibri" w:hAnsi="Calibri" w:cs="Calibri"/>
                              <w:color w:val="A6A6A6" w:themeColor="background1" w:themeShade="A6"/>
                              <w:sz w:val="2"/>
                              <w:szCs w:val="2"/>
                              <w14:shadow w14:blurRad="50800" w14:dist="50800" w14:dir="5400000" w14:sx="0" w14:sy="0" w14:kx="0" w14:ky="0" w14:algn="ctr">
                                <w14:schemeClr w14:val="tx1"/>
                              </w14:shadow>
                              <w14:textFill>
                                <w14:solidFill>
                                  <w14:schemeClr w14:val="bg1">
                                    <w14:alpha w14:val="50000"/>
                                    <w14:lumMod w14:val="65000"/>
                                  </w14:schemeClr>
                                </w14:solidFill>
                              </w14:textFill>
                            </w:rPr>
                            <w:t>Draft: work-in-progress pending legislation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8E031A" id="_x0000_t202" coordsize="21600,21600" o:spt="202" path="m,l,21600r21600,l21600,xe">
              <v:stroke joinstyle="miter"/>
              <v:path gradientshapeok="t" o:connecttype="rect"/>
            </v:shapetype>
            <v:shape id="WordArt 4" o:spid="_x0000_s1026" type="#_x0000_t202" style="position:absolute;left:0;text-align:left;margin-left:0;margin-top:0;width:584.7pt;height:51.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" o:allowincell="f" filled="f" stroked="f">
              <v:stroke joinstyle="round"/>
              <o:lock v:ext="edit" shapetype="t"/>
              <v:textbox style="mso-fit-shape-to-text:t">
                <w:txbxContent>
                  <w:p w14:paraId="175F11DA" w14:textId="77777777" w:rsidR="00E273F1" w:rsidRPr="00BC79D9" w:rsidRDefault="00E273F1" w:rsidP="008D1525">
                    <w:pPr>
                      <w:pStyle w:val="NormalWeb"/>
                      <w:spacing w:before="0" w:beforeAutospacing="0" w:after="0" w:afterAutospacing="0"/>
                      <w:jc w:val="center"/>
                      <w:rPr>
                        <w14:shadow w14:blurRad="50800" w14:dist="50800" w14:dir="5400000" w14:sx="0" w14:sy="0" w14:kx="0" w14:ky="0" w14:algn="ctr">
                          <w14:schemeClr w14:val="tx1"/>
                        </w14:shadow>
                      </w:rPr>
                    </w:pPr>
                    <w:r w:rsidRPr="00BC79D9">
                      <w:rPr>
                        <w:rFonts w:ascii="Calibri" w:hAnsi="Calibri" w:cs="Calibri"/>
                        <w:color w:val="A6A6A6" w:themeColor="background1" w:themeShade="A6"/>
                        <w:sz w:val="2"/>
                        <w:szCs w:val="2"/>
                        <w14:shadow w14:blurRad="50800" w14:dist="50800" w14:dir="5400000" w14:sx="0" w14:sy="0" w14:kx="0" w14:ky="0" w14:algn="ctr">
                          <w14:schemeClr w14:val="tx1"/>
                        </w14:shadow>
                        <w14:textFill>
                          <w14:solidFill>
                            <w14:schemeClr w14:val="bg1">
                              <w14:alpha w14:val="50000"/>
                              <w14:lumMod w14:val="65000"/>
                            </w14:schemeClr>
                          </w14:solidFill>
                        </w14:textFill>
                      </w:rPr>
                      <w:t>Draft: work-in-progress pending legislation</w:t>
                    </w:r>
                  </w:p>
                </w:txbxContent>
              </v:textbox>
              <w10:wrap anchorx="margin" anchory="margin"/>
            </v:shape>
          </w:pict>
        </mc:Fallback>
      </mc:AlternateContent>
    </w:r>
    <w:r>
      <w:rPr>
        <w:noProof/>
      </w:rPr>
      <w:drawing>
        <wp:inline distT="0" distB="0" distL="0" distR="0" wp14:anchorId="7C671566" wp14:editId="19ACDB20">
          <wp:extent cx="3062378" cy="1112808"/>
          <wp:effectExtent l="0" t="0" r="5080" b="0"/>
          <wp:docPr id="27" name="Picture 27" descr="C:\Users\WP2527.NATION\AppData\Local\Microsoft\Windows\Temporary Internet Files\Content.Outlook\LD08ARUY\jobactive_Rel3_FullCol_CMYK.jpg" title="Australian Government job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52C0973"/>
    <w:multiLevelType w:val="multilevel"/>
    <w:tmpl w:val="6374D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F37982"/>
    <w:multiLevelType w:val="hybridMultilevel"/>
    <w:tmpl w:val="C1DC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FE91975"/>
    <w:multiLevelType w:val="hybridMultilevel"/>
    <w:tmpl w:val="A44A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0FA67A7"/>
    <w:multiLevelType w:val="hybridMultilevel"/>
    <w:tmpl w:val="92460DD0"/>
    <w:lvl w:ilvl="0" w:tplc="29EEE73C">
      <w:start w:val="1"/>
      <w:numFmt w:val="bullet"/>
      <w:lvlText w:val=""/>
      <w:lvlJc w:val="left"/>
      <w:pPr>
        <w:ind w:left="1800" w:hanging="360"/>
      </w:pPr>
      <w:rPr>
        <w:rFonts w:ascii="Symbol" w:hAnsi="Symbol" w:hint="default"/>
      </w:rPr>
    </w:lvl>
    <w:lvl w:ilvl="1" w:tplc="C71C1212">
      <w:numFmt w:val="bullet"/>
      <w:lvlText w:val="•"/>
      <w:lvlJc w:val="left"/>
      <w:pPr>
        <w:ind w:left="2520" w:hanging="360"/>
      </w:pPr>
      <w:rPr>
        <w:rFonts w:ascii="Calibri" w:eastAsia="Times New Roman" w:hAnsi="Calibri" w:cs="Calibri" w:hint="default"/>
      </w:rPr>
    </w:lvl>
    <w:lvl w:ilvl="2" w:tplc="EBB8AED6">
      <w:numFmt w:val="bullet"/>
      <w:lvlText w:val="-"/>
      <w:lvlJc w:val="left"/>
      <w:pPr>
        <w:ind w:left="3240" w:hanging="360"/>
      </w:pPr>
      <w:rPr>
        <w:rFonts w:ascii="Garamond" w:eastAsiaTheme="minorHAnsi" w:hAnsi="Garamond" w:cs="Garamond"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7E7312D"/>
    <w:multiLevelType w:val="hybridMultilevel"/>
    <w:tmpl w:val="59F4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C2925"/>
    <w:multiLevelType w:val="hybridMultilevel"/>
    <w:tmpl w:val="3C44683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1474BFC"/>
    <w:multiLevelType w:val="hybridMultilevel"/>
    <w:tmpl w:val="A2AC0E0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13" w15:restartNumberingAfterBreak="0">
    <w:nsid w:val="2728606C"/>
    <w:multiLevelType w:val="hybridMultilevel"/>
    <w:tmpl w:val="9BF46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03C0"/>
    <w:multiLevelType w:val="hybridMultilevel"/>
    <w:tmpl w:val="315AC23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A843506"/>
    <w:multiLevelType w:val="hybridMultilevel"/>
    <w:tmpl w:val="BDEE07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BD37939"/>
    <w:multiLevelType w:val="hybridMultilevel"/>
    <w:tmpl w:val="872E68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DF41CC3"/>
    <w:multiLevelType w:val="hybridMultilevel"/>
    <w:tmpl w:val="2D080FA0"/>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9"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48B07BB"/>
    <w:multiLevelType w:val="hybridMultilevel"/>
    <w:tmpl w:val="6E181E7A"/>
    <w:lvl w:ilvl="0" w:tplc="690ED8AC">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35FE1FA1"/>
    <w:multiLevelType w:val="hybridMultilevel"/>
    <w:tmpl w:val="25604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B3723"/>
    <w:multiLevelType w:val="hybridMultilevel"/>
    <w:tmpl w:val="D27A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EB7929"/>
    <w:multiLevelType w:val="hybridMultilevel"/>
    <w:tmpl w:val="E4701F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3F63087C"/>
    <w:multiLevelType w:val="hybridMultilevel"/>
    <w:tmpl w:val="4DB20284"/>
    <w:lvl w:ilvl="0" w:tplc="29EEE73C">
      <w:start w:val="1"/>
      <w:numFmt w:val="bullet"/>
      <w:lvlText w:val=""/>
      <w:lvlJc w:val="left"/>
      <w:pPr>
        <w:ind w:left="1800" w:hanging="360"/>
      </w:pPr>
      <w:rPr>
        <w:rFonts w:ascii="Symbol" w:hAnsi="Symbol" w:hint="default"/>
      </w:rPr>
    </w:lvl>
    <w:lvl w:ilvl="1" w:tplc="C71C1212">
      <w:numFmt w:val="bullet"/>
      <w:lvlText w:val="•"/>
      <w:lvlJc w:val="left"/>
      <w:pPr>
        <w:ind w:left="2520" w:hanging="360"/>
      </w:pPr>
      <w:rPr>
        <w:rFonts w:ascii="Calibri" w:eastAsia="Times New Roman" w:hAnsi="Calibri" w:cs="Calibri" w:hint="default"/>
      </w:rPr>
    </w:lvl>
    <w:lvl w:ilvl="2" w:tplc="EBB8AED6">
      <w:numFmt w:val="bullet"/>
      <w:lvlText w:val="-"/>
      <w:lvlJc w:val="left"/>
      <w:pPr>
        <w:ind w:left="3240" w:hanging="360"/>
      </w:pPr>
      <w:rPr>
        <w:rFonts w:ascii="Garamond" w:eastAsiaTheme="minorHAnsi" w:hAnsi="Garamond" w:cs="Garamond"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0D31229"/>
    <w:multiLevelType w:val="hybridMultilevel"/>
    <w:tmpl w:val="BD0020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43A55190"/>
    <w:multiLevelType w:val="hybridMultilevel"/>
    <w:tmpl w:val="AD30B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B826CB"/>
    <w:multiLevelType w:val="hybridMultilevel"/>
    <w:tmpl w:val="C866A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40A6C"/>
    <w:multiLevelType w:val="hybridMultilevel"/>
    <w:tmpl w:val="FE5CCE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3" w15:restartNumberingAfterBreak="0">
    <w:nsid w:val="4FC46A1C"/>
    <w:multiLevelType w:val="hybridMultilevel"/>
    <w:tmpl w:val="E594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1E5DB5"/>
    <w:multiLevelType w:val="hybridMultilevel"/>
    <w:tmpl w:val="423E9F84"/>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558940C2"/>
    <w:multiLevelType w:val="hybridMultilevel"/>
    <w:tmpl w:val="4DBEE21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571E4F7E"/>
    <w:multiLevelType w:val="hybridMultilevel"/>
    <w:tmpl w:val="F42A88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675098"/>
    <w:multiLevelType w:val="hybridMultilevel"/>
    <w:tmpl w:val="E52C5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15:restartNumberingAfterBreak="0">
    <w:nsid w:val="5C476089"/>
    <w:multiLevelType w:val="hybridMultilevel"/>
    <w:tmpl w:val="5B2C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A3090"/>
    <w:multiLevelType w:val="hybridMultilevel"/>
    <w:tmpl w:val="5286541A"/>
    <w:lvl w:ilvl="0" w:tplc="FF0027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1B94256"/>
    <w:multiLevelType w:val="hybridMultilevel"/>
    <w:tmpl w:val="2F9E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9050AA"/>
    <w:multiLevelType w:val="hybridMultilevel"/>
    <w:tmpl w:val="8DA22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2D5D32"/>
    <w:multiLevelType w:val="hybridMultilevel"/>
    <w:tmpl w:val="2B6C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946E12"/>
    <w:multiLevelType w:val="hybridMultilevel"/>
    <w:tmpl w:val="0D245C8A"/>
    <w:lvl w:ilvl="0" w:tplc="0C090003">
      <w:start w:val="1"/>
      <w:numFmt w:val="bullet"/>
      <w:lvlText w:val="o"/>
      <w:lvlJc w:val="left"/>
      <w:pPr>
        <w:ind w:left="1041" w:hanging="360"/>
      </w:pPr>
      <w:rPr>
        <w:rFonts w:ascii="Courier New" w:hAnsi="Courier New" w:cs="Courier New"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46" w15:restartNumberingAfterBreak="0">
    <w:nsid w:val="6F061388"/>
    <w:multiLevelType w:val="hybridMultilevel"/>
    <w:tmpl w:val="D736B4D8"/>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47" w15:restartNumberingAfterBreak="0">
    <w:nsid w:val="713A20C8"/>
    <w:multiLevelType w:val="multilevel"/>
    <w:tmpl w:val="84E82AC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9" w15:restartNumberingAfterBreak="0">
    <w:nsid w:val="79B74516"/>
    <w:multiLevelType w:val="hybridMultilevel"/>
    <w:tmpl w:val="50763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0" w15:restartNumberingAfterBreak="0">
    <w:nsid w:val="79F33938"/>
    <w:multiLevelType w:val="hybridMultilevel"/>
    <w:tmpl w:val="D1A2C8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7AEC1173"/>
    <w:multiLevelType w:val="hybridMultilevel"/>
    <w:tmpl w:val="2A28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727836"/>
    <w:multiLevelType w:val="hybridMultilevel"/>
    <w:tmpl w:val="8A1A70F8"/>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8332466">
    <w:abstractNumId w:val="12"/>
  </w:num>
  <w:num w:numId="2" w16cid:durableId="1569880976">
    <w:abstractNumId w:val="0"/>
  </w:num>
  <w:num w:numId="3" w16cid:durableId="279265063">
    <w:abstractNumId w:val="1"/>
  </w:num>
  <w:num w:numId="4" w16cid:durableId="781876856">
    <w:abstractNumId w:val="6"/>
  </w:num>
  <w:num w:numId="5" w16cid:durableId="1464886929">
    <w:abstractNumId w:val="4"/>
  </w:num>
  <w:num w:numId="6" w16cid:durableId="890073276">
    <w:abstractNumId w:val="52"/>
  </w:num>
  <w:num w:numId="7" w16cid:durableId="1884637386">
    <w:abstractNumId w:val="19"/>
  </w:num>
  <w:num w:numId="8" w16cid:durableId="2009210292">
    <w:abstractNumId w:val="38"/>
  </w:num>
  <w:num w:numId="9" w16cid:durableId="1374421677">
    <w:abstractNumId w:val="14"/>
  </w:num>
  <w:num w:numId="10" w16cid:durableId="1359773329">
    <w:abstractNumId w:val="29"/>
  </w:num>
  <w:num w:numId="11" w16cid:durableId="1856387012">
    <w:abstractNumId w:val="2"/>
  </w:num>
  <w:num w:numId="12" w16cid:durableId="1724599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287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106993">
    <w:abstractNumId w:val="20"/>
  </w:num>
  <w:num w:numId="15" w16cid:durableId="1220895215">
    <w:abstractNumId w:val="52"/>
  </w:num>
  <w:num w:numId="16" w16cid:durableId="1949045257">
    <w:abstractNumId w:val="7"/>
  </w:num>
  <w:num w:numId="17" w16cid:durableId="399793552">
    <w:abstractNumId w:val="26"/>
  </w:num>
  <w:num w:numId="18" w16cid:durableId="1954939566">
    <w:abstractNumId w:val="52"/>
  </w:num>
  <w:num w:numId="19" w16cid:durableId="2001544444">
    <w:abstractNumId w:val="52"/>
  </w:num>
  <w:num w:numId="20" w16cid:durableId="861867559">
    <w:abstractNumId w:val="52"/>
  </w:num>
  <w:num w:numId="21" w16cid:durableId="652755779">
    <w:abstractNumId w:val="52"/>
  </w:num>
  <w:num w:numId="22" w16cid:durableId="418794893">
    <w:abstractNumId w:val="23"/>
  </w:num>
  <w:num w:numId="23" w16cid:durableId="2044674616">
    <w:abstractNumId w:val="52"/>
  </w:num>
  <w:num w:numId="24" w16cid:durableId="535579743">
    <w:abstractNumId w:val="52"/>
  </w:num>
  <w:num w:numId="25" w16cid:durableId="66002105">
    <w:abstractNumId w:val="41"/>
  </w:num>
  <w:num w:numId="26" w16cid:durableId="1259749057">
    <w:abstractNumId w:val="41"/>
    <w:lvlOverride w:ilvl="0">
      <w:startOverride w:val="1"/>
    </w:lvlOverride>
  </w:num>
  <w:num w:numId="27" w16cid:durableId="1889605530">
    <w:abstractNumId w:val="36"/>
  </w:num>
  <w:num w:numId="28" w16cid:durableId="159395067">
    <w:abstractNumId w:val="40"/>
  </w:num>
  <w:num w:numId="29" w16cid:durableId="759447010">
    <w:abstractNumId w:val="47"/>
    <w:lvlOverride w:ilvl="0">
      <w:lvl w:ilvl="0">
        <w:start w:val="1"/>
        <w:numFmt w:val="bullet"/>
        <w:lvlText w:val=""/>
        <w:lvlJc w:val="left"/>
        <w:pPr>
          <w:ind w:left="360" w:hanging="360"/>
        </w:pPr>
        <w:rPr>
          <w:rFonts w:ascii="Symbol" w:hAnsi="Symbol" w:hint="default"/>
        </w:rPr>
      </w:lvl>
    </w:lvlOverride>
  </w:num>
  <w:num w:numId="30" w16cid:durableId="422452483">
    <w:abstractNumId w:val="47"/>
  </w:num>
  <w:num w:numId="31" w16cid:durableId="1970934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833349">
    <w:abstractNumId w:val="32"/>
  </w:num>
  <w:num w:numId="33" w16cid:durableId="1718356694">
    <w:abstractNumId w:val="13"/>
  </w:num>
  <w:num w:numId="34" w16cid:durableId="905803680">
    <w:abstractNumId w:val="46"/>
  </w:num>
  <w:num w:numId="35" w16cid:durableId="1430735676">
    <w:abstractNumId w:val="50"/>
  </w:num>
  <w:num w:numId="36" w16cid:durableId="1000697519">
    <w:abstractNumId w:val="11"/>
  </w:num>
  <w:num w:numId="37" w16cid:durableId="647173466">
    <w:abstractNumId w:val="17"/>
  </w:num>
  <w:num w:numId="38" w16cid:durableId="1491361622">
    <w:abstractNumId w:val="16"/>
  </w:num>
  <w:num w:numId="39" w16cid:durableId="574049859">
    <w:abstractNumId w:val="28"/>
  </w:num>
  <w:num w:numId="40" w16cid:durableId="1153528122">
    <w:abstractNumId w:val="25"/>
  </w:num>
  <w:num w:numId="41" w16cid:durableId="990908604">
    <w:abstractNumId w:val="30"/>
  </w:num>
  <w:num w:numId="42" w16cid:durableId="357656325">
    <w:abstractNumId w:val="52"/>
  </w:num>
  <w:num w:numId="43" w16cid:durableId="168639123">
    <w:abstractNumId w:val="52"/>
  </w:num>
  <w:num w:numId="44" w16cid:durableId="1591281089">
    <w:abstractNumId w:val="52"/>
  </w:num>
  <w:num w:numId="45" w16cid:durableId="152530232">
    <w:abstractNumId w:val="52"/>
  </w:num>
  <w:num w:numId="46" w16cid:durableId="626745161">
    <w:abstractNumId w:val="52"/>
  </w:num>
  <w:num w:numId="47" w16cid:durableId="1286035160">
    <w:abstractNumId w:val="52"/>
  </w:num>
  <w:num w:numId="48" w16cid:durableId="656230252">
    <w:abstractNumId w:val="52"/>
  </w:num>
  <w:num w:numId="49" w16cid:durableId="943657661">
    <w:abstractNumId w:val="52"/>
  </w:num>
  <w:num w:numId="50" w16cid:durableId="1908566561">
    <w:abstractNumId w:val="21"/>
  </w:num>
  <w:num w:numId="51" w16cid:durableId="1409576730">
    <w:abstractNumId w:val="34"/>
  </w:num>
  <w:num w:numId="52" w16cid:durableId="655260236">
    <w:abstractNumId w:val="3"/>
  </w:num>
  <w:num w:numId="53" w16cid:durableId="95685327">
    <w:abstractNumId w:val="18"/>
  </w:num>
  <w:num w:numId="54" w16cid:durableId="739139032">
    <w:abstractNumId w:val="42"/>
  </w:num>
  <w:num w:numId="55" w16cid:durableId="147403506">
    <w:abstractNumId w:val="43"/>
  </w:num>
  <w:num w:numId="56" w16cid:durableId="892889949">
    <w:abstractNumId w:val="5"/>
  </w:num>
  <w:num w:numId="57" w16cid:durableId="2072196202">
    <w:abstractNumId w:val="24"/>
  </w:num>
  <w:num w:numId="58" w16cid:durableId="1060207656">
    <w:abstractNumId w:val="45"/>
  </w:num>
  <w:num w:numId="59" w16cid:durableId="1658801092">
    <w:abstractNumId w:val="8"/>
  </w:num>
  <w:num w:numId="60" w16cid:durableId="210074634">
    <w:abstractNumId w:val="51"/>
  </w:num>
  <w:num w:numId="61" w16cid:durableId="324088081">
    <w:abstractNumId w:val="48"/>
  </w:num>
  <w:num w:numId="62" w16cid:durableId="58090257">
    <w:abstractNumId w:val="33"/>
  </w:num>
  <w:num w:numId="63" w16cid:durableId="1154640506">
    <w:abstractNumId w:val="9"/>
  </w:num>
  <w:num w:numId="64" w16cid:durableId="63963288">
    <w:abstractNumId w:val="44"/>
  </w:num>
  <w:num w:numId="65" w16cid:durableId="382019907">
    <w:abstractNumId w:val="10"/>
  </w:num>
  <w:num w:numId="66" w16cid:durableId="2030721521">
    <w:abstractNumId w:val="27"/>
  </w:num>
  <w:num w:numId="67" w16cid:durableId="677654645">
    <w:abstractNumId w:val="15"/>
  </w:num>
  <w:num w:numId="68" w16cid:durableId="153692698">
    <w:abstractNumId w:val="35"/>
  </w:num>
  <w:num w:numId="69" w16cid:durableId="2012099538">
    <w:abstractNumId w:val="22"/>
  </w:num>
  <w:num w:numId="70" w16cid:durableId="12540535">
    <w:abstractNumId w:val="31"/>
  </w:num>
  <w:num w:numId="71" w16cid:durableId="1213812172">
    <w:abstractNumId w:val="39"/>
  </w:num>
  <w:num w:numId="72" w16cid:durableId="1269385510">
    <w:abstractNumId w:val="37"/>
  </w:num>
  <w:num w:numId="73" w16cid:durableId="390036551">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F5"/>
    <w:rsid w:val="00000132"/>
    <w:rsid w:val="00002A2C"/>
    <w:rsid w:val="0000545D"/>
    <w:rsid w:val="00007A48"/>
    <w:rsid w:val="000148A4"/>
    <w:rsid w:val="00014ECD"/>
    <w:rsid w:val="00016CD9"/>
    <w:rsid w:val="00022D4A"/>
    <w:rsid w:val="00023868"/>
    <w:rsid w:val="00024E82"/>
    <w:rsid w:val="00030930"/>
    <w:rsid w:val="000312AA"/>
    <w:rsid w:val="000340FA"/>
    <w:rsid w:val="0003447E"/>
    <w:rsid w:val="00035383"/>
    <w:rsid w:val="000361B1"/>
    <w:rsid w:val="00042191"/>
    <w:rsid w:val="000421D4"/>
    <w:rsid w:val="0004391C"/>
    <w:rsid w:val="00043F7B"/>
    <w:rsid w:val="000462E1"/>
    <w:rsid w:val="00046BB7"/>
    <w:rsid w:val="00051119"/>
    <w:rsid w:val="00051222"/>
    <w:rsid w:val="00051284"/>
    <w:rsid w:val="00051900"/>
    <w:rsid w:val="00052E5A"/>
    <w:rsid w:val="000530DC"/>
    <w:rsid w:val="00053875"/>
    <w:rsid w:val="00053A9F"/>
    <w:rsid w:val="000555B3"/>
    <w:rsid w:val="0005652F"/>
    <w:rsid w:val="00061FB8"/>
    <w:rsid w:val="00061FDD"/>
    <w:rsid w:val="00063E26"/>
    <w:rsid w:val="0006416C"/>
    <w:rsid w:val="0006449D"/>
    <w:rsid w:val="00064BBF"/>
    <w:rsid w:val="000656CE"/>
    <w:rsid w:val="00065DED"/>
    <w:rsid w:val="000665E5"/>
    <w:rsid w:val="00066743"/>
    <w:rsid w:val="00070003"/>
    <w:rsid w:val="000709CC"/>
    <w:rsid w:val="00075159"/>
    <w:rsid w:val="00076DEA"/>
    <w:rsid w:val="00077752"/>
    <w:rsid w:val="000807AC"/>
    <w:rsid w:val="00081541"/>
    <w:rsid w:val="0008418A"/>
    <w:rsid w:val="00086583"/>
    <w:rsid w:val="000868F1"/>
    <w:rsid w:val="00087EE0"/>
    <w:rsid w:val="00091029"/>
    <w:rsid w:val="000921E0"/>
    <w:rsid w:val="00093BC7"/>
    <w:rsid w:val="000961EA"/>
    <w:rsid w:val="000962E9"/>
    <w:rsid w:val="00097645"/>
    <w:rsid w:val="00097A3A"/>
    <w:rsid w:val="00097ADC"/>
    <w:rsid w:val="000A0F5A"/>
    <w:rsid w:val="000A0F60"/>
    <w:rsid w:val="000A2106"/>
    <w:rsid w:val="000A579D"/>
    <w:rsid w:val="000A5B16"/>
    <w:rsid w:val="000A7FE5"/>
    <w:rsid w:val="000B0DAD"/>
    <w:rsid w:val="000B1D00"/>
    <w:rsid w:val="000B1D7A"/>
    <w:rsid w:val="000B3676"/>
    <w:rsid w:val="000B3E4E"/>
    <w:rsid w:val="000B403B"/>
    <w:rsid w:val="000B406B"/>
    <w:rsid w:val="000B4BFE"/>
    <w:rsid w:val="000B5F3B"/>
    <w:rsid w:val="000B6522"/>
    <w:rsid w:val="000B7029"/>
    <w:rsid w:val="000B70AE"/>
    <w:rsid w:val="000C021B"/>
    <w:rsid w:val="000C1DB2"/>
    <w:rsid w:val="000C252B"/>
    <w:rsid w:val="000C5DBA"/>
    <w:rsid w:val="000C5F80"/>
    <w:rsid w:val="000D2E8A"/>
    <w:rsid w:val="000D35F4"/>
    <w:rsid w:val="000D5683"/>
    <w:rsid w:val="000D56F1"/>
    <w:rsid w:val="000D6C9A"/>
    <w:rsid w:val="000D6F5B"/>
    <w:rsid w:val="000D7C6F"/>
    <w:rsid w:val="000E0418"/>
    <w:rsid w:val="000E0F58"/>
    <w:rsid w:val="000E24FD"/>
    <w:rsid w:val="000E27D3"/>
    <w:rsid w:val="000E3AA9"/>
    <w:rsid w:val="000E42B0"/>
    <w:rsid w:val="000E48AD"/>
    <w:rsid w:val="000E55FF"/>
    <w:rsid w:val="000E57DB"/>
    <w:rsid w:val="000E6690"/>
    <w:rsid w:val="000F3964"/>
    <w:rsid w:val="000F41B1"/>
    <w:rsid w:val="000F47DC"/>
    <w:rsid w:val="000F4929"/>
    <w:rsid w:val="000F5B10"/>
    <w:rsid w:val="00102309"/>
    <w:rsid w:val="00103948"/>
    <w:rsid w:val="001065DF"/>
    <w:rsid w:val="001101E3"/>
    <w:rsid w:val="00110C28"/>
    <w:rsid w:val="00113449"/>
    <w:rsid w:val="00113E6B"/>
    <w:rsid w:val="0011647D"/>
    <w:rsid w:val="001227D4"/>
    <w:rsid w:val="00126062"/>
    <w:rsid w:val="001266F1"/>
    <w:rsid w:val="00127383"/>
    <w:rsid w:val="001300E2"/>
    <w:rsid w:val="00132CA3"/>
    <w:rsid w:val="00132EED"/>
    <w:rsid w:val="00135546"/>
    <w:rsid w:val="00137233"/>
    <w:rsid w:val="001409AC"/>
    <w:rsid w:val="00141ADC"/>
    <w:rsid w:val="00144A9D"/>
    <w:rsid w:val="00145B1F"/>
    <w:rsid w:val="00145F48"/>
    <w:rsid w:val="00146AF9"/>
    <w:rsid w:val="00147B8E"/>
    <w:rsid w:val="001500AA"/>
    <w:rsid w:val="00151F1F"/>
    <w:rsid w:val="001538F7"/>
    <w:rsid w:val="001552FB"/>
    <w:rsid w:val="00155727"/>
    <w:rsid w:val="00155F62"/>
    <w:rsid w:val="00156E05"/>
    <w:rsid w:val="00156E5C"/>
    <w:rsid w:val="00160B11"/>
    <w:rsid w:val="001633B6"/>
    <w:rsid w:val="0016422B"/>
    <w:rsid w:val="00170678"/>
    <w:rsid w:val="00170B20"/>
    <w:rsid w:val="00172831"/>
    <w:rsid w:val="001737B0"/>
    <w:rsid w:val="00173B56"/>
    <w:rsid w:val="00174E70"/>
    <w:rsid w:val="001754A4"/>
    <w:rsid w:val="00175FEE"/>
    <w:rsid w:val="001776B7"/>
    <w:rsid w:val="0018366D"/>
    <w:rsid w:val="00185F34"/>
    <w:rsid w:val="00187E53"/>
    <w:rsid w:val="00190391"/>
    <w:rsid w:val="001906DA"/>
    <w:rsid w:val="001918CE"/>
    <w:rsid w:val="00191CC9"/>
    <w:rsid w:val="00194131"/>
    <w:rsid w:val="0019503D"/>
    <w:rsid w:val="00196908"/>
    <w:rsid w:val="00196C20"/>
    <w:rsid w:val="00197FAB"/>
    <w:rsid w:val="001A0B0D"/>
    <w:rsid w:val="001A1D43"/>
    <w:rsid w:val="001A1F5C"/>
    <w:rsid w:val="001A295E"/>
    <w:rsid w:val="001A3FAA"/>
    <w:rsid w:val="001A4FF9"/>
    <w:rsid w:val="001A549D"/>
    <w:rsid w:val="001A5541"/>
    <w:rsid w:val="001A5B64"/>
    <w:rsid w:val="001A689D"/>
    <w:rsid w:val="001B14FB"/>
    <w:rsid w:val="001B22E1"/>
    <w:rsid w:val="001B2358"/>
    <w:rsid w:val="001B2FBC"/>
    <w:rsid w:val="001B38A9"/>
    <w:rsid w:val="001B39F8"/>
    <w:rsid w:val="001B3DAD"/>
    <w:rsid w:val="001C1239"/>
    <w:rsid w:val="001C24C1"/>
    <w:rsid w:val="001C2A5E"/>
    <w:rsid w:val="001C4B61"/>
    <w:rsid w:val="001C682C"/>
    <w:rsid w:val="001C70B6"/>
    <w:rsid w:val="001D08F6"/>
    <w:rsid w:val="001D12D5"/>
    <w:rsid w:val="001D3E5B"/>
    <w:rsid w:val="001D6C78"/>
    <w:rsid w:val="001E01CF"/>
    <w:rsid w:val="001E0CD9"/>
    <w:rsid w:val="001E4B27"/>
    <w:rsid w:val="001E5B3C"/>
    <w:rsid w:val="001E7665"/>
    <w:rsid w:val="001E7ADA"/>
    <w:rsid w:val="001F0E50"/>
    <w:rsid w:val="001F179D"/>
    <w:rsid w:val="001F262D"/>
    <w:rsid w:val="001F40EE"/>
    <w:rsid w:val="001F5500"/>
    <w:rsid w:val="001F5A01"/>
    <w:rsid w:val="001F62FC"/>
    <w:rsid w:val="002009FC"/>
    <w:rsid w:val="00200FCC"/>
    <w:rsid w:val="00201B31"/>
    <w:rsid w:val="00202944"/>
    <w:rsid w:val="00202A8C"/>
    <w:rsid w:val="00210809"/>
    <w:rsid w:val="00212809"/>
    <w:rsid w:val="00212989"/>
    <w:rsid w:val="0021332D"/>
    <w:rsid w:val="0021363E"/>
    <w:rsid w:val="002145C8"/>
    <w:rsid w:val="00215E9F"/>
    <w:rsid w:val="002219D2"/>
    <w:rsid w:val="00222E6D"/>
    <w:rsid w:val="002231DF"/>
    <w:rsid w:val="002232FD"/>
    <w:rsid w:val="0022586D"/>
    <w:rsid w:val="002262AE"/>
    <w:rsid w:val="002262C6"/>
    <w:rsid w:val="00227CFE"/>
    <w:rsid w:val="00231486"/>
    <w:rsid w:val="00232ADD"/>
    <w:rsid w:val="00233239"/>
    <w:rsid w:val="002348BF"/>
    <w:rsid w:val="00235ED2"/>
    <w:rsid w:val="00236186"/>
    <w:rsid w:val="002409E2"/>
    <w:rsid w:val="00241096"/>
    <w:rsid w:val="00243B02"/>
    <w:rsid w:val="002458C7"/>
    <w:rsid w:val="002459D5"/>
    <w:rsid w:val="00246655"/>
    <w:rsid w:val="00255A77"/>
    <w:rsid w:val="00255A9A"/>
    <w:rsid w:val="0025618D"/>
    <w:rsid w:val="00257EDE"/>
    <w:rsid w:val="002613F7"/>
    <w:rsid w:val="00262A40"/>
    <w:rsid w:val="0026346D"/>
    <w:rsid w:val="00263EC1"/>
    <w:rsid w:val="00267E89"/>
    <w:rsid w:val="00270F15"/>
    <w:rsid w:val="002749A7"/>
    <w:rsid w:val="00276143"/>
    <w:rsid w:val="00276A50"/>
    <w:rsid w:val="00276FA0"/>
    <w:rsid w:val="002773A2"/>
    <w:rsid w:val="00280F5C"/>
    <w:rsid w:val="0028103E"/>
    <w:rsid w:val="00283858"/>
    <w:rsid w:val="0028487B"/>
    <w:rsid w:val="00286EC2"/>
    <w:rsid w:val="00290FF9"/>
    <w:rsid w:val="00293C28"/>
    <w:rsid w:val="00293C83"/>
    <w:rsid w:val="002943D5"/>
    <w:rsid w:val="00297252"/>
    <w:rsid w:val="002A05A4"/>
    <w:rsid w:val="002A0DE8"/>
    <w:rsid w:val="002A2E5C"/>
    <w:rsid w:val="002A3E99"/>
    <w:rsid w:val="002A5C80"/>
    <w:rsid w:val="002A7845"/>
    <w:rsid w:val="002B0EB8"/>
    <w:rsid w:val="002B1048"/>
    <w:rsid w:val="002B14FD"/>
    <w:rsid w:val="002B1A70"/>
    <w:rsid w:val="002B2D51"/>
    <w:rsid w:val="002B4ACD"/>
    <w:rsid w:val="002B6A3E"/>
    <w:rsid w:val="002B6CC3"/>
    <w:rsid w:val="002B6E69"/>
    <w:rsid w:val="002B7276"/>
    <w:rsid w:val="002C369D"/>
    <w:rsid w:val="002C3C2C"/>
    <w:rsid w:val="002C6ECD"/>
    <w:rsid w:val="002C6FB5"/>
    <w:rsid w:val="002C7C32"/>
    <w:rsid w:val="002D2DD1"/>
    <w:rsid w:val="002D612A"/>
    <w:rsid w:val="002E092A"/>
    <w:rsid w:val="002E1381"/>
    <w:rsid w:val="002E1D6C"/>
    <w:rsid w:val="002E2993"/>
    <w:rsid w:val="002E3382"/>
    <w:rsid w:val="002E3A6E"/>
    <w:rsid w:val="002E4D06"/>
    <w:rsid w:val="002E5190"/>
    <w:rsid w:val="002E653C"/>
    <w:rsid w:val="002F1741"/>
    <w:rsid w:val="002F20BB"/>
    <w:rsid w:val="002F2594"/>
    <w:rsid w:val="002F2C82"/>
    <w:rsid w:val="002F3336"/>
    <w:rsid w:val="002F4A1D"/>
    <w:rsid w:val="002F522B"/>
    <w:rsid w:val="002F63DC"/>
    <w:rsid w:val="002F7D12"/>
    <w:rsid w:val="00300B1D"/>
    <w:rsid w:val="00301EBC"/>
    <w:rsid w:val="00302565"/>
    <w:rsid w:val="003028A3"/>
    <w:rsid w:val="00302B34"/>
    <w:rsid w:val="00303A0E"/>
    <w:rsid w:val="00303BA2"/>
    <w:rsid w:val="00304997"/>
    <w:rsid w:val="00304CD7"/>
    <w:rsid w:val="00304DE5"/>
    <w:rsid w:val="00305BA4"/>
    <w:rsid w:val="00305C85"/>
    <w:rsid w:val="0030646E"/>
    <w:rsid w:val="00311514"/>
    <w:rsid w:val="00312B04"/>
    <w:rsid w:val="00312C10"/>
    <w:rsid w:val="00313C7F"/>
    <w:rsid w:val="00315C5F"/>
    <w:rsid w:val="003220E7"/>
    <w:rsid w:val="00322E01"/>
    <w:rsid w:val="00323D95"/>
    <w:rsid w:val="00327574"/>
    <w:rsid w:val="0033140F"/>
    <w:rsid w:val="00332540"/>
    <w:rsid w:val="003329A3"/>
    <w:rsid w:val="0033479E"/>
    <w:rsid w:val="00334C85"/>
    <w:rsid w:val="00335E47"/>
    <w:rsid w:val="00340E4C"/>
    <w:rsid w:val="00341648"/>
    <w:rsid w:val="00341B8F"/>
    <w:rsid w:val="0034605D"/>
    <w:rsid w:val="0034683D"/>
    <w:rsid w:val="00347DC3"/>
    <w:rsid w:val="00347E82"/>
    <w:rsid w:val="00350413"/>
    <w:rsid w:val="00350A8B"/>
    <w:rsid w:val="00350FC8"/>
    <w:rsid w:val="0035201C"/>
    <w:rsid w:val="00360829"/>
    <w:rsid w:val="00361CF9"/>
    <w:rsid w:val="003639A3"/>
    <w:rsid w:val="00365EBF"/>
    <w:rsid w:val="0036782F"/>
    <w:rsid w:val="00370217"/>
    <w:rsid w:val="00370D6C"/>
    <w:rsid w:val="003718F0"/>
    <w:rsid w:val="00371BA0"/>
    <w:rsid w:val="00373407"/>
    <w:rsid w:val="003748F8"/>
    <w:rsid w:val="003757B3"/>
    <w:rsid w:val="0037709C"/>
    <w:rsid w:val="00380C00"/>
    <w:rsid w:val="00380C16"/>
    <w:rsid w:val="00387AC6"/>
    <w:rsid w:val="00391E64"/>
    <w:rsid w:val="00394050"/>
    <w:rsid w:val="00394EA8"/>
    <w:rsid w:val="00395915"/>
    <w:rsid w:val="00396663"/>
    <w:rsid w:val="00396CD3"/>
    <w:rsid w:val="00397BCE"/>
    <w:rsid w:val="003A1B98"/>
    <w:rsid w:val="003A2627"/>
    <w:rsid w:val="003A2A5D"/>
    <w:rsid w:val="003A7219"/>
    <w:rsid w:val="003B0754"/>
    <w:rsid w:val="003B09D9"/>
    <w:rsid w:val="003B7850"/>
    <w:rsid w:val="003B7A07"/>
    <w:rsid w:val="003C0BF9"/>
    <w:rsid w:val="003C1C94"/>
    <w:rsid w:val="003C3946"/>
    <w:rsid w:val="003C4577"/>
    <w:rsid w:val="003C6597"/>
    <w:rsid w:val="003C6D1B"/>
    <w:rsid w:val="003D2B11"/>
    <w:rsid w:val="003D2BCA"/>
    <w:rsid w:val="003D5AF4"/>
    <w:rsid w:val="003D73AC"/>
    <w:rsid w:val="003D7C2F"/>
    <w:rsid w:val="003E03D3"/>
    <w:rsid w:val="003E0D6A"/>
    <w:rsid w:val="003E2ADF"/>
    <w:rsid w:val="003E35CD"/>
    <w:rsid w:val="003E3DEC"/>
    <w:rsid w:val="003E4997"/>
    <w:rsid w:val="003E75D1"/>
    <w:rsid w:val="003F3EAD"/>
    <w:rsid w:val="003F4C74"/>
    <w:rsid w:val="003F5316"/>
    <w:rsid w:val="003F5456"/>
    <w:rsid w:val="004017E3"/>
    <w:rsid w:val="0040221F"/>
    <w:rsid w:val="004045C4"/>
    <w:rsid w:val="00405595"/>
    <w:rsid w:val="00406F36"/>
    <w:rsid w:val="004100C8"/>
    <w:rsid w:val="004109E4"/>
    <w:rsid w:val="00410A60"/>
    <w:rsid w:val="0041223B"/>
    <w:rsid w:val="004163A8"/>
    <w:rsid w:val="00416835"/>
    <w:rsid w:val="00416DE6"/>
    <w:rsid w:val="0042100D"/>
    <w:rsid w:val="00422F8F"/>
    <w:rsid w:val="00425996"/>
    <w:rsid w:val="0042605A"/>
    <w:rsid w:val="004276BF"/>
    <w:rsid w:val="00427E22"/>
    <w:rsid w:val="00430498"/>
    <w:rsid w:val="004315E4"/>
    <w:rsid w:val="0043228F"/>
    <w:rsid w:val="00432E08"/>
    <w:rsid w:val="00433FDE"/>
    <w:rsid w:val="00434776"/>
    <w:rsid w:val="00434E37"/>
    <w:rsid w:val="0043748C"/>
    <w:rsid w:val="004376FC"/>
    <w:rsid w:val="00437EC7"/>
    <w:rsid w:val="00440890"/>
    <w:rsid w:val="00442740"/>
    <w:rsid w:val="00443CA4"/>
    <w:rsid w:val="00445026"/>
    <w:rsid w:val="004467EF"/>
    <w:rsid w:val="004501B6"/>
    <w:rsid w:val="00450476"/>
    <w:rsid w:val="00451B1E"/>
    <w:rsid w:val="0045397A"/>
    <w:rsid w:val="00455896"/>
    <w:rsid w:val="00456CB1"/>
    <w:rsid w:val="004604C9"/>
    <w:rsid w:val="00462205"/>
    <w:rsid w:val="004659FB"/>
    <w:rsid w:val="004679D3"/>
    <w:rsid w:val="00470766"/>
    <w:rsid w:val="00473609"/>
    <w:rsid w:val="0047387D"/>
    <w:rsid w:val="00473BBD"/>
    <w:rsid w:val="00474153"/>
    <w:rsid w:val="004757B7"/>
    <w:rsid w:val="00476332"/>
    <w:rsid w:val="004769C5"/>
    <w:rsid w:val="00476BC7"/>
    <w:rsid w:val="00477656"/>
    <w:rsid w:val="00482D68"/>
    <w:rsid w:val="004869C8"/>
    <w:rsid w:val="00486C63"/>
    <w:rsid w:val="00487FF9"/>
    <w:rsid w:val="00490A06"/>
    <w:rsid w:val="0049166A"/>
    <w:rsid w:val="0049352E"/>
    <w:rsid w:val="004935D8"/>
    <w:rsid w:val="00494459"/>
    <w:rsid w:val="0049573F"/>
    <w:rsid w:val="00496ED7"/>
    <w:rsid w:val="004A3003"/>
    <w:rsid w:val="004A3585"/>
    <w:rsid w:val="004A42B9"/>
    <w:rsid w:val="004A5252"/>
    <w:rsid w:val="004A5792"/>
    <w:rsid w:val="004A7CFA"/>
    <w:rsid w:val="004B0B23"/>
    <w:rsid w:val="004B2063"/>
    <w:rsid w:val="004B2B2C"/>
    <w:rsid w:val="004B33F7"/>
    <w:rsid w:val="004B3A7C"/>
    <w:rsid w:val="004B4DD8"/>
    <w:rsid w:val="004B631B"/>
    <w:rsid w:val="004B6957"/>
    <w:rsid w:val="004B7718"/>
    <w:rsid w:val="004B79D9"/>
    <w:rsid w:val="004B7D11"/>
    <w:rsid w:val="004C01A3"/>
    <w:rsid w:val="004C20DC"/>
    <w:rsid w:val="004C22A1"/>
    <w:rsid w:val="004C258E"/>
    <w:rsid w:val="004C31A7"/>
    <w:rsid w:val="004C385D"/>
    <w:rsid w:val="004C4103"/>
    <w:rsid w:val="004C6671"/>
    <w:rsid w:val="004C7B7A"/>
    <w:rsid w:val="004D30E9"/>
    <w:rsid w:val="004D656B"/>
    <w:rsid w:val="004D6A1A"/>
    <w:rsid w:val="004D6B20"/>
    <w:rsid w:val="004D78E9"/>
    <w:rsid w:val="004D7F9B"/>
    <w:rsid w:val="004E0715"/>
    <w:rsid w:val="004E1EE2"/>
    <w:rsid w:val="004E1F22"/>
    <w:rsid w:val="004E2788"/>
    <w:rsid w:val="004E3240"/>
    <w:rsid w:val="004E405C"/>
    <w:rsid w:val="004E484D"/>
    <w:rsid w:val="004E5F5D"/>
    <w:rsid w:val="004E79E5"/>
    <w:rsid w:val="004E7BBE"/>
    <w:rsid w:val="004F069C"/>
    <w:rsid w:val="004F286E"/>
    <w:rsid w:val="004F4308"/>
    <w:rsid w:val="004F43CF"/>
    <w:rsid w:val="004F447B"/>
    <w:rsid w:val="004F4C66"/>
    <w:rsid w:val="004F51DA"/>
    <w:rsid w:val="004F6ECE"/>
    <w:rsid w:val="004F7513"/>
    <w:rsid w:val="00500099"/>
    <w:rsid w:val="005003D2"/>
    <w:rsid w:val="005014B7"/>
    <w:rsid w:val="00503EB1"/>
    <w:rsid w:val="0050433B"/>
    <w:rsid w:val="005049BF"/>
    <w:rsid w:val="00505D70"/>
    <w:rsid w:val="00511493"/>
    <w:rsid w:val="00511789"/>
    <w:rsid w:val="00511BEB"/>
    <w:rsid w:val="00512085"/>
    <w:rsid w:val="00513376"/>
    <w:rsid w:val="0051368A"/>
    <w:rsid w:val="00513851"/>
    <w:rsid w:val="00515FF7"/>
    <w:rsid w:val="00516E5B"/>
    <w:rsid w:val="00517276"/>
    <w:rsid w:val="005202A3"/>
    <w:rsid w:val="005210F9"/>
    <w:rsid w:val="00521784"/>
    <w:rsid w:val="00522D44"/>
    <w:rsid w:val="0052339B"/>
    <w:rsid w:val="00523689"/>
    <w:rsid w:val="005237CB"/>
    <w:rsid w:val="00523F89"/>
    <w:rsid w:val="00523FCC"/>
    <w:rsid w:val="005244E2"/>
    <w:rsid w:val="00526942"/>
    <w:rsid w:val="005269CA"/>
    <w:rsid w:val="00530D52"/>
    <w:rsid w:val="00532299"/>
    <w:rsid w:val="00532CDE"/>
    <w:rsid w:val="00532EDB"/>
    <w:rsid w:val="00534300"/>
    <w:rsid w:val="0053499F"/>
    <w:rsid w:val="0053557E"/>
    <w:rsid w:val="00536AB9"/>
    <w:rsid w:val="005372F1"/>
    <w:rsid w:val="00541E77"/>
    <w:rsid w:val="00544E95"/>
    <w:rsid w:val="005462B4"/>
    <w:rsid w:val="00546501"/>
    <w:rsid w:val="00546BCA"/>
    <w:rsid w:val="005479AA"/>
    <w:rsid w:val="00547CC8"/>
    <w:rsid w:val="00551049"/>
    <w:rsid w:val="005523BE"/>
    <w:rsid w:val="00552EA6"/>
    <w:rsid w:val="0056048B"/>
    <w:rsid w:val="00560B43"/>
    <w:rsid w:val="00562E70"/>
    <w:rsid w:val="00564F3B"/>
    <w:rsid w:val="005654B2"/>
    <w:rsid w:val="005658D3"/>
    <w:rsid w:val="00566DC1"/>
    <w:rsid w:val="00570C56"/>
    <w:rsid w:val="00572AE4"/>
    <w:rsid w:val="00572AE5"/>
    <w:rsid w:val="0057347A"/>
    <w:rsid w:val="005746D2"/>
    <w:rsid w:val="00574E08"/>
    <w:rsid w:val="00574EAD"/>
    <w:rsid w:val="00580CB3"/>
    <w:rsid w:val="00582C49"/>
    <w:rsid w:val="00582D01"/>
    <w:rsid w:val="00584084"/>
    <w:rsid w:val="00585236"/>
    <w:rsid w:val="00585DDB"/>
    <w:rsid w:val="0058679B"/>
    <w:rsid w:val="005925CD"/>
    <w:rsid w:val="00593C90"/>
    <w:rsid w:val="005A22F9"/>
    <w:rsid w:val="005A2D8D"/>
    <w:rsid w:val="005A2F5F"/>
    <w:rsid w:val="005A466D"/>
    <w:rsid w:val="005A5914"/>
    <w:rsid w:val="005A5AED"/>
    <w:rsid w:val="005A67CB"/>
    <w:rsid w:val="005A79AE"/>
    <w:rsid w:val="005B14AE"/>
    <w:rsid w:val="005B30B5"/>
    <w:rsid w:val="005B41A7"/>
    <w:rsid w:val="005B43E1"/>
    <w:rsid w:val="005B51B6"/>
    <w:rsid w:val="005B6382"/>
    <w:rsid w:val="005C25E0"/>
    <w:rsid w:val="005C537B"/>
    <w:rsid w:val="005C62A2"/>
    <w:rsid w:val="005C62B3"/>
    <w:rsid w:val="005D04F3"/>
    <w:rsid w:val="005D0A01"/>
    <w:rsid w:val="005D0EF5"/>
    <w:rsid w:val="005D2019"/>
    <w:rsid w:val="005D7AC1"/>
    <w:rsid w:val="005E0980"/>
    <w:rsid w:val="005E23D7"/>
    <w:rsid w:val="005E33DC"/>
    <w:rsid w:val="005E5FAC"/>
    <w:rsid w:val="005E6D87"/>
    <w:rsid w:val="005E7874"/>
    <w:rsid w:val="005F00D9"/>
    <w:rsid w:val="005F1FB9"/>
    <w:rsid w:val="005F2FEB"/>
    <w:rsid w:val="005F3186"/>
    <w:rsid w:val="005F34F3"/>
    <w:rsid w:val="005F4A58"/>
    <w:rsid w:val="005F606E"/>
    <w:rsid w:val="005F73F5"/>
    <w:rsid w:val="005F7A73"/>
    <w:rsid w:val="006012D2"/>
    <w:rsid w:val="00601AC4"/>
    <w:rsid w:val="00602124"/>
    <w:rsid w:val="00602423"/>
    <w:rsid w:val="0060681B"/>
    <w:rsid w:val="006106F9"/>
    <w:rsid w:val="00610C48"/>
    <w:rsid w:val="0061131E"/>
    <w:rsid w:val="00615C1E"/>
    <w:rsid w:val="006171C4"/>
    <w:rsid w:val="00620F92"/>
    <w:rsid w:val="006224C6"/>
    <w:rsid w:val="00623924"/>
    <w:rsid w:val="006249CF"/>
    <w:rsid w:val="0062585B"/>
    <w:rsid w:val="00626566"/>
    <w:rsid w:val="00626D57"/>
    <w:rsid w:val="00634774"/>
    <w:rsid w:val="006353E2"/>
    <w:rsid w:val="00642304"/>
    <w:rsid w:val="00642582"/>
    <w:rsid w:val="00643DF8"/>
    <w:rsid w:val="0064456B"/>
    <w:rsid w:val="006447F9"/>
    <w:rsid w:val="00646C0F"/>
    <w:rsid w:val="00650540"/>
    <w:rsid w:val="0065358C"/>
    <w:rsid w:val="00654550"/>
    <w:rsid w:val="0065556A"/>
    <w:rsid w:val="0065728C"/>
    <w:rsid w:val="0065732A"/>
    <w:rsid w:val="006607E8"/>
    <w:rsid w:val="00662C86"/>
    <w:rsid w:val="0066561F"/>
    <w:rsid w:val="006659A3"/>
    <w:rsid w:val="00666D4F"/>
    <w:rsid w:val="006712D7"/>
    <w:rsid w:val="006724BF"/>
    <w:rsid w:val="00672927"/>
    <w:rsid w:val="00672A48"/>
    <w:rsid w:val="00674FBC"/>
    <w:rsid w:val="00676041"/>
    <w:rsid w:val="00680459"/>
    <w:rsid w:val="00682556"/>
    <w:rsid w:val="00684EAD"/>
    <w:rsid w:val="006856DE"/>
    <w:rsid w:val="00685C46"/>
    <w:rsid w:val="00691B40"/>
    <w:rsid w:val="00692B34"/>
    <w:rsid w:val="00693231"/>
    <w:rsid w:val="00693626"/>
    <w:rsid w:val="006936B1"/>
    <w:rsid w:val="006966CC"/>
    <w:rsid w:val="006A76C3"/>
    <w:rsid w:val="006B168E"/>
    <w:rsid w:val="006B5184"/>
    <w:rsid w:val="006B5A25"/>
    <w:rsid w:val="006B6173"/>
    <w:rsid w:val="006B6B9B"/>
    <w:rsid w:val="006B6CE6"/>
    <w:rsid w:val="006B7F21"/>
    <w:rsid w:val="006C0880"/>
    <w:rsid w:val="006C1B3D"/>
    <w:rsid w:val="006C2E62"/>
    <w:rsid w:val="006C353D"/>
    <w:rsid w:val="006C4D3F"/>
    <w:rsid w:val="006C6C86"/>
    <w:rsid w:val="006C73FE"/>
    <w:rsid w:val="006D0A68"/>
    <w:rsid w:val="006D160C"/>
    <w:rsid w:val="006D364A"/>
    <w:rsid w:val="006D3BD8"/>
    <w:rsid w:val="006D4521"/>
    <w:rsid w:val="006D4952"/>
    <w:rsid w:val="006D4EBB"/>
    <w:rsid w:val="006D566F"/>
    <w:rsid w:val="006D795A"/>
    <w:rsid w:val="006D7BC6"/>
    <w:rsid w:val="006E036F"/>
    <w:rsid w:val="006E07EB"/>
    <w:rsid w:val="006E1067"/>
    <w:rsid w:val="006E13DD"/>
    <w:rsid w:val="006E212B"/>
    <w:rsid w:val="006E2B49"/>
    <w:rsid w:val="006E3D7F"/>
    <w:rsid w:val="006E4B69"/>
    <w:rsid w:val="006E4B6B"/>
    <w:rsid w:val="006E586D"/>
    <w:rsid w:val="006E6F99"/>
    <w:rsid w:val="006E77A9"/>
    <w:rsid w:val="006F00BD"/>
    <w:rsid w:val="006F03A2"/>
    <w:rsid w:val="006F11CD"/>
    <w:rsid w:val="006F4860"/>
    <w:rsid w:val="006F4BBA"/>
    <w:rsid w:val="006F5CCD"/>
    <w:rsid w:val="006F5DE0"/>
    <w:rsid w:val="00701CFA"/>
    <w:rsid w:val="0070312A"/>
    <w:rsid w:val="0070386A"/>
    <w:rsid w:val="00704CE7"/>
    <w:rsid w:val="00705318"/>
    <w:rsid w:val="00705DDA"/>
    <w:rsid w:val="00706529"/>
    <w:rsid w:val="007073F5"/>
    <w:rsid w:val="007108A2"/>
    <w:rsid w:val="007119B7"/>
    <w:rsid w:val="00712A13"/>
    <w:rsid w:val="00713767"/>
    <w:rsid w:val="00713AEE"/>
    <w:rsid w:val="00714973"/>
    <w:rsid w:val="00715D90"/>
    <w:rsid w:val="00717DFE"/>
    <w:rsid w:val="007201EF"/>
    <w:rsid w:val="0072036E"/>
    <w:rsid w:val="007203BA"/>
    <w:rsid w:val="0072226C"/>
    <w:rsid w:val="0072250C"/>
    <w:rsid w:val="00724112"/>
    <w:rsid w:val="00725BA6"/>
    <w:rsid w:val="00727275"/>
    <w:rsid w:val="00730E7F"/>
    <w:rsid w:val="007331F0"/>
    <w:rsid w:val="0073392F"/>
    <w:rsid w:val="007339BA"/>
    <w:rsid w:val="007342E8"/>
    <w:rsid w:val="0073442A"/>
    <w:rsid w:val="007353E6"/>
    <w:rsid w:val="00735C67"/>
    <w:rsid w:val="007372B4"/>
    <w:rsid w:val="00740454"/>
    <w:rsid w:val="00742213"/>
    <w:rsid w:val="00742BDF"/>
    <w:rsid w:val="007433DF"/>
    <w:rsid w:val="00743799"/>
    <w:rsid w:val="00746C1C"/>
    <w:rsid w:val="007562E0"/>
    <w:rsid w:val="0075694C"/>
    <w:rsid w:val="00756DC4"/>
    <w:rsid w:val="00757C4D"/>
    <w:rsid w:val="007600AB"/>
    <w:rsid w:val="007618BB"/>
    <w:rsid w:val="007634FA"/>
    <w:rsid w:val="00763C05"/>
    <w:rsid w:val="007640C1"/>
    <w:rsid w:val="0076609A"/>
    <w:rsid w:val="00767989"/>
    <w:rsid w:val="00770C98"/>
    <w:rsid w:val="00771B24"/>
    <w:rsid w:val="00777219"/>
    <w:rsid w:val="007779B8"/>
    <w:rsid w:val="0078027A"/>
    <w:rsid w:val="00780E30"/>
    <w:rsid w:val="00783554"/>
    <w:rsid w:val="00785F05"/>
    <w:rsid w:val="00787233"/>
    <w:rsid w:val="007908AF"/>
    <w:rsid w:val="00790E68"/>
    <w:rsid w:val="00791D2D"/>
    <w:rsid w:val="00792024"/>
    <w:rsid w:val="00794BC0"/>
    <w:rsid w:val="00794DE1"/>
    <w:rsid w:val="007955AF"/>
    <w:rsid w:val="0079605E"/>
    <w:rsid w:val="007970BF"/>
    <w:rsid w:val="00797982"/>
    <w:rsid w:val="00797FD9"/>
    <w:rsid w:val="007A0293"/>
    <w:rsid w:val="007A164D"/>
    <w:rsid w:val="007A218D"/>
    <w:rsid w:val="007A337E"/>
    <w:rsid w:val="007A5C32"/>
    <w:rsid w:val="007A5C75"/>
    <w:rsid w:val="007A66C1"/>
    <w:rsid w:val="007B1EC9"/>
    <w:rsid w:val="007B216E"/>
    <w:rsid w:val="007B3FE0"/>
    <w:rsid w:val="007B5AEF"/>
    <w:rsid w:val="007B630A"/>
    <w:rsid w:val="007B63A6"/>
    <w:rsid w:val="007B653C"/>
    <w:rsid w:val="007B6A59"/>
    <w:rsid w:val="007C1A39"/>
    <w:rsid w:val="007C20AD"/>
    <w:rsid w:val="007C26E0"/>
    <w:rsid w:val="007C28F5"/>
    <w:rsid w:val="007C2D7E"/>
    <w:rsid w:val="007C3212"/>
    <w:rsid w:val="007C40CE"/>
    <w:rsid w:val="007C4C5D"/>
    <w:rsid w:val="007C5B14"/>
    <w:rsid w:val="007C5BB9"/>
    <w:rsid w:val="007D1DFF"/>
    <w:rsid w:val="007D49B0"/>
    <w:rsid w:val="007D5227"/>
    <w:rsid w:val="007E15BF"/>
    <w:rsid w:val="007E1B4C"/>
    <w:rsid w:val="007E3BBE"/>
    <w:rsid w:val="007E5393"/>
    <w:rsid w:val="007E5B52"/>
    <w:rsid w:val="007F05A8"/>
    <w:rsid w:val="007F0DEF"/>
    <w:rsid w:val="007F1D17"/>
    <w:rsid w:val="007F3135"/>
    <w:rsid w:val="007F3155"/>
    <w:rsid w:val="007F3527"/>
    <w:rsid w:val="007F3649"/>
    <w:rsid w:val="007F38D5"/>
    <w:rsid w:val="007F3C07"/>
    <w:rsid w:val="007F4069"/>
    <w:rsid w:val="007F595F"/>
    <w:rsid w:val="007F7190"/>
    <w:rsid w:val="00803E7A"/>
    <w:rsid w:val="00806107"/>
    <w:rsid w:val="008138FD"/>
    <w:rsid w:val="00821645"/>
    <w:rsid w:val="00822B02"/>
    <w:rsid w:val="00822BC0"/>
    <w:rsid w:val="00823C1B"/>
    <w:rsid w:val="00825165"/>
    <w:rsid w:val="008254B4"/>
    <w:rsid w:val="008276C9"/>
    <w:rsid w:val="00827BFB"/>
    <w:rsid w:val="008309F1"/>
    <w:rsid w:val="00830B7F"/>
    <w:rsid w:val="00832320"/>
    <w:rsid w:val="00833D89"/>
    <w:rsid w:val="00836DA5"/>
    <w:rsid w:val="008379AE"/>
    <w:rsid w:val="00840FCD"/>
    <w:rsid w:val="00841E78"/>
    <w:rsid w:val="0084442D"/>
    <w:rsid w:val="0084603F"/>
    <w:rsid w:val="00850A05"/>
    <w:rsid w:val="008522B4"/>
    <w:rsid w:val="0085636D"/>
    <w:rsid w:val="00856506"/>
    <w:rsid w:val="00856599"/>
    <w:rsid w:val="00857EC1"/>
    <w:rsid w:val="0086021E"/>
    <w:rsid w:val="00861F1B"/>
    <w:rsid w:val="00862347"/>
    <w:rsid w:val="008631A7"/>
    <w:rsid w:val="00864121"/>
    <w:rsid w:val="00864222"/>
    <w:rsid w:val="00866008"/>
    <w:rsid w:val="00867009"/>
    <w:rsid w:val="008711AD"/>
    <w:rsid w:val="0087271F"/>
    <w:rsid w:val="00874CFA"/>
    <w:rsid w:val="00875BAF"/>
    <w:rsid w:val="008771BE"/>
    <w:rsid w:val="008826EB"/>
    <w:rsid w:val="00884146"/>
    <w:rsid w:val="00890053"/>
    <w:rsid w:val="008909FF"/>
    <w:rsid w:val="008925E4"/>
    <w:rsid w:val="008949C1"/>
    <w:rsid w:val="008A0499"/>
    <w:rsid w:val="008A1826"/>
    <w:rsid w:val="008A3D63"/>
    <w:rsid w:val="008A4F21"/>
    <w:rsid w:val="008A564E"/>
    <w:rsid w:val="008A657A"/>
    <w:rsid w:val="008A7253"/>
    <w:rsid w:val="008B0F17"/>
    <w:rsid w:val="008B2356"/>
    <w:rsid w:val="008B595B"/>
    <w:rsid w:val="008B5CBE"/>
    <w:rsid w:val="008B60DC"/>
    <w:rsid w:val="008B73CB"/>
    <w:rsid w:val="008B764D"/>
    <w:rsid w:val="008B7CA2"/>
    <w:rsid w:val="008B7E1E"/>
    <w:rsid w:val="008C265D"/>
    <w:rsid w:val="008C2C10"/>
    <w:rsid w:val="008C3E4A"/>
    <w:rsid w:val="008C4205"/>
    <w:rsid w:val="008C5299"/>
    <w:rsid w:val="008C6010"/>
    <w:rsid w:val="008C76D1"/>
    <w:rsid w:val="008D1525"/>
    <w:rsid w:val="008D19BF"/>
    <w:rsid w:val="008D29A8"/>
    <w:rsid w:val="008D5E23"/>
    <w:rsid w:val="008D67C7"/>
    <w:rsid w:val="008D68BC"/>
    <w:rsid w:val="008D6B0D"/>
    <w:rsid w:val="008D6E69"/>
    <w:rsid w:val="008D7119"/>
    <w:rsid w:val="008D7B15"/>
    <w:rsid w:val="008E21E8"/>
    <w:rsid w:val="008E2254"/>
    <w:rsid w:val="008E22DA"/>
    <w:rsid w:val="008E30D2"/>
    <w:rsid w:val="008E3348"/>
    <w:rsid w:val="008E3B35"/>
    <w:rsid w:val="008E5349"/>
    <w:rsid w:val="008E5FCD"/>
    <w:rsid w:val="008E772F"/>
    <w:rsid w:val="008E7C0B"/>
    <w:rsid w:val="008F1046"/>
    <w:rsid w:val="008F2454"/>
    <w:rsid w:val="008F30AF"/>
    <w:rsid w:val="008F47AA"/>
    <w:rsid w:val="008F4D04"/>
    <w:rsid w:val="008F685A"/>
    <w:rsid w:val="008F77E0"/>
    <w:rsid w:val="0090089A"/>
    <w:rsid w:val="00902051"/>
    <w:rsid w:val="0090360C"/>
    <w:rsid w:val="009077D0"/>
    <w:rsid w:val="00907EFD"/>
    <w:rsid w:val="00907F57"/>
    <w:rsid w:val="00912BE3"/>
    <w:rsid w:val="0091336C"/>
    <w:rsid w:val="00913B80"/>
    <w:rsid w:val="00914B1E"/>
    <w:rsid w:val="00917DC0"/>
    <w:rsid w:val="00920326"/>
    <w:rsid w:val="0092122C"/>
    <w:rsid w:val="00921EA5"/>
    <w:rsid w:val="00922145"/>
    <w:rsid w:val="00922194"/>
    <w:rsid w:val="00922783"/>
    <w:rsid w:val="00923B27"/>
    <w:rsid w:val="00924E9A"/>
    <w:rsid w:val="009250A8"/>
    <w:rsid w:val="00926020"/>
    <w:rsid w:val="00930665"/>
    <w:rsid w:val="00930E4F"/>
    <w:rsid w:val="00932E41"/>
    <w:rsid w:val="0093595C"/>
    <w:rsid w:val="00936894"/>
    <w:rsid w:val="009402E3"/>
    <w:rsid w:val="00940305"/>
    <w:rsid w:val="00941AFD"/>
    <w:rsid w:val="00941B52"/>
    <w:rsid w:val="009438FC"/>
    <w:rsid w:val="0094437C"/>
    <w:rsid w:val="00945F4C"/>
    <w:rsid w:val="00947ADD"/>
    <w:rsid w:val="00951498"/>
    <w:rsid w:val="00955672"/>
    <w:rsid w:val="009575F0"/>
    <w:rsid w:val="009602A5"/>
    <w:rsid w:val="00960C90"/>
    <w:rsid w:val="00962428"/>
    <w:rsid w:val="00964E67"/>
    <w:rsid w:val="00965DD9"/>
    <w:rsid w:val="009664FC"/>
    <w:rsid w:val="00967E82"/>
    <w:rsid w:val="00973A61"/>
    <w:rsid w:val="00973B21"/>
    <w:rsid w:val="00974352"/>
    <w:rsid w:val="00974BF5"/>
    <w:rsid w:val="00975BD6"/>
    <w:rsid w:val="00975CCB"/>
    <w:rsid w:val="0097641F"/>
    <w:rsid w:val="009769F5"/>
    <w:rsid w:val="00976DB2"/>
    <w:rsid w:val="00977445"/>
    <w:rsid w:val="00980EE9"/>
    <w:rsid w:val="00984B5B"/>
    <w:rsid w:val="00985297"/>
    <w:rsid w:val="00987291"/>
    <w:rsid w:val="00991B63"/>
    <w:rsid w:val="00991FAF"/>
    <w:rsid w:val="0099203A"/>
    <w:rsid w:val="00992526"/>
    <w:rsid w:val="0099483B"/>
    <w:rsid w:val="009957AE"/>
    <w:rsid w:val="00997983"/>
    <w:rsid w:val="009A0D01"/>
    <w:rsid w:val="009A178A"/>
    <w:rsid w:val="009A3CB2"/>
    <w:rsid w:val="009A5BBB"/>
    <w:rsid w:val="009A63F4"/>
    <w:rsid w:val="009B0F53"/>
    <w:rsid w:val="009B25D5"/>
    <w:rsid w:val="009B2C0F"/>
    <w:rsid w:val="009B4050"/>
    <w:rsid w:val="009B4563"/>
    <w:rsid w:val="009B530B"/>
    <w:rsid w:val="009B58C2"/>
    <w:rsid w:val="009C0A44"/>
    <w:rsid w:val="009C1FEF"/>
    <w:rsid w:val="009C34FE"/>
    <w:rsid w:val="009C3E28"/>
    <w:rsid w:val="009C4291"/>
    <w:rsid w:val="009C4485"/>
    <w:rsid w:val="009C577B"/>
    <w:rsid w:val="009C6E96"/>
    <w:rsid w:val="009D0360"/>
    <w:rsid w:val="009D0C6A"/>
    <w:rsid w:val="009D1C9A"/>
    <w:rsid w:val="009D2283"/>
    <w:rsid w:val="009D3477"/>
    <w:rsid w:val="009D3E84"/>
    <w:rsid w:val="009D4C09"/>
    <w:rsid w:val="009E091E"/>
    <w:rsid w:val="009E3908"/>
    <w:rsid w:val="009E4B99"/>
    <w:rsid w:val="009E50BD"/>
    <w:rsid w:val="009E544A"/>
    <w:rsid w:val="009E580D"/>
    <w:rsid w:val="009F0061"/>
    <w:rsid w:val="009F0314"/>
    <w:rsid w:val="009F0F85"/>
    <w:rsid w:val="009F1C00"/>
    <w:rsid w:val="009F24DE"/>
    <w:rsid w:val="009F3A4E"/>
    <w:rsid w:val="009F418A"/>
    <w:rsid w:val="009F61BA"/>
    <w:rsid w:val="009F7F2F"/>
    <w:rsid w:val="00A0077E"/>
    <w:rsid w:val="00A00C60"/>
    <w:rsid w:val="00A04B67"/>
    <w:rsid w:val="00A053F9"/>
    <w:rsid w:val="00A05966"/>
    <w:rsid w:val="00A10783"/>
    <w:rsid w:val="00A119A3"/>
    <w:rsid w:val="00A128F8"/>
    <w:rsid w:val="00A12C2E"/>
    <w:rsid w:val="00A13A22"/>
    <w:rsid w:val="00A141DE"/>
    <w:rsid w:val="00A20273"/>
    <w:rsid w:val="00A204D0"/>
    <w:rsid w:val="00A220F8"/>
    <w:rsid w:val="00A222E6"/>
    <w:rsid w:val="00A25537"/>
    <w:rsid w:val="00A260AB"/>
    <w:rsid w:val="00A278CF"/>
    <w:rsid w:val="00A30986"/>
    <w:rsid w:val="00A34747"/>
    <w:rsid w:val="00A354F1"/>
    <w:rsid w:val="00A3755E"/>
    <w:rsid w:val="00A37CA6"/>
    <w:rsid w:val="00A40C90"/>
    <w:rsid w:val="00A43C5C"/>
    <w:rsid w:val="00A4408D"/>
    <w:rsid w:val="00A458F6"/>
    <w:rsid w:val="00A4647B"/>
    <w:rsid w:val="00A507AE"/>
    <w:rsid w:val="00A50935"/>
    <w:rsid w:val="00A53AF4"/>
    <w:rsid w:val="00A55A08"/>
    <w:rsid w:val="00A55AC3"/>
    <w:rsid w:val="00A55F29"/>
    <w:rsid w:val="00A57E78"/>
    <w:rsid w:val="00A60148"/>
    <w:rsid w:val="00A60521"/>
    <w:rsid w:val="00A6179E"/>
    <w:rsid w:val="00A61E46"/>
    <w:rsid w:val="00A61EA7"/>
    <w:rsid w:val="00A61F77"/>
    <w:rsid w:val="00A62BF7"/>
    <w:rsid w:val="00A64312"/>
    <w:rsid w:val="00A64F4E"/>
    <w:rsid w:val="00A65769"/>
    <w:rsid w:val="00A65FE5"/>
    <w:rsid w:val="00A66113"/>
    <w:rsid w:val="00A6650E"/>
    <w:rsid w:val="00A677E0"/>
    <w:rsid w:val="00A67F96"/>
    <w:rsid w:val="00A7154F"/>
    <w:rsid w:val="00A715A8"/>
    <w:rsid w:val="00A72A03"/>
    <w:rsid w:val="00A73082"/>
    <w:rsid w:val="00A732AF"/>
    <w:rsid w:val="00A759FF"/>
    <w:rsid w:val="00A82424"/>
    <w:rsid w:val="00A85D2E"/>
    <w:rsid w:val="00A867EC"/>
    <w:rsid w:val="00A868DC"/>
    <w:rsid w:val="00A91523"/>
    <w:rsid w:val="00A96814"/>
    <w:rsid w:val="00A97784"/>
    <w:rsid w:val="00AA1C54"/>
    <w:rsid w:val="00AA2693"/>
    <w:rsid w:val="00AA27BC"/>
    <w:rsid w:val="00AA2AED"/>
    <w:rsid w:val="00AA567D"/>
    <w:rsid w:val="00AB035D"/>
    <w:rsid w:val="00AB3D89"/>
    <w:rsid w:val="00AB3F47"/>
    <w:rsid w:val="00AB45A0"/>
    <w:rsid w:val="00AC0D3B"/>
    <w:rsid w:val="00AC2A40"/>
    <w:rsid w:val="00AC2CFE"/>
    <w:rsid w:val="00AC35BB"/>
    <w:rsid w:val="00AC373D"/>
    <w:rsid w:val="00AC3F07"/>
    <w:rsid w:val="00AC3F41"/>
    <w:rsid w:val="00AC467F"/>
    <w:rsid w:val="00AC4925"/>
    <w:rsid w:val="00AC50E9"/>
    <w:rsid w:val="00AC5EA7"/>
    <w:rsid w:val="00AC7124"/>
    <w:rsid w:val="00AD0561"/>
    <w:rsid w:val="00AD2C5D"/>
    <w:rsid w:val="00AD522A"/>
    <w:rsid w:val="00AD52AB"/>
    <w:rsid w:val="00AD5920"/>
    <w:rsid w:val="00AD651D"/>
    <w:rsid w:val="00AE1177"/>
    <w:rsid w:val="00AE1D79"/>
    <w:rsid w:val="00AE22C7"/>
    <w:rsid w:val="00AE2659"/>
    <w:rsid w:val="00AF0366"/>
    <w:rsid w:val="00AF13B4"/>
    <w:rsid w:val="00AF1484"/>
    <w:rsid w:val="00AF350A"/>
    <w:rsid w:val="00AF69CA"/>
    <w:rsid w:val="00B00BE4"/>
    <w:rsid w:val="00B03730"/>
    <w:rsid w:val="00B03CCB"/>
    <w:rsid w:val="00B0749F"/>
    <w:rsid w:val="00B07607"/>
    <w:rsid w:val="00B10332"/>
    <w:rsid w:val="00B10BD2"/>
    <w:rsid w:val="00B13E99"/>
    <w:rsid w:val="00B14651"/>
    <w:rsid w:val="00B14B4D"/>
    <w:rsid w:val="00B1782E"/>
    <w:rsid w:val="00B21902"/>
    <w:rsid w:val="00B22B2F"/>
    <w:rsid w:val="00B26335"/>
    <w:rsid w:val="00B26DCE"/>
    <w:rsid w:val="00B30F14"/>
    <w:rsid w:val="00B31C3D"/>
    <w:rsid w:val="00B322A6"/>
    <w:rsid w:val="00B349FD"/>
    <w:rsid w:val="00B40625"/>
    <w:rsid w:val="00B416BE"/>
    <w:rsid w:val="00B416E1"/>
    <w:rsid w:val="00B443A6"/>
    <w:rsid w:val="00B503F0"/>
    <w:rsid w:val="00B508AA"/>
    <w:rsid w:val="00B53D58"/>
    <w:rsid w:val="00B54BFB"/>
    <w:rsid w:val="00B56FC3"/>
    <w:rsid w:val="00B57409"/>
    <w:rsid w:val="00B57478"/>
    <w:rsid w:val="00B60D57"/>
    <w:rsid w:val="00B65A86"/>
    <w:rsid w:val="00B661F0"/>
    <w:rsid w:val="00B668B6"/>
    <w:rsid w:val="00B66934"/>
    <w:rsid w:val="00B707F7"/>
    <w:rsid w:val="00B71B72"/>
    <w:rsid w:val="00B73A4B"/>
    <w:rsid w:val="00B73A59"/>
    <w:rsid w:val="00B75933"/>
    <w:rsid w:val="00B76CFE"/>
    <w:rsid w:val="00B8097D"/>
    <w:rsid w:val="00B832D2"/>
    <w:rsid w:val="00B84760"/>
    <w:rsid w:val="00B867C6"/>
    <w:rsid w:val="00B86CDF"/>
    <w:rsid w:val="00B8738F"/>
    <w:rsid w:val="00B8740E"/>
    <w:rsid w:val="00B87558"/>
    <w:rsid w:val="00B87FB6"/>
    <w:rsid w:val="00B90D07"/>
    <w:rsid w:val="00B967AD"/>
    <w:rsid w:val="00B969F9"/>
    <w:rsid w:val="00B97007"/>
    <w:rsid w:val="00B979F4"/>
    <w:rsid w:val="00B97DB8"/>
    <w:rsid w:val="00BA12D6"/>
    <w:rsid w:val="00BA3A0A"/>
    <w:rsid w:val="00BA5A99"/>
    <w:rsid w:val="00BA5F87"/>
    <w:rsid w:val="00BA6DDA"/>
    <w:rsid w:val="00BA6F6C"/>
    <w:rsid w:val="00BA796A"/>
    <w:rsid w:val="00BB07D4"/>
    <w:rsid w:val="00BB0A46"/>
    <w:rsid w:val="00BB2008"/>
    <w:rsid w:val="00BB2D61"/>
    <w:rsid w:val="00BB5D9F"/>
    <w:rsid w:val="00BB6B4A"/>
    <w:rsid w:val="00BB7751"/>
    <w:rsid w:val="00BC0C6F"/>
    <w:rsid w:val="00BC454D"/>
    <w:rsid w:val="00BC6656"/>
    <w:rsid w:val="00BD1A2E"/>
    <w:rsid w:val="00BD6572"/>
    <w:rsid w:val="00BD7421"/>
    <w:rsid w:val="00BE1600"/>
    <w:rsid w:val="00BE1F3C"/>
    <w:rsid w:val="00BF5425"/>
    <w:rsid w:val="00BF6444"/>
    <w:rsid w:val="00BF67FB"/>
    <w:rsid w:val="00BF6802"/>
    <w:rsid w:val="00BF74E0"/>
    <w:rsid w:val="00C00314"/>
    <w:rsid w:val="00C018EC"/>
    <w:rsid w:val="00C02388"/>
    <w:rsid w:val="00C03FFF"/>
    <w:rsid w:val="00C04F0A"/>
    <w:rsid w:val="00C052C5"/>
    <w:rsid w:val="00C05710"/>
    <w:rsid w:val="00C07F22"/>
    <w:rsid w:val="00C11B2D"/>
    <w:rsid w:val="00C13088"/>
    <w:rsid w:val="00C1358C"/>
    <w:rsid w:val="00C14C8D"/>
    <w:rsid w:val="00C152E7"/>
    <w:rsid w:val="00C20BB5"/>
    <w:rsid w:val="00C256C7"/>
    <w:rsid w:val="00C26774"/>
    <w:rsid w:val="00C275CF"/>
    <w:rsid w:val="00C27DCB"/>
    <w:rsid w:val="00C30632"/>
    <w:rsid w:val="00C31880"/>
    <w:rsid w:val="00C31F01"/>
    <w:rsid w:val="00C32148"/>
    <w:rsid w:val="00C34313"/>
    <w:rsid w:val="00C34FE5"/>
    <w:rsid w:val="00C3669A"/>
    <w:rsid w:val="00C424F0"/>
    <w:rsid w:val="00C43CB9"/>
    <w:rsid w:val="00C44ABD"/>
    <w:rsid w:val="00C45603"/>
    <w:rsid w:val="00C45E0F"/>
    <w:rsid w:val="00C46768"/>
    <w:rsid w:val="00C470DC"/>
    <w:rsid w:val="00C476FC"/>
    <w:rsid w:val="00C52579"/>
    <w:rsid w:val="00C53C3F"/>
    <w:rsid w:val="00C53CA5"/>
    <w:rsid w:val="00C5648E"/>
    <w:rsid w:val="00C57C3A"/>
    <w:rsid w:val="00C62C0D"/>
    <w:rsid w:val="00C643D7"/>
    <w:rsid w:val="00C65E28"/>
    <w:rsid w:val="00C663CA"/>
    <w:rsid w:val="00C671E0"/>
    <w:rsid w:val="00C7182D"/>
    <w:rsid w:val="00C72376"/>
    <w:rsid w:val="00C731A1"/>
    <w:rsid w:val="00C745FF"/>
    <w:rsid w:val="00C77CCF"/>
    <w:rsid w:val="00C80433"/>
    <w:rsid w:val="00C811A4"/>
    <w:rsid w:val="00C8224E"/>
    <w:rsid w:val="00C8271D"/>
    <w:rsid w:val="00C82774"/>
    <w:rsid w:val="00C84D65"/>
    <w:rsid w:val="00C85753"/>
    <w:rsid w:val="00C8596E"/>
    <w:rsid w:val="00C86A6E"/>
    <w:rsid w:val="00C86BDC"/>
    <w:rsid w:val="00C8750D"/>
    <w:rsid w:val="00C87856"/>
    <w:rsid w:val="00C90FEA"/>
    <w:rsid w:val="00C927F3"/>
    <w:rsid w:val="00C94842"/>
    <w:rsid w:val="00C963DB"/>
    <w:rsid w:val="00C973E5"/>
    <w:rsid w:val="00C9779A"/>
    <w:rsid w:val="00C97C91"/>
    <w:rsid w:val="00CA00F9"/>
    <w:rsid w:val="00CA3772"/>
    <w:rsid w:val="00CA50BF"/>
    <w:rsid w:val="00CA5DB1"/>
    <w:rsid w:val="00CA5FF7"/>
    <w:rsid w:val="00CB0640"/>
    <w:rsid w:val="00CB1FBF"/>
    <w:rsid w:val="00CB573D"/>
    <w:rsid w:val="00CB665D"/>
    <w:rsid w:val="00CB793D"/>
    <w:rsid w:val="00CC1787"/>
    <w:rsid w:val="00CC3961"/>
    <w:rsid w:val="00CC4699"/>
    <w:rsid w:val="00CC5071"/>
    <w:rsid w:val="00CC58EC"/>
    <w:rsid w:val="00CC5DE2"/>
    <w:rsid w:val="00CC7AF8"/>
    <w:rsid w:val="00CC7B14"/>
    <w:rsid w:val="00CC7F37"/>
    <w:rsid w:val="00CD01A7"/>
    <w:rsid w:val="00CD02F6"/>
    <w:rsid w:val="00CD2C95"/>
    <w:rsid w:val="00CD4722"/>
    <w:rsid w:val="00CD4ED1"/>
    <w:rsid w:val="00CD5458"/>
    <w:rsid w:val="00CD68CC"/>
    <w:rsid w:val="00CD7C55"/>
    <w:rsid w:val="00CE0079"/>
    <w:rsid w:val="00CE07F5"/>
    <w:rsid w:val="00CE34C8"/>
    <w:rsid w:val="00CE73DD"/>
    <w:rsid w:val="00CF2067"/>
    <w:rsid w:val="00CF2F85"/>
    <w:rsid w:val="00CF4106"/>
    <w:rsid w:val="00CF425E"/>
    <w:rsid w:val="00CF644B"/>
    <w:rsid w:val="00CF7EF1"/>
    <w:rsid w:val="00D002EE"/>
    <w:rsid w:val="00D00C43"/>
    <w:rsid w:val="00D015F4"/>
    <w:rsid w:val="00D01F53"/>
    <w:rsid w:val="00D02706"/>
    <w:rsid w:val="00D04C95"/>
    <w:rsid w:val="00D063AE"/>
    <w:rsid w:val="00D0647D"/>
    <w:rsid w:val="00D077EB"/>
    <w:rsid w:val="00D10609"/>
    <w:rsid w:val="00D10A50"/>
    <w:rsid w:val="00D13102"/>
    <w:rsid w:val="00D138C8"/>
    <w:rsid w:val="00D200B8"/>
    <w:rsid w:val="00D20A8A"/>
    <w:rsid w:val="00D21C69"/>
    <w:rsid w:val="00D2337C"/>
    <w:rsid w:val="00D24146"/>
    <w:rsid w:val="00D24BFD"/>
    <w:rsid w:val="00D262BC"/>
    <w:rsid w:val="00D26F66"/>
    <w:rsid w:val="00D30086"/>
    <w:rsid w:val="00D30D45"/>
    <w:rsid w:val="00D324C8"/>
    <w:rsid w:val="00D36681"/>
    <w:rsid w:val="00D41681"/>
    <w:rsid w:val="00D426D5"/>
    <w:rsid w:val="00D43353"/>
    <w:rsid w:val="00D4545E"/>
    <w:rsid w:val="00D46290"/>
    <w:rsid w:val="00D4647B"/>
    <w:rsid w:val="00D465DB"/>
    <w:rsid w:val="00D467FC"/>
    <w:rsid w:val="00D4777B"/>
    <w:rsid w:val="00D503A0"/>
    <w:rsid w:val="00D5058D"/>
    <w:rsid w:val="00D50709"/>
    <w:rsid w:val="00D50FEF"/>
    <w:rsid w:val="00D51B82"/>
    <w:rsid w:val="00D52383"/>
    <w:rsid w:val="00D523DB"/>
    <w:rsid w:val="00D53AD0"/>
    <w:rsid w:val="00D5557A"/>
    <w:rsid w:val="00D56A07"/>
    <w:rsid w:val="00D60103"/>
    <w:rsid w:val="00D605BC"/>
    <w:rsid w:val="00D60BE7"/>
    <w:rsid w:val="00D61174"/>
    <w:rsid w:val="00D628CE"/>
    <w:rsid w:val="00D66B4C"/>
    <w:rsid w:val="00D701EF"/>
    <w:rsid w:val="00D737AC"/>
    <w:rsid w:val="00D74D89"/>
    <w:rsid w:val="00D7714C"/>
    <w:rsid w:val="00D85080"/>
    <w:rsid w:val="00D8515B"/>
    <w:rsid w:val="00D85763"/>
    <w:rsid w:val="00D85C16"/>
    <w:rsid w:val="00D86F84"/>
    <w:rsid w:val="00D9010E"/>
    <w:rsid w:val="00D9081E"/>
    <w:rsid w:val="00D91F2E"/>
    <w:rsid w:val="00D92A8D"/>
    <w:rsid w:val="00D93187"/>
    <w:rsid w:val="00D9721F"/>
    <w:rsid w:val="00DA0E7A"/>
    <w:rsid w:val="00DA201C"/>
    <w:rsid w:val="00DA28F2"/>
    <w:rsid w:val="00DA2B0F"/>
    <w:rsid w:val="00DB2957"/>
    <w:rsid w:val="00DB4CA4"/>
    <w:rsid w:val="00DB598B"/>
    <w:rsid w:val="00DB6873"/>
    <w:rsid w:val="00DC135A"/>
    <w:rsid w:val="00DC223A"/>
    <w:rsid w:val="00DC2E85"/>
    <w:rsid w:val="00DC338C"/>
    <w:rsid w:val="00DC3D7E"/>
    <w:rsid w:val="00DC4103"/>
    <w:rsid w:val="00DC4C11"/>
    <w:rsid w:val="00DC6F20"/>
    <w:rsid w:val="00DD05AE"/>
    <w:rsid w:val="00DD0A47"/>
    <w:rsid w:val="00DD2947"/>
    <w:rsid w:val="00DD297E"/>
    <w:rsid w:val="00DD49D9"/>
    <w:rsid w:val="00DD4D1C"/>
    <w:rsid w:val="00DD7693"/>
    <w:rsid w:val="00DD7ADE"/>
    <w:rsid w:val="00DE01D5"/>
    <w:rsid w:val="00DE160C"/>
    <w:rsid w:val="00DE3213"/>
    <w:rsid w:val="00DE47AF"/>
    <w:rsid w:val="00DE7ED6"/>
    <w:rsid w:val="00DF01AE"/>
    <w:rsid w:val="00DF04B4"/>
    <w:rsid w:val="00DF0B3C"/>
    <w:rsid w:val="00DF235B"/>
    <w:rsid w:val="00DF2C78"/>
    <w:rsid w:val="00DF337D"/>
    <w:rsid w:val="00DF5B5F"/>
    <w:rsid w:val="00DF63AB"/>
    <w:rsid w:val="00DF6BEA"/>
    <w:rsid w:val="00DF71EC"/>
    <w:rsid w:val="00E038B1"/>
    <w:rsid w:val="00E03E42"/>
    <w:rsid w:val="00E10F2C"/>
    <w:rsid w:val="00E136AF"/>
    <w:rsid w:val="00E13F4C"/>
    <w:rsid w:val="00E14A5B"/>
    <w:rsid w:val="00E16ACA"/>
    <w:rsid w:val="00E16CC2"/>
    <w:rsid w:val="00E20B4C"/>
    <w:rsid w:val="00E21DEB"/>
    <w:rsid w:val="00E245EF"/>
    <w:rsid w:val="00E273F1"/>
    <w:rsid w:val="00E30A5E"/>
    <w:rsid w:val="00E31144"/>
    <w:rsid w:val="00E31E58"/>
    <w:rsid w:val="00E33EE2"/>
    <w:rsid w:val="00E33F66"/>
    <w:rsid w:val="00E341A6"/>
    <w:rsid w:val="00E34D13"/>
    <w:rsid w:val="00E34DB3"/>
    <w:rsid w:val="00E36246"/>
    <w:rsid w:val="00E3679A"/>
    <w:rsid w:val="00E36C4E"/>
    <w:rsid w:val="00E407E3"/>
    <w:rsid w:val="00E447B4"/>
    <w:rsid w:val="00E44C74"/>
    <w:rsid w:val="00E45712"/>
    <w:rsid w:val="00E458FE"/>
    <w:rsid w:val="00E45FD3"/>
    <w:rsid w:val="00E46022"/>
    <w:rsid w:val="00E47986"/>
    <w:rsid w:val="00E54E6D"/>
    <w:rsid w:val="00E573F7"/>
    <w:rsid w:val="00E57467"/>
    <w:rsid w:val="00E61D59"/>
    <w:rsid w:val="00E61F97"/>
    <w:rsid w:val="00E62A52"/>
    <w:rsid w:val="00E63851"/>
    <w:rsid w:val="00E658BC"/>
    <w:rsid w:val="00E6740B"/>
    <w:rsid w:val="00E67ABB"/>
    <w:rsid w:val="00E71658"/>
    <w:rsid w:val="00E71ADC"/>
    <w:rsid w:val="00E73E1F"/>
    <w:rsid w:val="00E74ED7"/>
    <w:rsid w:val="00E75A66"/>
    <w:rsid w:val="00E76407"/>
    <w:rsid w:val="00E76B37"/>
    <w:rsid w:val="00E76D2D"/>
    <w:rsid w:val="00E76EBB"/>
    <w:rsid w:val="00E7727F"/>
    <w:rsid w:val="00E80643"/>
    <w:rsid w:val="00E8322F"/>
    <w:rsid w:val="00E84B9D"/>
    <w:rsid w:val="00E90DE7"/>
    <w:rsid w:val="00E90F54"/>
    <w:rsid w:val="00E921B7"/>
    <w:rsid w:val="00E94943"/>
    <w:rsid w:val="00E957E6"/>
    <w:rsid w:val="00EA0357"/>
    <w:rsid w:val="00EA28AF"/>
    <w:rsid w:val="00EA2C97"/>
    <w:rsid w:val="00EA5D6D"/>
    <w:rsid w:val="00EA60F6"/>
    <w:rsid w:val="00EA6298"/>
    <w:rsid w:val="00EA6669"/>
    <w:rsid w:val="00EB0D85"/>
    <w:rsid w:val="00EB1547"/>
    <w:rsid w:val="00EB172A"/>
    <w:rsid w:val="00EB2104"/>
    <w:rsid w:val="00EB28B5"/>
    <w:rsid w:val="00EB492B"/>
    <w:rsid w:val="00EB50D1"/>
    <w:rsid w:val="00EB6D3C"/>
    <w:rsid w:val="00EB72F9"/>
    <w:rsid w:val="00EC0599"/>
    <w:rsid w:val="00EC077F"/>
    <w:rsid w:val="00EC0793"/>
    <w:rsid w:val="00EC2634"/>
    <w:rsid w:val="00EC31C0"/>
    <w:rsid w:val="00EC51E1"/>
    <w:rsid w:val="00EC5403"/>
    <w:rsid w:val="00EC56FB"/>
    <w:rsid w:val="00EC657F"/>
    <w:rsid w:val="00ED23B5"/>
    <w:rsid w:val="00ED2680"/>
    <w:rsid w:val="00ED3A74"/>
    <w:rsid w:val="00ED3C17"/>
    <w:rsid w:val="00ED451D"/>
    <w:rsid w:val="00ED4A0A"/>
    <w:rsid w:val="00ED4D51"/>
    <w:rsid w:val="00ED5104"/>
    <w:rsid w:val="00ED55DC"/>
    <w:rsid w:val="00ED5805"/>
    <w:rsid w:val="00ED799F"/>
    <w:rsid w:val="00ED7B71"/>
    <w:rsid w:val="00ED7C1C"/>
    <w:rsid w:val="00EE04A4"/>
    <w:rsid w:val="00EE4D85"/>
    <w:rsid w:val="00EE5A78"/>
    <w:rsid w:val="00EF0BD6"/>
    <w:rsid w:val="00EF0FFF"/>
    <w:rsid w:val="00EF106E"/>
    <w:rsid w:val="00EF4355"/>
    <w:rsid w:val="00EF5EF0"/>
    <w:rsid w:val="00EF7CAC"/>
    <w:rsid w:val="00F008D4"/>
    <w:rsid w:val="00F00C3A"/>
    <w:rsid w:val="00F021A9"/>
    <w:rsid w:val="00F027C8"/>
    <w:rsid w:val="00F04BAF"/>
    <w:rsid w:val="00F075B3"/>
    <w:rsid w:val="00F076AE"/>
    <w:rsid w:val="00F10AFA"/>
    <w:rsid w:val="00F10D88"/>
    <w:rsid w:val="00F10E05"/>
    <w:rsid w:val="00F114D6"/>
    <w:rsid w:val="00F11A77"/>
    <w:rsid w:val="00F11FEF"/>
    <w:rsid w:val="00F1277F"/>
    <w:rsid w:val="00F12D38"/>
    <w:rsid w:val="00F21DA3"/>
    <w:rsid w:val="00F2529F"/>
    <w:rsid w:val="00F3043D"/>
    <w:rsid w:val="00F3103A"/>
    <w:rsid w:val="00F3282B"/>
    <w:rsid w:val="00F371D8"/>
    <w:rsid w:val="00F41991"/>
    <w:rsid w:val="00F41FA7"/>
    <w:rsid w:val="00F4227C"/>
    <w:rsid w:val="00F42B5C"/>
    <w:rsid w:val="00F43A49"/>
    <w:rsid w:val="00F44242"/>
    <w:rsid w:val="00F44612"/>
    <w:rsid w:val="00F45766"/>
    <w:rsid w:val="00F5063C"/>
    <w:rsid w:val="00F50B72"/>
    <w:rsid w:val="00F53CB9"/>
    <w:rsid w:val="00F56B98"/>
    <w:rsid w:val="00F57CCC"/>
    <w:rsid w:val="00F6016F"/>
    <w:rsid w:val="00F605C6"/>
    <w:rsid w:val="00F614CF"/>
    <w:rsid w:val="00F615E3"/>
    <w:rsid w:val="00F62AC0"/>
    <w:rsid w:val="00F63037"/>
    <w:rsid w:val="00F636AE"/>
    <w:rsid w:val="00F64031"/>
    <w:rsid w:val="00F64427"/>
    <w:rsid w:val="00F677C3"/>
    <w:rsid w:val="00F704DE"/>
    <w:rsid w:val="00F70D06"/>
    <w:rsid w:val="00F71E7C"/>
    <w:rsid w:val="00F76CEC"/>
    <w:rsid w:val="00F776C7"/>
    <w:rsid w:val="00F778A7"/>
    <w:rsid w:val="00F80529"/>
    <w:rsid w:val="00F8262B"/>
    <w:rsid w:val="00F82B6A"/>
    <w:rsid w:val="00F857DD"/>
    <w:rsid w:val="00F863B1"/>
    <w:rsid w:val="00F90787"/>
    <w:rsid w:val="00F913AB"/>
    <w:rsid w:val="00F937AE"/>
    <w:rsid w:val="00F94F16"/>
    <w:rsid w:val="00F96035"/>
    <w:rsid w:val="00FA0CF4"/>
    <w:rsid w:val="00FA30EA"/>
    <w:rsid w:val="00FA3498"/>
    <w:rsid w:val="00FA53FD"/>
    <w:rsid w:val="00FA5BBE"/>
    <w:rsid w:val="00FA6190"/>
    <w:rsid w:val="00FA67EC"/>
    <w:rsid w:val="00FA6893"/>
    <w:rsid w:val="00FA6A45"/>
    <w:rsid w:val="00FA6E34"/>
    <w:rsid w:val="00FA70EF"/>
    <w:rsid w:val="00FA7CF1"/>
    <w:rsid w:val="00FB180F"/>
    <w:rsid w:val="00FB40E4"/>
    <w:rsid w:val="00FB5C59"/>
    <w:rsid w:val="00FC42EB"/>
    <w:rsid w:val="00FC74E8"/>
    <w:rsid w:val="00FD07E5"/>
    <w:rsid w:val="00FD283E"/>
    <w:rsid w:val="00FD47E4"/>
    <w:rsid w:val="00FD515A"/>
    <w:rsid w:val="00FD7C1B"/>
    <w:rsid w:val="00FE003D"/>
    <w:rsid w:val="00FE2A31"/>
    <w:rsid w:val="00FE359B"/>
    <w:rsid w:val="00FF00C6"/>
    <w:rsid w:val="00FF02C4"/>
    <w:rsid w:val="00FF05F6"/>
    <w:rsid w:val="00FF0BC1"/>
    <w:rsid w:val="00FF24F0"/>
    <w:rsid w:val="00FF2F09"/>
    <w:rsid w:val="00FF37BA"/>
    <w:rsid w:val="00FF5793"/>
    <w:rsid w:val="00FF5852"/>
    <w:rsid w:val="00FF698E"/>
    <w:rsid w:val="00FF756B"/>
    <w:rsid w:val="00FF7E9C"/>
    <w:rsid w:val="016FBFE7"/>
    <w:rsid w:val="082ECB8B"/>
    <w:rsid w:val="0A30AE89"/>
    <w:rsid w:val="0AE1FAB5"/>
    <w:rsid w:val="0BC2B44F"/>
    <w:rsid w:val="0C70CA6A"/>
    <w:rsid w:val="0CF26094"/>
    <w:rsid w:val="0D57B9F2"/>
    <w:rsid w:val="0DD4E770"/>
    <w:rsid w:val="0E0F9F66"/>
    <w:rsid w:val="1047EB89"/>
    <w:rsid w:val="10B0FE44"/>
    <w:rsid w:val="1511CEB7"/>
    <w:rsid w:val="157FBE91"/>
    <w:rsid w:val="1A10EAB5"/>
    <w:rsid w:val="22F6F915"/>
    <w:rsid w:val="256DC73D"/>
    <w:rsid w:val="27AFFC3B"/>
    <w:rsid w:val="28A0FDDB"/>
    <w:rsid w:val="29438AEF"/>
    <w:rsid w:val="2DB40D2B"/>
    <w:rsid w:val="348DC6B8"/>
    <w:rsid w:val="34972FFA"/>
    <w:rsid w:val="3664CFF1"/>
    <w:rsid w:val="369BF8FC"/>
    <w:rsid w:val="3920EA3C"/>
    <w:rsid w:val="466C3E90"/>
    <w:rsid w:val="4F603284"/>
    <w:rsid w:val="595B25AA"/>
    <w:rsid w:val="59901BED"/>
    <w:rsid w:val="6067B807"/>
    <w:rsid w:val="647A119F"/>
    <w:rsid w:val="65FC127D"/>
    <w:rsid w:val="67EE9B0E"/>
    <w:rsid w:val="69DD9CC9"/>
    <w:rsid w:val="6C704F56"/>
    <w:rsid w:val="6ED5BD2E"/>
    <w:rsid w:val="6F0EA4FD"/>
    <w:rsid w:val="763B872B"/>
    <w:rsid w:val="7A33A47B"/>
    <w:rsid w:val="7E1541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b54a,#1869b2"/>
    </o:shapedefaults>
    <o:shapelayout v:ext="edit">
      <o:idmap v:ext="edit" data="2"/>
    </o:shapelayout>
  </w:shapeDefaults>
  <w:decimalSymbol w:val="."/>
  <w:listSeparator w:val=","/>
  <w14:docId w14:val="7F45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aliases w:val="Chapter Level 2"/>
    <w:basedOn w:val="Normal"/>
    <w:next w:val="Normal"/>
    <w:link w:val="Heading1Char"/>
    <w:uiPriority w:val="9"/>
    <w:qFormat/>
    <w:rsid w:val="007908AF"/>
    <w:pPr>
      <w:jc w:val="center"/>
      <w:outlineLvl w:val="0"/>
    </w:pPr>
    <w:rPr>
      <w:b/>
      <w:sz w:val="52"/>
      <w:szCs w:val="36"/>
    </w:rPr>
  </w:style>
  <w:style w:type="paragraph" w:styleId="Heading2">
    <w:name w:val="heading 2"/>
    <w:aliases w:val="Chapter Level 3,Chapter Level 1"/>
    <w:basedOn w:val="Normal"/>
    <w:next w:val="Normal"/>
    <w:link w:val="Heading2Char"/>
    <w:uiPriority w:val="9"/>
    <w:qFormat/>
    <w:rsid w:val="00D10A50"/>
    <w:pPr>
      <w:spacing w:before="240" w:after="240"/>
      <w:outlineLvl w:val="1"/>
    </w:pPr>
    <w:rPr>
      <w:b/>
      <w:sz w:val="36"/>
      <w:szCs w:val="36"/>
    </w:rPr>
  </w:style>
  <w:style w:type="paragraph" w:styleId="Heading3">
    <w:name w:val="heading 3"/>
    <w:aliases w:val="Chapter Level 4"/>
    <w:basedOn w:val="Normal"/>
    <w:next w:val="Normal"/>
    <w:link w:val="Heading3Char"/>
    <w:uiPriority w:val="9"/>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Heading3"/>
    <w:next w:val="guidelinetext"/>
    <w:link w:val="Heading4Char"/>
    <w:uiPriority w:val="9"/>
    <w:unhideWhenUsed/>
    <w:qFormat/>
    <w:rsid w:val="00035383"/>
    <w:pPr>
      <w:spacing w:after="0"/>
      <w:ind w:left="1452"/>
      <w:outlineLvl w:val="3"/>
    </w:pPr>
    <w:rPr>
      <w:rFonts w:asciiTheme="majorHAnsi" w:hAnsiTheme="majorHAnsi"/>
      <w:b w:val="0"/>
      <w:bCs w:val="0"/>
      <w:color w:val="243F60" w:themeColor="accent1" w:themeShade="7F"/>
      <w:lang w:eastAsia="en-US"/>
    </w:rPr>
  </w:style>
  <w:style w:type="paragraph" w:styleId="Heading6">
    <w:name w:val="heading 6"/>
    <w:basedOn w:val="Normal"/>
    <w:next w:val="Normal"/>
    <w:link w:val="Heading6Char"/>
    <w:uiPriority w:val="9"/>
    <w:unhideWhenUsed/>
    <w:qFormat/>
    <w:rsid w:val="00035383"/>
    <w:pPr>
      <w:spacing w:before="200" w:after="0" w:line="276" w:lineRule="auto"/>
      <w:outlineLvl w:val="5"/>
    </w:pPr>
    <w:rPr>
      <w:rFonts w:eastAsiaTheme="majorEastAsia" w:cstheme="majorBidi"/>
      <w:b/>
      <w:bCs/>
      <w:i/>
      <w:iCs/>
      <w:color w:val="757575"/>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aliases w:val="Chapter Level 3 Char,Chapter Level 1 Char"/>
    <w:basedOn w:val="DefaultParagraphFont"/>
    <w:link w:val="Heading2"/>
    <w:uiPriority w:val="9"/>
    <w:rsid w:val="00D10A50"/>
    <w:rPr>
      <w:rFonts w:ascii="Calibri" w:hAnsi="Calibri"/>
      <w:b/>
      <w:sz w:val="36"/>
      <w:szCs w:val="36"/>
    </w:rPr>
  </w:style>
  <w:style w:type="paragraph" w:styleId="TOC2">
    <w:name w:val="toc 2"/>
    <w:basedOn w:val="Normal"/>
    <w:next w:val="Normal"/>
    <w:autoRedefine/>
    <w:uiPriority w:val="39"/>
    <w:rsid w:val="009B4563"/>
    <w:pPr>
      <w:spacing w:after="0"/>
      <w:ind w:left="220"/>
    </w:pPr>
    <w:rPr>
      <w:rFonts w:asciiTheme="minorHAnsi" w:hAnsiTheme="minorHAnsi" w:cstheme="minorHAnsi"/>
      <w:b/>
      <w:iCs/>
      <w:sz w:val="20"/>
      <w:szCs w:val="20"/>
    </w:rPr>
  </w:style>
  <w:style w:type="character" w:styleId="PageNumber">
    <w:name w:val="page number"/>
    <w:basedOn w:val="DefaultParagraphFont"/>
    <w:rsid w:val="007073F5"/>
  </w:style>
  <w:style w:type="paragraph" w:styleId="BalloonText">
    <w:name w:val="Balloon Text"/>
    <w:basedOn w:val="Normal"/>
    <w:link w:val="BalloonTextChar"/>
    <w:uiPriority w:val="99"/>
    <w:semiHidden/>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link w:val="CommentSubjectChar"/>
    <w:uiPriority w:val="99"/>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uiPriority w:val="10"/>
    <w:qFormat/>
    <w:rsid w:val="00685C46"/>
    <w:pPr>
      <w:spacing w:before="960"/>
      <w:jc w:val="center"/>
    </w:pPr>
    <w:rPr>
      <w:b/>
      <w:sz w:val="52"/>
      <w:szCs w:val="52"/>
    </w:rPr>
  </w:style>
  <w:style w:type="character" w:customStyle="1" w:styleId="TitleChar">
    <w:name w:val="Title Char"/>
    <w:basedOn w:val="DefaultParagraphFont"/>
    <w:link w:val="Title"/>
    <w:uiPriority w:val="10"/>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uiPriority w:val="99"/>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232ADD"/>
    <w:pPr>
      <w:tabs>
        <w:tab w:val="right" w:pos="9016"/>
      </w:tabs>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aliases w:val="Chapter Level 4 Char"/>
    <w:basedOn w:val="DefaultParagraphFont"/>
    <w:link w:val="Heading3"/>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spacing w:before="60" w:after="0"/>
      <w:ind w:left="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ind w:left="0"/>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CommentTextChar">
    <w:name w:val="Comment Text Char"/>
    <w:basedOn w:val="DefaultParagraphFont"/>
    <w:link w:val="CommentText"/>
    <w:uiPriority w:val="99"/>
    <w:rsid w:val="000340FA"/>
    <w:rPr>
      <w:rFonts w:ascii="Calibri" w:hAnsi="Calibri"/>
    </w:rPr>
  </w:style>
  <w:style w:type="paragraph" w:customStyle="1" w:styleId="WHS">
    <w:name w:val="WHS"/>
    <w:basedOn w:val="guidelinetext"/>
    <w:link w:val="WHSChar"/>
    <w:qFormat/>
    <w:rsid w:val="000340FA"/>
    <w:pPr>
      <w:numPr>
        <w:numId w:val="14"/>
      </w:numPr>
      <w:ind w:left="1418" w:hanging="1418"/>
    </w:pPr>
  </w:style>
  <w:style w:type="character" w:customStyle="1" w:styleId="WHSChar">
    <w:name w:val="WHS Char"/>
    <w:basedOn w:val="DefaultParagraphFont"/>
    <w:link w:val="WHS"/>
    <w:rsid w:val="000340FA"/>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0340FA"/>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0340FA"/>
    <w:rPr>
      <w:rFonts w:ascii="Garamond" w:eastAsiaTheme="minorHAnsi" w:hAnsi="Garamond" w:cstheme="minorBidi"/>
      <w:szCs w:val="22"/>
      <w:lang w:eastAsia="en-US"/>
    </w:rPr>
  </w:style>
  <w:style w:type="paragraph" w:styleId="NormalWeb">
    <w:name w:val="Normal (Web)"/>
    <w:basedOn w:val="Normal"/>
    <w:uiPriority w:val="99"/>
    <w:semiHidden/>
    <w:unhideWhenUsed/>
    <w:rsid w:val="006936B1"/>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155727"/>
    <w:rPr>
      <w:rFonts w:ascii="Calibri" w:hAnsi="Calibri"/>
      <w:sz w:val="22"/>
      <w:szCs w:val="24"/>
    </w:rPr>
  </w:style>
  <w:style w:type="character" w:customStyle="1" w:styleId="FooterChar">
    <w:name w:val="Footer Char"/>
    <w:basedOn w:val="DefaultParagraphFont"/>
    <w:link w:val="Footer"/>
    <w:uiPriority w:val="99"/>
    <w:rsid w:val="00155727"/>
    <w:rPr>
      <w:rFonts w:ascii="Calibri" w:hAnsi="Calibri"/>
      <w:color w:val="808080" w:themeColor="background1" w:themeShade="80"/>
      <w:sz w:val="22"/>
      <w:szCs w:val="24"/>
    </w:rPr>
  </w:style>
  <w:style w:type="table" w:customStyle="1" w:styleId="TableGrid1">
    <w:name w:val="Table Grid1"/>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38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035383"/>
    <w:rPr>
      <w:rFonts w:ascii="Calibri" w:eastAsiaTheme="majorEastAsia" w:hAnsi="Calibri" w:cstheme="majorBidi"/>
      <w:b/>
      <w:bCs/>
      <w:i/>
      <w:iCs/>
      <w:color w:val="757575"/>
      <w:sz w:val="22"/>
      <w:szCs w:val="22"/>
      <w:lang w:eastAsia="en-US"/>
    </w:rPr>
  </w:style>
  <w:style w:type="character" w:customStyle="1" w:styleId="Heading1Char">
    <w:name w:val="Heading 1 Char"/>
    <w:aliases w:val="Chapter Level 2 Char"/>
    <w:basedOn w:val="DefaultParagraphFont"/>
    <w:link w:val="Heading1"/>
    <w:uiPriority w:val="9"/>
    <w:rsid w:val="00035383"/>
    <w:rPr>
      <w:rFonts w:ascii="Calibri" w:hAnsi="Calibri"/>
      <w:b/>
      <w:sz w:val="52"/>
      <w:szCs w:val="36"/>
    </w:rPr>
  </w:style>
  <w:style w:type="paragraph" w:customStyle="1" w:styleId="TableHeadingCentred">
    <w:name w:val="Table Heading Centred"/>
    <w:basedOn w:val="Normal"/>
    <w:rsid w:val="00035383"/>
    <w:pPr>
      <w:spacing w:before="60" w:after="60"/>
      <w:jc w:val="center"/>
    </w:pPr>
    <w:rPr>
      <w:rFonts w:cs="Arial"/>
      <w:b/>
      <w:bCs/>
      <w:color w:val="FFFFFF"/>
    </w:rPr>
  </w:style>
  <w:style w:type="paragraph" w:customStyle="1" w:styleId="guidelineintro">
    <w:name w:val="guideline intro"/>
    <w:basedOn w:val="Normal"/>
    <w:link w:val="guidelineintroChar"/>
    <w:rsid w:val="00035383"/>
    <w:pPr>
      <w:spacing w:after="0"/>
      <w:ind w:left="1440"/>
    </w:pPr>
    <w:rPr>
      <w:rFonts w:asciiTheme="minorHAnsi" w:eastAsiaTheme="minorHAnsi" w:hAnsiTheme="minorHAnsi" w:cstheme="minorBidi"/>
      <w:sz w:val="28"/>
      <w:szCs w:val="22"/>
      <w:lang w:eastAsia="en-US"/>
    </w:rPr>
  </w:style>
  <w:style w:type="character" w:customStyle="1" w:styleId="guidelineintroChar">
    <w:name w:val="guideline intro Char"/>
    <w:basedOn w:val="DefaultParagraphFont"/>
    <w:link w:val="guidelineintro"/>
    <w:rsid w:val="00035383"/>
    <w:rPr>
      <w:rFonts w:asciiTheme="minorHAnsi" w:eastAsiaTheme="minorHAnsi" w:hAnsiTheme="minorHAnsi" w:cstheme="minorBidi"/>
      <w:sz w:val="28"/>
      <w:szCs w:val="22"/>
      <w:lang w:eastAsia="en-US"/>
    </w:rPr>
  </w:style>
  <w:style w:type="paragraph" w:customStyle="1" w:styleId="guidelinedocinfo">
    <w:name w:val="guideline doc info"/>
    <w:basedOn w:val="Normal"/>
    <w:link w:val="guidelinedocinfoChar"/>
    <w:qFormat/>
    <w:rsid w:val="00035383"/>
    <w:pPr>
      <w:pBdr>
        <w:top w:val="single" w:sz="4" w:space="1" w:color="948A54" w:themeColor="background2" w:themeShade="80"/>
      </w:pBdr>
      <w:spacing w:after="0"/>
    </w:pPr>
    <w:rPr>
      <w:rFonts w:asciiTheme="minorHAnsi" w:eastAsiaTheme="minorHAnsi" w:hAnsiTheme="minorHAnsi" w:cstheme="minorBidi"/>
      <w:color w:val="948A54" w:themeColor="background2" w:themeShade="80"/>
      <w:szCs w:val="22"/>
      <w:lang w:eastAsia="en-US"/>
    </w:rPr>
  </w:style>
  <w:style w:type="character" w:customStyle="1" w:styleId="guidelinedocinfoChar">
    <w:name w:val="guideline doc info Char"/>
    <w:basedOn w:val="DefaultParagraphFont"/>
    <w:link w:val="guidelinedocinfo"/>
    <w:rsid w:val="00035383"/>
    <w:rPr>
      <w:rFonts w:asciiTheme="minorHAnsi" w:eastAsiaTheme="minorHAnsi" w:hAnsiTheme="minorHAnsi" w:cstheme="minorBidi"/>
      <w:color w:val="948A54" w:themeColor="background2" w:themeShade="80"/>
      <w:sz w:val="22"/>
      <w:szCs w:val="22"/>
      <w:lang w:eastAsia="en-US"/>
    </w:rPr>
  </w:style>
  <w:style w:type="paragraph" w:customStyle="1" w:styleId="Systemstep">
    <w:name w:val="System step"/>
    <w:basedOn w:val="guidelinetext"/>
    <w:link w:val="SystemstepChar"/>
    <w:qFormat/>
    <w:rsid w:val="00035383"/>
    <w:pPr>
      <w:numPr>
        <w:numId w:val="27"/>
      </w:numPr>
      <w:ind w:left="357" w:hanging="357"/>
    </w:pPr>
  </w:style>
  <w:style w:type="character" w:customStyle="1" w:styleId="SystemstepChar">
    <w:name w:val="System step Char"/>
    <w:basedOn w:val="guidelinetextChar"/>
    <w:link w:val="Systemstep"/>
    <w:rsid w:val="00035383"/>
    <w:rPr>
      <w:rFonts w:asciiTheme="minorHAnsi" w:eastAsiaTheme="minorHAnsi" w:hAnsiTheme="minorHAnsi" w:cstheme="minorBidi"/>
      <w:sz w:val="22"/>
      <w:szCs w:val="22"/>
      <w:lang w:eastAsia="en-US"/>
    </w:rPr>
  </w:style>
  <w:style w:type="paragraph" w:customStyle="1" w:styleId="tabletext">
    <w:name w:val="table text"/>
    <w:basedOn w:val="guidelinetext"/>
    <w:link w:val="tabletextChar"/>
    <w:qFormat/>
    <w:rsid w:val="00035383"/>
    <w:pPr>
      <w:spacing w:before="0"/>
      <w:ind w:left="0"/>
    </w:pPr>
  </w:style>
  <w:style w:type="character" w:customStyle="1" w:styleId="tabletextChar">
    <w:name w:val="table text Char"/>
    <w:basedOn w:val="guidelinetextChar"/>
    <w:link w:val="tabletext"/>
    <w:rsid w:val="00035383"/>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035383"/>
    <w:rPr>
      <w:rFonts w:ascii="Calibri" w:hAnsi="Calibri"/>
      <w:b/>
      <w:bCs/>
    </w:rPr>
  </w:style>
  <w:style w:type="character" w:customStyle="1" w:styleId="BalloonTextChar">
    <w:name w:val="Balloon Text Char"/>
    <w:basedOn w:val="DefaultParagraphFont"/>
    <w:link w:val="BalloonText"/>
    <w:uiPriority w:val="99"/>
    <w:semiHidden/>
    <w:rsid w:val="00035383"/>
    <w:rPr>
      <w:rFonts w:ascii="Tahoma" w:hAnsi="Tahoma" w:cs="Tahoma"/>
      <w:sz w:val="16"/>
      <w:szCs w:val="16"/>
    </w:rPr>
  </w:style>
  <w:style w:type="paragraph" w:styleId="ListBullet3">
    <w:name w:val="List Bullet 3"/>
    <w:basedOn w:val="Normal"/>
    <w:uiPriority w:val="99"/>
    <w:unhideWhenUsed/>
    <w:rsid w:val="00035383"/>
    <w:pPr>
      <w:spacing w:before="0" w:line="276" w:lineRule="auto"/>
      <w:ind w:left="1134" w:hanging="340"/>
      <w:contextualSpacing/>
    </w:pPr>
    <w:rPr>
      <w:rFonts w:asciiTheme="minorHAnsi" w:eastAsiaTheme="minorEastAsia" w:hAnsiTheme="minorHAnsi" w:cstheme="minorBidi"/>
      <w:szCs w:val="22"/>
      <w:lang w:eastAsia="en-US"/>
    </w:rPr>
  </w:style>
  <w:style w:type="paragraph" w:styleId="ListBullet4">
    <w:name w:val="List Bullet 4"/>
    <w:basedOn w:val="Normal"/>
    <w:uiPriority w:val="99"/>
    <w:unhideWhenUsed/>
    <w:rsid w:val="00035383"/>
    <w:pPr>
      <w:spacing w:before="0" w:line="276" w:lineRule="auto"/>
      <w:ind w:left="1531" w:hanging="397"/>
      <w:contextualSpacing/>
    </w:pPr>
    <w:rPr>
      <w:rFonts w:asciiTheme="minorHAnsi" w:eastAsiaTheme="minorEastAsia" w:hAnsiTheme="minorHAnsi" w:cstheme="minorBidi"/>
      <w:szCs w:val="22"/>
      <w:lang w:eastAsia="en-US"/>
    </w:rPr>
  </w:style>
  <w:style w:type="numbering" w:customStyle="1" w:styleId="BulletList">
    <w:name w:val="Bullet List"/>
    <w:uiPriority w:val="99"/>
    <w:rsid w:val="00035383"/>
    <w:pPr>
      <w:numPr>
        <w:numId w:val="30"/>
      </w:numPr>
    </w:pPr>
  </w:style>
  <w:style w:type="paragraph" w:styleId="ListBullet5">
    <w:name w:val="List Bullet 5"/>
    <w:basedOn w:val="Normal"/>
    <w:uiPriority w:val="99"/>
    <w:semiHidden/>
    <w:unhideWhenUsed/>
    <w:rsid w:val="00035383"/>
    <w:pPr>
      <w:spacing w:before="0" w:after="200" w:line="276" w:lineRule="auto"/>
      <w:ind w:left="3240" w:hanging="360"/>
      <w:contextualSpacing/>
    </w:pPr>
    <w:rPr>
      <w:rFonts w:asciiTheme="minorHAnsi" w:eastAsiaTheme="minorEastAsia" w:hAnsiTheme="minorHAnsi" w:cstheme="minorBidi"/>
      <w:szCs w:val="22"/>
      <w:lang w:eastAsia="en-US"/>
    </w:rPr>
  </w:style>
  <w:style w:type="table" w:styleId="ListTable2-Accent3">
    <w:name w:val="List Table 2 Accent 3"/>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10pt33">
    <w:name w:val="Note 10pt 3/3"/>
    <w:basedOn w:val="Normal"/>
    <w:link w:val="Note10pt33Char"/>
    <w:qFormat/>
    <w:rsid w:val="00035383"/>
    <w:pPr>
      <w:spacing w:before="60" w:after="60"/>
    </w:pPr>
    <w:rPr>
      <w:rFonts w:asciiTheme="minorHAnsi" w:eastAsiaTheme="minorHAnsi" w:hAnsiTheme="minorHAnsi" w:cs="Segoe UI Symbol"/>
      <w:i/>
      <w:sz w:val="20"/>
      <w:szCs w:val="22"/>
      <w:lang w:eastAsia="en-US"/>
    </w:rPr>
  </w:style>
  <w:style w:type="character" w:customStyle="1" w:styleId="Note10pt33Char">
    <w:name w:val="Note 10pt 3/3 Char"/>
    <w:basedOn w:val="DefaultParagraphFont"/>
    <w:link w:val="Note10pt33"/>
    <w:rsid w:val="00035383"/>
    <w:rPr>
      <w:rFonts w:asciiTheme="minorHAnsi" w:eastAsiaTheme="minorHAnsi" w:hAnsiTheme="minorHAnsi" w:cs="Segoe UI Symbol"/>
      <w:i/>
      <w:szCs w:val="22"/>
      <w:lang w:eastAsia="en-US"/>
    </w:rPr>
  </w:style>
  <w:style w:type="character" w:styleId="FollowedHyperlink">
    <w:name w:val="FollowedHyperlink"/>
    <w:basedOn w:val="DefaultParagraphFont"/>
    <w:uiPriority w:val="99"/>
    <w:semiHidden/>
    <w:unhideWhenUsed/>
    <w:rsid w:val="00035383"/>
    <w:rPr>
      <w:color w:val="800080" w:themeColor="followedHyperlink"/>
      <w:u w:val="single"/>
    </w:rPr>
  </w:style>
  <w:style w:type="paragraph" w:customStyle="1" w:styleId="numberedpara">
    <w:name w:val="numbered para"/>
    <w:basedOn w:val="Normal"/>
    <w:uiPriority w:val="99"/>
    <w:rsid w:val="00035383"/>
    <w:pPr>
      <w:numPr>
        <w:numId w:val="31"/>
      </w:numPr>
      <w:spacing w:before="0" w:after="0"/>
    </w:pPr>
    <w:rPr>
      <w:rFonts w:eastAsiaTheme="minorHAnsi" w:cs="Calibri"/>
      <w:szCs w:val="22"/>
      <w:lang w:eastAsia="en-US"/>
    </w:rPr>
  </w:style>
  <w:style w:type="paragraph" w:customStyle="1" w:styleId="paragraph">
    <w:name w:val="paragraph"/>
    <w:aliases w:val="a"/>
    <w:basedOn w:val="Normal"/>
    <w:link w:val="paragraphChar"/>
    <w:rsid w:val="00035383"/>
    <w:pPr>
      <w:tabs>
        <w:tab w:val="right" w:pos="1531"/>
      </w:tabs>
      <w:spacing w:before="40" w:after="0"/>
      <w:ind w:left="1644" w:hanging="1644"/>
    </w:pPr>
    <w:rPr>
      <w:rFonts w:ascii="Times New Roman" w:hAnsi="Times New Roman"/>
      <w:szCs w:val="20"/>
    </w:rPr>
  </w:style>
  <w:style w:type="paragraph" w:customStyle="1" w:styleId="paragraphsub">
    <w:name w:val="paragraph(sub)"/>
    <w:aliases w:val="aa"/>
    <w:basedOn w:val="Normal"/>
    <w:rsid w:val="00035383"/>
    <w:pPr>
      <w:tabs>
        <w:tab w:val="right" w:pos="1985"/>
      </w:tabs>
      <w:spacing w:before="40" w:after="0"/>
      <w:ind w:left="2098" w:hanging="2098"/>
    </w:pPr>
    <w:rPr>
      <w:rFonts w:ascii="Times New Roman" w:hAnsi="Times New Roman"/>
      <w:szCs w:val="20"/>
    </w:rPr>
  </w:style>
  <w:style w:type="character" w:customStyle="1" w:styleId="paragraphChar">
    <w:name w:val="paragraph Char"/>
    <w:aliases w:val="a Char"/>
    <w:link w:val="paragraph"/>
    <w:rsid w:val="00035383"/>
    <w:rPr>
      <w:sz w:val="22"/>
    </w:rPr>
  </w:style>
  <w:style w:type="paragraph" w:customStyle="1" w:styleId="5Clsi">
    <w:name w:val="5. Cls (i)"/>
    <w:basedOn w:val="Normal"/>
    <w:link w:val="5ClsiChar"/>
    <w:qFormat/>
    <w:rsid w:val="00035383"/>
    <w:pPr>
      <w:numPr>
        <w:ilvl w:val="3"/>
      </w:numPr>
      <w:suppressAutoHyphens/>
      <w:spacing w:line="264" w:lineRule="auto"/>
    </w:pPr>
    <w:rPr>
      <w:szCs w:val="20"/>
    </w:rPr>
  </w:style>
  <w:style w:type="character" w:customStyle="1" w:styleId="5ClsiChar">
    <w:name w:val="5. Cls (i) Char"/>
    <w:basedOn w:val="DefaultParagraphFont"/>
    <w:link w:val="5Clsi"/>
    <w:rsid w:val="00035383"/>
    <w:rPr>
      <w:rFonts w:ascii="Calibri" w:hAnsi="Calibri"/>
      <w:sz w:val="22"/>
    </w:rPr>
  </w:style>
  <w:style w:type="paragraph" w:customStyle="1" w:styleId="2Clause1">
    <w:name w:val="2. Clause 1"/>
    <w:basedOn w:val="Normal"/>
    <w:qFormat/>
    <w:rsid w:val="00035383"/>
    <w:pPr>
      <w:keepNext/>
      <w:keepLines/>
      <w:numPr>
        <w:numId w:val="32"/>
      </w:numPr>
      <w:suppressAutoHyphens/>
      <w:spacing w:before="240" w:line="264" w:lineRule="auto"/>
      <w:outlineLvl w:val="0"/>
    </w:pPr>
    <w:rPr>
      <w:b/>
      <w:szCs w:val="20"/>
    </w:rPr>
  </w:style>
  <w:style w:type="paragraph" w:customStyle="1" w:styleId="3Cls11">
    <w:name w:val="3. Cls 1.1"/>
    <w:basedOn w:val="Normal"/>
    <w:link w:val="3Cls11Char"/>
    <w:qFormat/>
    <w:rsid w:val="00035383"/>
    <w:pPr>
      <w:keepLines/>
      <w:numPr>
        <w:ilvl w:val="1"/>
        <w:numId w:val="32"/>
      </w:numPr>
      <w:suppressAutoHyphens/>
      <w:spacing w:line="264" w:lineRule="auto"/>
      <w:outlineLvl w:val="1"/>
    </w:pPr>
    <w:rPr>
      <w:color w:val="000000"/>
      <w:szCs w:val="20"/>
    </w:rPr>
  </w:style>
  <w:style w:type="character" w:customStyle="1" w:styleId="3Cls11Char">
    <w:name w:val="3. Cls 1.1 Char"/>
    <w:basedOn w:val="DefaultParagraphFont"/>
    <w:link w:val="3Cls11"/>
    <w:rsid w:val="00035383"/>
    <w:rPr>
      <w:rFonts w:ascii="Calibri" w:hAnsi="Calibri"/>
      <w:color w:val="000000"/>
      <w:sz w:val="22"/>
    </w:rPr>
  </w:style>
  <w:style w:type="paragraph" w:customStyle="1" w:styleId="4Clsa">
    <w:name w:val="4. Cls (a)"/>
    <w:basedOn w:val="Normal"/>
    <w:link w:val="4ClsaChar"/>
    <w:autoRedefine/>
    <w:qFormat/>
    <w:rsid w:val="00035383"/>
    <w:pPr>
      <w:numPr>
        <w:ilvl w:val="2"/>
        <w:numId w:val="32"/>
      </w:numPr>
      <w:suppressAutoHyphens/>
      <w:spacing w:line="264" w:lineRule="auto"/>
    </w:pPr>
    <w:rPr>
      <w:szCs w:val="20"/>
    </w:rPr>
  </w:style>
  <w:style w:type="character" w:customStyle="1" w:styleId="7DefinitionTitle">
    <w:name w:val="7. Definition Title"/>
    <w:basedOn w:val="DefaultParagraphFont"/>
    <w:qFormat/>
    <w:rsid w:val="00035383"/>
    <w:rPr>
      <w:rFonts w:ascii="Calibri" w:hAnsi="Calibri" w:cstheme="minorHAnsi"/>
      <w:b/>
      <w:iCs/>
      <w:color w:val="000000" w:themeColor="text1"/>
      <w:sz w:val="22"/>
      <w:szCs w:val="22"/>
    </w:rPr>
  </w:style>
  <w:style w:type="character" w:customStyle="1" w:styleId="4ClsaChar">
    <w:name w:val="4. Cls (a) Char"/>
    <w:basedOn w:val="DefaultParagraphFont"/>
    <w:link w:val="4Clsa"/>
    <w:rsid w:val="00035383"/>
    <w:rPr>
      <w:rFonts w:ascii="Calibri" w:hAnsi="Calibri"/>
      <w:sz w:val="22"/>
    </w:rPr>
  </w:style>
  <w:style w:type="paragraph" w:customStyle="1" w:styleId="5aifollowing">
    <w:name w:val="5a. (i) following"/>
    <w:basedOn w:val="Normal"/>
    <w:link w:val="5aifollowingChar"/>
    <w:qFormat/>
    <w:rsid w:val="00035383"/>
    <w:pPr>
      <w:suppressAutoHyphens/>
      <w:ind w:left="1802" w:hanging="101"/>
      <w:outlineLvl w:val="2"/>
    </w:pPr>
    <w:rPr>
      <w:szCs w:val="20"/>
    </w:rPr>
  </w:style>
  <w:style w:type="character" w:customStyle="1" w:styleId="5aifollowingChar">
    <w:name w:val="5a. (i) following Char"/>
    <w:basedOn w:val="DefaultParagraphFont"/>
    <w:link w:val="5aifollowing"/>
    <w:rsid w:val="00035383"/>
    <w:rPr>
      <w:rFonts w:ascii="Calibri" w:hAnsi="Calibri"/>
      <w:sz w:val="22"/>
    </w:rPr>
  </w:style>
  <w:style w:type="paragraph" w:customStyle="1" w:styleId="subsection">
    <w:name w:val="subsection"/>
    <w:basedOn w:val="Normal"/>
    <w:rsid w:val="00035383"/>
    <w:pPr>
      <w:spacing w:before="100" w:beforeAutospacing="1" w:after="100" w:afterAutospacing="1"/>
    </w:pPr>
    <w:rPr>
      <w:rFonts w:ascii="Times New Roman" w:hAnsi="Times New Roman"/>
      <w:sz w:val="24"/>
    </w:rPr>
  </w:style>
  <w:style w:type="paragraph" w:customStyle="1" w:styleId="paragraphsub0">
    <w:name w:val="paragraphsub"/>
    <w:basedOn w:val="Normal"/>
    <w:rsid w:val="00035383"/>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035383"/>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3538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35383"/>
    <w:rPr>
      <w:vertAlign w:val="superscript"/>
    </w:rPr>
  </w:style>
  <w:style w:type="paragraph" w:customStyle="1" w:styleId="DeedReferences">
    <w:name w:val="Deed References"/>
    <w:basedOn w:val="Normal"/>
    <w:link w:val="DeedReferencesChar"/>
    <w:qFormat/>
    <w:rsid w:val="005C62B3"/>
    <w:pPr>
      <w:spacing w:after="0"/>
    </w:pPr>
    <w:rPr>
      <w:rFonts w:ascii="Calibri Light" w:hAnsi="Calibri Light" w:cs="Calibri Light"/>
      <w:sz w:val="20"/>
    </w:rPr>
  </w:style>
  <w:style w:type="character" w:customStyle="1" w:styleId="DeedReferencesChar">
    <w:name w:val="Deed References Char"/>
    <w:basedOn w:val="DefaultParagraphFont"/>
    <w:link w:val="DeedReferences"/>
    <w:locked/>
    <w:rsid w:val="005C62B3"/>
    <w:rPr>
      <w:rFonts w:ascii="Calibri Light" w:hAnsi="Calibri Light" w:cs="Calibri Light"/>
      <w:szCs w:val="24"/>
    </w:rPr>
  </w:style>
  <w:style w:type="paragraph" w:customStyle="1" w:styleId="BulletLevel1">
    <w:name w:val="Bullet Level 1"/>
    <w:basedOn w:val="Normal"/>
    <w:link w:val="BulletLevel1Char"/>
    <w:qFormat/>
    <w:rsid w:val="002B6CC3"/>
    <w:pPr>
      <w:numPr>
        <w:numId w:val="61"/>
      </w:numPr>
      <w:spacing w:before="60" w:after="0"/>
      <w:ind w:left="709" w:hanging="425"/>
    </w:pPr>
    <w:rPr>
      <w:rFonts w:asciiTheme="minorHAnsi" w:eastAsiaTheme="minorHAnsi" w:hAnsiTheme="minorHAnsi" w:cstheme="minorBidi"/>
      <w:szCs w:val="22"/>
      <w:lang w:eastAsia="en-US"/>
    </w:rPr>
  </w:style>
  <w:style w:type="character" w:customStyle="1" w:styleId="BulletLevel1Char">
    <w:name w:val="Bullet Level 1 Char"/>
    <w:basedOn w:val="DefaultParagraphFont"/>
    <w:link w:val="BulletLevel1"/>
    <w:rsid w:val="002B6CC3"/>
    <w:rPr>
      <w:rFonts w:asciiTheme="minorHAnsi" w:eastAsiaTheme="minorHAnsi" w:hAnsiTheme="minorHAnsi" w:cstheme="minorBidi"/>
      <w:sz w:val="22"/>
      <w:szCs w:val="22"/>
      <w:lang w:eastAsia="en-US"/>
    </w:rPr>
  </w:style>
  <w:style w:type="paragraph" w:customStyle="1" w:styleId="BulletLevel2">
    <w:name w:val="Bullet Level 2"/>
    <w:basedOn w:val="BulletLevel1"/>
    <w:link w:val="BulletLevel2Char"/>
    <w:qFormat/>
    <w:rsid w:val="002B6CC3"/>
    <w:pPr>
      <w:numPr>
        <w:numId w:val="0"/>
      </w:numPr>
      <w:tabs>
        <w:tab w:val="num" w:pos="2155"/>
      </w:tabs>
      <w:ind w:left="1276" w:hanging="425"/>
    </w:pPr>
  </w:style>
  <w:style w:type="character" w:customStyle="1" w:styleId="BulletLevel2Char">
    <w:name w:val="Bullet Level 2 Char"/>
    <w:basedOn w:val="BulletLevel1Char"/>
    <w:link w:val="BulletLevel2"/>
    <w:rsid w:val="002B6CC3"/>
    <w:rPr>
      <w:rFonts w:asciiTheme="minorHAnsi" w:eastAsiaTheme="minorHAnsi" w:hAnsiTheme="minorHAnsi" w:cstheme="minorBidi"/>
      <w:sz w:val="22"/>
      <w:szCs w:val="22"/>
      <w:lang w:eastAsia="en-US"/>
    </w:rPr>
  </w:style>
  <w:style w:type="paragraph" w:customStyle="1" w:styleId="BulletLevel3">
    <w:name w:val="Bullet Level 3"/>
    <w:basedOn w:val="BulletLevel1"/>
    <w:qFormat/>
    <w:rsid w:val="002B6CC3"/>
    <w:pPr>
      <w:numPr>
        <w:numId w:val="0"/>
      </w:numPr>
      <w:ind w:left="1843" w:hanging="425"/>
    </w:pPr>
  </w:style>
  <w:style w:type="paragraph" w:customStyle="1" w:styleId="BulletLevel4">
    <w:name w:val="Bullet Level 4"/>
    <w:basedOn w:val="BulletLevel1"/>
    <w:link w:val="BulletLevel4Char"/>
    <w:qFormat/>
    <w:rsid w:val="002B6CC3"/>
    <w:pPr>
      <w:numPr>
        <w:numId w:val="0"/>
      </w:numPr>
      <w:ind w:left="2410" w:hanging="425"/>
    </w:pPr>
  </w:style>
  <w:style w:type="character" w:customStyle="1" w:styleId="1AllTextBold">
    <w:name w:val="1. All Text (Bold)"/>
    <w:basedOn w:val="DefaultParagraphFont"/>
    <w:uiPriority w:val="1"/>
    <w:qFormat/>
    <w:rsid w:val="002B6CC3"/>
    <w:rPr>
      <w:b/>
      <w:bCs/>
    </w:rPr>
  </w:style>
  <w:style w:type="paragraph" w:customStyle="1" w:styleId="AttachmentHeading">
    <w:name w:val="Attachment Heading"/>
    <w:basedOn w:val="Heading2"/>
    <w:autoRedefine/>
    <w:qFormat/>
    <w:rsid w:val="00097645"/>
    <w:pPr>
      <w:keepNext/>
      <w:keepLines/>
      <w:tabs>
        <w:tab w:val="num" w:pos="2977"/>
        <w:tab w:val="num" w:pos="5954"/>
      </w:tabs>
      <w:spacing w:after="0" w:line="276" w:lineRule="auto"/>
      <w:ind w:left="1134" w:hanging="1134"/>
    </w:pPr>
    <w:rPr>
      <w:rFonts w:eastAsiaTheme="majorEastAsia" w:cstheme="majorBidi"/>
      <w:bCs/>
      <w:color w:val="343741"/>
      <w:sz w:val="30"/>
      <w:szCs w:val="26"/>
      <w:lang w:eastAsia="en-US"/>
    </w:rPr>
  </w:style>
  <w:style w:type="character" w:customStyle="1" w:styleId="cf01">
    <w:name w:val="cf01"/>
    <w:basedOn w:val="DefaultParagraphFont"/>
    <w:rsid w:val="00097645"/>
    <w:rPr>
      <w:rFonts w:ascii="Segoe UI" w:hAnsi="Segoe UI" w:cs="Segoe UI" w:hint="default"/>
      <w:sz w:val="18"/>
      <w:szCs w:val="18"/>
    </w:rPr>
  </w:style>
  <w:style w:type="character" w:customStyle="1" w:styleId="1AllTextNormalCharacter">
    <w:name w:val="1. All Text (Normal Character)"/>
    <w:basedOn w:val="DefaultParagraphFont"/>
    <w:uiPriority w:val="1"/>
    <w:qFormat/>
    <w:rsid w:val="006B6173"/>
  </w:style>
  <w:style w:type="paragraph" w:customStyle="1" w:styleId="ExampleTextBox">
    <w:name w:val="Example Text Box"/>
    <w:basedOn w:val="Normal"/>
    <w:link w:val="ExampleTextBoxChar"/>
    <w:qFormat/>
    <w:rsid w:val="00512085"/>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pacing w:after="0" w:line="264" w:lineRule="auto"/>
      <w:ind w:left="567" w:right="522"/>
    </w:pPr>
    <w:rPr>
      <w:rFonts w:asciiTheme="minorHAnsi" w:eastAsiaTheme="minorHAnsi" w:hAnsiTheme="minorHAnsi" w:cstheme="minorBidi"/>
      <w:szCs w:val="22"/>
      <w:lang w:eastAsia="en-US"/>
    </w:rPr>
  </w:style>
  <w:style w:type="character" w:customStyle="1" w:styleId="ExampleTextBoxChar">
    <w:name w:val="Example Text Box Char"/>
    <w:basedOn w:val="DefaultParagraphFont"/>
    <w:link w:val="ExampleTextBox"/>
    <w:rsid w:val="00512085"/>
    <w:rPr>
      <w:rFonts w:asciiTheme="minorHAnsi" w:eastAsiaTheme="minorHAnsi" w:hAnsiTheme="minorHAnsi" w:cstheme="minorBidi"/>
      <w:sz w:val="22"/>
      <w:szCs w:val="22"/>
      <w:lang w:eastAsia="en-US"/>
    </w:rPr>
  </w:style>
  <w:style w:type="character" w:customStyle="1" w:styleId="BulletLevel4Char">
    <w:name w:val="Bullet Level 4 Char"/>
    <w:basedOn w:val="BulletLevel1Char"/>
    <w:link w:val="BulletLevel4"/>
    <w:rsid w:val="0096242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8596E"/>
    <w:rPr>
      <w:color w:val="605E5C"/>
      <w:shd w:val="clear" w:color="auto" w:fill="E1DFDD"/>
    </w:rPr>
  </w:style>
  <w:style w:type="character" w:styleId="Mention">
    <w:name w:val="Mention"/>
    <w:basedOn w:val="DefaultParagraphFont"/>
    <w:uiPriority w:val="99"/>
    <w:unhideWhenUsed/>
    <w:rsid w:val="00CC39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snaccess.gov.au/ProviderPortal/jobactive/Guidelines/Pages/Participation-and-Compliance-Framework.aspx"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snaccess.gov.au/sites/SecureSitePortal/jobactive/Guidelines/ParticipationandComplianceFramework/Pages/default.aspx" TargetMode="External"/><Relationship Id="rId14" Type="http://schemas.openxmlformats.org/officeDocument/2006/relationships/hyperlink" Target="https://ecsnaccess.gov.au/ProviderPortal/jobactive/Guidelines/Pages/Participation-and-Compliance-Framework.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3118-7ABE-4CA9-A393-205A7EA8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16621</Words>
  <Characters>93722</Characters>
  <Application>Microsoft Office Word</Application>
  <DocSecurity>0</DocSecurity>
  <Lines>2452</Lines>
  <Paragraphs>996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2024-11-24T10:26:00Z</dcterms:created>
  <dcterms:modified xsi:type="dcterms:W3CDTF">2024-11-24T10:26:00Z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v=2022.1;a=SHA256;h=1025F24E8F6219B59B8FE6C8B3431B2D5C433715E03B86EF780E1DB2A1339725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C7B2391AEEDA4CF4A66FB9EC7280FE0E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2022-08-04T01:06:45Z</vt:lpwstr>
  </property>
  <property fmtid="{D5CDD505-2E9C-101B-9397-08002B2CF9AE}" pid="13" name="MSIP_Label_eb34d90b-fc41-464d-af60-f74d721d0790_SetDate">
    <vt:lpwstr>2022-08-04T01:06:45Z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D340714BA1B70800F4D9C1BE4AAFB829</vt:lpwstr>
  </property>
  <property fmtid="{D5CDD505-2E9C-101B-9397-08002B2CF9AE}" pid="23" name="MSIP_Label_79d889eb-932f-4752-8739-64d25806ef64_SetDate">
    <vt:lpwstr>2022-08-04T02:13:28Z</vt:lpwstr>
  </property>
  <property fmtid="{D5CDD505-2E9C-101B-9397-08002B2CF9AE}" pid="24" name="PM_Hash_Salt">
    <vt:lpwstr>331926019D45079C95B46274141EF981</vt:lpwstr>
  </property>
  <property fmtid="{D5CDD505-2E9C-101B-9397-08002B2CF9AE}" pid="25" name="PM_Hash_SHA1">
    <vt:lpwstr>8C4702CC09667A9CD89D584F3A2DA95454577EE4</vt:lpwstr>
  </property>
  <property fmtid="{D5CDD505-2E9C-101B-9397-08002B2CF9AE}" pid="26" name="PM_OriginatorUserAccountName_SHA256">
    <vt:lpwstr>52B97822998D45A5FE76FBF575035034760AD13EE13D3825DB38D567D3AEDC5E</vt:lpwstr>
  </property>
  <property fmtid="{D5CDD505-2E9C-101B-9397-08002B2CF9AE}" pid="27" name="MSIP_Label_79d889eb-932f-4752-8739-64d25806ef64_SiteId">
    <vt:lpwstr>dd0cfd15-4558-4b12-8bad-ea26984fc417</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955e3ac5-f532-4d74-804a-aae0b8f63f03</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cf7ff01c3e1a4c7aa29325f8427274b2</vt:lpwstr>
  </property>
  <property fmtid="{D5CDD505-2E9C-101B-9397-08002B2CF9AE}" pid="41" name="PMUuid">
    <vt:lpwstr>v=2022.2;d=gov.au;g=46DD6D7C-8107-577B-BC6E-F348953B2E44</vt:lpwstr>
  </property>
  <property fmtid="{D5CDD505-2E9C-101B-9397-08002B2CF9AE}" pid="42" name="PM_Caveats_Count">
    <vt:lpwstr>0</vt:lpwstr>
  </property>
</Properties>
</file>