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1D1AB7F4" w:rsidR="00220EA5" w:rsidRPr="00053BF9" w:rsidRDefault="00435B3B" w:rsidP="00E00126">
            <w:pPr>
              <w:rPr>
                <w:b/>
                <w:bCs/>
                <w:color w:val="FFFFFF" w:themeColor="background1"/>
              </w:rPr>
            </w:pPr>
            <w:r w:rsidRPr="00435B3B">
              <w:rPr>
                <w:b/>
                <w:bCs/>
                <w:color w:val="FFFFFF" w:themeColor="background1"/>
              </w:rPr>
              <w:t>Epic Employment Service Inc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E657E43" w:rsidR="00220EA5" w:rsidRPr="00053BF9" w:rsidRDefault="00435B3B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7D23BF08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435B3B" w:rsidRPr="00435B3B">
        <w:rPr>
          <w:b/>
          <w:bCs/>
          <w:color w:val="156A7E"/>
        </w:rPr>
        <w:t>Epic Employment Service Inc</w:t>
      </w:r>
      <w:r w:rsidRPr="00EF06C4">
        <w:rPr>
          <w:color w:val="156A7E"/>
        </w:rPr>
        <w:t xml:space="preserve"> 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435B3B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DD06809" w:rsidR="00AF08A2" w:rsidRDefault="00435B3B" w:rsidP="00435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340B25" wp14:editId="4A9C573E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CE3552D" w:rsidR="00AF08A2" w:rsidRDefault="00435B3B" w:rsidP="00435B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476FD2" wp14:editId="4799B3C7">
                  <wp:extent cx="1076325" cy="1066800"/>
                  <wp:effectExtent l="0" t="0" r="9525" b="0"/>
                  <wp:docPr id="85176974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1E630D"/>
    <w:rsid w:val="00220EA5"/>
    <w:rsid w:val="00237626"/>
    <w:rsid w:val="0027055B"/>
    <w:rsid w:val="00284DC9"/>
    <w:rsid w:val="002B5C3C"/>
    <w:rsid w:val="003B2BB8"/>
    <w:rsid w:val="003B361C"/>
    <w:rsid w:val="003B3E6E"/>
    <w:rsid w:val="003D34FF"/>
    <w:rsid w:val="00435B3B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993</Characters>
  <Application>Microsoft Office Word</Application>
  <DocSecurity>4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EESI Participant Scorecard - July 2024</dc:title>
  <dc:subject/>
  <dc:creator>COLE, Amber</dc:creator>
  <cp:keywords>[SEC=OFFICIAL]</cp:keywords>
  <dc:description/>
  <cp:lastModifiedBy>COLE, Amber</cp:lastModifiedBy>
  <cp:revision>2</cp:revision>
  <dcterms:created xsi:type="dcterms:W3CDTF">2024-11-27T23:28:00Z</dcterms:created>
  <dcterms:modified xsi:type="dcterms:W3CDTF">2024-11-27T23:28:00Z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v=2022.1;a=SHA256;h=CD464E8C76F1369B111BD4319A658A3B6529D67D6A65F024F2D3ACCE32B48D57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19f9c5f86a614729b3a05dbf54eb7dac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F01764EA142843CF70B99BFA9B987B5C</vt:lpwstr>
  </property>
  <property fmtid="{D5CDD505-2E9C-101B-9397-08002B2CF9AE}" pid="32" name="PM_Hash_Salt">
    <vt:lpwstr>D1FD410F1D24B15999C872E1DE3061D1</vt:lpwstr>
  </property>
  <property fmtid="{D5CDD505-2E9C-101B-9397-08002B2CF9AE}" pid="33" name="PM_Hash_SHA1">
    <vt:lpwstr>D387495043E3BB497C0E318B5ECBA7F52491907B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