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B10D5" w14:textId="0F3A1CCA" w:rsidR="00AC5EAB" w:rsidRPr="00AC5EAB" w:rsidRDefault="00AC5EAB" w:rsidP="00E65446">
      <w:pPr>
        <w:pStyle w:val="Title"/>
        <w:spacing w:before="0"/>
        <w:ind w:left="-1134"/>
        <w:contextualSpacing w:val="0"/>
        <w:rPr>
          <w:color w:val="7030A0"/>
          <w:sz w:val="20"/>
          <w:szCs w:val="20"/>
        </w:rPr>
      </w:pPr>
      <w:r>
        <w:rPr>
          <w:noProof/>
        </w:rPr>
        <w:drawing>
          <wp:inline distT="0" distB="0" distL="0" distR="0" wp14:anchorId="26C57070" wp14:editId="335F95C4">
            <wp:extent cx="7624800" cy="1450800"/>
            <wp:effectExtent l="0" t="0" r="0" b="0"/>
            <wp:docPr id="1" name="Picture 1" descr="Australian Government - Department of Social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stralian Government - Department of Social Service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4800" cy="14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70CA3" w14:textId="7ECC781B" w:rsidR="00AC5EAB" w:rsidRDefault="00AC5EAB" w:rsidP="00E65446">
      <w:pPr>
        <w:pStyle w:val="Smalltext"/>
        <w:spacing w:before="0" w:after="0"/>
        <w:ind w:right="-425"/>
        <w:jc w:val="right"/>
      </w:pPr>
      <w:r>
        <w:t>DSS</w:t>
      </w:r>
      <w:r w:rsidR="001077E4">
        <w:t>3133.01.24</w:t>
      </w:r>
    </w:p>
    <w:p w14:paraId="719F3953" w14:textId="3DFAA790" w:rsidR="00AC5EAB" w:rsidRPr="005F7D52" w:rsidRDefault="00AC5EAB" w:rsidP="005F7D52">
      <w:pPr>
        <w:pStyle w:val="Heading1"/>
        <w:rPr>
          <w:sz w:val="48"/>
          <w:szCs w:val="48"/>
        </w:rPr>
      </w:pPr>
      <w:r w:rsidRPr="005F7D52">
        <w:rPr>
          <w:sz w:val="48"/>
          <w:szCs w:val="48"/>
        </w:rPr>
        <w:t>Factsheet – Culturally Safe Practice</w:t>
      </w:r>
    </w:p>
    <w:p w14:paraId="3E00B6A6" w14:textId="40504EB0" w:rsidR="00EE0E28" w:rsidRPr="00C468FD" w:rsidRDefault="00AC5EAB" w:rsidP="00C468FD">
      <w:pPr>
        <w:pStyle w:val="Subtitle"/>
        <w:spacing w:before="120" w:after="240"/>
        <w:rPr>
          <w:sz w:val="32"/>
        </w:rPr>
      </w:pPr>
      <w:bookmarkStart w:id="0" w:name="_Toc395536189"/>
      <w:r w:rsidRPr="00136B5E">
        <w:rPr>
          <w:sz w:val="32"/>
        </w:rPr>
        <w:t xml:space="preserve">Disability Services and Inclusion Bill 2023 </w:t>
      </w:r>
    </w:p>
    <w:p w14:paraId="28E3E95F" w14:textId="0889DB43" w:rsidR="00A14DB5" w:rsidRDefault="00A14DB5" w:rsidP="00830CAF">
      <w:r w:rsidRPr="00C468FD">
        <w:t>People with disability from culturally or linguistically diverse backgrounds are more likely to face barriers when accessing support services.</w:t>
      </w:r>
      <w:r>
        <w:t xml:space="preserve"> This</w:t>
      </w:r>
      <w:r w:rsidRPr="006A7B4F">
        <w:t xml:space="preserve"> is </w:t>
      </w:r>
      <w:r>
        <w:t>sometimes referred to</w:t>
      </w:r>
      <w:r w:rsidRPr="006A7B4F">
        <w:t xml:space="preserve"> as </w:t>
      </w:r>
      <w:r>
        <w:t>compound disadvantage. The intersection of a person’s disability with their cultural or linguistic background may affect their needs, preference</w:t>
      </w:r>
      <w:r w:rsidR="00F850F6">
        <w:t>s, or expectations about service delivery.</w:t>
      </w:r>
    </w:p>
    <w:p w14:paraId="21B47861" w14:textId="0C184E9E" w:rsidR="00C468FD" w:rsidRPr="00C468FD" w:rsidRDefault="00E26A86" w:rsidP="00830CAF">
      <w:r>
        <w:t>Under t</w:t>
      </w:r>
      <w:r w:rsidR="00C468FD" w:rsidRPr="00C468FD">
        <w:t xml:space="preserve">he </w:t>
      </w:r>
      <w:r w:rsidR="00C468FD" w:rsidRPr="00C468FD">
        <w:rPr>
          <w:i/>
          <w:iCs/>
        </w:rPr>
        <w:t>Disability Services and Inclusion Act 2023</w:t>
      </w:r>
      <w:r>
        <w:t xml:space="preserve">, </w:t>
      </w:r>
      <w:r w:rsidR="00C468FD" w:rsidRPr="00C468FD">
        <w:t xml:space="preserve">service providers </w:t>
      </w:r>
      <w:r>
        <w:t>must</w:t>
      </w:r>
      <w:r w:rsidR="00C468FD" w:rsidRPr="00C468FD">
        <w:t xml:space="preserve"> </w:t>
      </w:r>
      <w:r>
        <w:t xml:space="preserve">meet </w:t>
      </w:r>
      <w:r w:rsidR="00C468FD" w:rsidRPr="00C468FD">
        <w:t>the needs of people with disability</w:t>
      </w:r>
      <w:r w:rsidR="00F850F6">
        <w:t>, including those who may experience compound disadvantage.</w:t>
      </w:r>
    </w:p>
    <w:p w14:paraId="237AF71C" w14:textId="6A4A5572" w:rsidR="00C468FD" w:rsidRPr="00C468FD" w:rsidRDefault="00C468FD" w:rsidP="00C5036A">
      <w:r w:rsidRPr="00C468FD">
        <w:t>Cultural</w:t>
      </w:r>
      <w:r w:rsidR="00F850F6">
        <w:t>ly</w:t>
      </w:r>
      <w:r w:rsidRPr="00C468FD">
        <w:t xml:space="preserve"> safe</w:t>
      </w:r>
      <w:r w:rsidR="00F850F6">
        <w:t xml:space="preserve"> practice</w:t>
      </w:r>
      <w:r w:rsidRPr="00C468FD">
        <w:t xml:space="preserve"> </w:t>
      </w:r>
      <w:r w:rsidR="00830CAF">
        <w:t xml:space="preserve">means providing </w:t>
      </w:r>
      <w:r w:rsidRPr="006A7B4F">
        <w:t>an environment that is spiritually, socially</w:t>
      </w:r>
      <w:r w:rsidR="00854CF8">
        <w:t>,</w:t>
      </w:r>
      <w:r w:rsidR="00854CF8" w:rsidRPr="006A7B4F">
        <w:t xml:space="preserve"> </w:t>
      </w:r>
      <w:r w:rsidRPr="006A7B4F">
        <w:t xml:space="preserve">emotionally </w:t>
      </w:r>
      <w:r w:rsidR="00854CF8">
        <w:t>and</w:t>
      </w:r>
      <w:r w:rsidRPr="00C468FD">
        <w:t xml:space="preserve"> </w:t>
      </w:r>
      <w:r w:rsidRPr="006A7B4F">
        <w:t>physically safe for people</w:t>
      </w:r>
      <w:r w:rsidR="00A14DB5">
        <w:t>. There should be</w:t>
      </w:r>
      <w:r w:rsidRPr="006A7B4F">
        <w:t xml:space="preserve"> no assault, challenge or denial of their identity, of who they are and what they need. </w:t>
      </w:r>
      <w:r w:rsidR="00854CF8">
        <w:t>Culturally safe practice</w:t>
      </w:r>
      <w:r w:rsidR="00854CF8" w:rsidRPr="006A7B4F">
        <w:t xml:space="preserve"> is</w:t>
      </w:r>
      <w:r w:rsidRPr="006A7B4F">
        <w:t xml:space="preserve"> about shared respect, shared meaning, shared knowledge and experience of learning together</w:t>
      </w:r>
      <w:r w:rsidR="00A14DB5">
        <w:t>.</w:t>
      </w:r>
      <w:r w:rsidRPr="00C468FD">
        <w:t xml:space="preserve"> </w:t>
      </w:r>
      <w:r w:rsidRPr="006A7B4F">
        <w:t>A culturally safe service provider should reflect on their own cultural identity</w:t>
      </w:r>
      <w:r w:rsidRPr="00C468FD">
        <w:t>. They should also</w:t>
      </w:r>
      <w:r w:rsidRPr="006A7B4F">
        <w:t xml:space="preserve"> recognise the impact of their personal culture on their professional practice.</w:t>
      </w:r>
    </w:p>
    <w:p w14:paraId="165A2969" w14:textId="2828B73A" w:rsidR="004F7912" w:rsidRPr="002F0124" w:rsidRDefault="004F7912" w:rsidP="000D35E6">
      <w:pPr>
        <w:pStyle w:val="Heading2"/>
      </w:pPr>
      <w:r w:rsidRPr="00C5036A">
        <w:t xml:space="preserve">Guiding principles </w:t>
      </w:r>
    </w:p>
    <w:p w14:paraId="26C5707F" w14:textId="2A1D564A" w:rsidR="00C468FD" w:rsidRPr="00C468FD" w:rsidRDefault="00C468FD" w:rsidP="00830CAF">
      <w:r>
        <w:t>T</w:t>
      </w:r>
      <w:r w:rsidRPr="00C468FD">
        <w:t>he following are some guiding principles for promoting cultural safety.</w:t>
      </w:r>
    </w:p>
    <w:p w14:paraId="7F798E4D" w14:textId="4DEF1F8E" w:rsidR="00C468FD" w:rsidRPr="00C468FD" w:rsidRDefault="00C468FD" w:rsidP="00C5036A">
      <w:pPr>
        <w:pStyle w:val="ListBullet"/>
      </w:pPr>
      <w:r w:rsidRPr="00C468FD">
        <w:t>Respect cultural diversity and understand the value of differing perspectives.</w:t>
      </w:r>
    </w:p>
    <w:p w14:paraId="75551BD4" w14:textId="65222337" w:rsidR="00C468FD" w:rsidRPr="00C468FD" w:rsidRDefault="00C468FD" w:rsidP="00C5036A">
      <w:pPr>
        <w:pStyle w:val="ListBullet"/>
      </w:pPr>
      <w:r w:rsidRPr="00C468FD">
        <w:t>Understand our own assumptions, beliefs and attitudes and their impact on others.</w:t>
      </w:r>
    </w:p>
    <w:p w14:paraId="5D197798" w14:textId="42C4A152" w:rsidR="00C468FD" w:rsidRPr="00C468FD" w:rsidRDefault="00C468FD" w:rsidP="00C5036A">
      <w:pPr>
        <w:pStyle w:val="ListBullet"/>
      </w:pPr>
      <w:r w:rsidRPr="00C468FD">
        <w:t>Lead by example by being culturally responsive and adopting cultural safety frameworks. This should occur at all levels of service provision and management</w:t>
      </w:r>
    </w:p>
    <w:p w14:paraId="350DEB7E" w14:textId="5F43A653" w:rsidR="00C468FD" w:rsidRPr="00C468FD" w:rsidRDefault="00C468FD" w:rsidP="00C5036A">
      <w:pPr>
        <w:pStyle w:val="ListBullet"/>
      </w:pPr>
      <w:r w:rsidRPr="00C468FD">
        <w:t>Recognise the impact of dominant cultures and privilege. Establish respectful and equal partnerships in decision-making.</w:t>
      </w:r>
    </w:p>
    <w:p w14:paraId="7210227A" w14:textId="37BBD8FF" w:rsidR="00C468FD" w:rsidRPr="00C468FD" w:rsidRDefault="00C468FD" w:rsidP="00C5036A">
      <w:pPr>
        <w:pStyle w:val="ListBullet"/>
      </w:pPr>
      <w:r w:rsidRPr="00C468FD">
        <w:t>Take a strengths-based approach to engagement. Engagement strategies should be a cultural match with individuals and communities.</w:t>
      </w:r>
    </w:p>
    <w:p w14:paraId="70079D20" w14:textId="3C8072F9" w:rsidR="00C468FD" w:rsidRPr="00C468FD" w:rsidRDefault="00C468FD" w:rsidP="00C5036A">
      <w:pPr>
        <w:pStyle w:val="ListBullet"/>
      </w:pPr>
      <w:r w:rsidRPr="00C468FD">
        <w:t>Setting and achieving shared goals and targets in cultural responsiveness.</w:t>
      </w:r>
    </w:p>
    <w:p w14:paraId="2C6E41E6" w14:textId="77777777" w:rsidR="00E65446" w:rsidRPr="00C5036A" w:rsidRDefault="00E65446">
      <w:pPr>
        <w:spacing w:before="0" w:after="200" w:line="276" w:lineRule="auto"/>
        <w:rPr>
          <w:rFonts w:ascii="San serif" w:hAnsi="San serif"/>
        </w:rPr>
      </w:pPr>
      <w:r w:rsidRPr="00C5036A">
        <w:rPr>
          <w:rFonts w:ascii="San serif" w:hAnsi="San serif"/>
        </w:rPr>
        <w:br w:type="page"/>
      </w:r>
    </w:p>
    <w:p w14:paraId="40DA0618" w14:textId="26C7871C" w:rsidR="004F7912" w:rsidRPr="00C5036A" w:rsidRDefault="00EE0E28" w:rsidP="004F7912">
      <w:pPr>
        <w:pStyle w:val="Heading2"/>
      </w:pPr>
      <w:bookmarkStart w:id="1" w:name="_Additional_Resources"/>
      <w:bookmarkEnd w:id="1"/>
      <w:r w:rsidRPr="00E20BA1">
        <w:lastRenderedPageBreak/>
        <w:t>Further</w:t>
      </w:r>
      <w:r w:rsidR="004F7912" w:rsidRPr="00C5036A">
        <w:t xml:space="preserve"> Resources</w:t>
      </w:r>
    </w:p>
    <w:p w14:paraId="07289EEA" w14:textId="77777777" w:rsidR="004F7912" w:rsidRPr="001264BA" w:rsidRDefault="004F7912" w:rsidP="00830CAF">
      <w:r w:rsidRPr="001264BA">
        <w:t>Please visit the following web pages for further information and guidance material.</w:t>
      </w:r>
    </w:p>
    <w:p w14:paraId="3A9FC738" w14:textId="62BA93CA" w:rsidR="0024240B" w:rsidRPr="00C5036A" w:rsidRDefault="005F7D52" w:rsidP="001264BA">
      <w:pPr>
        <w:pStyle w:val="ListBullet"/>
        <w:rPr>
          <w:rStyle w:val="Hyperlink"/>
          <w:rFonts w:asciiTheme="minorHAnsi" w:hAnsiTheme="minorHAnsi"/>
          <w:sz w:val="24"/>
        </w:rPr>
      </w:pPr>
      <w:hyperlink r:id="rId9" w:history="1">
        <w:r w:rsidR="0024240B" w:rsidRPr="00C5036A">
          <w:rPr>
            <w:rStyle w:val="Hyperlink"/>
            <w:rFonts w:asciiTheme="minorHAnsi" w:hAnsiTheme="minorHAnsi"/>
            <w:sz w:val="24"/>
          </w:rPr>
          <w:t>Core cultural learning | AIATSIS</w:t>
        </w:r>
      </w:hyperlink>
    </w:p>
    <w:p w14:paraId="2AC4A83E" w14:textId="07B0EEA2" w:rsidR="0024240B" w:rsidRPr="00C5036A" w:rsidRDefault="005F7D52" w:rsidP="001264BA">
      <w:pPr>
        <w:pStyle w:val="ListBullet"/>
        <w:rPr>
          <w:rFonts w:asciiTheme="minorHAnsi" w:eastAsiaTheme="majorEastAsia" w:hAnsiTheme="minorHAnsi"/>
          <w:u w:val="single"/>
        </w:rPr>
      </w:pPr>
      <w:hyperlink r:id="rId10" w:history="1">
        <w:r w:rsidR="0024240B" w:rsidRPr="00C5036A">
          <w:rPr>
            <w:rStyle w:val="Hyperlink"/>
            <w:rFonts w:asciiTheme="minorHAnsi" w:hAnsiTheme="minorHAnsi"/>
            <w:sz w:val="24"/>
          </w:rPr>
          <w:t>Cultural responsiveness in action: An IAHA Framework | Indigenous Allied Health Australia</w:t>
        </w:r>
      </w:hyperlink>
    </w:p>
    <w:bookmarkEnd w:id="0"/>
    <w:p w14:paraId="794C3A56" w14:textId="4390D2A1" w:rsidR="00C34FDE" w:rsidRPr="00C5036A" w:rsidRDefault="00C34FDE" w:rsidP="001264BA">
      <w:pPr>
        <w:pStyle w:val="ListBullet"/>
        <w:rPr>
          <w:rStyle w:val="Hyperlink"/>
          <w:rFonts w:asciiTheme="minorHAnsi" w:eastAsiaTheme="majorEastAsia" w:hAnsiTheme="minorHAnsi"/>
          <w:color w:val="auto"/>
          <w:sz w:val="24"/>
        </w:rPr>
      </w:pPr>
      <w:r w:rsidRPr="00C5036A">
        <w:rPr>
          <w:rFonts w:asciiTheme="minorHAnsi" w:hAnsiTheme="minorHAnsi"/>
        </w:rPr>
        <w:fldChar w:fldCharType="begin"/>
      </w:r>
      <w:r w:rsidRPr="00C5036A">
        <w:rPr>
          <w:rFonts w:asciiTheme="minorHAnsi" w:hAnsiTheme="minorHAnsi"/>
        </w:rPr>
        <w:instrText xml:space="preserve"> HYPERLINK "https://humanrights.gov.au/sites/default/files/VET%20Disability%20Unit%20Trainers%20Manual%20-%20Topic%206.pdf" </w:instrText>
      </w:r>
      <w:r w:rsidRPr="00C5036A">
        <w:rPr>
          <w:rFonts w:asciiTheme="minorHAnsi" w:hAnsiTheme="minorHAnsi"/>
        </w:rPr>
      </w:r>
      <w:r w:rsidRPr="00C5036A">
        <w:rPr>
          <w:rFonts w:asciiTheme="minorHAnsi" w:hAnsiTheme="minorHAnsi"/>
        </w:rPr>
        <w:fldChar w:fldCharType="separate"/>
      </w:r>
      <w:r w:rsidRPr="00C5036A">
        <w:rPr>
          <w:rStyle w:val="Hyperlink"/>
          <w:rFonts w:asciiTheme="minorHAnsi" w:hAnsiTheme="minorHAnsi"/>
          <w:sz w:val="24"/>
        </w:rPr>
        <w:t>Achieve cultural awareness in your work | Australian Human Rights Commission</w:t>
      </w:r>
      <w:r w:rsidRPr="00C5036A">
        <w:rPr>
          <w:rFonts w:asciiTheme="minorHAnsi" w:hAnsiTheme="minorHAnsi"/>
        </w:rPr>
        <w:fldChar w:fldCharType="end"/>
      </w:r>
    </w:p>
    <w:p w14:paraId="40DBB378" w14:textId="4E6E286B" w:rsidR="00C34FDE" w:rsidRPr="00C5036A" w:rsidRDefault="005F7D52" w:rsidP="001264BA">
      <w:pPr>
        <w:pStyle w:val="ListBullet"/>
        <w:rPr>
          <w:rFonts w:asciiTheme="minorHAnsi" w:eastAsiaTheme="majorEastAsia" w:hAnsiTheme="minorHAnsi"/>
          <w:u w:val="single"/>
        </w:rPr>
      </w:pPr>
      <w:hyperlink r:id="rId11" w:history="1">
        <w:r w:rsidR="00067420" w:rsidRPr="00C5036A">
          <w:rPr>
            <w:rStyle w:val="Hyperlink"/>
            <w:rFonts w:asciiTheme="minorHAnsi" w:eastAsiaTheme="majorEastAsia" w:hAnsiTheme="minorHAnsi"/>
            <w:sz w:val="24"/>
          </w:rPr>
          <w:t>Disability Sector Strengthening Plan | Closing the Gap</w:t>
        </w:r>
      </w:hyperlink>
    </w:p>
    <w:p w14:paraId="73116144" w14:textId="3C166D4B" w:rsidR="00067420" w:rsidRPr="00C5036A" w:rsidRDefault="005F7D52" w:rsidP="001264BA">
      <w:pPr>
        <w:pStyle w:val="ListBullet"/>
        <w:rPr>
          <w:rFonts w:asciiTheme="minorHAnsi" w:eastAsiaTheme="majorEastAsia" w:hAnsiTheme="minorHAnsi"/>
          <w:u w:val="single"/>
        </w:rPr>
      </w:pPr>
      <w:hyperlink r:id="rId12" w:history="1">
        <w:r w:rsidR="00067420" w:rsidRPr="00C5036A">
          <w:rPr>
            <w:rStyle w:val="Hyperlink"/>
            <w:rFonts w:asciiTheme="minorHAnsi" w:eastAsiaTheme="majorEastAsia" w:hAnsiTheme="minorHAnsi"/>
            <w:sz w:val="24"/>
          </w:rPr>
          <w:t>Australia’s Disability Strategy 2021- 2031 | Disability Gateway</w:t>
        </w:r>
      </w:hyperlink>
    </w:p>
    <w:p w14:paraId="79EA6B32" w14:textId="7AC64A1C" w:rsidR="00067420" w:rsidRPr="008E5BE7" w:rsidRDefault="005F7D52" w:rsidP="001264BA">
      <w:pPr>
        <w:pStyle w:val="ListBullet"/>
        <w:rPr>
          <w:rFonts w:asciiTheme="minorHAnsi" w:eastAsiaTheme="majorEastAsia" w:hAnsiTheme="minorHAnsi" w:cstheme="minorHAnsi"/>
          <w:u w:val="single"/>
        </w:rPr>
      </w:pPr>
      <w:hyperlink r:id="rId13" w:history="1">
        <w:r w:rsidR="00067420" w:rsidRPr="00C5036A">
          <w:rPr>
            <w:rStyle w:val="Hyperlink"/>
            <w:rFonts w:asciiTheme="minorHAnsi" w:eastAsiaTheme="majorEastAsia" w:hAnsiTheme="minorHAnsi"/>
            <w:sz w:val="24"/>
          </w:rPr>
          <w:t>Trauma-Informed &amp; Culturally Safe Care &amp; Practice | National Justice Project</w:t>
        </w:r>
      </w:hyperlink>
      <w:r w:rsidR="00067420" w:rsidRPr="008E5BE7">
        <w:rPr>
          <w:rFonts w:asciiTheme="minorHAnsi" w:eastAsiaTheme="majorEastAsia" w:hAnsiTheme="minorHAnsi" w:cstheme="minorHAnsi"/>
        </w:rPr>
        <w:fldChar w:fldCharType="begin"/>
      </w:r>
      <w:r w:rsidR="00067420" w:rsidRPr="008E5BE7">
        <w:rPr>
          <w:rFonts w:asciiTheme="minorHAnsi" w:eastAsiaTheme="majorEastAsia" w:hAnsiTheme="minorHAnsi" w:cstheme="minorHAnsi"/>
        </w:rPr>
        <w:instrText xml:space="preserve"> HYPERLINK "https://www.anrows.org.au/resources/cultural-safety-principles-and-guidelines/" </w:instrText>
      </w:r>
      <w:r w:rsidR="00067420" w:rsidRPr="008E5BE7">
        <w:rPr>
          <w:rFonts w:asciiTheme="minorHAnsi" w:eastAsiaTheme="majorEastAsia" w:hAnsiTheme="minorHAnsi" w:cstheme="minorHAnsi"/>
        </w:rPr>
      </w:r>
      <w:r w:rsidR="00067420" w:rsidRPr="008E5BE7">
        <w:rPr>
          <w:rFonts w:asciiTheme="minorHAnsi" w:eastAsiaTheme="majorEastAsia" w:hAnsiTheme="minorHAnsi" w:cstheme="minorHAnsi"/>
        </w:rPr>
        <w:fldChar w:fldCharType="separate"/>
      </w:r>
      <w:r w:rsidR="00067420" w:rsidRPr="008E5BE7">
        <w:rPr>
          <w:rFonts w:asciiTheme="minorHAnsi" w:eastAsiaTheme="majorEastAsia" w:hAnsiTheme="minorHAnsi" w:cstheme="minorHAnsi"/>
        </w:rPr>
        <w:t xml:space="preserve"> </w:t>
      </w:r>
    </w:p>
    <w:p w14:paraId="47814835" w14:textId="21B8E04C" w:rsidR="00067420" w:rsidRPr="008E5BE7" w:rsidRDefault="00067420" w:rsidP="001264BA">
      <w:pPr>
        <w:pStyle w:val="ListBullet"/>
        <w:rPr>
          <w:rStyle w:val="Hyperlink"/>
          <w:rFonts w:asciiTheme="minorHAnsi" w:eastAsiaTheme="majorEastAsia" w:hAnsiTheme="minorHAnsi" w:cstheme="minorHAnsi"/>
          <w:color w:val="auto"/>
          <w:sz w:val="24"/>
        </w:rPr>
      </w:pPr>
      <w:r w:rsidRPr="008E5BE7">
        <w:rPr>
          <w:rStyle w:val="Hyperlink"/>
          <w:rFonts w:asciiTheme="minorHAnsi" w:eastAsiaTheme="majorEastAsia" w:hAnsiTheme="minorHAnsi" w:cstheme="minorHAnsi"/>
          <w:sz w:val="24"/>
        </w:rPr>
        <w:t xml:space="preserve">Cultural safety principles and guidelines | ANROWS </w:t>
      </w:r>
    </w:p>
    <w:p w14:paraId="69503196" w14:textId="09F026E2" w:rsidR="000422AB" w:rsidRPr="008E5BE7" w:rsidRDefault="00067420" w:rsidP="001264BA">
      <w:pPr>
        <w:pStyle w:val="ListBullet"/>
        <w:rPr>
          <w:rFonts w:asciiTheme="minorHAnsi" w:eastAsiaTheme="majorEastAsia" w:hAnsiTheme="minorHAnsi" w:cstheme="minorHAnsi"/>
        </w:rPr>
      </w:pPr>
      <w:r w:rsidRPr="008E5BE7">
        <w:rPr>
          <w:rFonts w:asciiTheme="minorHAnsi" w:eastAsiaTheme="majorEastAsia" w:hAnsiTheme="minorHAnsi" w:cstheme="minorHAnsi"/>
        </w:rPr>
        <w:fldChar w:fldCharType="end"/>
      </w:r>
      <w:hyperlink r:id="rId14" w:history="1">
        <w:r w:rsidR="0079495C" w:rsidRPr="008E5BE7">
          <w:rPr>
            <w:rStyle w:val="Hyperlink"/>
            <w:rFonts w:asciiTheme="minorHAnsi" w:eastAsiaTheme="majorEastAsia" w:hAnsiTheme="minorHAnsi" w:cstheme="minorHAnsi"/>
          </w:rPr>
          <w:t>Disability Services and Inclusion Act 2023 | Department of Social Services, Australian Government (dss.gov.au)</w:t>
        </w:r>
      </w:hyperlink>
    </w:p>
    <w:p w14:paraId="6E5068D3" w14:textId="77777777" w:rsidR="002537AA" w:rsidRPr="00C5036A" w:rsidRDefault="002537AA" w:rsidP="00EF75DC">
      <w:pPr>
        <w:pStyle w:val="ListBullet"/>
        <w:numPr>
          <w:ilvl w:val="0"/>
          <w:numId w:val="0"/>
        </w:numPr>
        <w:spacing w:before="120" w:after="180"/>
        <w:ind w:left="502" w:hanging="360"/>
        <w:rPr>
          <w:rStyle w:val="Hyperlink"/>
          <w:rFonts w:ascii="San serif" w:eastAsiaTheme="majorEastAsia" w:hAnsi="San serif"/>
          <w:color w:val="auto"/>
          <w:sz w:val="24"/>
        </w:rPr>
      </w:pPr>
    </w:p>
    <w:sectPr w:rsidR="002537AA" w:rsidRPr="00C5036A" w:rsidSect="006A7B4F">
      <w:headerReference w:type="default" r:id="rId15"/>
      <w:footerReference w:type="default" r:id="rId16"/>
      <w:footerReference w:type="first" r:id="rId17"/>
      <w:pgSz w:w="11906" w:h="16838"/>
      <w:pgMar w:top="1134" w:right="1418" w:bottom="1418" w:left="1134" w:header="284" w:footer="45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BC2CE" w14:textId="77777777" w:rsidR="00D03F08" w:rsidRDefault="00D03F08" w:rsidP="008F3023">
      <w:pPr>
        <w:spacing w:before="0" w:after="0" w:line="240" w:lineRule="auto"/>
      </w:pPr>
      <w:r>
        <w:separator/>
      </w:r>
    </w:p>
  </w:endnote>
  <w:endnote w:type="continuationSeparator" w:id="0">
    <w:p w14:paraId="7404564C" w14:textId="77777777" w:rsidR="00D03F08" w:rsidRDefault="00D03F08" w:rsidP="008F3023">
      <w:pPr>
        <w:spacing w:before="0" w:after="0" w:line="240" w:lineRule="auto"/>
      </w:pPr>
      <w:r>
        <w:continuationSeparator/>
      </w:r>
    </w:p>
  </w:endnote>
  <w:endnote w:type="continuationNotice" w:id="1">
    <w:p w14:paraId="06B69035" w14:textId="77777777" w:rsidR="00D03F08" w:rsidRDefault="00D03F0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B0073" w14:textId="77777777" w:rsidR="006A7B4F" w:rsidRDefault="006A7B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3030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76764A" w14:textId="3514390C" w:rsidR="00281DFB" w:rsidRDefault="00281DFB" w:rsidP="008E32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49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A49B9F" w14:textId="77777777" w:rsidR="00F85669" w:rsidRDefault="00F85669" w:rsidP="00B10EB1">
    <w:pPr>
      <w:pStyle w:val="Footer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A73F8" w14:textId="77777777" w:rsidR="00D03F08" w:rsidRDefault="00D03F08" w:rsidP="008F3023">
      <w:pPr>
        <w:spacing w:before="0" w:after="0" w:line="240" w:lineRule="auto"/>
      </w:pPr>
      <w:r>
        <w:separator/>
      </w:r>
    </w:p>
  </w:footnote>
  <w:footnote w:type="continuationSeparator" w:id="0">
    <w:p w14:paraId="3F052BDE" w14:textId="77777777" w:rsidR="00D03F08" w:rsidRDefault="00D03F08" w:rsidP="008F3023">
      <w:pPr>
        <w:spacing w:before="0" w:after="0" w:line="240" w:lineRule="auto"/>
      </w:pPr>
      <w:r>
        <w:continuationSeparator/>
      </w:r>
    </w:p>
  </w:footnote>
  <w:footnote w:type="continuationNotice" w:id="1">
    <w:p w14:paraId="34C8EE95" w14:textId="77777777" w:rsidR="00D03F08" w:rsidRDefault="00D03F0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8D4B3" w14:textId="77777777" w:rsidR="0084227C" w:rsidRPr="0084227C" w:rsidRDefault="0084227C" w:rsidP="008422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55CB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46B1F"/>
    <w:multiLevelType w:val="hybridMultilevel"/>
    <w:tmpl w:val="9BAEC884"/>
    <w:lvl w:ilvl="0" w:tplc="0B9CD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D4B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3AE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C6F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6CD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90F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AE2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30E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34A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8E0D19"/>
    <w:multiLevelType w:val="hybridMultilevel"/>
    <w:tmpl w:val="3048B3E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00760"/>
    <w:multiLevelType w:val="hybridMultilevel"/>
    <w:tmpl w:val="33968722"/>
    <w:lvl w:ilvl="0" w:tplc="CAAA5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F4A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E04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769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105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AAA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868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6A4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C6B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00B231F"/>
    <w:multiLevelType w:val="hybridMultilevel"/>
    <w:tmpl w:val="1FC66476"/>
    <w:lvl w:ilvl="0" w:tplc="8B64E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D25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4E0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7CB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6EE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7CA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108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669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6CA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156537F"/>
    <w:multiLevelType w:val="hybridMultilevel"/>
    <w:tmpl w:val="DFF2029E"/>
    <w:lvl w:ilvl="0" w:tplc="85D00AA2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06776"/>
    <w:multiLevelType w:val="hybridMultilevel"/>
    <w:tmpl w:val="77E026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E722E"/>
    <w:multiLevelType w:val="hybridMultilevel"/>
    <w:tmpl w:val="5440A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0487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D729C"/>
    <w:multiLevelType w:val="hybridMultilevel"/>
    <w:tmpl w:val="27509F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B6DF6"/>
    <w:multiLevelType w:val="hybridMultilevel"/>
    <w:tmpl w:val="80A49B7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902B5"/>
    <w:multiLevelType w:val="hybridMultilevel"/>
    <w:tmpl w:val="86142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2467F"/>
    <w:multiLevelType w:val="hybridMultilevel"/>
    <w:tmpl w:val="6EA89F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D3163"/>
    <w:multiLevelType w:val="hybridMultilevel"/>
    <w:tmpl w:val="CE0A0B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0487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61B06"/>
    <w:multiLevelType w:val="hybridMultilevel"/>
    <w:tmpl w:val="BC94F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5384A"/>
    <w:multiLevelType w:val="hybridMultilevel"/>
    <w:tmpl w:val="6A3E44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00749"/>
    <w:multiLevelType w:val="hybridMultilevel"/>
    <w:tmpl w:val="732CCB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0487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85F07"/>
    <w:multiLevelType w:val="hybridMultilevel"/>
    <w:tmpl w:val="B6D830AC"/>
    <w:lvl w:ilvl="0" w:tplc="DD30FAF8">
      <w:start w:val="1"/>
      <w:numFmt w:val="bullet"/>
      <w:pStyle w:val="List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55F3B"/>
    <w:multiLevelType w:val="hybridMultilevel"/>
    <w:tmpl w:val="5334762E"/>
    <w:lvl w:ilvl="0" w:tplc="0C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5AF7C55"/>
    <w:multiLevelType w:val="hybridMultilevel"/>
    <w:tmpl w:val="2C144F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76858"/>
    <w:multiLevelType w:val="hybridMultilevel"/>
    <w:tmpl w:val="4DA2B2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246E0"/>
    <w:multiLevelType w:val="hybridMultilevel"/>
    <w:tmpl w:val="78143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D7A3F"/>
    <w:multiLevelType w:val="hybridMultilevel"/>
    <w:tmpl w:val="18D050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E1A05"/>
    <w:multiLevelType w:val="hybridMultilevel"/>
    <w:tmpl w:val="588A1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D169B"/>
    <w:multiLevelType w:val="hybridMultilevel"/>
    <w:tmpl w:val="E03E3E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71D68"/>
    <w:multiLevelType w:val="hybridMultilevel"/>
    <w:tmpl w:val="B39CF7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D3563"/>
    <w:multiLevelType w:val="hybridMultilevel"/>
    <w:tmpl w:val="C2BA09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0487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902AFA"/>
    <w:multiLevelType w:val="hybridMultilevel"/>
    <w:tmpl w:val="CE6A3A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483363"/>
    <w:multiLevelType w:val="hybridMultilevel"/>
    <w:tmpl w:val="A91E8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D105C"/>
    <w:multiLevelType w:val="hybridMultilevel"/>
    <w:tmpl w:val="B9DCCAFA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292097"/>
    <w:multiLevelType w:val="hybridMultilevel"/>
    <w:tmpl w:val="07CA4F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319EA"/>
    <w:multiLevelType w:val="hybridMultilevel"/>
    <w:tmpl w:val="91B0A5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0487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46710C"/>
    <w:multiLevelType w:val="hybridMultilevel"/>
    <w:tmpl w:val="7CAA2BEA"/>
    <w:lvl w:ilvl="0" w:tplc="63F06290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A30CA8"/>
    <w:multiLevelType w:val="hybridMultilevel"/>
    <w:tmpl w:val="918C3C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0487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016F5"/>
    <w:multiLevelType w:val="hybridMultilevel"/>
    <w:tmpl w:val="84FA000A"/>
    <w:lvl w:ilvl="0" w:tplc="0C4644B0">
      <w:numFmt w:val="bullet"/>
      <w:lvlText w:val="•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72576"/>
    <w:multiLevelType w:val="hybridMultilevel"/>
    <w:tmpl w:val="966659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7D0AB4"/>
    <w:multiLevelType w:val="hybridMultilevel"/>
    <w:tmpl w:val="85F4678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9C701E"/>
    <w:multiLevelType w:val="hybridMultilevel"/>
    <w:tmpl w:val="13CA9E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982C17"/>
    <w:multiLevelType w:val="hybridMultilevel"/>
    <w:tmpl w:val="2C2E54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1823DD"/>
    <w:multiLevelType w:val="hybridMultilevel"/>
    <w:tmpl w:val="9D0C6B54"/>
    <w:lvl w:ilvl="0" w:tplc="49FA8FF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97B32"/>
    <w:multiLevelType w:val="hybridMultilevel"/>
    <w:tmpl w:val="DCE0FA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0487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6C4DE9"/>
    <w:multiLevelType w:val="hybridMultilevel"/>
    <w:tmpl w:val="7534D7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0487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204624">
    <w:abstractNumId w:val="5"/>
  </w:num>
  <w:num w:numId="2" w16cid:durableId="266036709">
    <w:abstractNumId w:val="20"/>
  </w:num>
  <w:num w:numId="3" w16cid:durableId="29696257">
    <w:abstractNumId w:val="11"/>
  </w:num>
  <w:num w:numId="4" w16cid:durableId="285888619">
    <w:abstractNumId w:val="24"/>
  </w:num>
  <w:num w:numId="5" w16cid:durableId="319963744">
    <w:abstractNumId w:val="9"/>
  </w:num>
  <w:num w:numId="6" w16cid:durableId="59720984">
    <w:abstractNumId w:val="2"/>
  </w:num>
  <w:num w:numId="7" w16cid:durableId="165559086">
    <w:abstractNumId w:val="29"/>
  </w:num>
  <w:num w:numId="8" w16cid:durableId="19211314">
    <w:abstractNumId w:val="34"/>
  </w:num>
  <w:num w:numId="9" w16cid:durableId="842399858">
    <w:abstractNumId w:val="13"/>
  </w:num>
  <w:num w:numId="10" w16cid:durableId="1564094959">
    <w:abstractNumId w:val="14"/>
  </w:num>
  <w:num w:numId="11" w16cid:durableId="693312521">
    <w:abstractNumId w:val="19"/>
  </w:num>
  <w:num w:numId="12" w16cid:durableId="1887181522">
    <w:abstractNumId w:val="23"/>
  </w:num>
  <w:num w:numId="13" w16cid:durableId="547376249">
    <w:abstractNumId w:val="18"/>
  </w:num>
  <w:num w:numId="14" w16cid:durableId="1650010913">
    <w:abstractNumId w:val="27"/>
  </w:num>
  <w:num w:numId="15" w16cid:durableId="1922984629">
    <w:abstractNumId w:val="6"/>
  </w:num>
  <w:num w:numId="16" w16cid:durableId="1439835115">
    <w:abstractNumId w:val="21"/>
  </w:num>
  <w:num w:numId="17" w16cid:durableId="1677002656">
    <w:abstractNumId w:val="26"/>
  </w:num>
  <w:num w:numId="18" w16cid:durableId="1220247166">
    <w:abstractNumId w:val="22"/>
  </w:num>
  <w:num w:numId="19" w16cid:durableId="117722421">
    <w:abstractNumId w:val="36"/>
  </w:num>
  <w:num w:numId="20" w16cid:durableId="693312732">
    <w:abstractNumId w:val="37"/>
  </w:num>
  <w:num w:numId="21" w16cid:durableId="1866206705">
    <w:abstractNumId w:val="10"/>
  </w:num>
  <w:num w:numId="22" w16cid:durableId="1116366667">
    <w:abstractNumId w:val="39"/>
  </w:num>
  <w:num w:numId="23" w16cid:durableId="389690326">
    <w:abstractNumId w:val="25"/>
  </w:num>
  <w:num w:numId="24" w16cid:durableId="477650460">
    <w:abstractNumId w:val="30"/>
  </w:num>
  <w:num w:numId="25" w16cid:durableId="1570531463">
    <w:abstractNumId w:val="32"/>
  </w:num>
  <w:num w:numId="26" w16cid:durableId="304745493">
    <w:abstractNumId w:val="12"/>
  </w:num>
  <w:num w:numId="27" w16cid:durableId="1254389750">
    <w:abstractNumId w:val="7"/>
  </w:num>
  <w:num w:numId="28" w16cid:durableId="950630799">
    <w:abstractNumId w:val="15"/>
  </w:num>
  <w:num w:numId="29" w16cid:durableId="1677418425">
    <w:abstractNumId w:val="40"/>
  </w:num>
  <w:num w:numId="30" w16cid:durableId="1299533821">
    <w:abstractNumId w:val="28"/>
  </w:num>
  <w:num w:numId="31" w16cid:durableId="1358046096">
    <w:abstractNumId w:val="38"/>
  </w:num>
  <w:num w:numId="32" w16cid:durableId="1112676223">
    <w:abstractNumId w:val="4"/>
  </w:num>
  <w:num w:numId="33" w16cid:durableId="1274091406">
    <w:abstractNumId w:val="1"/>
  </w:num>
  <w:num w:numId="34" w16cid:durableId="1833595597">
    <w:abstractNumId w:val="3"/>
  </w:num>
  <w:num w:numId="35" w16cid:durableId="1315254299">
    <w:abstractNumId w:val="17"/>
  </w:num>
  <w:num w:numId="36" w16cid:durableId="1966963084">
    <w:abstractNumId w:val="35"/>
  </w:num>
  <w:num w:numId="37" w16cid:durableId="29111510">
    <w:abstractNumId w:val="5"/>
  </w:num>
  <w:num w:numId="38" w16cid:durableId="602996853">
    <w:abstractNumId w:val="5"/>
  </w:num>
  <w:num w:numId="39" w16cid:durableId="56784683">
    <w:abstractNumId w:val="5"/>
  </w:num>
  <w:num w:numId="40" w16cid:durableId="1554392621">
    <w:abstractNumId w:val="5"/>
  </w:num>
  <w:num w:numId="41" w16cid:durableId="102965019">
    <w:abstractNumId w:val="5"/>
  </w:num>
  <w:num w:numId="42" w16cid:durableId="873619441">
    <w:abstractNumId w:val="0"/>
  </w:num>
  <w:num w:numId="43" w16cid:durableId="1988973317">
    <w:abstractNumId w:val="5"/>
  </w:num>
  <w:num w:numId="44" w16cid:durableId="871190847">
    <w:abstractNumId w:val="5"/>
  </w:num>
  <w:num w:numId="45" w16cid:durableId="1233811464">
    <w:abstractNumId w:val="31"/>
  </w:num>
  <w:num w:numId="46" w16cid:durableId="11761741">
    <w:abstractNumId w:val="16"/>
  </w:num>
  <w:num w:numId="47" w16cid:durableId="1974944196">
    <w:abstractNumId w:val="8"/>
  </w:num>
  <w:num w:numId="48" w16cid:durableId="8922342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5A2"/>
    <w:rsid w:val="000140B8"/>
    <w:rsid w:val="000422AB"/>
    <w:rsid w:val="00060DD4"/>
    <w:rsid w:val="00063880"/>
    <w:rsid w:val="00067420"/>
    <w:rsid w:val="00067E0C"/>
    <w:rsid w:val="0007122B"/>
    <w:rsid w:val="00073D6D"/>
    <w:rsid w:val="00081294"/>
    <w:rsid w:val="00081610"/>
    <w:rsid w:val="000903B9"/>
    <w:rsid w:val="000B19E7"/>
    <w:rsid w:val="000D116A"/>
    <w:rsid w:val="000D3571"/>
    <w:rsid w:val="000D35E6"/>
    <w:rsid w:val="001077E4"/>
    <w:rsid w:val="001138A5"/>
    <w:rsid w:val="001264BA"/>
    <w:rsid w:val="00137947"/>
    <w:rsid w:val="001510D7"/>
    <w:rsid w:val="00154386"/>
    <w:rsid w:val="00155A28"/>
    <w:rsid w:val="001A5A28"/>
    <w:rsid w:val="001A7461"/>
    <w:rsid w:val="001C0D30"/>
    <w:rsid w:val="001C28BA"/>
    <w:rsid w:val="001C518D"/>
    <w:rsid w:val="001E630D"/>
    <w:rsid w:val="001F512D"/>
    <w:rsid w:val="00201DAF"/>
    <w:rsid w:val="002247A4"/>
    <w:rsid w:val="0024240B"/>
    <w:rsid w:val="002537AA"/>
    <w:rsid w:val="00253A04"/>
    <w:rsid w:val="00281DFB"/>
    <w:rsid w:val="002B3CC6"/>
    <w:rsid w:val="002B46FF"/>
    <w:rsid w:val="002B7576"/>
    <w:rsid w:val="002C5C76"/>
    <w:rsid w:val="002E7988"/>
    <w:rsid w:val="002F002B"/>
    <w:rsid w:val="002F0124"/>
    <w:rsid w:val="00311FC7"/>
    <w:rsid w:val="003258D7"/>
    <w:rsid w:val="0038044C"/>
    <w:rsid w:val="00395D81"/>
    <w:rsid w:val="003B13F2"/>
    <w:rsid w:val="003B2BB8"/>
    <w:rsid w:val="003D34FF"/>
    <w:rsid w:val="003D448A"/>
    <w:rsid w:val="003E2B62"/>
    <w:rsid w:val="00402BEE"/>
    <w:rsid w:val="0041163C"/>
    <w:rsid w:val="004235FB"/>
    <w:rsid w:val="00440CB8"/>
    <w:rsid w:val="00446B1A"/>
    <w:rsid w:val="00447E0D"/>
    <w:rsid w:val="004556DF"/>
    <w:rsid w:val="00455731"/>
    <w:rsid w:val="00473668"/>
    <w:rsid w:val="00493034"/>
    <w:rsid w:val="004962D4"/>
    <w:rsid w:val="004A7683"/>
    <w:rsid w:val="004B54CA"/>
    <w:rsid w:val="004B6E3A"/>
    <w:rsid w:val="004C4A1F"/>
    <w:rsid w:val="004E5CBF"/>
    <w:rsid w:val="004E72DD"/>
    <w:rsid w:val="004F77F4"/>
    <w:rsid w:val="004F7912"/>
    <w:rsid w:val="0050273B"/>
    <w:rsid w:val="00517AE4"/>
    <w:rsid w:val="00530A55"/>
    <w:rsid w:val="005405A2"/>
    <w:rsid w:val="00545CA1"/>
    <w:rsid w:val="0054713E"/>
    <w:rsid w:val="00565133"/>
    <w:rsid w:val="00567053"/>
    <w:rsid w:val="00570677"/>
    <w:rsid w:val="00584FC1"/>
    <w:rsid w:val="00586246"/>
    <w:rsid w:val="005877DC"/>
    <w:rsid w:val="005A21ED"/>
    <w:rsid w:val="005C3AA9"/>
    <w:rsid w:val="005D0618"/>
    <w:rsid w:val="005D10F5"/>
    <w:rsid w:val="005F7D52"/>
    <w:rsid w:val="00607C4A"/>
    <w:rsid w:val="00632E1D"/>
    <w:rsid w:val="0063414F"/>
    <w:rsid w:val="00650069"/>
    <w:rsid w:val="00652743"/>
    <w:rsid w:val="00687419"/>
    <w:rsid w:val="00695297"/>
    <w:rsid w:val="006A4CE7"/>
    <w:rsid w:val="006A7B4F"/>
    <w:rsid w:val="006F43CA"/>
    <w:rsid w:val="007065F3"/>
    <w:rsid w:val="00707370"/>
    <w:rsid w:val="0072112A"/>
    <w:rsid w:val="0073320E"/>
    <w:rsid w:val="00743E50"/>
    <w:rsid w:val="007570D8"/>
    <w:rsid w:val="00781EEF"/>
    <w:rsid w:val="00785261"/>
    <w:rsid w:val="0078549B"/>
    <w:rsid w:val="0079495C"/>
    <w:rsid w:val="007951D1"/>
    <w:rsid w:val="007B0256"/>
    <w:rsid w:val="007B41E4"/>
    <w:rsid w:val="007E6E6F"/>
    <w:rsid w:val="00830CAF"/>
    <w:rsid w:val="0084227C"/>
    <w:rsid w:val="00854CF8"/>
    <w:rsid w:val="008565DF"/>
    <w:rsid w:val="0085710F"/>
    <w:rsid w:val="008612B1"/>
    <w:rsid w:val="0087600D"/>
    <w:rsid w:val="00876CA6"/>
    <w:rsid w:val="00877018"/>
    <w:rsid w:val="0088080B"/>
    <w:rsid w:val="008B286A"/>
    <w:rsid w:val="008C1116"/>
    <w:rsid w:val="008E32D4"/>
    <w:rsid w:val="008E5BE7"/>
    <w:rsid w:val="008F2ECC"/>
    <w:rsid w:val="008F3023"/>
    <w:rsid w:val="00906A4D"/>
    <w:rsid w:val="00912AFC"/>
    <w:rsid w:val="009225F0"/>
    <w:rsid w:val="00925729"/>
    <w:rsid w:val="00926873"/>
    <w:rsid w:val="00930702"/>
    <w:rsid w:val="0094563F"/>
    <w:rsid w:val="00950405"/>
    <w:rsid w:val="00952327"/>
    <w:rsid w:val="009526B2"/>
    <w:rsid w:val="009618FA"/>
    <w:rsid w:val="00966001"/>
    <w:rsid w:val="00992159"/>
    <w:rsid w:val="009C0EB1"/>
    <w:rsid w:val="009D3CCB"/>
    <w:rsid w:val="009F3B17"/>
    <w:rsid w:val="00A13549"/>
    <w:rsid w:val="00A14DB5"/>
    <w:rsid w:val="00A43E66"/>
    <w:rsid w:val="00A4462B"/>
    <w:rsid w:val="00A65AF5"/>
    <w:rsid w:val="00A67C81"/>
    <w:rsid w:val="00A74769"/>
    <w:rsid w:val="00A84D91"/>
    <w:rsid w:val="00AB6F9E"/>
    <w:rsid w:val="00AC5EAB"/>
    <w:rsid w:val="00AD0209"/>
    <w:rsid w:val="00AE0440"/>
    <w:rsid w:val="00AE519F"/>
    <w:rsid w:val="00AF5B15"/>
    <w:rsid w:val="00B10EB1"/>
    <w:rsid w:val="00B155FD"/>
    <w:rsid w:val="00B25125"/>
    <w:rsid w:val="00B4343A"/>
    <w:rsid w:val="00B45847"/>
    <w:rsid w:val="00B47E0C"/>
    <w:rsid w:val="00B6637C"/>
    <w:rsid w:val="00BA2DB9"/>
    <w:rsid w:val="00BB397F"/>
    <w:rsid w:val="00BB45E3"/>
    <w:rsid w:val="00BC5083"/>
    <w:rsid w:val="00BE12BA"/>
    <w:rsid w:val="00BE7148"/>
    <w:rsid w:val="00C00326"/>
    <w:rsid w:val="00C027B8"/>
    <w:rsid w:val="00C11DA9"/>
    <w:rsid w:val="00C151CC"/>
    <w:rsid w:val="00C17B77"/>
    <w:rsid w:val="00C34FDE"/>
    <w:rsid w:val="00C468FD"/>
    <w:rsid w:val="00C5036A"/>
    <w:rsid w:val="00C57001"/>
    <w:rsid w:val="00C57730"/>
    <w:rsid w:val="00C61913"/>
    <w:rsid w:val="00C62FAC"/>
    <w:rsid w:val="00C64535"/>
    <w:rsid w:val="00C668FC"/>
    <w:rsid w:val="00CA39B6"/>
    <w:rsid w:val="00CE1CB4"/>
    <w:rsid w:val="00CF0F3F"/>
    <w:rsid w:val="00D01548"/>
    <w:rsid w:val="00D02314"/>
    <w:rsid w:val="00D03F08"/>
    <w:rsid w:val="00D107B4"/>
    <w:rsid w:val="00D1269E"/>
    <w:rsid w:val="00D22A8A"/>
    <w:rsid w:val="00D31C14"/>
    <w:rsid w:val="00D345B0"/>
    <w:rsid w:val="00D3690D"/>
    <w:rsid w:val="00D515EB"/>
    <w:rsid w:val="00D541CF"/>
    <w:rsid w:val="00D66909"/>
    <w:rsid w:val="00D80FF7"/>
    <w:rsid w:val="00D8135A"/>
    <w:rsid w:val="00D90D3C"/>
    <w:rsid w:val="00DA0B14"/>
    <w:rsid w:val="00DB04D9"/>
    <w:rsid w:val="00DB44A1"/>
    <w:rsid w:val="00DB7599"/>
    <w:rsid w:val="00DE7567"/>
    <w:rsid w:val="00E0617D"/>
    <w:rsid w:val="00E20BA1"/>
    <w:rsid w:val="00E249C0"/>
    <w:rsid w:val="00E250CF"/>
    <w:rsid w:val="00E26A86"/>
    <w:rsid w:val="00E45BCB"/>
    <w:rsid w:val="00E65446"/>
    <w:rsid w:val="00E708BB"/>
    <w:rsid w:val="00E858E0"/>
    <w:rsid w:val="00E85B36"/>
    <w:rsid w:val="00EA4566"/>
    <w:rsid w:val="00EC0CEF"/>
    <w:rsid w:val="00EC4C83"/>
    <w:rsid w:val="00ED3DF2"/>
    <w:rsid w:val="00EE0E28"/>
    <w:rsid w:val="00EE3834"/>
    <w:rsid w:val="00EE5437"/>
    <w:rsid w:val="00EF75DC"/>
    <w:rsid w:val="00F117E7"/>
    <w:rsid w:val="00F14CEA"/>
    <w:rsid w:val="00F30908"/>
    <w:rsid w:val="00F55342"/>
    <w:rsid w:val="00F73ACB"/>
    <w:rsid w:val="00F81C10"/>
    <w:rsid w:val="00F850F6"/>
    <w:rsid w:val="00F85669"/>
    <w:rsid w:val="00F93639"/>
    <w:rsid w:val="00FB540B"/>
    <w:rsid w:val="00FC143A"/>
    <w:rsid w:val="00FC4948"/>
    <w:rsid w:val="00FD42A3"/>
    <w:rsid w:val="00FD499F"/>
    <w:rsid w:val="00FD6BAA"/>
    <w:rsid w:val="00FD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D163E"/>
  <w15:docId w15:val="{5157AB7F-2F40-4ACF-B0CB-E98DD99E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12D"/>
    <w:pPr>
      <w:spacing w:before="120" w:after="180" w:line="280" w:lineRule="atLeast"/>
    </w:pPr>
    <w:rPr>
      <w:rFonts w:ascii="Arial" w:eastAsia="Times New Roman" w:hAnsi="Arial" w:cs="Times New Roman"/>
      <w:spacing w:val="4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2"/>
    <w:qFormat/>
    <w:rsid w:val="00FD499F"/>
    <w:pPr>
      <w:spacing w:before="360" w:after="120" w:line="240" w:lineRule="auto"/>
      <w:contextualSpacing/>
      <w:outlineLvl w:val="0"/>
    </w:pPr>
    <w:rPr>
      <w:rFonts w:ascii="Georgia" w:eastAsiaTheme="majorEastAsia" w:hAnsi="Georgia" w:cstheme="majorBidi"/>
      <w:bCs/>
      <w:color w:val="500778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FD499F"/>
    <w:pPr>
      <w:spacing w:before="240" w:after="120" w:line="240" w:lineRule="auto"/>
      <w:outlineLvl w:val="1"/>
    </w:pPr>
    <w:rPr>
      <w:rFonts w:ascii="Georgia" w:eastAsiaTheme="majorEastAsia" w:hAnsi="Georgia" w:cstheme="majorBidi"/>
      <w:bCs/>
      <w:color w:val="500778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3CC6"/>
    <w:pPr>
      <w:spacing w:before="200" w:after="0" w:line="271" w:lineRule="auto"/>
      <w:outlineLvl w:val="2"/>
    </w:pPr>
    <w:rPr>
      <w:rFonts w:ascii="Georgia" w:eastAsiaTheme="majorEastAsia" w:hAnsi="Georgia" w:cstheme="majorBidi"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713E"/>
    <w:pPr>
      <w:spacing w:before="200" w:after="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713E"/>
    <w:pPr>
      <w:spacing w:before="200" w:after="0"/>
      <w:outlineLvl w:val="4"/>
    </w:pPr>
    <w:rPr>
      <w:rFonts w:eastAsiaTheme="majorEastAsia" w:cstheme="majorBidi"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4713E"/>
    <w:pPr>
      <w:spacing w:after="0" w:line="271" w:lineRule="auto"/>
      <w:outlineLvl w:val="5"/>
    </w:pPr>
    <w:rPr>
      <w:rFonts w:eastAsiaTheme="majorEastAsia" w:cstheme="majorBidi"/>
      <w:bCs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4713E"/>
    <w:pPr>
      <w:spacing w:after="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4713E"/>
    <w:pPr>
      <w:spacing w:after="0"/>
      <w:outlineLvl w:val="8"/>
    </w:pPr>
    <w:rPr>
      <w:rFonts w:eastAsiaTheme="majorEastAsia" w:cstheme="majorBidi"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FD499F"/>
    <w:rPr>
      <w:rFonts w:ascii="Georgia" w:eastAsiaTheme="majorEastAsia" w:hAnsi="Georgia" w:cstheme="majorBidi"/>
      <w:bCs/>
      <w:color w:val="500778"/>
      <w:spacing w:val="4"/>
      <w:sz w:val="36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2"/>
    <w:rsid w:val="00FD499F"/>
    <w:rPr>
      <w:rFonts w:ascii="Georgia" w:eastAsiaTheme="majorEastAsia" w:hAnsi="Georgia" w:cstheme="majorBidi"/>
      <w:bCs/>
      <w:color w:val="500778"/>
      <w:spacing w:val="4"/>
      <w:sz w:val="32"/>
      <w:szCs w:val="26"/>
      <w:lang w:eastAsia="en-AU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2B3CC6"/>
    <w:rPr>
      <w:rFonts w:ascii="Georgia" w:eastAsiaTheme="majorEastAsia" w:hAnsi="Georgia" w:cstheme="majorBidi"/>
      <w:bCs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54713E"/>
    <w:rPr>
      <w:rFonts w:ascii="Arial" w:eastAsiaTheme="majorEastAsia" w:hAnsi="Arial" w:cstheme="majorBidi"/>
      <w:b/>
      <w:bCs/>
      <w:iCs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54713E"/>
    <w:rPr>
      <w:rFonts w:ascii="Arial" w:eastAsiaTheme="majorEastAsia" w:hAnsi="Arial" w:cstheme="majorBidi"/>
      <w:bCs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54713E"/>
    <w:rPr>
      <w:rFonts w:ascii="Arial" w:eastAsiaTheme="majorEastAsia" w:hAnsi="Arial" w:cstheme="majorBidi"/>
      <w:bCs/>
      <w:iCs/>
      <w:szCs w:val="24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rsid w:val="0054713E"/>
    <w:rPr>
      <w:rFonts w:ascii="Arial" w:eastAsiaTheme="majorEastAsia" w:hAnsi="Arial" w:cstheme="majorBidi"/>
      <w:iCs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4713E"/>
    <w:rPr>
      <w:rFonts w:ascii="Arial" w:eastAsiaTheme="majorEastAsia" w:hAnsi="Arial" w:cstheme="majorBidi"/>
      <w:iCs/>
      <w:spacing w:val="5"/>
      <w:szCs w:val="20"/>
      <w:lang w:eastAsia="en-AU"/>
    </w:rPr>
  </w:style>
  <w:style w:type="paragraph" w:styleId="Title">
    <w:name w:val="Title"/>
    <w:basedOn w:val="Normal"/>
    <w:next w:val="Normal"/>
    <w:link w:val="TitleChar"/>
    <w:uiPriority w:val="99"/>
    <w:qFormat/>
    <w:rsid w:val="00FD499F"/>
    <w:pPr>
      <w:spacing w:before="1440" w:line="240" w:lineRule="auto"/>
      <w:contextualSpacing/>
    </w:pPr>
    <w:rPr>
      <w:rFonts w:ascii="Georgia" w:eastAsiaTheme="majorEastAsia" w:hAnsi="Georgia" w:cstheme="majorBidi"/>
      <w:color w:val="500778"/>
      <w:spacing w:val="5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FD499F"/>
    <w:rPr>
      <w:rFonts w:ascii="Georgia" w:eastAsiaTheme="majorEastAsia" w:hAnsi="Georgia" w:cstheme="majorBidi"/>
      <w:color w:val="500778"/>
      <w:spacing w:val="5"/>
      <w:sz w:val="72"/>
      <w:szCs w:val="52"/>
      <w:lang w:eastAsia="en-AU"/>
    </w:rPr>
  </w:style>
  <w:style w:type="paragraph" w:styleId="Subtitle">
    <w:name w:val="Subtitle"/>
    <w:basedOn w:val="Normal"/>
    <w:next w:val="Normal"/>
    <w:link w:val="SubtitleChar"/>
    <w:uiPriority w:val="99"/>
    <w:qFormat/>
    <w:rsid w:val="001F512D"/>
    <w:pPr>
      <w:spacing w:before="240" w:after="600" w:line="240" w:lineRule="auto"/>
    </w:pPr>
    <w:rPr>
      <w:rFonts w:ascii="Georgia" w:eastAsiaTheme="majorEastAsia" w:hAnsi="Georgia" w:cstheme="majorBidi"/>
      <w:iCs/>
      <w:spacing w:val="6"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1F512D"/>
    <w:rPr>
      <w:rFonts w:ascii="Georgia" w:eastAsiaTheme="majorEastAsia" w:hAnsi="Georgia" w:cstheme="majorBidi"/>
      <w:iCs/>
      <w:spacing w:val="6"/>
      <w:sz w:val="36"/>
      <w:szCs w:val="24"/>
      <w:lang w:eastAsia="en-AU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aliases w:val="Bold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customStyle="1" w:styleId="Titlepage">
    <w:name w:val="Title page"/>
    <w:basedOn w:val="Title"/>
    <w:qFormat/>
    <w:rsid w:val="001F512D"/>
    <w:pPr>
      <w:spacing w:before="4000"/>
      <w:jc w:val="center"/>
    </w:pPr>
  </w:style>
  <w:style w:type="paragraph" w:styleId="Caption">
    <w:name w:val="caption"/>
    <w:aliases w:val="table title"/>
    <w:basedOn w:val="Normal"/>
    <w:next w:val="Normal"/>
    <w:uiPriority w:val="35"/>
    <w:unhideWhenUsed/>
    <w:rsid w:val="00781EEF"/>
    <w:rPr>
      <w:b/>
      <w:bCs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FD499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99F"/>
    <w:rPr>
      <w:rFonts w:ascii="Arial" w:eastAsia="Times New Roman" w:hAnsi="Arial" w:cs="Times New Roman"/>
      <w:spacing w:val="4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F30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023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023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1"/>
    <w:qFormat/>
    <w:rsid w:val="006A7B4F"/>
    <w:pPr>
      <w:numPr>
        <w:numId w:val="46"/>
      </w:numPr>
      <w:tabs>
        <w:tab w:val="left" w:pos="170"/>
      </w:tabs>
      <w:spacing w:before="60" w:after="120"/>
    </w:pPr>
  </w:style>
  <w:style w:type="paragraph" w:customStyle="1" w:styleId="Pullouttext">
    <w:name w:val="Pullout text"/>
    <w:next w:val="Normal"/>
    <w:link w:val="PullouttextChar"/>
    <w:uiPriority w:val="3"/>
    <w:qFormat/>
    <w:rsid w:val="00FD499F"/>
    <w:pPr>
      <w:spacing w:before="120" w:after="120" w:line="280" w:lineRule="atLeast"/>
      <w:ind w:left="397"/>
      <w:contextualSpacing/>
    </w:pPr>
    <w:rPr>
      <w:rFonts w:ascii="Georgia" w:eastAsia="Times New Roman" w:hAnsi="Georgia" w:cs="Arial"/>
      <w:bCs/>
      <w:iCs/>
      <w:color w:val="500778"/>
      <w:sz w:val="24"/>
      <w:szCs w:val="28"/>
      <w:lang w:eastAsia="en-AU"/>
    </w:rPr>
  </w:style>
  <w:style w:type="character" w:customStyle="1" w:styleId="PullouttextChar">
    <w:name w:val="Pullout text Char"/>
    <w:basedOn w:val="Heading2Char"/>
    <w:link w:val="Pullouttext"/>
    <w:uiPriority w:val="3"/>
    <w:rsid w:val="00FD499F"/>
    <w:rPr>
      <w:rFonts w:ascii="Georgia" w:eastAsia="Times New Roman" w:hAnsi="Georgia" w:cs="Arial"/>
      <w:bCs/>
      <w:iCs/>
      <w:color w:val="500778"/>
      <w:spacing w:val="4"/>
      <w:sz w:val="24"/>
      <w:szCs w:val="28"/>
      <w:lang w:eastAsia="en-AU"/>
    </w:rPr>
  </w:style>
  <w:style w:type="character" w:styleId="Hyperlink">
    <w:name w:val="Hyperlink"/>
    <w:basedOn w:val="DefaultParagraphFont"/>
    <w:uiPriority w:val="99"/>
    <w:qFormat/>
    <w:rsid w:val="00D22A8A"/>
    <w:rPr>
      <w:rFonts w:ascii="Arial" w:hAnsi="Arial"/>
      <w:b w:val="0"/>
      <w:color w:val="0000FF"/>
      <w:sz w:val="22"/>
      <w:u w:val="single"/>
    </w:rPr>
  </w:style>
  <w:style w:type="paragraph" w:styleId="NormalWeb">
    <w:name w:val="Normal (Web)"/>
    <w:basedOn w:val="Normal"/>
    <w:uiPriority w:val="99"/>
    <w:semiHidden/>
    <w:unhideWhenUsed/>
    <w:rsid w:val="00876CA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876CA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76CA6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876CA6"/>
    <w:pPr>
      <w:spacing w:after="100"/>
      <w:ind w:left="400"/>
    </w:pPr>
  </w:style>
  <w:style w:type="paragraph" w:customStyle="1" w:styleId="Smalltext">
    <w:name w:val="Small text"/>
    <w:basedOn w:val="Normal"/>
    <w:rsid w:val="0054713E"/>
    <w:pPr>
      <w:spacing w:before="480" w:after="120" w:line="240" w:lineRule="auto"/>
    </w:pPr>
    <w:rPr>
      <w:sz w:val="12"/>
      <w:szCs w:val="16"/>
      <w:lang w:val="en-US"/>
    </w:rPr>
  </w:style>
  <w:style w:type="table" w:customStyle="1" w:styleId="DSSDatatablestyle">
    <w:name w:val="DSS Data table style"/>
    <w:basedOn w:val="TableNormal"/>
    <w:uiPriority w:val="99"/>
    <w:rsid w:val="00FD499F"/>
    <w:pPr>
      <w:spacing w:after="0" w:line="240" w:lineRule="auto"/>
    </w:pPr>
    <w:rPr>
      <w:rFonts w:ascii="Arial" w:hAnsi="Arial"/>
      <w:sz w:val="24"/>
    </w:rPr>
    <w:tblPr>
      <w:tblStyleRowBandSize w:val="1"/>
      <w:tblInd w:w="113" w:type="dxa"/>
    </w:tbl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500778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F5F5F5"/>
      </w:tcPr>
    </w:tblStylePr>
  </w:style>
  <w:style w:type="table" w:customStyle="1" w:styleId="DSSTableStyleB">
    <w:name w:val="DSS Table Style B"/>
    <w:basedOn w:val="TableNormal"/>
    <w:uiPriority w:val="99"/>
    <w:rsid w:val="005D0618"/>
    <w:pPr>
      <w:spacing w:after="0" w:line="240" w:lineRule="auto"/>
    </w:pPr>
    <w:rPr>
      <w:rFonts w:ascii="Arial" w:hAnsi="Arial"/>
      <w:sz w:val="24"/>
    </w:rPr>
    <w:tblPr>
      <w:tblStyleRowBandSize w:val="1"/>
      <w:tblInd w:w="113" w:type="dxa"/>
    </w:tblPr>
    <w:tblStylePr w:type="firstRow">
      <w:pPr>
        <w:jc w:val="left"/>
      </w:pPr>
      <w:rPr>
        <w:rFonts w:ascii="Arial" w:hAnsi="Arial"/>
        <w:b/>
        <w:sz w:val="22"/>
      </w:rPr>
      <w:tblPr/>
      <w:tcPr>
        <w:tcBorders>
          <w:bottom w:val="nil"/>
        </w:tcBorders>
        <w:shd w:val="clear" w:color="auto" w:fill="F9B5C4"/>
      </w:tcPr>
    </w:tblStylePr>
    <w:tblStylePr w:type="lastRow">
      <w:rPr>
        <w:rFonts w:ascii="Arial" w:hAnsi="Arial"/>
        <w:b/>
        <w:sz w:val="22"/>
      </w:rPr>
      <w:tblPr/>
      <w:tcPr>
        <w:tcBorders>
          <w:top w:val="single" w:sz="4" w:space="0" w:color="auto"/>
          <w:bottom w:val="single" w:sz="4" w:space="0" w:color="auto"/>
        </w:tcBorders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781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0273B"/>
    <w:rPr>
      <w:color w:val="00000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41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41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414F"/>
    <w:rPr>
      <w:rFonts w:ascii="Arial" w:eastAsia="Times New Roman" w:hAnsi="Arial" w:cs="Times New Roman"/>
      <w:spacing w:val="4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1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14F"/>
    <w:rPr>
      <w:rFonts w:ascii="Arial" w:eastAsia="Times New Roman" w:hAnsi="Arial" w:cs="Times New Roman"/>
      <w:b/>
      <w:bCs/>
      <w:spacing w:val="4"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7951D1"/>
    <w:pPr>
      <w:spacing w:after="0" w:line="240" w:lineRule="auto"/>
    </w:pPr>
    <w:rPr>
      <w:rFonts w:ascii="Arial" w:eastAsia="Times New Roman" w:hAnsi="Arial" w:cs="Times New Roman"/>
      <w:spacing w:val="4"/>
      <w:sz w:val="24"/>
      <w:szCs w:val="24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0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8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96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61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4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justice.org.au/wp-content/uploads/KYR-Information-for-Community-Members-Digital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isabilitygateway.gov.au/document/3106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losingthegap.gov.au/sites/default/files/2022-08/disability-sector-strengthening-plan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aha.com.au/wp-content/uploads/2020/08/IAHA_Cultural-Responsiveness_2019_FINAL_V5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iatsis.gov.au/about/what-we-do/core-cultural-learning" TargetMode="External"/><Relationship Id="rId14" Type="http://schemas.openxmlformats.org/officeDocument/2006/relationships/hyperlink" Target="https://www.dss.gov.au/disability-and-carers/disability-services-and-inclusion-act-202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orporate%20Templates\DSS%20Templates\DSS%20Long%20Report%20Template%20Purple.dotx" TargetMode="External"/></Relationships>
</file>

<file path=word/theme/theme1.xml><?xml version="1.0" encoding="utf-8"?>
<a:theme xmlns:a="http://schemas.openxmlformats.org/drawingml/2006/main" name="DSS Purple">
  <a:themeElements>
    <a:clrScheme name="DSS purp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500778"/>
      </a:accent1>
      <a:accent2>
        <a:srgbClr val="D40C7D"/>
      </a:accent2>
      <a:accent3>
        <a:srgbClr val="F9B5C4"/>
      </a:accent3>
      <a:accent4>
        <a:srgbClr val="500778"/>
      </a:accent4>
      <a:accent5>
        <a:srgbClr val="D40C7D"/>
      </a:accent5>
      <a:accent6>
        <a:srgbClr val="F9B5C4"/>
      </a:accent6>
      <a:hlink>
        <a:srgbClr val="0000FF"/>
      </a:hlink>
      <a:folHlink>
        <a:srgbClr val="000000"/>
      </a:folHlink>
    </a:clrScheme>
    <a:fontScheme name="Stronger Relationship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1B236-B94F-43FA-BD71-63042BE2F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DSS Long Report Template Purple</Template>
  <TotalTime>15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</vt:lpstr>
    </vt:vector>
  </TitlesOfParts>
  <Company>Department of Social Services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</dc:title>
  <dc:subject/>
  <dc:creator>ILPS</dc:creator>
  <cp:keywords>[SEC=OFFICIAL]</cp:keywords>
  <dc:description/>
  <cp:lastModifiedBy>WILKS, Jennifer</cp:lastModifiedBy>
  <cp:revision>4</cp:revision>
  <cp:lastPrinted>2014-10-23T23:51:00Z</cp:lastPrinted>
  <dcterms:created xsi:type="dcterms:W3CDTF">2024-03-18T23:08:00Z</dcterms:created>
  <dcterms:modified xsi:type="dcterms:W3CDTF">2024-08-15T05:39:00Z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D678B550D88E4092A5991E9A31B029D9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383CFCBDA48E65697370E70224C516BFEC01D2AE</vt:lpwstr>
  </property>
  <property fmtid="{D5CDD505-2E9C-101B-9397-08002B2CF9AE}" pid="11" name="PM_OriginationTimeStamp">
    <vt:lpwstr>2024-02-05T02:43:06Z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C8F2A1964A3A064E8DBDC4F25400D604</vt:lpwstr>
  </property>
  <property fmtid="{D5CDD505-2E9C-101B-9397-08002B2CF9AE}" pid="21" name="PM_Hash_Salt">
    <vt:lpwstr>8AB1C6B0F8BAAF673F3EA59A71BE59C8</vt:lpwstr>
  </property>
  <property fmtid="{D5CDD505-2E9C-101B-9397-08002B2CF9AE}" pid="22" name="PM_Hash_SHA1">
    <vt:lpwstr>FDC4EF7106C3485F99C37F13B0282D3D63575009</vt:lpwstr>
  </property>
  <property fmtid="{D5CDD505-2E9C-101B-9397-08002B2CF9AE}" pid="23" name="PM_OriginatorUserAccountName_SHA256">
    <vt:lpwstr>3561913AC37C35B862AB7E4549EF28192F371F9EE41E289E7F6869858BB86F28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PMHMAC">
    <vt:lpwstr>v=2022.1;a=SHA256;h=1B2D0B23FD7D583F27C5FE2F079F049FE2806A019AF621DD4F8B4CFA6A7318F8</vt:lpwstr>
  </property>
  <property fmtid="{D5CDD505-2E9C-101B-9397-08002B2CF9AE}" pid="28" name="MSIP_Label_eb34d90b-fc41-464d-af60-f74d721d0790_SetDate">
    <vt:lpwstr>2024-02-05T02:43:06Z</vt:lpwstr>
  </property>
  <property fmtid="{D5CDD505-2E9C-101B-9397-08002B2CF9AE}" pid="29" name="MSIP_Label_eb34d90b-fc41-464d-af60-f74d721d0790_Name">
    <vt:lpwstr>OFFICIAL</vt:lpwstr>
  </property>
  <property fmtid="{D5CDD505-2E9C-101B-9397-08002B2CF9AE}" pid="30" name="MSIP_Label_eb34d90b-fc41-464d-af60-f74d721d0790_SiteId">
    <vt:lpwstr>61e36dd1-ca6e-4d61-aa0a-2b4eb88317a3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Enabled">
    <vt:lpwstr>true</vt:lpwstr>
  </property>
  <property fmtid="{D5CDD505-2E9C-101B-9397-08002B2CF9AE}" pid="33" name="MSIP_Label_eb34d90b-fc41-464d-af60-f74d721d0790_Method">
    <vt:lpwstr>Privileged</vt:lpwstr>
  </property>
  <property fmtid="{D5CDD505-2E9C-101B-9397-08002B2CF9AE}" pid="34" name="MSIP_Label_eb34d90b-fc41-464d-af60-f74d721d0790_ActionId">
    <vt:lpwstr>d975a2787ebe42f69c19868b98726996</vt:lpwstr>
  </property>
  <property fmtid="{D5CDD505-2E9C-101B-9397-08002B2CF9AE}" pid="35" name="PMUuid">
    <vt:lpwstr>v=2022.2;d=gov.au;g=46DD6D7C-8107-577B-BC6E-F348953B2E44</vt:lpwstr>
  </property>
</Properties>
</file>