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76DDB" w14:textId="77777777" w:rsidR="005316BE" w:rsidRDefault="00CF553B" w:rsidP="00537B50">
      <w:pPr>
        <w:spacing w:before="0" w:after="0"/>
        <w:ind w:left="-850"/>
      </w:pPr>
      <w:r>
        <w:rPr>
          <w:noProof/>
        </w:rPr>
        <w:drawing>
          <wp:inline distT="0" distB="0" distL="0" distR="0" wp14:anchorId="76178E7C" wp14:editId="00C21F7D">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51EE40E0" w14:textId="18D75052" w:rsidR="00C80192" w:rsidRDefault="00C80192" w:rsidP="00537B50">
      <w:pPr>
        <w:pStyle w:val="Smalltext"/>
        <w:ind w:right="-427"/>
      </w:pPr>
      <w:r>
        <w:t xml:space="preserve">DSS </w:t>
      </w:r>
      <w:r w:rsidR="008F3144">
        <w:t>2823.10.22</w:t>
      </w:r>
    </w:p>
    <w:p w14:paraId="3C3BB4CE" w14:textId="4EF68576" w:rsidR="00C80192" w:rsidRPr="00754D44" w:rsidRDefault="00EB548F" w:rsidP="00C80192">
      <w:pPr>
        <w:pStyle w:val="Title"/>
      </w:pPr>
      <w:r>
        <w:t xml:space="preserve">National Consumer Protection Framework for </w:t>
      </w:r>
      <w:r w:rsidR="00330D30">
        <w:t>O</w:t>
      </w:r>
      <w:r>
        <w:t xml:space="preserve">nline </w:t>
      </w:r>
      <w:r w:rsidR="00330D30">
        <w:t>W</w:t>
      </w:r>
      <w:r>
        <w:t xml:space="preserve">agering </w:t>
      </w:r>
    </w:p>
    <w:p w14:paraId="59941E19" w14:textId="77777777" w:rsidR="00166DEA" w:rsidRDefault="00166DEA" w:rsidP="00C80192">
      <w:pPr>
        <w:pStyle w:val="Subtitle"/>
      </w:pPr>
      <w:r>
        <w:t xml:space="preserve">Supplementary Factsheet </w:t>
      </w:r>
    </w:p>
    <w:p w14:paraId="22538810" w14:textId="1C0E170A" w:rsidR="00C80192" w:rsidRPr="00754D44" w:rsidRDefault="00843CC6" w:rsidP="00166DEA">
      <w:pPr>
        <w:pStyle w:val="Subtitle"/>
        <w:spacing w:after="360"/>
      </w:pPr>
      <w:r>
        <w:t>Consistent gambling m</w:t>
      </w:r>
      <w:r w:rsidR="00EB548F">
        <w:t>essaging –</w:t>
      </w:r>
      <w:r w:rsidR="00A3735B">
        <w:t xml:space="preserve"> </w:t>
      </w:r>
      <w:r w:rsidR="00166DEA">
        <w:t xml:space="preserve">platform </w:t>
      </w:r>
      <w:r w:rsidR="00EB548F">
        <w:t xml:space="preserve">definitions </w:t>
      </w:r>
      <w:r w:rsidR="00166DEA">
        <w:t>and permitted taglines</w:t>
      </w:r>
    </w:p>
    <w:p w14:paraId="7997A5A0" w14:textId="77777777" w:rsidR="0099590B" w:rsidRDefault="0099590B" w:rsidP="005D0ACF">
      <w:pPr>
        <w:rPr>
          <w:bCs/>
          <w:iCs/>
        </w:rPr>
      </w:pPr>
      <w:r w:rsidRPr="0099590B">
        <w:t xml:space="preserve">The consistent gambling messaging measure provides, for the first time, nationally consistent messaging about the risks and potential harm from online wagering. </w:t>
      </w:r>
    </w:p>
    <w:p w14:paraId="49B9E6D5" w14:textId="77777777" w:rsidR="0099590B" w:rsidRPr="0099590B" w:rsidRDefault="0099590B" w:rsidP="005D0ACF">
      <w:r w:rsidRPr="0099590B">
        <w:t xml:space="preserve">This messaging must appear on all advertising across all </w:t>
      </w:r>
      <w:r>
        <w:rPr>
          <w:bCs/>
          <w:iCs/>
        </w:rPr>
        <w:t xml:space="preserve">platforms, even </w:t>
      </w:r>
      <w:r w:rsidRPr="0099590B">
        <w:t>if not specifically listed in this guidance</w:t>
      </w:r>
      <w:r>
        <w:rPr>
          <w:bCs/>
          <w:iCs/>
        </w:rPr>
        <w:t xml:space="preserve">. Any questions regarding definitions or application of messaging to particular platforms should be directed to </w:t>
      </w:r>
      <w:hyperlink r:id="rId12" w:history="1">
        <w:r>
          <w:rPr>
            <w:rStyle w:val="Hyperlink"/>
            <w:bCs/>
            <w:iCs/>
          </w:rPr>
          <w:t>gambling@dss.gov.au</w:t>
        </w:r>
      </w:hyperlink>
      <w:r>
        <w:rPr>
          <w:bCs/>
          <w:iCs/>
        </w:rPr>
        <w:t xml:space="preserve">. </w:t>
      </w:r>
    </w:p>
    <w:p w14:paraId="7BD94F05" w14:textId="2ED327B9" w:rsidR="0099590B" w:rsidRPr="0099590B" w:rsidRDefault="0099590B" w:rsidP="005D0ACF">
      <w:r w:rsidRPr="0099590B">
        <w:t xml:space="preserve">The </w:t>
      </w:r>
      <w:r>
        <w:rPr>
          <w:bCs/>
          <w:iCs/>
        </w:rPr>
        <w:t>7</w:t>
      </w:r>
      <w:r w:rsidRPr="0099590B">
        <w:t xml:space="preserve"> taglines have been informed by extensive behavioural research. Full details, including the evidence underpinning the recommended approach are published in the reports</w:t>
      </w:r>
      <w:r w:rsidR="00A3735B">
        <w:t>,</w:t>
      </w:r>
      <w:r w:rsidRPr="0099590B">
        <w:t xml:space="preserve"> which can be accessed at:</w:t>
      </w:r>
    </w:p>
    <w:p w14:paraId="5AB96442" w14:textId="2EF7A77A" w:rsidR="0099590B" w:rsidRPr="008F3144" w:rsidRDefault="008F3144" w:rsidP="008F3144">
      <w:pPr>
        <w:pStyle w:val="ListParagraph"/>
        <w:numPr>
          <w:ilvl w:val="0"/>
          <w:numId w:val="3"/>
        </w:numPr>
        <w:ind w:left="714" w:hanging="357"/>
        <w:rPr>
          <w:rStyle w:val="Hyperlink"/>
        </w:rPr>
      </w:pPr>
      <w:r>
        <w:rPr>
          <w:i/>
        </w:rPr>
        <w:fldChar w:fldCharType="begin"/>
      </w:r>
      <w:r>
        <w:rPr>
          <w:i/>
        </w:rPr>
        <w:instrText xml:space="preserve"> HYPERLINK "https://www.dss.gov.au/communities-and-vulnerable-people-programs-services-gambling/consistent-gambling-messaging-phase-1-development-and-refinement" </w:instrText>
      </w:r>
      <w:r>
        <w:rPr>
          <w:i/>
        </w:rPr>
        <w:fldChar w:fldCharType="separate"/>
      </w:r>
      <w:r w:rsidR="0099590B" w:rsidRPr="008F3144">
        <w:rPr>
          <w:rStyle w:val="Hyperlink"/>
          <w:i/>
        </w:rPr>
        <w:t>Consistent Gambling Messaging Phase 1: Development and Refinement</w:t>
      </w:r>
    </w:p>
    <w:p w14:paraId="1548121E" w14:textId="417DD3C1" w:rsidR="0099590B" w:rsidRPr="008F3144" w:rsidRDefault="008F3144" w:rsidP="008F3144">
      <w:pPr>
        <w:pStyle w:val="ListParagraph"/>
        <w:numPr>
          <w:ilvl w:val="0"/>
          <w:numId w:val="3"/>
        </w:numPr>
        <w:ind w:left="714" w:hanging="357"/>
        <w:rPr>
          <w:rStyle w:val="Hyperlink"/>
        </w:rPr>
      </w:pPr>
      <w:r>
        <w:rPr>
          <w:i/>
        </w:rPr>
        <w:fldChar w:fldCharType="end"/>
      </w:r>
      <w:r>
        <w:rPr>
          <w:i/>
        </w:rPr>
        <w:fldChar w:fldCharType="begin"/>
      </w:r>
      <w:r>
        <w:rPr>
          <w:i/>
        </w:rPr>
        <w:instrText xml:space="preserve"> HYPERLINK "https://www.dss.gov.au/communities-and-vulnerable-people-programs-services-gambling/gambling-tagline-research-phase-2-implementation-and-market-testing" </w:instrText>
      </w:r>
      <w:r>
        <w:rPr>
          <w:i/>
        </w:rPr>
        <w:fldChar w:fldCharType="separate"/>
      </w:r>
      <w:r w:rsidR="0099590B" w:rsidRPr="008F3144">
        <w:rPr>
          <w:rStyle w:val="Hyperlink"/>
          <w:i/>
        </w:rPr>
        <w:t>Gambling Tagline Research Phase 2: Implementation and Market Testing</w:t>
      </w:r>
    </w:p>
    <w:p w14:paraId="08EBD016" w14:textId="6CE13889" w:rsidR="0099590B" w:rsidRDefault="008F3144" w:rsidP="005D0ACF">
      <w:r>
        <w:rPr>
          <w:i/>
        </w:rPr>
        <w:fldChar w:fldCharType="end"/>
      </w:r>
      <w:r w:rsidR="0099590B">
        <w:t>The taglines are:</w:t>
      </w:r>
    </w:p>
    <w:p w14:paraId="599A7E88" w14:textId="77777777" w:rsidR="0099590B" w:rsidRPr="00F321E8" w:rsidRDefault="0099590B" w:rsidP="008F3144">
      <w:pPr>
        <w:pStyle w:val="ListParagraph"/>
        <w:numPr>
          <w:ilvl w:val="0"/>
          <w:numId w:val="3"/>
        </w:numPr>
        <w:ind w:left="714" w:hanging="357"/>
      </w:pPr>
      <w:r w:rsidRPr="00F321E8">
        <w:t xml:space="preserve">Chances are you’re about to lose. </w:t>
      </w:r>
    </w:p>
    <w:p w14:paraId="16F51D7F" w14:textId="77777777" w:rsidR="0099590B" w:rsidRPr="00F321E8" w:rsidRDefault="0099590B" w:rsidP="008F3144">
      <w:pPr>
        <w:pStyle w:val="ListParagraph"/>
        <w:numPr>
          <w:ilvl w:val="0"/>
          <w:numId w:val="3"/>
        </w:numPr>
        <w:ind w:left="714" w:hanging="357"/>
      </w:pPr>
      <w:r w:rsidRPr="00F321E8">
        <w:t xml:space="preserve">Think. Is this a bet you really want to place? </w:t>
      </w:r>
    </w:p>
    <w:p w14:paraId="54794ECD" w14:textId="77777777" w:rsidR="0099590B" w:rsidRPr="00F321E8" w:rsidRDefault="0099590B" w:rsidP="008F3144">
      <w:pPr>
        <w:pStyle w:val="ListParagraph"/>
        <w:numPr>
          <w:ilvl w:val="0"/>
          <w:numId w:val="3"/>
        </w:numPr>
        <w:ind w:left="714" w:hanging="357"/>
      </w:pPr>
      <w:r w:rsidRPr="00F321E8">
        <w:t xml:space="preserve">What’s gambling really costing you? </w:t>
      </w:r>
    </w:p>
    <w:p w14:paraId="4CD0FB1E" w14:textId="77777777" w:rsidR="0099590B" w:rsidRPr="00F321E8" w:rsidRDefault="0099590B" w:rsidP="008F3144">
      <w:pPr>
        <w:pStyle w:val="ListParagraph"/>
        <w:numPr>
          <w:ilvl w:val="0"/>
          <w:numId w:val="3"/>
        </w:numPr>
        <w:ind w:left="714" w:hanging="357"/>
      </w:pPr>
      <w:r w:rsidRPr="00F321E8">
        <w:t xml:space="preserve">What are you prepared to lose today? Set a deposit limit. </w:t>
      </w:r>
    </w:p>
    <w:p w14:paraId="083E9647" w14:textId="77777777" w:rsidR="0099590B" w:rsidRPr="00F321E8" w:rsidRDefault="0099590B" w:rsidP="008F3144">
      <w:pPr>
        <w:pStyle w:val="ListParagraph"/>
        <w:numPr>
          <w:ilvl w:val="0"/>
          <w:numId w:val="3"/>
        </w:numPr>
        <w:ind w:left="714" w:hanging="357"/>
      </w:pPr>
      <w:r w:rsidRPr="00F321E8">
        <w:t xml:space="preserve">Imagine what you could be buying instead. </w:t>
      </w:r>
    </w:p>
    <w:p w14:paraId="6417D63E" w14:textId="77777777" w:rsidR="0099590B" w:rsidRPr="00F321E8" w:rsidRDefault="0099590B" w:rsidP="008F3144">
      <w:pPr>
        <w:pStyle w:val="ListParagraph"/>
        <w:numPr>
          <w:ilvl w:val="0"/>
          <w:numId w:val="3"/>
        </w:numPr>
        <w:ind w:left="714" w:hanging="357"/>
      </w:pPr>
      <w:r w:rsidRPr="00F321E8">
        <w:t xml:space="preserve">You win some. You lose more. </w:t>
      </w:r>
    </w:p>
    <w:p w14:paraId="0182E810" w14:textId="77777777" w:rsidR="0099590B" w:rsidRDefault="0099590B" w:rsidP="008F3144">
      <w:pPr>
        <w:pStyle w:val="ListParagraph"/>
        <w:numPr>
          <w:ilvl w:val="0"/>
          <w:numId w:val="3"/>
        </w:numPr>
        <w:ind w:left="714" w:hanging="357"/>
      </w:pPr>
      <w:r w:rsidRPr="00F321E8">
        <w:t>What are you really gambling with?</w:t>
      </w:r>
    </w:p>
    <w:p w14:paraId="74B1480F" w14:textId="0D23B8B4" w:rsidR="001D4916" w:rsidRDefault="001D4916" w:rsidP="001D4916">
      <w:r>
        <w:t>Based on the platform the taglines are applied to there are different versions of the call to action that must be used. The different versions of call to action are outlined below:</w:t>
      </w:r>
    </w:p>
    <w:p w14:paraId="50266F72" w14:textId="77777777" w:rsidR="001D4916" w:rsidRPr="003048E4" w:rsidRDefault="001D4916" w:rsidP="001D4916">
      <w:pPr>
        <w:pStyle w:val="ListParagraph"/>
        <w:numPr>
          <w:ilvl w:val="0"/>
          <w:numId w:val="46"/>
        </w:numPr>
        <w:rPr>
          <w:i/>
        </w:rPr>
      </w:pPr>
      <w:r w:rsidRPr="003048E4">
        <w:rPr>
          <w:b/>
        </w:rPr>
        <w:t>The standard call to action is</w:t>
      </w:r>
      <w:r>
        <w:t xml:space="preserve">: </w:t>
      </w:r>
      <w:r w:rsidRPr="003048E4">
        <w:rPr>
          <w:i/>
        </w:rPr>
        <w:t>For free and confidential support call 1800 858 858 or visit gamblinghelponline.org.au</w:t>
      </w:r>
    </w:p>
    <w:p w14:paraId="6D8E35F6" w14:textId="77777777" w:rsidR="001D4916" w:rsidRPr="003048E4" w:rsidRDefault="001D4916" w:rsidP="001D4916">
      <w:pPr>
        <w:pStyle w:val="ListParagraph"/>
        <w:numPr>
          <w:ilvl w:val="0"/>
          <w:numId w:val="46"/>
        </w:numPr>
        <w:rPr>
          <w:i/>
        </w:rPr>
      </w:pPr>
      <w:r w:rsidRPr="003048E4">
        <w:rPr>
          <w:b/>
        </w:rPr>
        <w:lastRenderedPageBreak/>
        <w:t>The modified call to action for TV and Video advertising is:</w:t>
      </w:r>
      <w:r>
        <w:t xml:space="preserve"> </w:t>
      </w:r>
      <w:r w:rsidRPr="003048E4">
        <w:rPr>
          <w:i/>
        </w:rPr>
        <w:t>For free and confidential support, call the number on the screen or visit the website.</w:t>
      </w:r>
    </w:p>
    <w:p w14:paraId="03B91E80" w14:textId="77777777" w:rsidR="001D4916" w:rsidRPr="00CB3F2E" w:rsidRDefault="001D4916" w:rsidP="001D4916">
      <w:pPr>
        <w:pStyle w:val="ListParagraph"/>
        <w:numPr>
          <w:ilvl w:val="0"/>
          <w:numId w:val="46"/>
        </w:numPr>
      </w:pPr>
      <w:r w:rsidRPr="003048E4">
        <w:rPr>
          <w:b/>
        </w:rPr>
        <w:t>The modified call to action for Radio advertising is:</w:t>
      </w:r>
      <w:r>
        <w:t xml:space="preserve"> </w:t>
      </w:r>
      <w:r w:rsidRPr="003048E4">
        <w:rPr>
          <w:i/>
        </w:rPr>
        <w:t>For free and confidential support visit gamblinghelponline.org.au.</w:t>
      </w:r>
    </w:p>
    <w:p w14:paraId="6FD3B8FD" w14:textId="77777777" w:rsidR="001D4916" w:rsidRPr="003048E4" w:rsidRDefault="001D4916" w:rsidP="001D4916">
      <w:pPr>
        <w:pStyle w:val="ListParagraph"/>
        <w:numPr>
          <w:ilvl w:val="0"/>
          <w:numId w:val="46"/>
        </w:numPr>
        <w:rPr>
          <w:i/>
        </w:rPr>
      </w:pPr>
      <w:r w:rsidRPr="003048E4">
        <w:rPr>
          <w:b/>
        </w:rPr>
        <w:t>The shortened call to action is:</w:t>
      </w:r>
      <w:r>
        <w:t xml:space="preserve"> </w:t>
      </w:r>
      <w:r w:rsidRPr="003048E4">
        <w:rPr>
          <w:i/>
        </w:rPr>
        <w:t>Set a deposit limit.</w:t>
      </w:r>
    </w:p>
    <w:p w14:paraId="286CAD5C" w14:textId="77777777" w:rsidR="001D4916" w:rsidRDefault="001D4916" w:rsidP="001D4916">
      <w:pPr>
        <w:keepNext/>
        <w:keepLines/>
      </w:pPr>
      <w:r w:rsidRPr="00F321E8">
        <w:t>The exception</w:t>
      </w:r>
      <w:r>
        <w:t>s</w:t>
      </w:r>
      <w:r w:rsidRPr="00F321E8">
        <w:t xml:space="preserve"> </w:t>
      </w:r>
      <w:r>
        <w:t>are:</w:t>
      </w:r>
      <w:r w:rsidRPr="00F321E8">
        <w:t xml:space="preserve"> </w:t>
      </w:r>
    </w:p>
    <w:p w14:paraId="6C43682E" w14:textId="77777777" w:rsidR="001D4916" w:rsidRDefault="001D4916" w:rsidP="001D4916">
      <w:pPr>
        <w:pStyle w:val="ListParagraph"/>
        <w:keepNext/>
        <w:keepLines/>
        <w:numPr>
          <w:ilvl w:val="0"/>
          <w:numId w:val="45"/>
        </w:numPr>
        <w:ind w:left="714" w:hanging="357"/>
      </w:pPr>
      <w:r>
        <w:t>short form TV and video advertising (15 seconds or less) do not require the call to action to be spoken, rather the call to action must be displayed on the screen</w:t>
      </w:r>
    </w:p>
    <w:p w14:paraId="71008AAB" w14:textId="77777777" w:rsidR="001D4916" w:rsidRDefault="001D4916" w:rsidP="001D4916">
      <w:pPr>
        <w:pStyle w:val="ListParagraph"/>
        <w:keepNext/>
        <w:keepLines/>
        <w:numPr>
          <w:ilvl w:val="0"/>
          <w:numId w:val="45"/>
        </w:numPr>
        <w:ind w:left="714" w:hanging="357"/>
      </w:pPr>
      <w:r>
        <w:t>radio advertising (15 seconds or less) only the tagline is to be spoken</w:t>
      </w:r>
    </w:p>
    <w:p w14:paraId="3CD4B9EF" w14:textId="77777777" w:rsidR="001D4916" w:rsidRDefault="001D4916" w:rsidP="001D4916">
      <w:pPr>
        <w:pStyle w:val="ListParagraph"/>
        <w:keepNext/>
        <w:keepLines/>
        <w:numPr>
          <w:ilvl w:val="0"/>
          <w:numId w:val="45"/>
        </w:numPr>
        <w:ind w:left="714" w:hanging="357"/>
      </w:pPr>
      <w:r>
        <w:t>digital</w:t>
      </w:r>
      <w:r w:rsidRPr="00F321E8">
        <w:t xml:space="preserve"> advertising and social media with very restricted character counts (such as Twitter</w:t>
      </w:r>
      <w:r>
        <w:t>, but not Facebook or Instagram etc.</w:t>
      </w:r>
      <w:r w:rsidRPr="00F321E8">
        <w:t>)</w:t>
      </w:r>
      <w:r>
        <w:t xml:space="preserve"> for which a shortened call to action is to be used.</w:t>
      </w:r>
    </w:p>
    <w:p w14:paraId="30DBB3D1" w14:textId="77777777" w:rsidR="006A733E" w:rsidRPr="005D0ACF" w:rsidRDefault="006A733E" w:rsidP="006A733E">
      <w:pPr>
        <w:pStyle w:val="Heading2"/>
      </w:pPr>
      <w:r w:rsidRPr="005D0ACF">
        <w:t>Key timeframes</w:t>
      </w: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Caption w:val="table outlining implementation dates"/>
        <w:tblDescription w:val="formal notification provided 31 October 2022 taglines to be fully implemented by 30 March 2023"/>
      </w:tblPr>
      <w:tblGrid>
        <w:gridCol w:w="2405"/>
        <w:gridCol w:w="6611"/>
      </w:tblGrid>
      <w:tr w:rsidR="006A733E" w:rsidRPr="005D0ACF" w14:paraId="331FEB72" w14:textId="77777777" w:rsidTr="00C051E7">
        <w:trPr>
          <w:tblHeader/>
        </w:trPr>
        <w:tc>
          <w:tcPr>
            <w:tcW w:w="2405" w:type="dxa"/>
            <w:tcBorders>
              <w:top w:val="nil"/>
              <w:left w:val="nil"/>
              <w:bottom w:val="single" w:sz="6" w:space="0" w:color="808080" w:themeColor="background1" w:themeShade="80"/>
              <w:right w:val="nil"/>
            </w:tcBorders>
            <w:shd w:val="clear" w:color="auto" w:fill="B1E4E3"/>
          </w:tcPr>
          <w:p w14:paraId="778E2C35" w14:textId="77777777" w:rsidR="006A733E" w:rsidRPr="005D0ACF" w:rsidRDefault="006A733E" w:rsidP="007D2331">
            <w:pPr>
              <w:spacing w:before="60" w:after="60" w:line="276" w:lineRule="auto"/>
              <w:outlineLvl w:val="2"/>
              <w:rPr>
                <w:rFonts w:asciiTheme="minorHAnsi" w:eastAsiaTheme="minorHAnsi" w:hAnsiTheme="minorHAnsi" w:cstheme="minorHAnsi"/>
                <w:b/>
                <w:spacing w:val="0"/>
                <w:lang w:eastAsia="en-US"/>
              </w:rPr>
            </w:pPr>
            <w:r w:rsidRPr="005D0ACF">
              <w:rPr>
                <w:rFonts w:asciiTheme="minorHAnsi" w:eastAsiaTheme="minorHAnsi" w:hAnsiTheme="minorHAnsi" w:cstheme="minorHAnsi"/>
                <w:b/>
                <w:spacing w:val="0"/>
                <w:lang w:eastAsia="en-US"/>
              </w:rPr>
              <w:t>Date</w:t>
            </w:r>
          </w:p>
        </w:tc>
        <w:tc>
          <w:tcPr>
            <w:tcW w:w="6611" w:type="dxa"/>
            <w:tcBorders>
              <w:top w:val="nil"/>
              <w:left w:val="nil"/>
              <w:bottom w:val="single" w:sz="6" w:space="0" w:color="808080" w:themeColor="background1" w:themeShade="80"/>
              <w:right w:val="nil"/>
            </w:tcBorders>
            <w:shd w:val="clear" w:color="auto" w:fill="B1E4E3"/>
          </w:tcPr>
          <w:p w14:paraId="2442D631" w14:textId="77777777" w:rsidR="006A733E" w:rsidRPr="005D0ACF" w:rsidRDefault="006A733E" w:rsidP="007D2331">
            <w:pPr>
              <w:spacing w:before="60" w:after="60" w:line="276" w:lineRule="auto"/>
              <w:outlineLvl w:val="2"/>
              <w:rPr>
                <w:rFonts w:asciiTheme="minorHAnsi" w:eastAsiaTheme="minorHAnsi" w:hAnsiTheme="minorHAnsi" w:cstheme="minorHAnsi"/>
                <w:b/>
                <w:spacing w:val="0"/>
                <w:highlight w:val="yellow"/>
                <w:lang w:eastAsia="en-US"/>
              </w:rPr>
            </w:pPr>
            <w:r w:rsidRPr="005D0ACF">
              <w:rPr>
                <w:rFonts w:asciiTheme="minorHAnsi" w:eastAsiaTheme="minorHAnsi" w:hAnsiTheme="minorHAnsi" w:cstheme="minorHAnsi"/>
                <w:b/>
                <w:spacing w:val="0"/>
                <w:lang w:eastAsia="en-US"/>
              </w:rPr>
              <w:t xml:space="preserve">Activity </w:t>
            </w:r>
          </w:p>
        </w:tc>
      </w:tr>
      <w:tr w:rsidR="00B963C1" w:rsidRPr="005D0ACF" w14:paraId="70876F4C" w14:textId="77777777" w:rsidTr="00C051E7">
        <w:trPr>
          <w:tblHeader/>
        </w:trPr>
        <w:tc>
          <w:tcPr>
            <w:tcW w:w="2405" w:type="dxa"/>
            <w:tcBorders>
              <w:top w:val="single" w:sz="6" w:space="0" w:color="808080" w:themeColor="background1" w:themeShade="80"/>
            </w:tcBorders>
          </w:tcPr>
          <w:p w14:paraId="7E6AF0D6" w14:textId="78E1A181" w:rsidR="00B963C1" w:rsidRPr="005D0ACF" w:rsidRDefault="00B963C1" w:rsidP="003F436C">
            <w:pPr>
              <w:spacing w:before="60" w:after="60" w:line="276" w:lineRule="auto"/>
              <w:outlineLvl w:val="2"/>
              <w:rPr>
                <w:rFonts w:asciiTheme="minorHAnsi" w:eastAsiaTheme="minorHAnsi" w:hAnsiTheme="minorHAnsi" w:cstheme="minorHAnsi"/>
                <w:b/>
                <w:spacing w:val="0"/>
                <w:lang w:eastAsia="en-US"/>
              </w:rPr>
            </w:pPr>
            <w:r>
              <w:rPr>
                <w:rFonts w:asciiTheme="minorHAnsi" w:eastAsiaTheme="minorHAnsi" w:hAnsiTheme="minorHAnsi" w:cstheme="minorHAnsi"/>
                <w:b/>
                <w:spacing w:val="0"/>
                <w:lang w:eastAsia="en-US"/>
              </w:rPr>
              <w:t>29 August 2022– 30 October 2022</w:t>
            </w:r>
          </w:p>
        </w:tc>
        <w:tc>
          <w:tcPr>
            <w:tcW w:w="6611" w:type="dxa"/>
            <w:tcBorders>
              <w:top w:val="single" w:sz="6" w:space="0" w:color="808080" w:themeColor="background1" w:themeShade="80"/>
            </w:tcBorders>
          </w:tcPr>
          <w:p w14:paraId="67A643E4" w14:textId="55E95BB5" w:rsidR="00B963C1" w:rsidRPr="005D0ACF" w:rsidRDefault="00B963C1" w:rsidP="007D2331">
            <w:pPr>
              <w:spacing w:after="120"/>
              <w:contextualSpacing/>
              <w:rPr>
                <w:rFonts w:asciiTheme="minorHAnsi" w:hAnsiTheme="minorHAnsi" w:cstheme="minorHAnsi"/>
              </w:rPr>
            </w:pPr>
            <w:r>
              <w:rPr>
                <w:rFonts w:asciiTheme="minorHAnsi" w:hAnsiTheme="minorHAnsi" w:cstheme="minorHAnsi"/>
              </w:rPr>
              <w:t>Stakeholder consultation period on implementation requirements</w:t>
            </w:r>
          </w:p>
        </w:tc>
      </w:tr>
      <w:tr w:rsidR="006A733E" w:rsidRPr="005D0ACF" w14:paraId="447F7E73" w14:textId="77777777" w:rsidTr="00C051E7">
        <w:trPr>
          <w:tblHeader/>
        </w:trPr>
        <w:tc>
          <w:tcPr>
            <w:tcW w:w="2405" w:type="dxa"/>
            <w:tcBorders>
              <w:top w:val="single" w:sz="6" w:space="0" w:color="808080" w:themeColor="background1" w:themeShade="80"/>
            </w:tcBorders>
          </w:tcPr>
          <w:p w14:paraId="6A983F7D" w14:textId="1D092002" w:rsidR="006A733E" w:rsidRPr="005D0ACF" w:rsidRDefault="006A733E" w:rsidP="003F436C">
            <w:pPr>
              <w:spacing w:before="60" w:after="60" w:line="276" w:lineRule="auto"/>
              <w:outlineLvl w:val="2"/>
              <w:rPr>
                <w:rFonts w:asciiTheme="minorHAnsi" w:eastAsiaTheme="minorHAnsi" w:hAnsiTheme="minorHAnsi" w:cstheme="minorHAnsi"/>
                <w:b/>
                <w:spacing w:val="0"/>
                <w:lang w:eastAsia="en-US"/>
              </w:rPr>
            </w:pPr>
            <w:r w:rsidRPr="005D0ACF">
              <w:rPr>
                <w:rFonts w:asciiTheme="minorHAnsi" w:eastAsiaTheme="minorHAnsi" w:hAnsiTheme="minorHAnsi" w:cstheme="minorHAnsi"/>
                <w:b/>
                <w:spacing w:val="0"/>
                <w:lang w:eastAsia="en-US"/>
              </w:rPr>
              <w:t>3</w:t>
            </w:r>
            <w:r w:rsidR="003F436C">
              <w:rPr>
                <w:rFonts w:asciiTheme="minorHAnsi" w:eastAsiaTheme="minorHAnsi" w:hAnsiTheme="minorHAnsi" w:cstheme="minorHAnsi"/>
                <w:b/>
                <w:spacing w:val="0"/>
                <w:lang w:eastAsia="en-US"/>
              </w:rPr>
              <w:t>1 October</w:t>
            </w:r>
            <w:r w:rsidRPr="005D0ACF">
              <w:rPr>
                <w:rFonts w:asciiTheme="minorHAnsi" w:eastAsiaTheme="minorHAnsi" w:hAnsiTheme="minorHAnsi" w:cstheme="minorHAnsi"/>
                <w:b/>
                <w:spacing w:val="0"/>
                <w:lang w:eastAsia="en-US"/>
              </w:rPr>
              <w:t xml:space="preserve"> 2022</w:t>
            </w:r>
          </w:p>
        </w:tc>
        <w:tc>
          <w:tcPr>
            <w:tcW w:w="6611" w:type="dxa"/>
            <w:tcBorders>
              <w:top w:val="single" w:sz="6" w:space="0" w:color="808080" w:themeColor="background1" w:themeShade="80"/>
            </w:tcBorders>
          </w:tcPr>
          <w:p w14:paraId="59CD7808" w14:textId="77777777" w:rsidR="006A733E" w:rsidRDefault="006A733E" w:rsidP="002506A5">
            <w:pPr>
              <w:spacing w:after="120"/>
              <w:contextualSpacing/>
              <w:rPr>
                <w:rFonts w:asciiTheme="minorHAnsi" w:hAnsiTheme="minorHAnsi" w:cstheme="minorHAnsi"/>
              </w:rPr>
            </w:pPr>
            <w:r w:rsidRPr="005D0ACF">
              <w:rPr>
                <w:rFonts w:asciiTheme="minorHAnsi" w:hAnsiTheme="minorHAnsi" w:cstheme="minorHAnsi"/>
              </w:rPr>
              <w:t xml:space="preserve">Formal notification to </w:t>
            </w:r>
            <w:r w:rsidR="009B1931">
              <w:rPr>
                <w:rFonts w:asciiTheme="minorHAnsi" w:hAnsiTheme="minorHAnsi" w:cstheme="minorHAnsi"/>
              </w:rPr>
              <w:t>wagering service provider</w:t>
            </w:r>
            <w:r w:rsidRPr="005D0ACF">
              <w:rPr>
                <w:rFonts w:asciiTheme="minorHAnsi" w:hAnsiTheme="minorHAnsi" w:cstheme="minorHAnsi"/>
              </w:rPr>
              <w:t>s to implement the measure.</w:t>
            </w:r>
          </w:p>
          <w:p w14:paraId="6DC89EC3" w14:textId="3D009128" w:rsidR="00C23FCB" w:rsidRPr="005D0ACF" w:rsidRDefault="00C23FCB" w:rsidP="002506A5">
            <w:pPr>
              <w:spacing w:after="120"/>
              <w:contextualSpacing/>
              <w:rPr>
                <w:rFonts w:asciiTheme="minorHAnsi" w:hAnsiTheme="minorHAnsi" w:cstheme="minorHAnsi"/>
              </w:rPr>
            </w:pPr>
          </w:p>
        </w:tc>
      </w:tr>
      <w:tr w:rsidR="006A733E" w:rsidRPr="005D0ACF" w14:paraId="6050A69C" w14:textId="77777777" w:rsidTr="00C051E7">
        <w:trPr>
          <w:tblHeader/>
        </w:trPr>
        <w:tc>
          <w:tcPr>
            <w:tcW w:w="2405" w:type="dxa"/>
          </w:tcPr>
          <w:p w14:paraId="6A22D2EC" w14:textId="48A2B984" w:rsidR="006A733E" w:rsidRPr="005D0ACF" w:rsidRDefault="006A733E">
            <w:pPr>
              <w:spacing w:before="60" w:after="60" w:line="276" w:lineRule="auto"/>
              <w:outlineLvl w:val="2"/>
              <w:rPr>
                <w:rFonts w:asciiTheme="minorHAnsi" w:eastAsiaTheme="minorHAnsi" w:hAnsiTheme="minorHAnsi" w:cstheme="minorHAnsi"/>
                <w:b/>
                <w:spacing w:val="0"/>
                <w:lang w:eastAsia="en-US"/>
              </w:rPr>
            </w:pPr>
            <w:r w:rsidRPr="005D0ACF">
              <w:rPr>
                <w:rFonts w:asciiTheme="minorHAnsi" w:eastAsiaTheme="minorHAnsi" w:hAnsiTheme="minorHAnsi" w:cstheme="minorHAnsi"/>
                <w:b/>
                <w:spacing w:val="0"/>
                <w:lang w:eastAsia="en-US"/>
              </w:rPr>
              <w:t>3</w:t>
            </w:r>
            <w:r w:rsidR="003F436C">
              <w:rPr>
                <w:rFonts w:asciiTheme="minorHAnsi" w:eastAsiaTheme="minorHAnsi" w:hAnsiTheme="minorHAnsi" w:cstheme="minorHAnsi"/>
                <w:b/>
                <w:spacing w:val="0"/>
                <w:lang w:eastAsia="en-US"/>
              </w:rPr>
              <w:t>1 October</w:t>
            </w:r>
            <w:r w:rsidRPr="005D0ACF">
              <w:rPr>
                <w:rFonts w:asciiTheme="minorHAnsi" w:eastAsiaTheme="minorHAnsi" w:hAnsiTheme="minorHAnsi" w:cstheme="minorHAnsi"/>
                <w:b/>
                <w:spacing w:val="0"/>
                <w:lang w:eastAsia="en-US"/>
              </w:rPr>
              <w:t xml:space="preserve"> 2022 – 30 March 2023</w:t>
            </w:r>
          </w:p>
        </w:tc>
        <w:tc>
          <w:tcPr>
            <w:tcW w:w="6611" w:type="dxa"/>
          </w:tcPr>
          <w:p w14:paraId="55029D12" w14:textId="77777777" w:rsidR="006A733E" w:rsidRPr="005D0ACF" w:rsidRDefault="006A733E" w:rsidP="007D2331">
            <w:pPr>
              <w:spacing w:after="120"/>
              <w:contextualSpacing/>
              <w:rPr>
                <w:rFonts w:asciiTheme="minorHAnsi" w:hAnsiTheme="minorHAnsi" w:cstheme="minorHAnsi"/>
              </w:rPr>
            </w:pPr>
            <w:r w:rsidRPr="005D0ACF">
              <w:rPr>
                <w:rFonts w:asciiTheme="minorHAnsi" w:hAnsiTheme="minorHAnsi" w:cstheme="minorHAnsi"/>
              </w:rPr>
              <w:t xml:space="preserve">States and territories will implement the measure through existing legislation, regulation or ministerial direction. </w:t>
            </w:r>
          </w:p>
        </w:tc>
      </w:tr>
      <w:tr w:rsidR="006A733E" w:rsidRPr="005D0ACF" w14:paraId="4DF6FD21" w14:textId="77777777" w:rsidTr="00C051E7">
        <w:trPr>
          <w:tblHeader/>
        </w:trPr>
        <w:tc>
          <w:tcPr>
            <w:tcW w:w="2405" w:type="dxa"/>
          </w:tcPr>
          <w:p w14:paraId="11149E2B" w14:textId="77777777" w:rsidR="006A733E" w:rsidRPr="005D0ACF" w:rsidRDefault="006A733E" w:rsidP="007D2331">
            <w:pPr>
              <w:spacing w:before="60" w:after="60" w:line="276" w:lineRule="auto"/>
              <w:outlineLvl w:val="2"/>
              <w:rPr>
                <w:rFonts w:asciiTheme="minorHAnsi" w:eastAsiaTheme="minorHAnsi" w:hAnsiTheme="minorHAnsi" w:cstheme="minorHAnsi"/>
                <w:b/>
                <w:spacing w:val="0"/>
                <w:lang w:eastAsia="en-US"/>
              </w:rPr>
            </w:pPr>
            <w:r w:rsidRPr="005D0ACF">
              <w:rPr>
                <w:rFonts w:asciiTheme="minorHAnsi" w:eastAsiaTheme="minorHAnsi" w:hAnsiTheme="minorHAnsi" w:cstheme="minorHAnsi"/>
                <w:b/>
                <w:spacing w:val="0"/>
                <w:lang w:eastAsia="en-US"/>
              </w:rPr>
              <w:t>30 March 2023</w:t>
            </w:r>
          </w:p>
        </w:tc>
        <w:tc>
          <w:tcPr>
            <w:tcW w:w="6611" w:type="dxa"/>
          </w:tcPr>
          <w:p w14:paraId="5F0495E3" w14:textId="25B3D213" w:rsidR="006A733E" w:rsidRPr="005D0ACF" w:rsidRDefault="006A733E" w:rsidP="007D2331">
            <w:pPr>
              <w:spacing w:after="120"/>
              <w:rPr>
                <w:rFonts w:asciiTheme="minorHAnsi" w:hAnsiTheme="minorHAnsi" w:cstheme="minorHAnsi"/>
              </w:rPr>
            </w:pPr>
            <w:r w:rsidRPr="005D0ACF">
              <w:rPr>
                <w:rFonts w:asciiTheme="minorHAnsi" w:hAnsiTheme="minorHAnsi" w:cstheme="minorHAnsi"/>
              </w:rPr>
              <w:t xml:space="preserve">The consistent gambling messaging measure must be implemented by all online </w:t>
            </w:r>
            <w:r w:rsidR="009B1931">
              <w:rPr>
                <w:rFonts w:asciiTheme="minorHAnsi" w:hAnsiTheme="minorHAnsi" w:cstheme="minorHAnsi"/>
              </w:rPr>
              <w:t>wagering service provider</w:t>
            </w:r>
            <w:r w:rsidRPr="005D0ACF">
              <w:rPr>
                <w:rFonts w:asciiTheme="minorHAnsi" w:hAnsiTheme="minorHAnsi" w:cstheme="minorHAnsi"/>
              </w:rPr>
              <w:t xml:space="preserve">s. </w:t>
            </w:r>
          </w:p>
        </w:tc>
      </w:tr>
    </w:tbl>
    <w:p w14:paraId="1759C8C3" w14:textId="77777777" w:rsidR="006A733E" w:rsidRDefault="006A733E" w:rsidP="006A733E">
      <w:pPr>
        <w:pStyle w:val="Heading2"/>
      </w:pPr>
      <w:r>
        <w:t>Further information</w:t>
      </w:r>
    </w:p>
    <w:p w14:paraId="1DBE18AF" w14:textId="77777777" w:rsidR="00316C34" w:rsidRPr="00993881" w:rsidRDefault="00316C34" w:rsidP="00316C34">
      <w:pPr>
        <w:spacing w:after="120" w:line="240" w:lineRule="auto"/>
      </w:pPr>
      <w:r>
        <w:t xml:space="preserve">If an issue has not been previously raised and considered by the IGC, please email the IGC Secretariat at </w:t>
      </w:r>
      <w:hyperlink r:id="rId13" w:history="1">
        <w:r w:rsidRPr="009E7A30">
          <w:t>gambling@dss.gov.au</w:t>
        </w:r>
      </w:hyperlink>
      <w:r w:rsidRPr="009E7A30">
        <w:t xml:space="preserve"> with the issue and </w:t>
      </w:r>
      <w:r>
        <w:t>a proposed solution. The issue</w:t>
      </w:r>
      <w:r w:rsidRPr="00993881">
        <w:t xml:space="preserve"> will be assessed and considered by the IGC</w:t>
      </w:r>
      <w:r w:rsidRPr="009E7A30">
        <w:t xml:space="preserve">. </w:t>
      </w:r>
      <w:r w:rsidRPr="00993881">
        <w:t xml:space="preserve">If the IGC determine further clarification is required </w:t>
      </w:r>
      <w:r>
        <w:t xml:space="preserve">the </w:t>
      </w:r>
      <w:r w:rsidRPr="00993881">
        <w:t xml:space="preserve">guidance material (including the FAQ document) will be updated and wagering service providers will be notified of the amendment.  </w:t>
      </w:r>
    </w:p>
    <w:p w14:paraId="528D9262" w14:textId="77777777" w:rsidR="006A733E" w:rsidRDefault="006A733E" w:rsidP="005D0ACF">
      <w:pPr>
        <w:sectPr w:rsidR="006A733E" w:rsidSect="00D87F42">
          <w:headerReference w:type="even" r:id="rId14"/>
          <w:headerReference w:type="default" r:id="rId15"/>
          <w:footerReference w:type="even" r:id="rId16"/>
          <w:footerReference w:type="default" r:id="rId17"/>
          <w:headerReference w:type="first" r:id="rId18"/>
          <w:footerReference w:type="first" r:id="rId19"/>
          <w:pgSz w:w="11906" w:h="16838" w:code="9"/>
          <w:pgMar w:top="1112" w:right="851" w:bottom="1134" w:left="851" w:header="0" w:footer="471" w:gutter="0"/>
          <w:cols w:space="708"/>
          <w:titlePg/>
          <w:docGrid w:linePitch="360"/>
        </w:sectPr>
      </w:pPr>
    </w:p>
    <w:p w14:paraId="1C359A09" w14:textId="77777777" w:rsidR="0099590B" w:rsidRDefault="00582C1D" w:rsidP="00582C1D">
      <w:pPr>
        <w:pStyle w:val="Heading1"/>
      </w:pPr>
      <w:r>
        <w:lastRenderedPageBreak/>
        <w:t xml:space="preserve">Certain taglines are permitted for use on certain platforms. </w:t>
      </w:r>
    </w:p>
    <w:p w14:paraId="57FB2EB4" w14:textId="77777777" w:rsidR="00322D28" w:rsidRPr="00F13966" w:rsidRDefault="00322D28" w:rsidP="00576D4F">
      <w:pPr>
        <w:pStyle w:val="Heading2"/>
        <w:rPr>
          <w:rFonts w:ascii="Arial" w:hAnsi="Arial" w:cs="Times New Roman"/>
          <w:bCs w:val="0"/>
          <w:iCs w:val="0"/>
          <w:color w:val="auto"/>
          <w:sz w:val="24"/>
          <w:szCs w:val="24"/>
        </w:rPr>
      </w:pPr>
      <w:r w:rsidRPr="00F13966">
        <w:rPr>
          <w:rFonts w:ascii="Arial" w:hAnsi="Arial" w:cs="Times New Roman"/>
          <w:bCs w:val="0"/>
          <w:iCs w:val="0"/>
          <w:color w:val="auto"/>
          <w:sz w:val="24"/>
          <w:szCs w:val="24"/>
        </w:rPr>
        <w:t xml:space="preserve">The behavioural research </w:t>
      </w:r>
      <w:r>
        <w:rPr>
          <w:rFonts w:ascii="Arial" w:hAnsi="Arial" w:cs="Times New Roman"/>
          <w:bCs w:val="0"/>
          <w:iCs w:val="0"/>
          <w:color w:val="auto"/>
          <w:sz w:val="24"/>
          <w:szCs w:val="24"/>
        </w:rPr>
        <w:t>that underpins the consistent gambling messaging measure determined the most effective:</w:t>
      </w:r>
      <w:r w:rsidRPr="00F13966">
        <w:rPr>
          <w:rFonts w:ascii="Arial" w:hAnsi="Arial" w:cs="Times New Roman"/>
          <w:bCs w:val="0"/>
          <w:iCs w:val="0"/>
          <w:color w:val="auto"/>
          <w:sz w:val="24"/>
          <w:szCs w:val="24"/>
        </w:rPr>
        <w:t xml:space="preserve"> </w:t>
      </w:r>
    </w:p>
    <w:p w14:paraId="5A3B9990" w14:textId="53846489" w:rsidR="00322D28" w:rsidRPr="00F13966" w:rsidRDefault="00322D28" w:rsidP="008F3144">
      <w:pPr>
        <w:pStyle w:val="ListParagraph"/>
        <w:numPr>
          <w:ilvl w:val="0"/>
          <w:numId w:val="3"/>
        </w:numPr>
        <w:ind w:left="714" w:hanging="357"/>
      </w:pPr>
      <w:r w:rsidRPr="00F13966">
        <w:t>communic</w:t>
      </w:r>
      <w:r w:rsidR="00C23FCB">
        <w:t>ation channels for each tagline</w:t>
      </w:r>
    </w:p>
    <w:p w14:paraId="3B7F11EA" w14:textId="4FFEEADB" w:rsidR="00322D28" w:rsidRPr="00F13966" w:rsidRDefault="00322D28" w:rsidP="008F3144">
      <w:pPr>
        <w:pStyle w:val="ListParagraph"/>
        <w:numPr>
          <w:ilvl w:val="0"/>
          <w:numId w:val="3"/>
        </w:numPr>
        <w:ind w:left="714" w:hanging="357"/>
      </w:pPr>
      <w:r w:rsidRPr="00F13966">
        <w:t>executi</w:t>
      </w:r>
      <w:r w:rsidR="00C23FCB">
        <w:t>ons for particular channels</w:t>
      </w:r>
    </w:p>
    <w:p w14:paraId="14DF075E" w14:textId="77777777" w:rsidR="00322D28" w:rsidRDefault="00322D28" w:rsidP="008F3144">
      <w:pPr>
        <w:pStyle w:val="ListParagraph"/>
        <w:numPr>
          <w:ilvl w:val="0"/>
          <w:numId w:val="3"/>
        </w:numPr>
        <w:ind w:left="714" w:hanging="357"/>
      </w:pPr>
      <w:r w:rsidRPr="00F13966">
        <w:t>a call-to-action with details of support services safer gambling.</w:t>
      </w:r>
    </w:p>
    <w:p w14:paraId="4B2A4DF5" w14:textId="77777777" w:rsidR="00322D28" w:rsidRPr="00F13966" w:rsidRDefault="00322D28" w:rsidP="00576D4F">
      <w:pPr>
        <w:pStyle w:val="ListBullet"/>
        <w:numPr>
          <w:ilvl w:val="0"/>
          <w:numId w:val="0"/>
        </w:numPr>
        <w:spacing w:before="0" w:after="0" w:line="240" w:lineRule="auto"/>
        <w:ind w:left="533"/>
      </w:pPr>
    </w:p>
    <w:p w14:paraId="30FD7B4F" w14:textId="77777777" w:rsidR="00322D28" w:rsidRDefault="00322D28" w:rsidP="00576D4F">
      <w:r>
        <w:t>Based on this research the taglines are to be applied in the following way, for:</w:t>
      </w:r>
    </w:p>
    <w:p w14:paraId="07704E3C" w14:textId="6DD963C3" w:rsidR="00322D28" w:rsidRDefault="00322D28" w:rsidP="008F3144">
      <w:pPr>
        <w:pStyle w:val="ListParagraph"/>
        <w:numPr>
          <w:ilvl w:val="0"/>
          <w:numId w:val="3"/>
        </w:numPr>
        <w:ind w:left="714" w:hanging="357"/>
        <w:rPr>
          <w:spacing w:val="0"/>
          <w:sz w:val="22"/>
          <w:szCs w:val="22"/>
        </w:rPr>
      </w:pPr>
      <w:r>
        <w:t>TV, video and radio advertising hav</w:t>
      </w:r>
      <w:r w:rsidR="00C23FCB">
        <w:t>e 5 taglines permitted for use</w:t>
      </w:r>
    </w:p>
    <w:p w14:paraId="7A7600AD" w14:textId="2152880C" w:rsidR="00322D28" w:rsidRDefault="00322D28" w:rsidP="008F3144">
      <w:pPr>
        <w:pStyle w:val="ListParagraph"/>
        <w:numPr>
          <w:ilvl w:val="0"/>
          <w:numId w:val="3"/>
        </w:numPr>
        <w:ind w:left="714" w:hanging="357"/>
      </w:pPr>
      <w:r>
        <w:t>In-app, digital, print, social media and website advertising ha</w:t>
      </w:r>
      <w:r w:rsidR="00C23FCB">
        <w:t>ve 6 taglines permitted for use</w:t>
      </w:r>
      <w:r>
        <w:t xml:space="preserve"> </w:t>
      </w:r>
    </w:p>
    <w:p w14:paraId="1C04E57C" w14:textId="64637712" w:rsidR="00322D28" w:rsidRDefault="00322D28" w:rsidP="008F3144">
      <w:pPr>
        <w:pStyle w:val="ListParagraph"/>
        <w:numPr>
          <w:ilvl w:val="0"/>
          <w:numId w:val="3"/>
        </w:numPr>
        <w:ind w:left="714" w:hanging="357"/>
      </w:pPr>
      <w:r>
        <w:t>Other platforms (such as direct marketing, sponsorship, promotional, outdoor advertising, and in-stadium advertising), all 7 taglines are permitted for use, noting that ‘You win some. You lose more.’ is only permitted for use when the tagline is spoken.</w:t>
      </w:r>
    </w:p>
    <w:p w14:paraId="56DBD29E" w14:textId="77777777" w:rsidR="00322D28" w:rsidRDefault="00322D28" w:rsidP="008F3144">
      <w:pPr>
        <w:pStyle w:val="ListParagraph"/>
        <w:spacing w:before="0" w:after="0" w:line="240" w:lineRule="auto"/>
        <w:ind w:left="360"/>
      </w:pPr>
    </w:p>
    <w:tbl>
      <w:tblPr>
        <w:tblStyle w:val="TableGrid"/>
        <w:tblW w:w="5399" w:type="pct"/>
        <w:jc w:val="center"/>
        <w:tblInd w:w="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Caption w:val="table outlining the taglines and where they need to be used"/>
        <w:tblDescription w:val="table outlining the taglines and where they need to be used"/>
      </w:tblPr>
      <w:tblGrid>
        <w:gridCol w:w="3337"/>
        <w:gridCol w:w="1104"/>
        <w:gridCol w:w="792"/>
        <w:gridCol w:w="620"/>
        <w:gridCol w:w="933"/>
        <w:gridCol w:w="1354"/>
        <w:gridCol w:w="1000"/>
        <w:gridCol w:w="1011"/>
        <w:gridCol w:w="867"/>
      </w:tblGrid>
      <w:tr w:rsidR="00D11F0A" w:rsidRPr="00BF78B9" w14:paraId="7F850EC1" w14:textId="77777777" w:rsidTr="00C051E7">
        <w:trPr>
          <w:trHeight w:val="442"/>
          <w:tblHeader/>
          <w:jc w:val="center"/>
        </w:trPr>
        <w:tc>
          <w:tcPr>
            <w:tcW w:w="1543" w:type="pct"/>
            <w:tcBorders>
              <w:top w:val="nil"/>
              <w:left w:val="nil"/>
              <w:bottom w:val="single" w:sz="6" w:space="0" w:color="808080" w:themeColor="background1" w:themeShade="80"/>
              <w:right w:val="nil"/>
            </w:tcBorders>
            <w:shd w:val="clear" w:color="auto" w:fill="005A70" w:themeFill="accent1"/>
            <w:vAlign w:val="center"/>
          </w:tcPr>
          <w:p w14:paraId="32C7F6A7" w14:textId="77777777" w:rsidR="0093618B" w:rsidRPr="00BF78B9" w:rsidRDefault="0093618B" w:rsidP="00B963C1">
            <w:pPr>
              <w:spacing w:before="0" w:after="0" w:line="240" w:lineRule="auto"/>
              <w:jc w:val="center"/>
              <w:rPr>
                <w:b/>
                <w:color w:val="FFFFFF" w:themeColor="background1"/>
                <w:sz w:val="20"/>
              </w:rPr>
            </w:pPr>
            <w:r w:rsidRPr="00BF78B9">
              <w:rPr>
                <w:b/>
                <w:color w:val="FFFFFF" w:themeColor="background1"/>
                <w:sz w:val="20"/>
              </w:rPr>
              <w:t>Taglines</w:t>
            </w:r>
          </w:p>
        </w:tc>
        <w:tc>
          <w:tcPr>
            <w:tcW w:w="387" w:type="pct"/>
            <w:tcBorders>
              <w:top w:val="nil"/>
              <w:left w:val="nil"/>
              <w:bottom w:val="single" w:sz="6" w:space="0" w:color="808080" w:themeColor="background1" w:themeShade="80"/>
              <w:right w:val="nil"/>
            </w:tcBorders>
            <w:shd w:val="clear" w:color="auto" w:fill="005A70" w:themeFill="accent1"/>
            <w:vAlign w:val="center"/>
          </w:tcPr>
          <w:p w14:paraId="3C4E2D6D" w14:textId="77777777"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TV/V</w:t>
            </w:r>
            <w:r>
              <w:rPr>
                <w:rFonts w:eastAsia="SimSun"/>
                <w:b/>
                <w:color w:val="FFFFFF" w:themeColor="background1"/>
                <w:sz w:val="20"/>
              </w:rPr>
              <w:t>ideo</w:t>
            </w:r>
          </w:p>
        </w:tc>
        <w:tc>
          <w:tcPr>
            <w:tcW w:w="359" w:type="pct"/>
            <w:tcBorders>
              <w:top w:val="nil"/>
              <w:left w:val="nil"/>
              <w:bottom w:val="single" w:sz="6" w:space="0" w:color="808080" w:themeColor="background1" w:themeShade="80"/>
              <w:right w:val="nil"/>
            </w:tcBorders>
            <w:shd w:val="clear" w:color="auto" w:fill="005A70" w:themeFill="accent1"/>
            <w:vAlign w:val="center"/>
          </w:tcPr>
          <w:p w14:paraId="1E317063" w14:textId="77777777"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Radio</w:t>
            </w:r>
          </w:p>
        </w:tc>
        <w:tc>
          <w:tcPr>
            <w:tcW w:w="281" w:type="pct"/>
            <w:tcBorders>
              <w:top w:val="nil"/>
              <w:left w:val="nil"/>
              <w:bottom w:val="single" w:sz="6" w:space="0" w:color="808080" w:themeColor="background1" w:themeShade="80"/>
              <w:right w:val="nil"/>
            </w:tcBorders>
            <w:shd w:val="clear" w:color="auto" w:fill="005A70" w:themeFill="accent1"/>
            <w:vAlign w:val="center"/>
          </w:tcPr>
          <w:p w14:paraId="3303FB99" w14:textId="6D6EB2E3"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In-app</w:t>
            </w:r>
          </w:p>
        </w:tc>
        <w:tc>
          <w:tcPr>
            <w:tcW w:w="452" w:type="pct"/>
            <w:tcBorders>
              <w:top w:val="nil"/>
              <w:left w:val="nil"/>
              <w:bottom w:val="single" w:sz="6" w:space="0" w:color="808080" w:themeColor="background1" w:themeShade="80"/>
              <w:right w:val="nil"/>
            </w:tcBorders>
            <w:shd w:val="clear" w:color="auto" w:fill="005A70" w:themeFill="accent1"/>
            <w:vAlign w:val="center"/>
          </w:tcPr>
          <w:p w14:paraId="51B895E8" w14:textId="66B20655"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Digital ads</w:t>
            </w:r>
          </w:p>
        </w:tc>
        <w:tc>
          <w:tcPr>
            <w:tcW w:w="643" w:type="pct"/>
            <w:tcBorders>
              <w:top w:val="nil"/>
              <w:left w:val="nil"/>
              <w:bottom w:val="single" w:sz="6" w:space="0" w:color="808080" w:themeColor="background1" w:themeShade="80"/>
              <w:right w:val="nil"/>
            </w:tcBorders>
            <w:shd w:val="clear" w:color="auto" w:fill="005A70" w:themeFill="accent1"/>
            <w:vAlign w:val="center"/>
          </w:tcPr>
          <w:p w14:paraId="315BD4B3" w14:textId="7E8EFA91"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 xml:space="preserve">Print </w:t>
            </w:r>
            <w:r w:rsidRPr="00BF78B9">
              <w:rPr>
                <w:rFonts w:eastAsia="SimSun"/>
                <w:b/>
                <w:color w:val="FFFFFF" w:themeColor="background1"/>
                <w:sz w:val="20"/>
              </w:rPr>
              <w:br/>
              <w:t>ads</w:t>
            </w:r>
          </w:p>
        </w:tc>
        <w:tc>
          <w:tcPr>
            <w:tcW w:w="482" w:type="pct"/>
            <w:tcBorders>
              <w:top w:val="nil"/>
              <w:left w:val="nil"/>
              <w:bottom w:val="single" w:sz="6" w:space="0" w:color="808080" w:themeColor="background1" w:themeShade="80"/>
              <w:right w:val="nil"/>
            </w:tcBorders>
            <w:shd w:val="clear" w:color="auto" w:fill="005A70" w:themeFill="accent1"/>
            <w:vAlign w:val="center"/>
          </w:tcPr>
          <w:p w14:paraId="2AFBB4B0" w14:textId="4E2F7A72" w:rsidR="0093618B" w:rsidRPr="00BF78B9" w:rsidRDefault="0093618B" w:rsidP="00B963C1">
            <w:pPr>
              <w:spacing w:before="0" w:after="0" w:line="240" w:lineRule="auto"/>
              <w:jc w:val="center"/>
              <w:rPr>
                <w:rFonts w:eastAsia="SimSun"/>
                <w:b/>
                <w:color w:val="FFFFFF" w:themeColor="background1"/>
                <w:sz w:val="20"/>
              </w:rPr>
            </w:pPr>
            <w:r w:rsidRPr="00BF78B9">
              <w:rPr>
                <w:rFonts w:eastAsia="SimSun"/>
                <w:b/>
                <w:color w:val="FFFFFF" w:themeColor="background1"/>
                <w:sz w:val="20"/>
              </w:rPr>
              <w:t>Social Media</w:t>
            </w:r>
          </w:p>
        </w:tc>
        <w:tc>
          <w:tcPr>
            <w:tcW w:w="459" w:type="pct"/>
            <w:tcBorders>
              <w:top w:val="nil"/>
              <w:left w:val="nil"/>
              <w:bottom w:val="single" w:sz="6" w:space="0" w:color="808080" w:themeColor="background1" w:themeShade="80"/>
              <w:right w:val="nil"/>
            </w:tcBorders>
            <w:shd w:val="clear" w:color="auto" w:fill="005A70" w:themeFill="accent1"/>
            <w:vAlign w:val="center"/>
          </w:tcPr>
          <w:p w14:paraId="154F9FBA" w14:textId="4FCFE1CF" w:rsidR="0093618B" w:rsidRPr="00BF78B9" w:rsidRDefault="0093618B" w:rsidP="00B963C1">
            <w:pPr>
              <w:spacing w:before="0" w:after="0" w:line="240" w:lineRule="auto"/>
              <w:jc w:val="center"/>
              <w:rPr>
                <w:rFonts w:eastAsia="SimSun"/>
                <w:b/>
                <w:color w:val="FFFFFF" w:themeColor="background1"/>
                <w:sz w:val="20"/>
              </w:rPr>
            </w:pPr>
            <w:r>
              <w:rPr>
                <w:rFonts w:eastAsia="SimSun"/>
                <w:b/>
                <w:color w:val="FFFFFF" w:themeColor="background1"/>
                <w:sz w:val="20"/>
              </w:rPr>
              <w:t>Website</w:t>
            </w:r>
          </w:p>
        </w:tc>
        <w:tc>
          <w:tcPr>
            <w:tcW w:w="393" w:type="pct"/>
            <w:tcBorders>
              <w:top w:val="nil"/>
              <w:left w:val="nil"/>
              <w:bottom w:val="single" w:sz="6" w:space="0" w:color="808080" w:themeColor="background1" w:themeShade="80"/>
              <w:right w:val="nil"/>
            </w:tcBorders>
            <w:shd w:val="clear" w:color="auto" w:fill="005A70" w:themeFill="accent1"/>
          </w:tcPr>
          <w:p w14:paraId="28C3EDC3" w14:textId="51D0AA44" w:rsidR="0093618B" w:rsidRPr="00BF78B9" w:rsidRDefault="0093618B" w:rsidP="00B963C1">
            <w:pPr>
              <w:spacing w:before="0" w:after="0" w:line="240" w:lineRule="auto"/>
              <w:jc w:val="center"/>
              <w:rPr>
                <w:rFonts w:eastAsia="SimSun"/>
                <w:b/>
                <w:color w:val="FFFFFF" w:themeColor="background1"/>
                <w:sz w:val="20"/>
              </w:rPr>
            </w:pPr>
            <w:r>
              <w:rPr>
                <w:rFonts w:eastAsia="SimSun"/>
                <w:b/>
                <w:color w:val="FFFFFF" w:themeColor="background1"/>
                <w:sz w:val="20"/>
              </w:rPr>
              <w:t>Other</w:t>
            </w:r>
            <w:r w:rsidRPr="000C20E7">
              <w:rPr>
                <w:rFonts w:eastAsia="SimSun"/>
                <w:b/>
                <w:color w:val="FFFFFF" w:themeColor="background1"/>
              </w:rPr>
              <w:t>*</w:t>
            </w:r>
          </w:p>
        </w:tc>
      </w:tr>
      <w:tr w:rsidR="00D11F0A" w14:paraId="2C2B7059" w14:textId="77777777" w:rsidTr="00C051E7">
        <w:trPr>
          <w:trHeight w:val="442"/>
          <w:tblHeader/>
          <w:jc w:val="center"/>
        </w:trPr>
        <w:tc>
          <w:tcPr>
            <w:tcW w:w="1543" w:type="pct"/>
            <w:tcBorders>
              <w:top w:val="single" w:sz="6" w:space="0" w:color="808080" w:themeColor="background1" w:themeShade="80"/>
            </w:tcBorders>
            <w:vAlign w:val="center"/>
          </w:tcPr>
          <w:p w14:paraId="2E93F5CE" w14:textId="77777777" w:rsidR="0093618B" w:rsidRPr="00BF78B9" w:rsidRDefault="0093618B" w:rsidP="00B963C1">
            <w:pPr>
              <w:spacing w:before="60" w:after="300" w:line="240" w:lineRule="auto"/>
              <w:contextualSpacing/>
              <w:rPr>
                <w:b/>
                <w:sz w:val="18"/>
              </w:rPr>
            </w:pPr>
            <w:r w:rsidRPr="00BF78B9">
              <w:rPr>
                <w:b/>
                <w:sz w:val="18"/>
              </w:rPr>
              <w:t>Chances are you’re about to lose.</w:t>
            </w:r>
          </w:p>
        </w:tc>
        <w:tc>
          <w:tcPr>
            <w:tcW w:w="387" w:type="pct"/>
            <w:tcBorders>
              <w:top w:val="single" w:sz="6" w:space="0" w:color="808080" w:themeColor="background1" w:themeShade="80"/>
            </w:tcBorders>
            <w:vAlign w:val="center"/>
          </w:tcPr>
          <w:p w14:paraId="7D49A4B1"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59" w:type="pct"/>
            <w:tcBorders>
              <w:top w:val="single" w:sz="6" w:space="0" w:color="808080" w:themeColor="background1" w:themeShade="80"/>
            </w:tcBorders>
            <w:vAlign w:val="center"/>
          </w:tcPr>
          <w:p w14:paraId="0D4017BC"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281" w:type="pct"/>
            <w:tcBorders>
              <w:top w:val="single" w:sz="6" w:space="0" w:color="808080" w:themeColor="background1" w:themeShade="80"/>
            </w:tcBorders>
            <w:vAlign w:val="center"/>
          </w:tcPr>
          <w:p w14:paraId="0AADB80E" w14:textId="4AD1A48D"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tcBorders>
              <w:top w:val="single" w:sz="6" w:space="0" w:color="808080" w:themeColor="background1" w:themeShade="80"/>
            </w:tcBorders>
            <w:vAlign w:val="center"/>
          </w:tcPr>
          <w:p w14:paraId="6BD20AF2" w14:textId="4D17340C"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tcBorders>
              <w:top w:val="single" w:sz="6" w:space="0" w:color="808080" w:themeColor="background1" w:themeShade="80"/>
            </w:tcBorders>
            <w:vAlign w:val="center"/>
          </w:tcPr>
          <w:p w14:paraId="73FAC48C" w14:textId="0E79454D"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tcBorders>
              <w:top w:val="single" w:sz="6" w:space="0" w:color="808080" w:themeColor="background1" w:themeShade="80"/>
            </w:tcBorders>
            <w:vAlign w:val="center"/>
          </w:tcPr>
          <w:p w14:paraId="76531895" w14:textId="5D64654D"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tcBorders>
              <w:top w:val="single" w:sz="6" w:space="0" w:color="808080" w:themeColor="background1" w:themeShade="80"/>
            </w:tcBorders>
            <w:vAlign w:val="center"/>
          </w:tcPr>
          <w:p w14:paraId="6CE2F15B"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tcBorders>
              <w:top w:val="single" w:sz="6" w:space="0" w:color="808080" w:themeColor="background1" w:themeShade="80"/>
            </w:tcBorders>
            <w:vAlign w:val="center"/>
          </w:tcPr>
          <w:p w14:paraId="49466207"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r w:rsidR="00D11F0A" w14:paraId="02415512" w14:textId="77777777" w:rsidTr="00C051E7">
        <w:trPr>
          <w:trHeight w:val="442"/>
          <w:tblHeader/>
          <w:jc w:val="center"/>
        </w:trPr>
        <w:tc>
          <w:tcPr>
            <w:tcW w:w="1543" w:type="pct"/>
            <w:vAlign w:val="center"/>
          </w:tcPr>
          <w:p w14:paraId="1981DCF4" w14:textId="77777777" w:rsidR="0093618B" w:rsidRPr="00BF78B9" w:rsidRDefault="0093618B" w:rsidP="00B963C1">
            <w:pPr>
              <w:spacing w:before="60" w:after="300" w:line="240" w:lineRule="auto"/>
              <w:contextualSpacing/>
              <w:rPr>
                <w:b/>
                <w:sz w:val="18"/>
              </w:rPr>
            </w:pPr>
            <w:r w:rsidRPr="00BF78B9">
              <w:rPr>
                <w:b/>
                <w:sz w:val="18"/>
              </w:rPr>
              <w:t>Think. Is this a bet you really want to place?</w:t>
            </w:r>
          </w:p>
        </w:tc>
        <w:tc>
          <w:tcPr>
            <w:tcW w:w="387" w:type="pct"/>
            <w:vAlign w:val="center"/>
          </w:tcPr>
          <w:p w14:paraId="26062F38" w14:textId="77777777" w:rsidR="0093618B" w:rsidRPr="00086C88" w:rsidRDefault="0093618B" w:rsidP="00B963C1">
            <w:pPr>
              <w:spacing w:before="60" w:after="300" w:line="240" w:lineRule="auto"/>
              <w:contextualSpacing/>
              <w:jc w:val="center"/>
              <w:rPr>
                <w:color w:val="92D050"/>
                <w:sz w:val="40"/>
              </w:rPr>
            </w:pPr>
          </w:p>
        </w:tc>
        <w:tc>
          <w:tcPr>
            <w:tcW w:w="359" w:type="pct"/>
            <w:vAlign w:val="center"/>
          </w:tcPr>
          <w:p w14:paraId="564E421F" w14:textId="77777777" w:rsidR="0093618B" w:rsidRPr="00086C88" w:rsidRDefault="0093618B" w:rsidP="00B963C1">
            <w:pPr>
              <w:spacing w:before="60" w:after="300" w:line="240" w:lineRule="auto"/>
              <w:contextualSpacing/>
              <w:jc w:val="center"/>
              <w:rPr>
                <w:color w:val="92D050"/>
                <w:sz w:val="40"/>
              </w:rPr>
            </w:pPr>
          </w:p>
        </w:tc>
        <w:tc>
          <w:tcPr>
            <w:tcW w:w="281" w:type="pct"/>
            <w:vAlign w:val="center"/>
          </w:tcPr>
          <w:p w14:paraId="0EBA0676" w14:textId="67A29940"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vAlign w:val="center"/>
          </w:tcPr>
          <w:p w14:paraId="5309D9C1" w14:textId="0EE62C61"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vAlign w:val="center"/>
          </w:tcPr>
          <w:p w14:paraId="3BF390C3" w14:textId="6F8F1C01"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vAlign w:val="center"/>
          </w:tcPr>
          <w:p w14:paraId="0A0565E8" w14:textId="603234D1"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vAlign w:val="center"/>
          </w:tcPr>
          <w:p w14:paraId="0C231953"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vAlign w:val="center"/>
          </w:tcPr>
          <w:p w14:paraId="13320D9F"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r w:rsidR="00D11F0A" w14:paraId="4CE7FB16" w14:textId="77777777" w:rsidTr="00C051E7">
        <w:trPr>
          <w:trHeight w:val="442"/>
          <w:tblHeader/>
          <w:jc w:val="center"/>
        </w:trPr>
        <w:tc>
          <w:tcPr>
            <w:tcW w:w="1543" w:type="pct"/>
            <w:vAlign w:val="center"/>
          </w:tcPr>
          <w:p w14:paraId="1F6951E2" w14:textId="77777777" w:rsidR="0093618B" w:rsidRPr="00BF78B9" w:rsidRDefault="0093618B" w:rsidP="00B963C1">
            <w:pPr>
              <w:spacing w:before="60" w:after="300" w:line="240" w:lineRule="auto"/>
              <w:contextualSpacing/>
              <w:rPr>
                <w:b/>
                <w:sz w:val="18"/>
              </w:rPr>
            </w:pPr>
            <w:r w:rsidRPr="00BF78B9">
              <w:rPr>
                <w:b/>
                <w:sz w:val="18"/>
              </w:rPr>
              <w:t>What’s gambling really costing you?</w:t>
            </w:r>
          </w:p>
        </w:tc>
        <w:tc>
          <w:tcPr>
            <w:tcW w:w="387" w:type="pct"/>
            <w:vAlign w:val="center"/>
          </w:tcPr>
          <w:p w14:paraId="26770360"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59" w:type="pct"/>
            <w:vAlign w:val="center"/>
          </w:tcPr>
          <w:p w14:paraId="3EC9542A"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281" w:type="pct"/>
            <w:vAlign w:val="center"/>
          </w:tcPr>
          <w:p w14:paraId="56D64108" w14:textId="63DE18E5"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vAlign w:val="center"/>
          </w:tcPr>
          <w:p w14:paraId="62E4DDE6" w14:textId="72B3E6F6"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vAlign w:val="center"/>
          </w:tcPr>
          <w:p w14:paraId="0121B765" w14:textId="012129D8"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vAlign w:val="center"/>
          </w:tcPr>
          <w:p w14:paraId="05855451" w14:textId="704EF6DE"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vAlign w:val="center"/>
          </w:tcPr>
          <w:p w14:paraId="67006ADC"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vAlign w:val="center"/>
          </w:tcPr>
          <w:p w14:paraId="376C32DC"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r w:rsidR="00D11F0A" w14:paraId="46EB692B" w14:textId="77777777" w:rsidTr="00C051E7">
        <w:trPr>
          <w:trHeight w:val="442"/>
          <w:tblHeader/>
          <w:jc w:val="center"/>
        </w:trPr>
        <w:tc>
          <w:tcPr>
            <w:tcW w:w="1543" w:type="pct"/>
            <w:vAlign w:val="center"/>
          </w:tcPr>
          <w:p w14:paraId="7A985AAC" w14:textId="77777777" w:rsidR="0093618B" w:rsidRPr="00BF78B9" w:rsidRDefault="0093618B" w:rsidP="00B963C1">
            <w:pPr>
              <w:spacing w:before="60" w:after="300" w:line="240" w:lineRule="auto"/>
              <w:contextualSpacing/>
              <w:rPr>
                <w:b/>
                <w:sz w:val="18"/>
              </w:rPr>
            </w:pPr>
            <w:r w:rsidRPr="00BF78B9">
              <w:rPr>
                <w:b/>
                <w:sz w:val="18"/>
              </w:rPr>
              <w:t>What a</w:t>
            </w:r>
            <w:r>
              <w:rPr>
                <w:b/>
                <w:sz w:val="18"/>
              </w:rPr>
              <w:t xml:space="preserve">re you prepared to lose today? </w:t>
            </w:r>
            <w:r w:rsidRPr="00BF78B9">
              <w:rPr>
                <w:b/>
                <w:sz w:val="18"/>
              </w:rPr>
              <w:t xml:space="preserve">Set a deposit limit. </w:t>
            </w:r>
          </w:p>
        </w:tc>
        <w:tc>
          <w:tcPr>
            <w:tcW w:w="387" w:type="pct"/>
            <w:vAlign w:val="center"/>
          </w:tcPr>
          <w:p w14:paraId="41DB76F7" w14:textId="77777777" w:rsidR="0093618B" w:rsidRPr="00086C88" w:rsidRDefault="0093618B" w:rsidP="00B963C1">
            <w:pPr>
              <w:spacing w:before="60" w:after="300" w:line="240" w:lineRule="auto"/>
              <w:contextualSpacing/>
              <w:jc w:val="center"/>
              <w:rPr>
                <w:color w:val="92D050"/>
                <w:sz w:val="40"/>
              </w:rPr>
            </w:pPr>
          </w:p>
        </w:tc>
        <w:tc>
          <w:tcPr>
            <w:tcW w:w="359" w:type="pct"/>
            <w:vAlign w:val="center"/>
          </w:tcPr>
          <w:p w14:paraId="1B6FAC96" w14:textId="77777777" w:rsidR="0093618B" w:rsidRPr="00086C88" w:rsidRDefault="0093618B" w:rsidP="00B963C1">
            <w:pPr>
              <w:spacing w:before="60" w:after="300" w:line="240" w:lineRule="auto"/>
              <w:contextualSpacing/>
              <w:jc w:val="center"/>
              <w:rPr>
                <w:color w:val="92D050"/>
                <w:sz w:val="40"/>
              </w:rPr>
            </w:pPr>
          </w:p>
        </w:tc>
        <w:tc>
          <w:tcPr>
            <w:tcW w:w="281" w:type="pct"/>
            <w:vAlign w:val="center"/>
          </w:tcPr>
          <w:p w14:paraId="5EF18530" w14:textId="5A6DF191"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vAlign w:val="center"/>
          </w:tcPr>
          <w:p w14:paraId="02F4E261" w14:textId="5CD694E3"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vAlign w:val="center"/>
          </w:tcPr>
          <w:p w14:paraId="079D4CE7" w14:textId="206193B8"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vAlign w:val="center"/>
          </w:tcPr>
          <w:p w14:paraId="389BED19" w14:textId="5A6CBC9B"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vAlign w:val="center"/>
          </w:tcPr>
          <w:p w14:paraId="50E3A4E0"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vAlign w:val="center"/>
          </w:tcPr>
          <w:p w14:paraId="4B81A032"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r w:rsidR="00D11F0A" w14:paraId="58181EBC" w14:textId="77777777" w:rsidTr="00C051E7">
        <w:trPr>
          <w:trHeight w:val="442"/>
          <w:tblHeader/>
          <w:jc w:val="center"/>
        </w:trPr>
        <w:tc>
          <w:tcPr>
            <w:tcW w:w="1543" w:type="pct"/>
            <w:vAlign w:val="center"/>
          </w:tcPr>
          <w:p w14:paraId="502E69A4" w14:textId="77777777" w:rsidR="0093618B" w:rsidRPr="00BF78B9" w:rsidRDefault="0093618B" w:rsidP="00B963C1">
            <w:pPr>
              <w:spacing w:before="60" w:after="300" w:line="240" w:lineRule="auto"/>
              <w:contextualSpacing/>
              <w:rPr>
                <w:b/>
                <w:sz w:val="18"/>
              </w:rPr>
            </w:pPr>
            <w:r w:rsidRPr="00BF78B9">
              <w:rPr>
                <w:b/>
                <w:sz w:val="18"/>
              </w:rPr>
              <w:t>Imagine what you could be buying instead.</w:t>
            </w:r>
          </w:p>
        </w:tc>
        <w:tc>
          <w:tcPr>
            <w:tcW w:w="387" w:type="pct"/>
            <w:vAlign w:val="center"/>
          </w:tcPr>
          <w:p w14:paraId="1F979C4F"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59" w:type="pct"/>
            <w:vAlign w:val="center"/>
          </w:tcPr>
          <w:p w14:paraId="1654537A"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281" w:type="pct"/>
            <w:vAlign w:val="center"/>
          </w:tcPr>
          <w:p w14:paraId="0409FC7B" w14:textId="46D9227D"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vAlign w:val="center"/>
          </w:tcPr>
          <w:p w14:paraId="44110A75" w14:textId="30212A59"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vAlign w:val="center"/>
          </w:tcPr>
          <w:p w14:paraId="5CCAF1C2" w14:textId="188C5A15"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vAlign w:val="center"/>
          </w:tcPr>
          <w:p w14:paraId="70A995B6" w14:textId="5B688DF3"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vAlign w:val="center"/>
          </w:tcPr>
          <w:p w14:paraId="34E15916"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vAlign w:val="center"/>
          </w:tcPr>
          <w:p w14:paraId="73853390"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r w:rsidR="00D11F0A" w14:paraId="03F4D306" w14:textId="77777777" w:rsidTr="00C051E7">
        <w:trPr>
          <w:trHeight w:val="442"/>
          <w:tblHeader/>
          <w:jc w:val="center"/>
        </w:trPr>
        <w:tc>
          <w:tcPr>
            <w:tcW w:w="1543" w:type="pct"/>
            <w:tcBorders>
              <w:bottom w:val="single" w:sz="6" w:space="0" w:color="808080" w:themeColor="background1" w:themeShade="80"/>
            </w:tcBorders>
            <w:vAlign w:val="center"/>
          </w:tcPr>
          <w:p w14:paraId="30600337" w14:textId="77777777" w:rsidR="0093618B" w:rsidRPr="00BF78B9" w:rsidRDefault="0093618B" w:rsidP="00B963C1">
            <w:pPr>
              <w:spacing w:before="60" w:after="300" w:line="240" w:lineRule="auto"/>
              <w:contextualSpacing/>
              <w:rPr>
                <w:b/>
                <w:sz w:val="18"/>
              </w:rPr>
            </w:pPr>
            <w:r w:rsidRPr="00BF78B9">
              <w:rPr>
                <w:b/>
                <w:sz w:val="18"/>
              </w:rPr>
              <w:t>You win some. You lose more.</w:t>
            </w:r>
          </w:p>
        </w:tc>
        <w:tc>
          <w:tcPr>
            <w:tcW w:w="387" w:type="pct"/>
            <w:tcBorders>
              <w:bottom w:val="single" w:sz="6" w:space="0" w:color="808080" w:themeColor="background1" w:themeShade="80"/>
            </w:tcBorders>
            <w:vAlign w:val="center"/>
          </w:tcPr>
          <w:p w14:paraId="6E68248D"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59" w:type="pct"/>
            <w:tcBorders>
              <w:bottom w:val="single" w:sz="6" w:space="0" w:color="808080" w:themeColor="background1" w:themeShade="80"/>
            </w:tcBorders>
            <w:vAlign w:val="center"/>
          </w:tcPr>
          <w:p w14:paraId="2C4F31AE"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281" w:type="pct"/>
            <w:tcBorders>
              <w:bottom w:val="single" w:sz="6" w:space="0" w:color="808080" w:themeColor="background1" w:themeShade="80"/>
            </w:tcBorders>
            <w:vAlign w:val="center"/>
          </w:tcPr>
          <w:p w14:paraId="24D81AFB" w14:textId="77777777" w:rsidR="0093618B" w:rsidRPr="00086C88" w:rsidRDefault="0093618B" w:rsidP="00B963C1">
            <w:pPr>
              <w:spacing w:before="60" w:after="300" w:line="240" w:lineRule="auto"/>
              <w:contextualSpacing/>
              <w:jc w:val="center"/>
              <w:rPr>
                <w:color w:val="92D050"/>
                <w:sz w:val="40"/>
              </w:rPr>
            </w:pPr>
          </w:p>
        </w:tc>
        <w:tc>
          <w:tcPr>
            <w:tcW w:w="452" w:type="pct"/>
            <w:tcBorders>
              <w:bottom w:val="single" w:sz="6" w:space="0" w:color="808080" w:themeColor="background1" w:themeShade="80"/>
            </w:tcBorders>
            <w:vAlign w:val="center"/>
          </w:tcPr>
          <w:p w14:paraId="0E0C29CC" w14:textId="7141A4FC" w:rsidR="0093618B" w:rsidRPr="00086C88" w:rsidRDefault="0093618B" w:rsidP="00B963C1">
            <w:pPr>
              <w:spacing w:before="60" w:after="300" w:line="240" w:lineRule="auto"/>
              <w:contextualSpacing/>
              <w:jc w:val="center"/>
              <w:rPr>
                <w:color w:val="92D050"/>
                <w:sz w:val="40"/>
              </w:rPr>
            </w:pPr>
          </w:p>
        </w:tc>
        <w:tc>
          <w:tcPr>
            <w:tcW w:w="643" w:type="pct"/>
            <w:tcBorders>
              <w:bottom w:val="single" w:sz="6" w:space="0" w:color="808080" w:themeColor="background1" w:themeShade="80"/>
            </w:tcBorders>
            <w:vAlign w:val="center"/>
          </w:tcPr>
          <w:p w14:paraId="03AC2E7C" w14:textId="77777777" w:rsidR="0093618B" w:rsidRPr="00086C88" w:rsidRDefault="0093618B" w:rsidP="00B963C1">
            <w:pPr>
              <w:spacing w:before="60" w:after="300" w:line="240" w:lineRule="auto"/>
              <w:contextualSpacing/>
              <w:jc w:val="center"/>
              <w:rPr>
                <w:color w:val="92D050"/>
                <w:sz w:val="40"/>
              </w:rPr>
            </w:pPr>
          </w:p>
        </w:tc>
        <w:tc>
          <w:tcPr>
            <w:tcW w:w="482" w:type="pct"/>
            <w:tcBorders>
              <w:bottom w:val="single" w:sz="6" w:space="0" w:color="808080" w:themeColor="background1" w:themeShade="80"/>
            </w:tcBorders>
            <w:vAlign w:val="center"/>
          </w:tcPr>
          <w:p w14:paraId="7F80076F" w14:textId="77777777" w:rsidR="0093618B" w:rsidRPr="00086C88" w:rsidRDefault="0093618B" w:rsidP="00B963C1">
            <w:pPr>
              <w:spacing w:before="60" w:after="300" w:line="240" w:lineRule="auto"/>
              <w:contextualSpacing/>
              <w:jc w:val="center"/>
              <w:rPr>
                <w:color w:val="92D050"/>
                <w:sz w:val="40"/>
              </w:rPr>
            </w:pPr>
          </w:p>
        </w:tc>
        <w:tc>
          <w:tcPr>
            <w:tcW w:w="459" w:type="pct"/>
            <w:tcBorders>
              <w:bottom w:val="single" w:sz="6" w:space="0" w:color="808080" w:themeColor="background1" w:themeShade="80"/>
            </w:tcBorders>
            <w:vAlign w:val="center"/>
          </w:tcPr>
          <w:p w14:paraId="6DAA3CF6" w14:textId="77777777" w:rsidR="0093618B" w:rsidRPr="00086C88" w:rsidRDefault="0093618B" w:rsidP="00B963C1">
            <w:pPr>
              <w:spacing w:before="60" w:after="300" w:line="240" w:lineRule="auto"/>
              <w:contextualSpacing/>
              <w:jc w:val="center"/>
              <w:rPr>
                <w:color w:val="92D050"/>
                <w:sz w:val="40"/>
              </w:rPr>
            </w:pPr>
          </w:p>
        </w:tc>
        <w:tc>
          <w:tcPr>
            <w:tcW w:w="393" w:type="pct"/>
            <w:tcBorders>
              <w:bottom w:val="single" w:sz="6" w:space="0" w:color="808080" w:themeColor="background1" w:themeShade="80"/>
            </w:tcBorders>
            <w:vAlign w:val="center"/>
          </w:tcPr>
          <w:p w14:paraId="5E086AC4" w14:textId="72001616"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r w:rsidRPr="000C20E7">
              <w:rPr>
                <w:rFonts w:ascii="SimSun" w:eastAsia="SimSun" w:hAnsi="SimSun"/>
                <w:sz w:val="22"/>
                <w:szCs w:val="22"/>
              </w:rPr>
              <w:t>#</w:t>
            </w:r>
          </w:p>
        </w:tc>
      </w:tr>
      <w:tr w:rsidR="00D11F0A" w14:paraId="37B3AF5C" w14:textId="77777777" w:rsidTr="00C051E7">
        <w:trPr>
          <w:trHeight w:val="442"/>
          <w:tblHeader/>
          <w:jc w:val="center"/>
        </w:trPr>
        <w:tc>
          <w:tcPr>
            <w:tcW w:w="1543" w:type="pct"/>
            <w:tcBorders>
              <w:bottom w:val="single" w:sz="6" w:space="0" w:color="808080" w:themeColor="background1" w:themeShade="80"/>
            </w:tcBorders>
            <w:vAlign w:val="center"/>
          </w:tcPr>
          <w:p w14:paraId="62503D48" w14:textId="77777777" w:rsidR="0093618B" w:rsidRPr="00BF78B9" w:rsidRDefault="0093618B" w:rsidP="00B963C1">
            <w:pPr>
              <w:spacing w:before="60" w:after="300" w:line="240" w:lineRule="auto"/>
              <w:contextualSpacing/>
              <w:rPr>
                <w:b/>
                <w:sz w:val="18"/>
              </w:rPr>
            </w:pPr>
            <w:r w:rsidRPr="00BF78B9">
              <w:rPr>
                <w:b/>
                <w:sz w:val="18"/>
              </w:rPr>
              <w:t>What are you really gambling with?</w:t>
            </w:r>
          </w:p>
        </w:tc>
        <w:tc>
          <w:tcPr>
            <w:tcW w:w="387" w:type="pct"/>
            <w:tcBorders>
              <w:bottom w:val="single" w:sz="6" w:space="0" w:color="808080" w:themeColor="background1" w:themeShade="80"/>
            </w:tcBorders>
            <w:vAlign w:val="center"/>
          </w:tcPr>
          <w:p w14:paraId="3B4BE486"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59" w:type="pct"/>
            <w:tcBorders>
              <w:bottom w:val="single" w:sz="6" w:space="0" w:color="808080" w:themeColor="background1" w:themeShade="80"/>
            </w:tcBorders>
            <w:vAlign w:val="center"/>
          </w:tcPr>
          <w:p w14:paraId="698ABBB3"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281" w:type="pct"/>
            <w:tcBorders>
              <w:bottom w:val="single" w:sz="6" w:space="0" w:color="808080" w:themeColor="background1" w:themeShade="80"/>
            </w:tcBorders>
            <w:vAlign w:val="center"/>
          </w:tcPr>
          <w:p w14:paraId="555945FA" w14:textId="130CF4F2" w:rsidR="0093618B" w:rsidRPr="00086C88" w:rsidRDefault="0093618B" w:rsidP="00B963C1">
            <w:pPr>
              <w:spacing w:before="60" w:after="300" w:line="240" w:lineRule="auto"/>
              <w:contextualSpacing/>
              <w:jc w:val="center"/>
              <w:rPr>
                <w:rFonts w:ascii="SimSun" w:eastAsia="SimSun" w:hAnsi="SimSun"/>
                <w:color w:val="92D050"/>
                <w:sz w:val="40"/>
              </w:rPr>
            </w:pPr>
            <w:r w:rsidRPr="00086C88">
              <w:rPr>
                <w:rFonts w:ascii="SimSun" w:eastAsia="SimSun" w:hAnsi="SimSun" w:hint="eastAsia"/>
                <w:color w:val="92D050"/>
                <w:sz w:val="40"/>
              </w:rPr>
              <w:t>●</w:t>
            </w:r>
          </w:p>
        </w:tc>
        <w:tc>
          <w:tcPr>
            <w:tcW w:w="452" w:type="pct"/>
            <w:tcBorders>
              <w:bottom w:val="single" w:sz="6" w:space="0" w:color="808080" w:themeColor="background1" w:themeShade="80"/>
            </w:tcBorders>
            <w:vAlign w:val="center"/>
          </w:tcPr>
          <w:p w14:paraId="2C96D440" w14:textId="409DDB5D"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643" w:type="pct"/>
            <w:tcBorders>
              <w:bottom w:val="single" w:sz="6" w:space="0" w:color="808080" w:themeColor="background1" w:themeShade="80"/>
            </w:tcBorders>
            <w:vAlign w:val="center"/>
          </w:tcPr>
          <w:p w14:paraId="31596DBF" w14:textId="551A9791"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82" w:type="pct"/>
            <w:tcBorders>
              <w:bottom w:val="single" w:sz="6" w:space="0" w:color="808080" w:themeColor="background1" w:themeShade="80"/>
            </w:tcBorders>
            <w:vAlign w:val="center"/>
          </w:tcPr>
          <w:p w14:paraId="4ED411B3" w14:textId="78356BEA"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459" w:type="pct"/>
            <w:tcBorders>
              <w:bottom w:val="single" w:sz="6" w:space="0" w:color="808080" w:themeColor="background1" w:themeShade="80"/>
            </w:tcBorders>
            <w:vAlign w:val="center"/>
          </w:tcPr>
          <w:p w14:paraId="38B7EDA6"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c>
          <w:tcPr>
            <w:tcW w:w="393" w:type="pct"/>
            <w:tcBorders>
              <w:bottom w:val="single" w:sz="6" w:space="0" w:color="808080" w:themeColor="background1" w:themeShade="80"/>
            </w:tcBorders>
            <w:vAlign w:val="center"/>
          </w:tcPr>
          <w:p w14:paraId="74A6A277" w14:textId="77777777" w:rsidR="0093618B" w:rsidRPr="00086C88" w:rsidRDefault="0093618B" w:rsidP="00B963C1">
            <w:pPr>
              <w:spacing w:before="60" w:after="300" w:line="240" w:lineRule="auto"/>
              <w:contextualSpacing/>
              <w:jc w:val="center"/>
              <w:rPr>
                <w:color w:val="92D050"/>
                <w:sz w:val="40"/>
              </w:rPr>
            </w:pPr>
            <w:r w:rsidRPr="00086C88">
              <w:rPr>
                <w:rFonts w:ascii="SimSun" w:eastAsia="SimSun" w:hAnsi="SimSun" w:hint="eastAsia"/>
                <w:color w:val="92D050"/>
                <w:sz w:val="40"/>
              </w:rPr>
              <w:t>●</w:t>
            </w:r>
          </w:p>
        </w:tc>
      </w:tr>
    </w:tbl>
    <w:p w14:paraId="30557F84" w14:textId="4D20E1BF" w:rsidR="00307E60" w:rsidRDefault="00307E60" w:rsidP="005D0ACF">
      <w:pPr>
        <w:rPr>
          <w:rFonts w:eastAsia="SimSun"/>
          <w:sz w:val="18"/>
          <w:szCs w:val="16"/>
        </w:rPr>
      </w:pPr>
      <w:r w:rsidRPr="000C20E7">
        <w:rPr>
          <w:rFonts w:eastAsia="SimSun"/>
          <w:sz w:val="18"/>
          <w:szCs w:val="16"/>
        </w:rPr>
        <w:t xml:space="preserve">Key: </w:t>
      </w:r>
      <w:r w:rsidRPr="000C20E7">
        <w:rPr>
          <w:rFonts w:eastAsia="SimSun" w:hint="eastAsia"/>
          <w:color w:val="92D050"/>
          <w:sz w:val="18"/>
          <w:szCs w:val="16"/>
        </w:rPr>
        <w:t>●</w:t>
      </w:r>
      <w:r w:rsidRPr="000C20E7">
        <w:rPr>
          <w:rFonts w:eastAsia="SimSun"/>
          <w:color w:val="92D050"/>
          <w:sz w:val="18"/>
          <w:szCs w:val="16"/>
        </w:rPr>
        <w:t xml:space="preserve"> </w:t>
      </w:r>
      <w:r w:rsidRPr="000C20E7">
        <w:rPr>
          <w:rFonts w:eastAsia="SimSun"/>
          <w:sz w:val="18"/>
          <w:szCs w:val="16"/>
        </w:rPr>
        <w:t>Permitted for use</w:t>
      </w:r>
    </w:p>
    <w:p w14:paraId="01813D93" w14:textId="3C6ADDF4" w:rsidR="0093618B" w:rsidRDefault="0093618B">
      <w:pPr>
        <w:rPr>
          <w:rFonts w:eastAsia="SimSun"/>
          <w:sz w:val="18"/>
          <w:szCs w:val="16"/>
        </w:rPr>
      </w:pPr>
      <w:r w:rsidRPr="0093618B">
        <w:rPr>
          <w:sz w:val="28"/>
        </w:rPr>
        <w:t>*</w:t>
      </w:r>
      <w:r>
        <w:rPr>
          <w:sz w:val="28"/>
        </w:rPr>
        <w:t xml:space="preserve"> </w:t>
      </w:r>
      <w:r w:rsidRPr="000C20E7">
        <w:rPr>
          <w:rFonts w:eastAsia="SimSun"/>
          <w:sz w:val="18"/>
          <w:szCs w:val="16"/>
        </w:rPr>
        <w:t>Other includes direct marketing materials or other sponsorship, promotional and in-stadium advertising</w:t>
      </w:r>
    </w:p>
    <w:p w14:paraId="6AD1A58A" w14:textId="5DAE7764" w:rsidR="0093618B" w:rsidRDefault="0093618B">
      <w:pPr>
        <w:rPr>
          <w:rFonts w:eastAsia="SimSun"/>
          <w:sz w:val="18"/>
          <w:szCs w:val="16"/>
        </w:rPr>
      </w:pPr>
      <w:r w:rsidRPr="000C20E7">
        <w:rPr>
          <w:rFonts w:eastAsia="SimSun"/>
          <w:vertAlign w:val="superscript"/>
        </w:rPr>
        <w:t>#</w:t>
      </w:r>
      <w:r>
        <w:rPr>
          <w:rFonts w:eastAsia="SimSun"/>
          <w:sz w:val="18"/>
          <w:szCs w:val="16"/>
        </w:rPr>
        <w:t xml:space="preserve"> Only available for </w:t>
      </w:r>
      <w:r w:rsidRPr="0093618B">
        <w:rPr>
          <w:rFonts w:eastAsia="SimSun"/>
          <w:sz w:val="18"/>
          <w:szCs w:val="16"/>
        </w:rPr>
        <w:t>telemarketing (or other spoken forms)</w:t>
      </w:r>
      <w:r>
        <w:rPr>
          <w:rFonts w:eastAsia="SimSun"/>
          <w:sz w:val="18"/>
          <w:szCs w:val="16"/>
        </w:rPr>
        <w:t xml:space="preserve"> of advertising</w:t>
      </w:r>
    </w:p>
    <w:p w14:paraId="05E6E4E3" w14:textId="77777777" w:rsidR="0093618B" w:rsidRPr="000C20E7" w:rsidRDefault="0093618B">
      <w:pPr>
        <w:rPr>
          <w:sz w:val="28"/>
          <w:u w:val="single"/>
        </w:rPr>
      </w:pPr>
    </w:p>
    <w:p w14:paraId="52675C59" w14:textId="7BE74AE0" w:rsidR="00584A31" w:rsidRDefault="00582C1D" w:rsidP="005D0ACF">
      <w:r>
        <w:t xml:space="preserve">Any questions regarding what taglines are permitted for use on certain platforms should be directed to </w:t>
      </w:r>
      <w:r w:rsidR="00322D28">
        <w:t xml:space="preserve">the Implementation Governance Committee secretariat at </w:t>
      </w:r>
      <w:hyperlink r:id="rId20" w:history="1"/>
      <w:hyperlink r:id="rId21" w:history="1">
        <w:r w:rsidR="007102C0">
          <w:rPr>
            <w:rStyle w:val="Hyperlink"/>
            <w:bCs/>
            <w:iCs/>
          </w:rPr>
          <w:t>gambling@dss.gov.au</w:t>
        </w:r>
      </w:hyperlink>
      <w:r w:rsidR="008F3144">
        <w:t>.</w:t>
      </w:r>
    </w:p>
    <w:p w14:paraId="72F3FA5A" w14:textId="77777777" w:rsidR="00582C1D" w:rsidRDefault="00582C1D" w:rsidP="005D0ACF"/>
    <w:p w14:paraId="14D84E9A" w14:textId="77777777" w:rsidR="00582C1D" w:rsidRDefault="00582C1D" w:rsidP="005D0ACF">
      <w:pPr>
        <w:sectPr w:rsidR="00582C1D" w:rsidSect="000C20E7">
          <w:pgSz w:w="11906" w:h="16838" w:code="9"/>
          <w:pgMar w:top="1112" w:right="851" w:bottom="1134" w:left="851" w:header="0" w:footer="471" w:gutter="0"/>
          <w:cols w:space="708"/>
          <w:titlePg/>
          <w:docGrid w:linePitch="360"/>
        </w:sectPr>
      </w:pPr>
    </w:p>
    <w:p w14:paraId="494C1FD2" w14:textId="77777777" w:rsidR="00EB548F" w:rsidRDefault="00EB548F" w:rsidP="0099590B">
      <w:pPr>
        <w:pStyle w:val="Heading2"/>
      </w:pPr>
      <w:r>
        <w:lastRenderedPageBreak/>
        <w:t xml:space="preserve">TV and video advertising </w:t>
      </w:r>
    </w:p>
    <w:p w14:paraId="086D85C6" w14:textId="77777777" w:rsidR="00EB548F" w:rsidRDefault="00EB548F" w:rsidP="00EB548F">
      <w:r>
        <w:t>TV and video advertising includes, but is not limited to:</w:t>
      </w:r>
    </w:p>
    <w:p w14:paraId="6CB19F2B" w14:textId="15E32A7A" w:rsidR="00EB548F" w:rsidRDefault="00EB548F" w:rsidP="008F3144">
      <w:pPr>
        <w:pStyle w:val="ListParagraph"/>
        <w:numPr>
          <w:ilvl w:val="0"/>
          <w:numId w:val="3"/>
        </w:numPr>
        <w:ind w:left="714" w:hanging="357"/>
      </w:pPr>
      <w:r>
        <w:t>video advertising broadcast on televisio</w:t>
      </w:r>
      <w:r w:rsidR="00C23FCB">
        <w:t>n (free to air or subscription)</w:t>
      </w:r>
      <w:r>
        <w:t xml:space="preserve"> </w:t>
      </w:r>
    </w:p>
    <w:p w14:paraId="75343532" w14:textId="7C423D61" w:rsidR="00EB548F" w:rsidRDefault="00EB548F" w:rsidP="008F3144">
      <w:pPr>
        <w:pStyle w:val="ListParagraph"/>
        <w:numPr>
          <w:ilvl w:val="0"/>
          <w:numId w:val="3"/>
        </w:numPr>
        <w:ind w:left="714" w:hanging="357"/>
      </w:pPr>
      <w:r>
        <w:t>video advertising broadcast on video-on-demand services such as streamin</w:t>
      </w:r>
      <w:r w:rsidR="00C23FCB">
        <w:t>g sites (free or subscription)</w:t>
      </w:r>
    </w:p>
    <w:p w14:paraId="6EE9B3AD" w14:textId="561AF97B" w:rsidR="00EB548F" w:rsidRDefault="00EB548F" w:rsidP="008F3144">
      <w:pPr>
        <w:pStyle w:val="ListParagraph"/>
        <w:numPr>
          <w:ilvl w:val="0"/>
          <w:numId w:val="3"/>
        </w:numPr>
        <w:ind w:left="714" w:hanging="357"/>
      </w:pPr>
      <w:r>
        <w:t xml:space="preserve">video advertising broadcast </w:t>
      </w:r>
      <w:r w:rsidR="00C23FCB">
        <w:t>or shared on social media sites</w:t>
      </w:r>
      <w:r>
        <w:t xml:space="preserve"> </w:t>
      </w:r>
    </w:p>
    <w:p w14:paraId="48DAC91F" w14:textId="77777777" w:rsidR="000B51F1" w:rsidRDefault="00EB548F" w:rsidP="000B51F1">
      <w:pPr>
        <w:pStyle w:val="ListParagraph"/>
        <w:numPr>
          <w:ilvl w:val="0"/>
          <w:numId w:val="3"/>
        </w:numPr>
        <w:ind w:left="714" w:hanging="357"/>
      </w:pPr>
      <w:r>
        <w:t>video advertising broadcast or shared online</w:t>
      </w:r>
    </w:p>
    <w:p w14:paraId="3D832363" w14:textId="5D4D6B36" w:rsidR="000B51F1" w:rsidRDefault="000B51F1" w:rsidP="000B51F1">
      <w:pPr>
        <w:pStyle w:val="ListParagraph"/>
        <w:numPr>
          <w:ilvl w:val="0"/>
          <w:numId w:val="3"/>
        </w:numPr>
        <w:ind w:left="714" w:hanging="357"/>
      </w:pPr>
      <w:r>
        <w:t>program billboard advertising on TV or video.</w:t>
      </w:r>
    </w:p>
    <w:p w14:paraId="67E08CAE" w14:textId="5F5C964A" w:rsidR="00EB548F" w:rsidRDefault="00EB548F" w:rsidP="00EB548F">
      <w:r>
        <w:t xml:space="preserve">This encompasses video advertising campaigns on all platforms where this is broadcast or shared. </w:t>
      </w:r>
    </w:p>
    <w:p w14:paraId="7DFE8F2A" w14:textId="64775BAA" w:rsidR="007D421F" w:rsidRDefault="007D421F" w:rsidP="00EB548F">
      <w:r w:rsidRPr="00A665AC">
        <w:t>The tagline and call to action requirements apply to sponsored promotional video advertising developed and delivered by either third-parties on behalf of wagering service providers, or wagering service providers. These requirements apply to sponsored advertisements the wagering service provider has a reasonable degree of control over. For sponsored promotional video advertising, the design guidelines for TV and Video advertisements apply.</w:t>
      </w:r>
    </w:p>
    <w:p w14:paraId="2C81D291" w14:textId="77777777" w:rsidR="00EB548F" w:rsidRDefault="00EB548F" w:rsidP="00EB548F">
      <w:pPr>
        <w:pStyle w:val="Heading2"/>
      </w:pPr>
      <w:r>
        <w:t>Radio advertising</w:t>
      </w:r>
    </w:p>
    <w:p w14:paraId="0B77D8F9" w14:textId="77777777" w:rsidR="00EB548F" w:rsidRDefault="00EB548F" w:rsidP="00EB548F">
      <w:r>
        <w:t xml:space="preserve">Radio advertising includes, but is not limited to: </w:t>
      </w:r>
    </w:p>
    <w:p w14:paraId="0FCB8933" w14:textId="7B6DB046" w:rsidR="00EB548F" w:rsidRDefault="00EB548F" w:rsidP="008F3144">
      <w:pPr>
        <w:pStyle w:val="ListParagraph"/>
        <w:numPr>
          <w:ilvl w:val="0"/>
          <w:numId w:val="3"/>
        </w:numPr>
        <w:ind w:left="714" w:hanging="357"/>
      </w:pPr>
      <w:r>
        <w:t>audio advertising broadcast on radio (free or subscripti</w:t>
      </w:r>
      <w:r w:rsidR="00C23FCB">
        <w:t>on)</w:t>
      </w:r>
      <w:r>
        <w:t xml:space="preserve"> </w:t>
      </w:r>
    </w:p>
    <w:p w14:paraId="0E5B1A9C" w14:textId="77777777" w:rsidR="00EB548F" w:rsidRDefault="00EB548F" w:rsidP="008F3144">
      <w:pPr>
        <w:pStyle w:val="ListParagraph"/>
        <w:numPr>
          <w:ilvl w:val="0"/>
          <w:numId w:val="3"/>
        </w:numPr>
        <w:ind w:left="714" w:hanging="357"/>
      </w:pPr>
      <w:r>
        <w:t xml:space="preserve">audio advertising broadcast on </w:t>
      </w:r>
      <w:r w:rsidR="008B33F1">
        <w:t>podcasts (free or subscription).</w:t>
      </w:r>
      <w:r>
        <w:t xml:space="preserve"> </w:t>
      </w:r>
    </w:p>
    <w:p w14:paraId="5818852C" w14:textId="293E9244" w:rsidR="0099590B" w:rsidRDefault="0099590B" w:rsidP="0099590B">
      <w:r>
        <w:t xml:space="preserve">This encompasses audio-only advertising campaigns on all platforms where this is broadcast or shared. </w:t>
      </w:r>
    </w:p>
    <w:p w14:paraId="5F6B5B3B" w14:textId="77777777" w:rsidR="001070F4" w:rsidRDefault="001070F4" w:rsidP="001070F4">
      <w:pPr>
        <w:pStyle w:val="Heading2"/>
      </w:pPr>
      <w:r>
        <w:t>In-app</w:t>
      </w:r>
    </w:p>
    <w:p w14:paraId="3497BFE6" w14:textId="6C97D375" w:rsidR="001070F4" w:rsidRDefault="001070F4" w:rsidP="001070F4">
      <w:r>
        <w:t xml:space="preserve">In-app placement describes the use of the suite of taglines in all instances where the existing tagline, ‘gamble responsibly’ is currently used within </w:t>
      </w:r>
      <w:r w:rsidR="009B1931">
        <w:t>w</w:t>
      </w:r>
      <w:r>
        <w:t>agering</w:t>
      </w:r>
      <w:r w:rsidR="009B1931">
        <w:t xml:space="preserve"> s</w:t>
      </w:r>
      <w:r w:rsidR="008E3D27">
        <w:t>ervice</w:t>
      </w:r>
      <w:r>
        <w:t xml:space="preserve"> </w:t>
      </w:r>
      <w:r w:rsidR="009B1931">
        <w:t>p</w:t>
      </w:r>
      <w:r>
        <w:t xml:space="preserve">roviders smartphone applications. </w:t>
      </w:r>
    </w:p>
    <w:p w14:paraId="0885D219" w14:textId="0778711A" w:rsidR="00D77C72" w:rsidRPr="000B51F1" w:rsidRDefault="00D77C72" w:rsidP="00D77C72">
      <w:pPr>
        <w:spacing w:after="0" w:line="240" w:lineRule="auto"/>
      </w:pPr>
      <w:r w:rsidRPr="000B51F1">
        <w:t xml:space="preserve">The tagline and </w:t>
      </w:r>
      <w:r w:rsidR="001D4916" w:rsidRPr="000B51F1">
        <w:t xml:space="preserve">shortened </w:t>
      </w:r>
      <w:r w:rsidRPr="000B51F1">
        <w:t>call to action are to be placed in the following locations:</w:t>
      </w:r>
    </w:p>
    <w:p w14:paraId="10D9D117" w14:textId="67AC0FDD" w:rsidR="00D77C72" w:rsidRPr="000B51F1" w:rsidRDefault="000F46DE" w:rsidP="00D77C72">
      <w:pPr>
        <w:pStyle w:val="ListParagraph"/>
        <w:numPr>
          <w:ilvl w:val="0"/>
          <w:numId w:val="43"/>
        </w:numPr>
        <w:spacing w:after="0" w:line="240" w:lineRule="auto"/>
      </w:pPr>
      <w:r w:rsidRPr="000B51F1">
        <w:t xml:space="preserve">On a rotating carousel. </w:t>
      </w:r>
      <w:r w:rsidR="001D4916" w:rsidRPr="000B51F1">
        <w:t>One banner rotation to include the required tagline and shortened call to action</w:t>
      </w:r>
      <w:r w:rsidR="00D77C72" w:rsidRPr="000B51F1">
        <w:t xml:space="preserve">, </w:t>
      </w:r>
    </w:p>
    <w:p w14:paraId="47B4D06E" w14:textId="5975ECE8" w:rsidR="000B51F1" w:rsidRPr="00A665AC" w:rsidRDefault="00D77C72" w:rsidP="000B51F1">
      <w:pPr>
        <w:pStyle w:val="ListParagraph"/>
        <w:numPr>
          <w:ilvl w:val="0"/>
          <w:numId w:val="43"/>
        </w:numPr>
        <w:spacing w:after="0" w:line="240" w:lineRule="auto"/>
      </w:pPr>
      <w:r w:rsidRPr="000B51F1">
        <w:t>Permanently at the bottom of the home pag</w:t>
      </w:r>
      <w:r w:rsidR="000B51F1" w:rsidRPr="00A665AC">
        <w:t>e</w:t>
      </w:r>
    </w:p>
    <w:p w14:paraId="18C22D30" w14:textId="55DFD224" w:rsidR="00D972B7" w:rsidRDefault="00D77C72" w:rsidP="000B51F1">
      <w:pPr>
        <w:pStyle w:val="ListParagraph"/>
        <w:numPr>
          <w:ilvl w:val="0"/>
          <w:numId w:val="43"/>
        </w:numPr>
        <w:spacing w:after="0" w:line="240" w:lineRule="auto"/>
      </w:pPr>
      <w:r w:rsidRPr="000B51F1">
        <w:t>Permanently below the bet slip section.</w:t>
      </w:r>
    </w:p>
    <w:p w14:paraId="1FA094A9" w14:textId="77777777" w:rsidR="00EB548F" w:rsidRDefault="00EB548F" w:rsidP="00EB548F">
      <w:pPr>
        <w:pStyle w:val="Heading2"/>
      </w:pPr>
      <w:r>
        <w:t xml:space="preserve">Digital advertising </w:t>
      </w:r>
    </w:p>
    <w:p w14:paraId="6E73D462" w14:textId="77777777" w:rsidR="00EB548F" w:rsidRDefault="0099590B" w:rsidP="00EB548F">
      <w:r>
        <w:t xml:space="preserve">Digital advertising includes, but is not limited to: </w:t>
      </w:r>
    </w:p>
    <w:p w14:paraId="6CA7AE42" w14:textId="630792AE" w:rsidR="0099590B" w:rsidRDefault="0099590B" w:rsidP="008F3144">
      <w:pPr>
        <w:pStyle w:val="ListParagraph"/>
        <w:numPr>
          <w:ilvl w:val="0"/>
          <w:numId w:val="3"/>
        </w:numPr>
        <w:ind w:left="714" w:hanging="357"/>
      </w:pPr>
      <w:r>
        <w:t xml:space="preserve">online banner advertising, static or </w:t>
      </w:r>
      <w:r w:rsidR="008E3D27">
        <w:t>dynamic</w:t>
      </w:r>
    </w:p>
    <w:p w14:paraId="559479D9" w14:textId="77777777" w:rsidR="007D421F" w:rsidRDefault="0099590B" w:rsidP="008F3144">
      <w:pPr>
        <w:pStyle w:val="ListParagraph"/>
        <w:numPr>
          <w:ilvl w:val="0"/>
          <w:numId w:val="3"/>
        </w:numPr>
        <w:ind w:left="714" w:hanging="357"/>
      </w:pPr>
      <w:r>
        <w:t xml:space="preserve">digital display advertising, static or </w:t>
      </w:r>
      <w:r w:rsidR="008E3D27">
        <w:t>dynamic</w:t>
      </w:r>
      <w:r w:rsidR="007D421F">
        <w:t>,</w:t>
      </w:r>
    </w:p>
    <w:p w14:paraId="77D50126" w14:textId="4D47BEAA" w:rsidR="0099590B" w:rsidRPr="00A665AC" w:rsidRDefault="007D421F" w:rsidP="006B630E">
      <w:pPr>
        <w:pStyle w:val="ListParagraph"/>
        <w:numPr>
          <w:ilvl w:val="0"/>
          <w:numId w:val="3"/>
        </w:numPr>
      </w:pPr>
      <w:r w:rsidRPr="00552B9D">
        <w:t xml:space="preserve">static pop-ups </w:t>
      </w:r>
      <w:r w:rsidR="00803731" w:rsidRPr="00A665AC">
        <w:t xml:space="preserve">broadcast </w:t>
      </w:r>
      <w:r w:rsidRPr="00552B9D">
        <w:t xml:space="preserve">on television or </w:t>
      </w:r>
      <w:bookmarkStart w:id="0" w:name="_GoBack"/>
      <w:r w:rsidRPr="00552B9D">
        <w:t>online</w:t>
      </w:r>
      <w:r w:rsidR="00803731" w:rsidRPr="00A665AC">
        <w:t xml:space="preserve">-streaming </w:t>
      </w:r>
      <w:r w:rsidRPr="00552B9D">
        <w:t>without audio</w:t>
      </w:r>
      <w:r w:rsidR="00803731" w:rsidRPr="00A665AC">
        <w:t>.</w:t>
      </w:r>
      <w:bookmarkEnd w:id="0"/>
      <w:r w:rsidRPr="00552B9D">
        <w:t xml:space="preserve"> </w:t>
      </w:r>
    </w:p>
    <w:p w14:paraId="4EF0C974" w14:textId="77777777" w:rsidR="0099590B" w:rsidRDefault="0099590B" w:rsidP="0099590B">
      <w:r>
        <w:t xml:space="preserve">This encompasses all forms of digital advertising campaigns on all platforms where this is broadcast or shared. </w:t>
      </w:r>
    </w:p>
    <w:p w14:paraId="34DED09F" w14:textId="546A6A15" w:rsidR="001070F4" w:rsidRDefault="0099590B" w:rsidP="006B630E">
      <w:r>
        <w:t xml:space="preserve">It does not include video advertising broadcast on digital platforms, which is categorised as ‘TV and video advertising’. </w:t>
      </w:r>
      <w:r w:rsidR="001070F4">
        <w:br w:type="page"/>
      </w:r>
    </w:p>
    <w:p w14:paraId="5BCA425E" w14:textId="6F413D6F" w:rsidR="001070F4" w:rsidRDefault="001070F4" w:rsidP="001070F4">
      <w:pPr>
        <w:pStyle w:val="Heading2"/>
      </w:pPr>
      <w:r>
        <w:lastRenderedPageBreak/>
        <w:t xml:space="preserve">Print advertising </w:t>
      </w:r>
    </w:p>
    <w:p w14:paraId="7960F0E1" w14:textId="77777777" w:rsidR="001070F4" w:rsidRDefault="001070F4" w:rsidP="001070F4">
      <w:r>
        <w:t xml:space="preserve">Print advertising refers to hard copy published advertising in all forms of physical media. This includes, but is not limited to: </w:t>
      </w:r>
    </w:p>
    <w:p w14:paraId="1705D4B0" w14:textId="329A6D15" w:rsidR="001070F4" w:rsidRDefault="001070F4" w:rsidP="008F3144">
      <w:pPr>
        <w:pStyle w:val="ListParagraph"/>
        <w:numPr>
          <w:ilvl w:val="0"/>
          <w:numId w:val="3"/>
        </w:numPr>
        <w:ind w:left="714" w:hanging="357"/>
      </w:pPr>
      <w:r>
        <w:t>print advertising published in</w:t>
      </w:r>
      <w:r w:rsidR="00C23FCB">
        <w:t xml:space="preserve"> newspapers</w:t>
      </w:r>
      <w:r>
        <w:t xml:space="preserve"> </w:t>
      </w:r>
    </w:p>
    <w:p w14:paraId="55BD1B9C" w14:textId="4E49BECE" w:rsidR="001070F4" w:rsidRDefault="001070F4" w:rsidP="008F3144">
      <w:pPr>
        <w:pStyle w:val="ListParagraph"/>
        <w:numPr>
          <w:ilvl w:val="0"/>
          <w:numId w:val="3"/>
        </w:numPr>
        <w:ind w:left="714" w:hanging="357"/>
      </w:pPr>
      <w:r>
        <w:t>print ad</w:t>
      </w:r>
      <w:r w:rsidR="00C23FCB">
        <w:t>vertising published in magazines</w:t>
      </w:r>
    </w:p>
    <w:p w14:paraId="52D907F0" w14:textId="7B2B8D18" w:rsidR="001070F4" w:rsidRDefault="001070F4" w:rsidP="008F3144">
      <w:pPr>
        <w:pStyle w:val="ListParagraph"/>
        <w:numPr>
          <w:ilvl w:val="0"/>
          <w:numId w:val="3"/>
        </w:numPr>
        <w:ind w:left="714" w:hanging="357"/>
      </w:pPr>
      <w:r>
        <w:t>print adv</w:t>
      </w:r>
      <w:r w:rsidR="00C23FCB">
        <w:t>ertising published in brochures</w:t>
      </w:r>
    </w:p>
    <w:p w14:paraId="6B125AFA" w14:textId="2FF09942" w:rsidR="001070F4" w:rsidRDefault="001070F4" w:rsidP="008F3144">
      <w:pPr>
        <w:pStyle w:val="ListParagraph"/>
        <w:numPr>
          <w:ilvl w:val="0"/>
          <w:numId w:val="3"/>
        </w:numPr>
        <w:ind w:left="714" w:hanging="357"/>
      </w:pPr>
      <w:r>
        <w:t>print advert</w:t>
      </w:r>
      <w:r w:rsidR="00C23FCB">
        <w:t>ising published in direct mail.</w:t>
      </w:r>
    </w:p>
    <w:p w14:paraId="2B50ED1A" w14:textId="3502C1D7" w:rsidR="00582C1D" w:rsidRDefault="001070F4" w:rsidP="000C20E7">
      <w:r>
        <w:t xml:space="preserve">This encompasses printed advertising campaigns published in all physical or hard-copy forms of media. </w:t>
      </w:r>
    </w:p>
    <w:p w14:paraId="5AA4D669" w14:textId="77777777" w:rsidR="00EB548F" w:rsidRDefault="00EB548F" w:rsidP="00EB548F">
      <w:pPr>
        <w:pStyle w:val="Heading2"/>
      </w:pPr>
      <w:r>
        <w:t>Social Media</w:t>
      </w:r>
    </w:p>
    <w:p w14:paraId="00C25D6E" w14:textId="47649D26" w:rsidR="00EB548F" w:rsidRDefault="005D0ACF" w:rsidP="00EB548F">
      <w:r>
        <w:t>Social media advertising ref</w:t>
      </w:r>
      <w:r w:rsidR="009D14FD">
        <w:t xml:space="preserve">ers to all forms </w:t>
      </w:r>
      <w:r w:rsidR="008E3D27">
        <w:t xml:space="preserve">(free and paid) </w:t>
      </w:r>
      <w:r w:rsidR="009D14FD">
        <w:t xml:space="preserve">of promotional content relating to advertising, marketing </w:t>
      </w:r>
      <w:r>
        <w:t>and</w:t>
      </w:r>
      <w:r w:rsidR="009D14FD">
        <w:t>/or</w:t>
      </w:r>
      <w:r>
        <w:t xml:space="preserve"> communication</w:t>
      </w:r>
      <w:r w:rsidR="009D14FD">
        <w:t>s</w:t>
      </w:r>
      <w:r>
        <w:t xml:space="preserve"> conducted via social </w:t>
      </w:r>
      <w:r w:rsidR="009D14FD">
        <w:t xml:space="preserve">media platforms. </w:t>
      </w:r>
    </w:p>
    <w:p w14:paraId="3B86EBED" w14:textId="77777777" w:rsidR="00097391" w:rsidRDefault="009D14FD" w:rsidP="00097391">
      <w:r>
        <w:t xml:space="preserve">It does include sponsored content, which refers to promotional media paid for by the advertising organisation, but created and shared by another brand, influencer, or publisher. This includes, but is not limited to, sponsored Instagram videos, reels, stories; sponsored TikTok videos; sponsored YouTube videos, amongst others.  </w:t>
      </w:r>
    </w:p>
    <w:p w14:paraId="2428D51C" w14:textId="1BA64514" w:rsidR="00D972B7" w:rsidRPr="00552B9D" w:rsidRDefault="00D972B7" w:rsidP="00D972B7">
      <w:r w:rsidRPr="00A665AC">
        <w:t>The tagline and call to action requirements apply to sponsored promotional video advertising developed and delivered by either third-parties on behalf of wagering service providers, or wagering service providers</w:t>
      </w:r>
      <w:r w:rsidR="00803731" w:rsidRPr="00A665AC">
        <w:t xml:space="preserve"> and shared via social media platforms</w:t>
      </w:r>
      <w:r w:rsidRPr="00A665AC">
        <w:t xml:space="preserve">. These requirements apply to sponsored advertisements the wagering service provider has a reasonable degree of control over. </w:t>
      </w:r>
    </w:p>
    <w:p w14:paraId="4D844CDE" w14:textId="4EB2A04A" w:rsidR="00D972B7" w:rsidRPr="00A665AC" w:rsidRDefault="00D972B7" w:rsidP="00D972B7">
      <w:r w:rsidRPr="00A665AC">
        <w:t xml:space="preserve">Direct marketing materials sent via SMS messaging must comply with the requirements for social media advertising. In addition, wagering service providers must consider the obligations associated with promoting BetStop. </w:t>
      </w:r>
    </w:p>
    <w:p w14:paraId="6785B53E" w14:textId="408175B1" w:rsidR="00D972B7" w:rsidRPr="00552B9D" w:rsidRDefault="00D972B7" w:rsidP="00D972B7">
      <w:r w:rsidRPr="00A665AC">
        <w:t>Direct marketing materials sent via push notifications must comply with the requirements for social media advertising.</w:t>
      </w:r>
      <w:r w:rsidRPr="00552B9D">
        <w:t xml:space="preserve"> </w:t>
      </w:r>
    </w:p>
    <w:p w14:paraId="4215A7F5" w14:textId="00CD4CFE" w:rsidR="00097391" w:rsidRDefault="00097391" w:rsidP="00097391">
      <w:r w:rsidRPr="00552B9D">
        <w:t xml:space="preserve">It does </w:t>
      </w:r>
      <w:r w:rsidRPr="00552B9D">
        <w:rPr>
          <w:u w:val="single"/>
        </w:rPr>
        <w:t>not</w:t>
      </w:r>
      <w:r w:rsidRPr="00552B9D">
        <w:t xml:space="preserve"> include video advertising </w:t>
      </w:r>
      <w:r w:rsidR="00803731" w:rsidRPr="00552B9D">
        <w:t>produced by the Wagering Service Provider</w:t>
      </w:r>
      <w:r w:rsidR="00803731">
        <w:t xml:space="preserve"> </w:t>
      </w:r>
      <w:r w:rsidR="00582C1D">
        <w:t>published</w:t>
      </w:r>
      <w:r>
        <w:t xml:space="preserve"> on social media platforms, which is categorised as ‘TV and video advertising’. </w:t>
      </w:r>
    </w:p>
    <w:p w14:paraId="4B541934" w14:textId="77777777" w:rsidR="00097391" w:rsidRDefault="00097391" w:rsidP="00097391">
      <w:pPr>
        <w:pStyle w:val="Heading2"/>
      </w:pPr>
      <w:r>
        <w:t xml:space="preserve">Websites </w:t>
      </w:r>
    </w:p>
    <w:p w14:paraId="7457C7D0" w14:textId="55789F14" w:rsidR="00097391" w:rsidRDefault="00097391" w:rsidP="00097391">
      <w:r>
        <w:t xml:space="preserve">Website </w:t>
      </w:r>
      <w:r w:rsidR="0042684B">
        <w:t xml:space="preserve">refers to </w:t>
      </w:r>
      <w:r>
        <w:t xml:space="preserve">the </w:t>
      </w:r>
      <w:r w:rsidR="009B1931">
        <w:t>w</w:t>
      </w:r>
      <w:r w:rsidR="0042684B">
        <w:t xml:space="preserve">agering </w:t>
      </w:r>
      <w:r w:rsidR="009B1931">
        <w:t>s</w:t>
      </w:r>
      <w:r w:rsidR="008E3D27">
        <w:t xml:space="preserve">ervice </w:t>
      </w:r>
      <w:r w:rsidR="009B1931">
        <w:t>p</w:t>
      </w:r>
      <w:r w:rsidR="0042684B">
        <w:t xml:space="preserve">roviders website and the </w:t>
      </w:r>
      <w:r>
        <w:t xml:space="preserve">use of the suite of taglines in all instances where the existing tagline, ‘gamble responsibly’ is currently </w:t>
      </w:r>
      <w:r w:rsidR="001D4916">
        <w:t>required or displayed</w:t>
      </w:r>
      <w:r>
        <w:t>.</w:t>
      </w:r>
    </w:p>
    <w:p w14:paraId="6699744A" w14:textId="77777777" w:rsidR="00097391" w:rsidRPr="00552B9D" w:rsidRDefault="00097391" w:rsidP="00097391">
      <w:r w:rsidRPr="00552B9D">
        <w:t xml:space="preserve">This includes, but is not limited to: </w:t>
      </w:r>
    </w:p>
    <w:p w14:paraId="66AB0BC8" w14:textId="77777777" w:rsidR="00D972B7" w:rsidRPr="00552B9D" w:rsidRDefault="00D972B7" w:rsidP="00D972B7">
      <w:pPr>
        <w:pStyle w:val="ListParagraph"/>
        <w:numPr>
          <w:ilvl w:val="0"/>
          <w:numId w:val="3"/>
        </w:numPr>
      </w:pPr>
      <w:r w:rsidRPr="00552B9D">
        <w:t>On any rotating banner/carousel digital advertisements on the provider’s website</w:t>
      </w:r>
    </w:p>
    <w:p w14:paraId="280F334B" w14:textId="2379CF5C" w:rsidR="00097391" w:rsidRDefault="00C23FCB" w:rsidP="008F3144">
      <w:pPr>
        <w:pStyle w:val="ListParagraph"/>
        <w:numPr>
          <w:ilvl w:val="0"/>
          <w:numId w:val="3"/>
        </w:numPr>
        <w:ind w:left="714" w:hanging="357"/>
      </w:pPr>
      <w:r>
        <w:t>i</w:t>
      </w:r>
      <w:r w:rsidR="00097391">
        <w:t xml:space="preserve">n the </w:t>
      </w:r>
      <w:r>
        <w:t>customer’s ‘My Account’ window</w:t>
      </w:r>
    </w:p>
    <w:p w14:paraId="6A2F9A1D" w14:textId="3EF8E2B1" w:rsidR="00097391" w:rsidRDefault="00C23FCB" w:rsidP="008F3144">
      <w:pPr>
        <w:pStyle w:val="ListParagraph"/>
        <w:numPr>
          <w:ilvl w:val="0"/>
          <w:numId w:val="3"/>
        </w:numPr>
        <w:ind w:left="714" w:hanging="357"/>
      </w:pPr>
      <w:r>
        <w:t>i</w:t>
      </w:r>
      <w:r w:rsidR="00097391">
        <w:t>n responsible/safer ga</w:t>
      </w:r>
      <w:r>
        <w:t>mbling sections of the website</w:t>
      </w:r>
    </w:p>
    <w:p w14:paraId="3F382A85" w14:textId="79FE829A" w:rsidR="00097391" w:rsidRDefault="00C23FCB" w:rsidP="008F3144">
      <w:pPr>
        <w:pStyle w:val="ListParagraph"/>
        <w:numPr>
          <w:ilvl w:val="0"/>
          <w:numId w:val="3"/>
        </w:numPr>
        <w:ind w:left="714" w:hanging="357"/>
      </w:pPr>
      <w:r>
        <w:t>i</w:t>
      </w:r>
      <w:r w:rsidR="00097391">
        <w:t>n th</w:t>
      </w:r>
      <w:r>
        <w:t>e header/footer of the website</w:t>
      </w:r>
    </w:p>
    <w:p w14:paraId="68C3FDF1" w14:textId="097F2E61" w:rsidR="00097391" w:rsidRDefault="00C23FCB" w:rsidP="008F3144">
      <w:pPr>
        <w:pStyle w:val="ListParagraph"/>
        <w:numPr>
          <w:ilvl w:val="0"/>
          <w:numId w:val="3"/>
        </w:numPr>
        <w:ind w:left="714" w:hanging="357"/>
      </w:pPr>
      <w:r>
        <w:t>o</w:t>
      </w:r>
      <w:r w:rsidR="00097391">
        <w:t>n any articles, ‘blog posts’, or any other forms of media where the tagline is currently used on the website.</w:t>
      </w:r>
    </w:p>
    <w:p w14:paraId="27ACE3AC" w14:textId="77777777" w:rsidR="001070F4" w:rsidRDefault="001070F4">
      <w:pPr>
        <w:spacing w:before="0" w:after="0" w:line="240" w:lineRule="auto"/>
        <w:rPr>
          <w:rFonts w:ascii="Georgia" w:hAnsi="Georgia" w:cs="Arial"/>
          <w:bCs/>
          <w:iCs/>
          <w:color w:val="005A70"/>
          <w:sz w:val="32"/>
          <w:szCs w:val="28"/>
        </w:rPr>
      </w:pPr>
      <w:r>
        <w:br w:type="page"/>
      </w:r>
    </w:p>
    <w:p w14:paraId="41F1E749" w14:textId="37D6A4F2" w:rsidR="00097391" w:rsidRDefault="00B639CC" w:rsidP="000C20E7">
      <w:pPr>
        <w:pStyle w:val="Heading2"/>
        <w:contextualSpacing w:val="0"/>
      </w:pPr>
      <w:r>
        <w:lastRenderedPageBreak/>
        <w:t xml:space="preserve">Other - </w:t>
      </w:r>
      <w:r w:rsidR="00097391">
        <w:t xml:space="preserve">Direct Marketing Materials </w:t>
      </w:r>
    </w:p>
    <w:p w14:paraId="7842A219" w14:textId="171EAC96" w:rsidR="006A733E" w:rsidRDefault="006A733E" w:rsidP="00097391">
      <w:r>
        <w:t xml:space="preserve">Direct marketing materials refers to promotional content distributed directly to consumers of online wagering services by </w:t>
      </w:r>
      <w:r w:rsidR="009B1931">
        <w:t>wagering service provider</w:t>
      </w:r>
      <w:r w:rsidR="008E3D27">
        <w:t xml:space="preserve">s </w:t>
      </w:r>
      <w:r>
        <w:t xml:space="preserve">or affiliates. </w:t>
      </w:r>
    </w:p>
    <w:p w14:paraId="2F519D55" w14:textId="77777777" w:rsidR="006A733E" w:rsidRDefault="006A733E" w:rsidP="00097391">
      <w:r>
        <w:t xml:space="preserve">This includes, but is not limited to: </w:t>
      </w:r>
    </w:p>
    <w:p w14:paraId="690D9048" w14:textId="6166EE3E" w:rsidR="006A733E" w:rsidRDefault="00C23FCB" w:rsidP="008F3144">
      <w:pPr>
        <w:pStyle w:val="ListParagraph"/>
        <w:numPr>
          <w:ilvl w:val="0"/>
          <w:numId w:val="3"/>
        </w:numPr>
        <w:ind w:left="714" w:hanging="357"/>
      </w:pPr>
      <w:r>
        <w:t>p</w:t>
      </w:r>
      <w:r w:rsidR="006A733E">
        <w:t>roduct advertising (via email or mail)</w:t>
      </w:r>
    </w:p>
    <w:p w14:paraId="48650228" w14:textId="67A32F67" w:rsidR="006A733E" w:rsidRDefault="00C23FCB" w:rsidP="008F3144">
      <w:pPr>
        <w:pStyle w:val="ListParagraph"/>
        <w:numPr>
          <w:ilvl w:val="0"/>
          <w:numId w:val="3"/>
        </w:numPr>
        <w:ind w:left="714" w:hanging="357"/>
      </w:pPr>
      <w:r>
        <w:t>p</w:t>
      </w:r>
      <w:r w:rsidR="006A733E">
        <w:t>romotional content (via email or mail)</w:t>
      </w:r>
    </w:p>
    <w:p w14:paraId="661096DD" w14:textId="5536CB7D" w:rsidR="006A733E" w:rsidRDefault="00C23FCB" w:rsidP="008F3144">
      <w:pPr>
        <w:pStyle w:val="ListParagraph"/>
        <w:numPr>
          <w:ilvl w:val="0"/>
          <w:numId w:val="3"/>
        </w:numPr>
        <w:ind w:left="714" w:hanging="357"/>
      </w:pPr>
      <w:r>
        <w:t>n</w:t>
      </w:r>
      <w:r w:rsidR="006A733E">
        <w:t>ewsletters (via email or mail)</w:t>
      </w:r>
    </w:p>
    <w:p w14:paraId="77EBF1C0" w14:textId="718992EC" w:rsidR="00680707" w:rsidRDefault="00C23FCB" w:rsidP="00D77C72">
      <w:pPr>
        <w:pStyle w:val="ListParagraph"/>
        <w:numPr>
          <w:ilvl w:val="0"/>
          <w:numId w:val="3"/>
        </w:numPr>
        <w:ind w:left="714" w:hanging="357"/>
      </w:pPr>
      <w:r>
        <w:t>b</w:t>
      </w:r>
      <w:r w:rsidR="006A733E">
        <w:t>rochures (via email or mail)</w:t>
      </w:r>
    </w:p>
    <w:p w14:paraId="05EF3E3A" w14:textId="32A1D9AE" w:rsidR="00B639CC" w:rsidRDefault="006A733E" w:rsidP="008F3144">
      <w:pPr>
        <w:pStyle w:val="ListParagraph"/>
        <w:numPr>
          <w:ilvl w:val="0"/>
          <w:numId w:val="3"/>
        </w:numPr>
        <w:ind w:left="714" w:hanging="357"/>
      </w:pPr>
      <w:r>
        <w:t>SMS</w:t>
      </w:r>
      <w:r w:rsidR="006057CD">
        <w:t xml:space="preserve"> messages</w:t>
      </w:r>
    </w:p>
    <w:p w14:paraId="0628BA7C" w14:textId="40E6CF83" w:rsidR="00D972B7" w:rsidRPr="00552B9D" w:rsidRDefault="00D972B7" w:rsidP="008F3144">
      <w:pPr>
        <w:pStyle w:val="ListParagraph"/>
        <w:numPr>
          <w:ilvl w:val="0"/>
          <w:numId w:val="3"/>
        </w:numPr>
        <w:ind w:left="714" w:hanging="357"/>
      </w:pPr>
      <w:r w:rsidRPr="00552B9D">
        <w:t>Push Notifications</w:t>
      </w:r>
    </w:p>
    <w:p w14:paraId="0FD28166" w14:textId="117477CE" w:rsidR="00582C1D" w:rsidRDefault="00D972B7" w:rsidP="008F3144">
      <w:pPr>
        <w:pStyle w:val="ListParagraph"/>
        <w:numPr>
          <w:ilvl w:val="0"/>
          <w:numId w:val="3"/>
        </w:numPr>
        <w:ind w:left="714" w:hanging="357"/>
      </w:pPr>
      <w:r>
        <w:t>T</w:t>
      </w:r>
      <w:r w:rsidR="006A733E">
        <w:t>elemarketing</w:t>
      </w:r>
      <w:r>
        <w:t>.</w:t>
      </w:r>
    </w:p>
    <w:p w14:paraId="19BAE958" w14:textId="527B6125" w:rsidR="00097391" w:rsidRDefault="00B639CC" w:rsidP="006A733E">
      <w:pPr>
        <w:pStyle w:val="Heading2"/>
      </w:pPr>
      <w:r>
        <w:t xml:space="preserve">Other - </w:t>
      </w:r>
      <w:r w:rsidR="00097391">
        <w:t>Sponsorship</w:t>
      </w:r>
      <w:r w:rsidR="00C503AA">
        <w:t>, promotional</w:t>
      </w:r>
      <w:r w:rsidR="00B52C88">
        <w:t>, outdoor advertising</w:t>
      </w:r>
      <w:r w:rsidR="00097391">
        <w:t xml:space="preserve"> </w:t>
      </w:r>
      <w:r w:rsidR="0018536F">
        <w:t>and</w:t>
      </w:r>
      <w:r w:rsidR="00EF6252">
        <w:t xml:space="preserve"> i</w:t>
      </w:r>
      <w:r w:rsidR="0018536F">
        <w:t>n-stadium advertising</w:t>
      </w:r>
    </w:p>
    <w:p w14:paraId="0574ECC6" w14:textId="134AF22E" w:rsidR="00322D28" w:rsidRDefault="00322D28" w:rsidP="00322D28">
      <w:pPr>
        <w:spacing w:line="276" w:lineRule="auto"/>
      </w:pPr>
      <w:r>
        <w:t xml:space="preserve">Taglines must be displayed in all instances where an existing tagline </w:t>
      </w:r>
      <w:r w:rsidRPr="000471BD">
        <w:t xml:space="preserve">is currently </w:t>
      </w:r>
      <w:r>
        <w:t xml:space="preserve">required or </w:t>
      </w:r>
      <w:r w:rsidRPr="000471BD">
        <w:t>displayed,</w:t>
      </w:r>
      <w:r>
        <w:t xml:space="preserve"> on platforms not captured above. </w:t>
      </w:r>
    </w:p>
    <w:p w14:paraId="71AC0CCB" w14:textId="77777777" w:rsidR="00322D28" w:rsidRDefault="00322D28" w:rsidP="00322D28">
      <w:pPr>
        <w:spacing w:line="276" w:lineRule="auto"/>
      </w:pPr>
      <w:r>
        <w:t>Taglines for s</w:t>
      </w:r>
      <w:r w:rsidRPr="001A6F31">
        <w:t>ponsorship, promotional</w:t>
      </w:r>
      <w:r>
        <w:t>, outdoor advertising</w:t>
      </w:r>
      <w:r w:rsidRPr="001A6F31">
        <w:t xml:space="preserve"> and in-stadium advertising</w:t>
      </w:r>
      <w:r>
        <w:t xml:space="preserve"> do </w:t>
      </w:r>
      <w:r w:rsidRPr="00CF53E7">
        <w:t xml:space="preserve">not require an equal rotation over a 12 month period. </w:t>
      </w:r>
      <w:r>
        <w:t xml:space="preserve">However, wagering service providers are encouraged to </w:t>
      </w:r>
      <w:r w:rsidRPr="00CF53E7">
        <w:t>rotate</w:t>
      </w:r>
      <w:r>
        <w:t xml:space="preserve"> applicable taglines</w:t>
      </w:r>
      <w:r w:rsidRPr="00CF53E7">
        <w:t xml:space="preserve"> periodically, such as with each advertisement bu</w:t>
      </w:r>
      <w:r>
        <w:t>y, to reduce the risk of message fatigue.</w:t>
      </w:r>
    </w:p>
    <w:p w14:paraId="7073AFAB" w14:textId="1BCECDDE" w:rsidR="00322D28" w:rsidRDefault="00322D28" w:rsidP="00322D28">
      <w:pPr>
        <w:spacing w:line="276" w:lineRule="auto"/>
      </w:pPr>
      <w:r>
        <w:t>Wagering service providers are encouraged to consider where additional locations may be appropriate to display taglines.</w:t>
      </w:r>
    </w:p>
    <w:p w14:paraId="30011DB0" w14:textId="3C24DAF3" w:rsidR="006057CD" w:rsidRPr="006057CD" w:rsidRDefault="006057CD" w:rsidP="006057CD">
      <w:pPr>
        <w:pStyle w:val="Heading2"/>
      </w:pPr>
      <w:r w:rsidRPr="006057CD">
        <w:t xml:space="preserve">Other - Horse, harness or </w:t>
      </w:r>
      <w:r w:rsidR="00011BAE" w:rsidRPr="00552B9D">
        <w:t xml:space="preserve">greyhound </w:t>
      </w:r>
      <w:r w:rsidRPr="00552B9D">
        <w:t xml:space="preserve">racing </w:t>
      </w:r>
      <w:r w:rsidR="00D972B7" w:rsidRPr="00552B9D">
        <w:t>programming</w:t>
      </w:r>
    </w:p>
    <w:p w14:paraId="6A8D340C" w14:textId="77777777" w:rsidR="006057CD" w:rsidRDefault="006057CD" w:rsidP="006057CD">
      <w:pPr>
        <w:spacing w:line="276" w:lineRule="auto"/>
      </w:pPr>
      <w:r>
        <w:t xml:space="preserve">Taglines must be displayed in all instances where an existing tagline </w:t>
      </w:r>
      <w:r w:rsidRPr="000471BD">
        <w:t xml:space="preserve">is currently </w:t>
      </w:r>
      <w:r>
        <w:t xml:space="preserve">required or </w:t>
      </w:r>
      <w:r w:rsidRPr="000471BD">
        <w:t>displayed,</w:t>
      </w:r>
      <w:r>
        <w:t xml:space="preserve"> on platforms not captured above. </w:t>
      </w:r>
    </w:p>
    <w:p w14:paraId="6F7F11B9" w14:textId="77777777" w:rsidR="000F46DE" w:rsidRPr="00EE5FCE" w:rsidRDefault="000F46DE" w:rsidP="000F46DE">
      <w:r>
        <w:t xml:space="preserve">Where a gambling product is being promoted through </w:t>
      </w:r>
      <w:r w:rsidRPr="000F46DE">
        <w:rPr>
          <w:u w:val="single"/>
        </w:rPr>
        <w:t xml:space="preserve">editorial </w:t>
      </w:r>
      <w:r>
        <w:t>and/or</w:t>
      </w:r>
      <w:r w:rsidRPr="000F46DE">
        <w:rPr>
          <w:u w:val="single"/>
        </w:rPr>
        <w:t xml:space="preserve"> advertorial</w:t>
      </w:r>
      <w:r>
        <w:t xml:space="preserve"> content and an existing tagline or ‘gamble responsibly’ is currently used within the content, then the existing tagline should be replaced with a spoken consistent gambling messaging tagline.</w:t>
      </w:r>
      <w:r w:rsidRPr="000F46DE">
        <w:rPr>
          <w:rFonts w:cstheme="minorHAnsi"/>
          <w:highlight w:val="yellow"/>
        </w:rPr>
        <w:t xml:space="preserve"> </w:t>
      </w:r>
    </w:p>
    <w:p w14:paraId="2972B7D3" w14:textId="6CF07032" w:rsidR="00316C34" w:rsidRDefault="00316C34" w:rsidP="00316C34">
      <w:pPr>
        <w:rPr>
          <w:rFonts w:asciiTheme="minorHAnsi" w:hAnsiTheme="minorHAnsi"/>
          <w:spacing w:val="0"/>
          <w:sz w:val="22"/>
          <w:szCs w:val="22"/>
        </w:rPr>
      </w:pPr>
      <w:r>
        <w:t xml:space="preserve">Rotation of taglines for horse, harness or greyhound </w:t>
      </w:r>
      <w:r w:rsidRPr="00552B9D">
        <w:t xml:space="preserve">racing </w:t>
      </w:r>
      <w:r w:rsidR="00D972B7" w:rsidRPr="00552B9D">
        <w:t xml:space="preserve">programming </w:t>
      </w:r>
      <w:r w:rsidRPr="00552B9D">
        <w:t>are</w:t>
      </w:r>
      <w:r>
        <w:t xml:space="preserve"> to align with the requirements of other platforms as used in the horse, harness or greyhound racing space, for example, on TV/video platforms rotation of applicable taglines over 12 months is required. </w:t>
      </w:r>
    </w:p>
    <w:p w14:paraId="11C001C9" w14:textId="06C32234" w:rsidR="006057CD" w:rsidRDefault="006057CD" w:rsidP="006057CD">
      <w:pPr>
        <w:spacing w:line="276" w:lineRule="auto"/>
      </w:pPr>
      <w:r>
        <w:t>Wagering service providers are encouraged to consider where additional locations may be appropriate to display taglines.</w:t>
      </w:r>
    </w:p>
    <w:p w14:paraId="5F3B040F" w14:textId="7F688B50" w:rsidR="008B33F1" w:rsidRPr="008B33F1" w:rsidRDefault="008B33F1" w:rsidP="001D4916"/>
    <w:sectPr w:rsidR="008B33F1" w:rsidRPr="008B33F1" w:rsidSect="00582C1D">
      <w:pgSz w:w="11906" w:h="16838" w:code="9"/>
      <w:pgMar w:top="1112" w:right="851" w:bottom="709"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4E72" w14:textId="77777777" w:rsidR="009116F8" w:rsidRDefault="009116F8">
      <w:r>
        <w:separator/>
      </w:r>
    </w:p>
  </w:endnote>
  <w:endnote w:type="continuationSeparator" w:id="0">
    <w:p w14:paraId="3FFC133D" w14:textId="77777777" w:rsidR="009116F8" w:rsidRDefault="0091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D1C3" w14:textId="77777777" w:rsidR="00A0626C" w:rsidRDefault="00A0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187382"/>
      <w:docPartObj>
        <w:docPartGallery w:val="Page Numbers (Bottom of Page)"/>
        <w:docPartUnique/>
      </w:docPartObj>
    </w:sdtPr>
    <w:sdtEndPr>
      <w:rPr>
        <w:noProof/>
      </w:rPr>
    </w:sdtEndPr>
    <w:sdtContent>
      <w:p w14:paraId="61DC7E21" w14:textId="6432C9A4" w:rsidR="00A0626C" w:rsidRDefault="00A0626C">
        <w:pPr>
          <w:pStyle w:val="Footer"/>
          <w:jc w:val="right"/>
        </w:pPr>
        <w:r>
          <w:fldChar w:fldCharType="begin"/>
        </w:r>
        <w:r>
          <w:instrText xml:space="preserve"> PAGE   \* MERGEFORMAT </w:instrText>
        </w:r>
        <w:r>
          <w:fldChar w:fldCharType="separate"/>
        </w:r>
        <w:r w:rsidR="003C07C5">
          <w:rPr>
            <w:noProof/>
          </w:rPr>
          <w:t>6</w:t>
        </w:r>
        <w:r>
          <w:rPr>
            <w:noProof/>
          </w:rPr>
          <w:fldChar w:fldCharType="end"/>
        </w:r>
      </w:p>
    </w:sdtContent>
  </w:sdt>
  <w:p w14:paraId="480AB46D" w14:textId="77777777" w:rsidR="00A0626C" w:rsidRDefault="00A06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886317"/>
      <w:docPartObj>
        <w:docPartGallery w:val="Page Numbers (Bottom of Page)"/>
        <w:docPartUnique/>
      </w:docPartObj>
    </w:sdtPr>
    <w:sdtEndPr>
      <w:rPr>
        <w:noProof/>
      </w:rPr>
    </w:sdtEndPr>
    <w:sdtContent>
      <w:p w14:paraId="5DDB84AE" w14:textId="7884AECB" w:rsidR="00EB714F" w:rsidRDefault="00EB714F">
        <w:pPr>
          <w:pStyle w:val="Footer"/>
          <w:jc w:val="right"/>
        </w:pPr>
        <w:r>
          <w:fldChar w:fldCharType="begin"/>
        </w:r>
        <w:r>
          <w:instrText xml:space="preserve"> PAGE   \* MERGEFORMAT </w:instrText>
        </w:r>
        <w:r>
          <w:fldChar w:fldCharType="separate"/>
        </w:r>
        <w:r w:rsidR="003C07C5">
          <w:rPr>
            <w:noProof/>
          </w:rPr>
          <w:t>4</w:t>
        </w:r>
        <w:r>
          <w:rPr>
            <w:noProof/>
          </w:rPr>
          <w:fldChar w:fldCharType="end"/>
        </w:r>
      </w:p>
    </w:sdtContent>
  </w:sdt>
  <w:p w14:paraId="0609D174" w14:textId="77777777" w:rsidR="009D1A54" w:rsidRDefault="009D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87EA" w14:textId="77777777" w:rsidR="009116F8" w:rsidRDefault="009116F8">
      <w:r>
        <w:separator/>
      </w:r>
    </w:p>
  </w:footnote>
  <w:footnote w:type="continuationSeparator" w:id="0">
    <w:p w14:paraId="351904A0" w14:textId="77777777" w:rsidR="009116F8" w:rsidRDefault="0091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763F" w14:textId="77777777" w:rsidR="00A0626C" w:rsidRDefault="00A06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FE36" w14:textId="77777777" w:rsidR="00A0626C" w:rsidRDefault="00A06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C655" w14:textId="77777777" w:rsidR="00A0626C" w:rsidRDefault="00A06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20B"/>
    <w:multiLevelType w:val="hybridMultilevel"/>
    <w:tmpl w:val="600E82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F7DB3"/>
    <w:multiLevelType w:val="hybridMultilevel"/>
    <w:tmpl w:val="BBE8568E"/>
    <w:lvl w:ilvl="0" w:tplc="08A2742A">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B7C30"/>
    <w:multiLevelType w:val="multilevel"/>
    <w:tmpl w:val="4316F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AB7778"/>
    <w:multiLevelType w:val="hybridMultilevel"/>
    <w:tmpl w:val="0C9C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1771A6"/>
    <w:multiLevelType w:val="hybridMultilevel"/>
    <w:tmpl w:val="84AA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573E3E"/>
    <w:multiLevelType w:val="hybridMultilevel"/>
    <w:tmpl w:val="FCEC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337604"/>
    <w:multiLevelType w:val="hybridMultilevel"/>
    <w:tmpl w:val="46D26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4C27C9"/>
    <w:multiLevelType w:val="hybridMultilevel"/>
    <w:tmpl w:val="05E43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C936A5"/>
    <w:multiLevelType w:val="hybridMultilevel"/>
    <w:tmpl w:val="3FEE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0"/>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8"/>
  </w:num>
  <w:num w:numId="44">
    <w:abstractNumId w:val="6"/>
  </w:num>
  <w:num w:numId="45">
    <w:abstractNumId w:val="9"/>
  </w:num>
  <w:num w:numId="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8F"/>
    <w:rsid w:val="00002C18"/>
    <w:rsid w:val="000059AB"/>
    <w:rsid w:val="00010549"/>
    <w:rsid w:val="00011BAE"/>
    <w:rsid w:val="00012F84"/>
    <w:rsid w:val="00013F99"/>
    <w:rsid w:val="000141AC"/>
    <w:rsid w:val="00016A5C"/>
    <w:rsid w:val="00025376"/>
    <w:rsid w:val="00027B26"/>
    <w:rsid w:val="0003104E"/>
    <w:rsid w:val="00031195"/>
    <w:rsid w:val="00032861"/>
    <w:rsid w:val="000342F4"/>
    <w:rsid w:val="00035CA1"/>
    <w:rsid w:val="0003679F"/>
    <w:rsid w:val="000435BB"/>
    <w:rsid w:val="00045CCD"/>
    <w:rsid w:val="000471BD"/>
    <w:rsid w:val="00047524"/>
    <w:rsid w:val="00047ACD"/>
    <w:rsid w:val="000505B2"/>
    <w:rsid w:val="00050E5B"/>
    <w:rsid w:val="000547EF"/>
    <w:rsid w:val="00054B89"/>
    <w:rsid w:val="0006264C"/>
    <w:rsid w:val="00067CD0"/>
    <w:rsid w:val="00071E78"/>
    <w:rsid w:val="00080F2E"/>
    <w:rsid w:val="00081CEB"/>
    <w:rsid w:val="00082AEA"/>
    <w:rsid w:val="00083791"/>
    <w:rsid w:val="00086E3C"/>
    <w:rsid w:val="00087B2C"/>
    <w:rsid w:val="00087DBD"/>
    <w:rsid w:val="00090570"/>
    <w:rsid w:val="00090753"/>
    <w:rsid w:val="00094090"/>
    <w:rsid w:val="00096F54"/>
    <w:rsid w:val="00097391"/>
    <w:rsid w:val="000977F6"/>
    <w:rsid w:val="00097BFF"/>
    <w:rsid w:val="000A669D"/>
    <w:rsid w:val="000A66A8"/>
    <w:rsid w:val="000B29F2"/>
    <w:rsid w:val="000B51F1"/>
    <w:rsid w:val="000C014D"/>
    <w:rsid w:val="000C20E7"/>
    <w:rsid w:val="000D0178"/>
    <w:rsid w:val="000D12DA"/>
    <w:rsid w:val="000D4703"/>
    <w:rsid w:val="000D693C"/>
    <w:rsid w:val="000E1054"/>
    <w:rsid w:val="000E12D4"/>
    <w:rsid w:val="000F46DE"/>
    <w:rsid w:val="00104669"/>
    <w:rsid w:val="001070F4"/>
    <w:rsid w:val="00110028"/>
    <w:rsid w:val="00116EDF"/>
    <w:rsid w:val="00121387"/>
    <w:rsid w:val="00124B26"/>
    <w:rsid w:val="00130C4E"/>
    <w:rsid w:val="00131B54"/>
    <w:rsid w:val="001354B7"/>
    <w:rsid w:val="001404FA"/>
    <w:rsid w:val="001413C5"/>
    <w:rsid w:val="00142956"/>
    <w:rsid w:val="00143502"/>
    <w:rsid w:val="00144494"/>
    <w:rsid w:val="00144868"/>
    <w:rsid w:val="00157709"/>
    <w:rsid w:val="00166DEA"/>
    <w:rsid w:val="00167330"/>
    <w:rsid w:val="00167CF4"/>
    <w:rsid w:val="0018536F"/>
    <w:rsid w:val="00185F6A"/>
    <w:rsid w:val="001943DD"/>
    <w:rsid w:val="00195374"/>
    <w:rsid w:val="001A127F"/>
    <w:rsid w:val="001A1F53"/>
    <w:rsid w:val="001A3CA4"/>
    <w:rsid w:val="001A3EA4"/>
    <w:rsid w:val="001B3AEC"/>
    <w:rsid w:val="001B5000"/>
    <w:rsid w:val="001B6F28"/>
    <w:rsid w:val="001D4585"/>
    <w:rsid w:val="001D4916"/>
    <w:rsid w:val="001D5D54"/>
    <w:rsid w:val="001E41C8"/>
    <w:rsid w:val="001F3AD7"/>
    <w:rsid w:val="001F45EB"/>
    <w:rsid w:val="00207630"/>
    <w:rsid w:val="00213082"/>
    <w:rsid w:val="0021714E"/>
    <w:rsid w:val="002203A1"/>
    <w:rsid w:val="00222187"/>
    <w:rsid w:val="00222C8D"/>
    <w:rsid w:val="00222E33"/>
    <w:rsid w:val="00227B95"/>
    <w:rsid w:val="00227E7E"/>
    <w:rsid w:val="0023523A"/>
    <w:rsid w:val="002353DF"/>
    <w:rsid w:val="00235F71"/>
    <w:rsid w:val="002506A5"/>
    <w:rsid w:val="0025272A"/>
    <w:rsid w:val="00271922"/>
    <w:rsid w:val="0027204E"/>
    <w:rsid w:val="00273412"/>
    <w:rsid w:val="00274ACF"/>
    <w:rsid w:val="00285F1B"/>
    <w:rsid w:val="00295831"/>
    <w:rsid w:val="00296F1B"/>
    <w:rsid w:val="002A1E5D"/>
    <w:rsid w:val="002A6DF5"/>
    <w:rsid w:val="002C35EF"/>
    <w:rsid w:val="002C7FD4"/>
    <w:rsid w:val="002D00B0"/>
    <w:rsid w:val="002D2E16"/>
    <w:rsid w:val="002E08D8"/>
    <w:rsid w:val="002E234B"/>
    <w:rsid w:val="002E6DA1"/>
    <w:rsid w:val="002F19EF"/>
    <w:rsid w:val="00302415"/>
    <w:rsid w:val="0030693C"/>
    <w:rsid w:val="00307E60"/>
    <w:rsid w:val="003102F6"/>
    <w:rsid w:val="00313304"/>
    <w:rsid w:val="00313C48"/>
    <w:rsid w:val="00314D15"/>
    <w:rsid w:val="00315BF7"/>
    <w:rsid w:val="003162AD"/>
    <w:rsid w:val="00316C34"/>
    <w:rsid w:val="003201BA"/>
    <w:rsid w:val="00321148"/>
    <w:rsid w:val="00321798"/>
    <w:rsid w:val="00322D28"/>
    <w:rsid w:val="00325F44"/>
    <w:rsid w:val="00326976"/>
    <w:rsid w:val="00330D30"/>
    <w:rsid w:val="003311D7"/>
    <w:rsid w:val="00332B8B"/>
    <w:rsid w:val="00342476"/>
    <w:rsid w:val="00345A05"/>
    <w:rsid w:val="00345A32"/>
    <w:rsid w:val="00347104"/>
    <w:rsid w:val="0035213F"/>
    <w:rsid w:val="003555D2"/>
    <w:rsid w:val="00363DF3"/>
    <w:rsid w:val="003656B1"/>
    <w:rsid w:val="0037056B"/>
    <w:rsid w:val="00377173"/>
    <w:rsid w:val="003774DA"/>
    <w:rsid w:val="00392557"/>
    <w:rsid w:val="003945C0"/>
    <w:rsid w:val="003A06C2"/>
    <w:rsid w:val="003A440C"/>
    <w:rsid w:val="003B6D2E"/>
    <w:rsid w:val="003C07C5"/>
    <w:rsid w:val="003C430D"/>
    <w:rsid w:val="003C7404"/>
    <w:rsid w:val="003D376F"/>
    <w:rsid w:val="003D3C5A"/>
    <w:rsid w:val="003D404A"/>
    <w:rsid w:val="003E60B0"/>
    <w:rsid w:val="003E6FDA"/>
    <w:rsid w:val="003F3072"/>
    <w:rsid w:val="003F436C"/>
    <w:rsid w:val="00401A2A"/>
    <w:rsid w:val="00403C7F"/>
    <w:rsid w:val="00406520"/>
    <w:rsid w:val="004103D7"/>
    <w:rsid w:val="0041307C"/>
    <w:rsid w:val="004167B4"/>
    <w:rsid w:val="0042684B"/>
    <w:rsid w:val="00430D7E"/>
    <w:rsid w:val="00433B04"/>
    <w:rsid w:val="00440BD3"/>
    <w:rsid w:val="00440DA1"/>
    <w:rsid w:val="00446F93"/>
    <w:rsid w:val="004643C3"/>
    <w:rsid w:val="004649E2"/>
    <w:rsid w:val="00464E8C"/>
    <w:rsid w:val="00466D36"/>
    <w:rsid w:val="00467185"/>
    <w:rsid w:val="0047050C"/>
    <w:rsid w:val="00475504"/>
    <w:rsid w:val="00480F21"/>
    <w:rsid w:val="00484FED"/>
    <w:rsid w:val="00495AF1"/>
    <w:rsid w:val="004A31A9"/>
    <w:rsid w:val="004C5A38"/>
    <w:rsid w:val="004C7EBA"/>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2B9D"/>
    <w:rsid w:val="00554A9C"/>
    <w:rsid w:val="00557624"/>
    <w:rsid w:val="00557F48"/>
    <w:rsid w:val="0056023E"/>
    <w:rsid w:val="005658EF"/>
    <w:rsid w:val="005822A3"/>
    <w:rsid w:val="00582C1D"/>
    <w:rsid w:val="00584A31"/>
    <w:rsid w:val="00586E9E"/>
    <w:rsid w:val="0059070B"/>
    <w:rsid w:val="00594445"/>
    <w:rsid w:val="005A6D38"/>
    <w:rsid w:val="005B1225"/>
    <w:rsid w:val="005B3C7C"/>
    <w:rsid w:val="005C09F4"/>
    <w:rsid w:val="005C561A"/>
    <w:rsid w:val="005C5B93"/>
    <w:rsid w:val="005C66FF"/>
    <w:rsid w:val="005C785A"/>
    <w:rsid w:val="005D03CA"/>
    <w:rsid w:val="005D0ACF"/>
    <w:rsid w:val="005D45AB"/>
    <w:rsid w:val="005E4662"/>
    <w:rsid w:val="005F093F"/>
    <w:rsid w:val="005F214A"/>
    <w:rsid w:val="005F6BD6"/>
    <w:rsid w:val="005F7F21"/>
    <w:rsid w:val="00601B22"/>
    <w:rsid w:val="00601C99"/>
    <w:rsid w:val="006057CD"/>
    <w:rsid w:val="00607597"/>
    <w:rsid w:val="006255E4"/>
    <w:rsid w:val="006325E2"/>
    <w:rsid w:val="006332F9"/>
    <w:rsid w:val="00641020"/>
    <w:rsid w:val="006410C1"/>
    <w:rsid w:val="00647F05"/>
    <w:rsid w:val="006530EF"/>
    <w:rsid w:val="00654D06"/>
    <w:rsid w:val="00661536"/>
    <w:rsid w:val="006678ED"/>
    <w:rsid w:val="0067233D"/>
    <w:rsid w:val="006745AE"/>
    <w:rsid w:val="00675BEF"/>
    <w:rsid w:val="00676AF3"/>
    <w:rsid w:val="00676D10"/>
    <w:rsid w:val="00680707"/>
    <w:rsid w:val="00680F71"/>
    <w:rsid w:val="00682A53"/>
    <w:rsid w:val="0069174B"/>
    <w:rsid w:val="00693FA1"/>
    <w:rsid w:val="006A733E"/>
    <w:rsid w:val="006A7939"/>
    <w:rsid w:val="006B05E3"/>
    <w:rsid w:val="006B09BC"/>
    <w:rsid w:val="006B42A0"/>
    <w:rsid w:val="006B4E59"/>
    <w:rsid w:val="006B630E"/>
    <w:rsid w:val="006C3402"/>
    <w:rsid w:val="006C3622"/>
    <w:rsid w:val="006C395C"/>
    <w:rsid w:val="006C45D4"/>
    <w:rsid w:val="006E1F3C"/>
    <w:rsid w:val="006E6073"/>
    <w:rsid w:val="006F7300"/>
    <w:rsid w:val="00701B8D"/>
    <w:rsid w:val="00703C09"/>
    <w:rsid w:val="007102C0"/>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732"/>
    <w:rsid w:val="00767B7E"/>
    <w:rsid w:val="007746A9"/>
    <w:rsid w:val="00785465"/>
    <w:rsid w:val="00787656"/>
    <w:rsid w:val="007A67EA"/>
    <w:rsid w:val="007B15AF"/>
    <w:rsid w:val="007B7E83"/>
    <w:rsid w:val="007C1631"/>
    <w:rsid w:val="007C636F"/>
    <w:rsid w:val="007D0EF8"/>
    <w:rsid w:val="007D39EB"/>
    <w:rsid w:val="007D421F"/>
    <w:rsid w:val="00800A4D"/>
    <w:rsid w:val="00803731"/>
    <w:rsid w:val="008131E7"/>
    <w:rsid w:val="00813711"/>
    <w:rsid w:val="00814279"/>
    <w:rsid w:val="008263C2"/>
    <w:rsid w:val="00842959"/>
    <w:rsid w:val="00843CC6"/>
    <w:rsid w:val="008451DC"/>
    <w:rsid w:val="008451FE"/>
    <w:rsid w:val="008466A1"/>
    <w:rsid w:val="00846C1D"/>
    <w:rsid w:val="00851758"/>
    <w:rsid w:val="00856D5A"/>
    <w:rsid w:val="00857A35"/>
    <w:rsid w:val="008609EB"/>
    <w:rsid w:val="00862D6D"/>
    <w:rsid w:val="008653E0"/>
    <w:rsid w:val="008657FB"/>
    <w:rsid w:val="00871D4F"/>
    <w:rsid w:val="00874FB3"/>
    <w:rsid w:val="00880BE3"/>
    <w:rsid w:val="00881741"/>
    <w:rsid w:val="00882588"/>
    <w:rsid w:val="00895792"/>
    <w:rsid w:val="008A3738"/>
    <w:rsid w:val="008A384C"/>
    <w:rsid w:val="008A6981"/>
    <w:rsid w:val="008B298F"/>
    <w:rsid w:val="008B33F1"/>
    <w:rsid w:val="008B645B"/>
    <w:rsid w:val="008B67B8"/>
    <w:rsid w:val="008B774D"/>
    <w:rsid w:val="008C123E"/>
    <w:rsid w:val="008C3ED0"/>
    <w:rsid w:val="008C5585"/>
    <w:rsid w:val="008C5E94"/>
    <w:rsid w:val="008D4E4B"/>
    <w:rsid w:val="008E3D27"/>
    <w:rsid w:val="008E6E9D"/>
    <w:rsid w:val="008F1897"/>
    <w:rsid w:val="008F3144"/>
    <w:rsid w:val="008F4774"/>
    <w:rsid w:val="008F68F7"/>
    <w:rsid w:val="008F6E6D"/>
    <w:rsid w:val="008F7480"/>
    <w:rsid w:val="009037B6"/>
    <w:rsid w:val="00906CBE"/>
    <w:rsid w:val="00906FFA"/>
    <w:rsid w:val="00910384"/>
    <w:rsid w:val="009116F8"/>
    <w:rsid w:val="00913652"/>
    <w:rsid w:val="009139C0"/>
    <w:rsid w:val="009161C8"/>
    <w:rsid w:val="009164AD"/>
    <w:rsid w:val="00922289"/>
    <w:rsid w:val="0093618B"/>
    <w:rsid w:val="00936F46"/>
    <w:rsid w:val="0094271E"/>
    <w:rsid w:val="00943142"/>
    <w:rsid w:val="00943A29"/>
    <w:rsid w:val="0095197E"/>
    <w:rsid w:val="00952AB2"/>
    <w:rsid w:val="009551E0"/>
    <w:rsid w:val="00955801"/>
    <w:rsid w:val="0095654E"/>
    <w:rsid w:val="00956F3C"/>
    <w:rsid w:val="0095779B"/>
    <w:rsid w:val="0096485D"/>
    <w:rsid w:val="00971201"/>
    <w:rsid w:val="009900F0"/>
    <w:rsid w:val="00991769"/>
    <w:rsid w:val="00994E9F"/>
    <w:rsid w:val="0099590B"/>
    <w:rsid w:val="00996931"/>
    <w:rsid w:val="009A0F18"/>
    <w:rsid w:val="009A4CD8"/>
    <w:rsid w:val="009A6AFA"/>
    <w:rsid w:val="009B1931"/>
    <w:rsid w:val="009B3ED1"/>
    <w:rsid w:val="009C206F"/>
    <w:rsid w:val="009C433C"/>
    <w:rsid w:val="009C76CF"/>
    <w:rsid w:val="009D14FD"/>
    <w:rsid w:val="009D1A54"/>
    <w:rsid w:val="009D28B7"/>
    <w:rsid w:val="009D7E1A"/>
    <w:rsid w:val="009E2162"/>
    <w:rsid w:val="009F2F95"/>
    <w:rsid w:val="00A006EB"/>
    <w:rsid w:val="00A03709"/>
    <w:rsid w:val="00A0626C"/>
    <w:rsid w:val="00A06C77"/>
    <w:rsid w:val="00A10147"/>
    <w:rsid w:val="00A13D26"/>
    <w:rsid w:val="00A146A5"/>
    <w:rsid w:val="00A17411"/>
    <w:rsid w:val="00A2223D"/>
    <w:rsid w:val="00A223EF"/>
    <w:rsid w:val="00A34A74"/>
    <w:rsid w:val="00A35351"/>
    <w:rsid w:val="00A3735B"/>
    <w:rsid w:val="00A42ADE"/>
    <w:rsid w:val="00A60693"/>
    <w:rsid w:val="00A665AC"/>
    <w:rsid w:val="00A67728"/>
    <w:rsid w:val="00A74B1B"/>
    <w:rsid w:val="00A81A4F"/>
    <w:rsid w:val="00A82E14"/>
    <w:rsid w:val="00A901E9"/>
    <w:rsid w:val="00A9762C"/>
    <w:rsid w:val="00AA4067"/>
    <w:rsid w:val="00AB1A5B"/>
    <w:rsid w:val="00AC0A54"/>
    <w:rsid w:val="00AC125E"/>
    <w:rsid w:val="00AC1428"/>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2755"/>
    <w:rsid w:val="00B138E3"/>
    <w:rsid w:val="00B23267"/>
    <w:rsid w:val="00B25891"/>
    <w:rsid w:val="00B27149"/>
    <w:rsid w:val="00B3480F"/>
    <w:rsid w:val="00B40D26"/>
    <w:rsid w:val="00B424E8"/>
    <w:rsid w:val="00B4451B"/>
    <w:rsid w:val="00B51316"/>
    <w:rsid w:val="00B52C88"/>
    <w:rsid w:val="00B639CC"/>
    <w:rsid w:val="00B72D62"/>
    <w:rsid w:val="00B77BB1"/>
    <w:rsid w:val="00B843C8"/>
    <w:rsid w:val="00B951E2"/>
    <w:rsid w:val="00B963C1"/>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051E7"/>
    <w:rsid w:val="00C17B0F"/>
    <w:rsid w:val="00C23FCB"/>
    <w:rsid w:val="00C24EA2"/>
    <w:rsid w:val="00C24F70"/>
    <w:rsid w:val="00C25D5B"/>
    <w:rsid w:val="00C325C4"/>
    <w:rsid w:val="00C33479"/>
    <w:rsid w:val="00C476A2"/>
    <w:rsid w:val="00C47BA2"/>
    <w:rsid w:val="00C503AA"/>
    <w:rsid w:val="00C60533"/>
    <w:rsid w:val="00C612DC"/>
    <w:rsid w:val="00C622CB"/>
    <w:rsid w:val="00C6350C"/>
    <w:rsid w:val="00C64D15"/>
    <w:rsid w:val="00C74F74"/>
    <w:rsid w:val="00C7554B"/>
    <w:rsid w:val="00C80192"/>
    <w:rsid w:val="00C83E31"/>
    <w:rsid w:val="00C916A4"/>
    <w:rsid w:val="00C945EE"/>
    <w:rsid w:val="00CA2A52"/>
    <w:rsid w:val="00CA2B15"/>
    <w:rsid w:val="00CA6490"/>
    <w:rsid w:val="00CB05BE"/>
    <w:rsid w:val="00CB5744"/>
    <w:rsid w:val="00CB7022"/>
    <w:rsid w:val="00CD1937"/>
    <w:rsid w:val="00CE214C"/>
    <w:rsid w:val="00CE3BD4"/>
    <w:rsid w:val="00CE6858"/>
    <w:rsid w:val="00CF50BE"/>
    <w:rsid w:val="00CF553B"/>
    <w:rsid w:val="00CF6A52"/>
    <w:rsid w:val="00D03583"/>
    <w:rsid w:val="00D04309"/>
    <w:rsid w:val="00D117B4"/>
    <w:rsid w:val="00D11F0A"/>
    <w:rsid w:val="00D131E6"/>
    <w:rsid w:val="00D169F7"/>
    <w:rsid w:val="00D21382"/>
    <w:rsid w:val="00D26D01"/>
    <w:rsid w:val="00D33DA3"/>
    <w:rsid w:val="00D45D9D"/>
    <w:rsid w:val="00D4723B"/>
    <w:rsid w:val="00D55EE8"/>
    <w:rsid w:val="00D5785A"/>
    <w:rsid w:val="00D64C48"/>
    <w:rsid w:val="00D731C4"/>
    <w:rsid w:val="00D76BB8"/>
    <w:rsid w:val="00D77C72"/>
    <w:rsid w:val="00D81BAA"/>
    <w:rsid w:val="00D85BE0"/>
    <w:rsid w:val="00D87C1A"/>
    <w:rsid w:val="00D87F42"/>
    <w:rsid w:val="00D87FD7"/>
    <w:rsid w:val="00D910F1"/>
    <w:rsid w:val="00D92167"/>
    <w:rsid w:val="00D9502B"/>
    <w:rsid w:val="00D97047"/>
    <w:rsid w:val="00D97108"/>
    <w:rsid w:val="00D972B7"/>
    <w:rsid w:val="00DC5665"/>
    <w:rsid w:val="00DD46FC"/>
    <w:rsid w:val="00DD4F44"/>
    <w:rsid w:val="00DD5D8B"/>
    <w:rsid w:val="00DE0F9E"/>
    <w:rsid w:val="00DE12F5"/>
    <w:rsid w:val="00DE5D76"/>
    <w:rsid w:val="00DE786D"/>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93161"/>
    <w:rsid w:val="00EA31CC"/>
    <w:rsid w:val="00EA4135"/>
    <w:rsid w:val="00EB14DF"/>
    <w:rsid w:val="00EB2B64"/>
    <w:rsid w:val="00EB3A07"/>
    <w:rsid w:val="00EB4143"/>
    <w:rsid w:val="00EB4728"/>
    <w:rsid w:val="00EB4949"/>
    <w:rsid w:val="00EB4E7F"/>
    <w:rsid w:val="00EB548F"/>
    <w:rsid w:val="00EB714F"/>
    <w:rsid w:val="00EC207A"/>
    <w:rsid w:val="00EC3F31"/>
    <w:rsid w:val="00ED3C91"/>
    <w:rsid w:val="00ED4112"/>
    <w:rsid w:val="00EF1347"/>
    <w:rsid w:val="00EF2BEB"/>
    <w:rsid w:val="00EF431C"/>
    <w:rsid w:val="00EF6252"/>
    <w:rsid w:val="00F01129"/>
    <w:rsid w:val="00F03D93"/>
    <w:rsid w:val="00F03D9E"/>
    <w:rsid w:val="00F11988"/>
    <w:rsid w:val="00F227BF"/>
    <w:rsid w:val="00F31248"/>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106D"/>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EE51CA"/>
  <w15:docId w15:val="{EADF5430-3CB6-4C5D-8792-53D2BF8B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CD"/>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3201BA"/>
    <w:rPr>
      <w:sz w:val="16"/>
      <w:szCs w:val="16"/>
    </w:rPr>
  </w:style>
  <w:style w:type="paragraph" w:styleId="CommentText">
    <w:name w:val="annotation text"/>
    <w:basedOn w:val="Normal"/>
    <w:link w:val="CommentTextChar"/>
    <w:uiPriority w:val="99"/>
    <w:unhideWhenUsed/>
    <w:rsid w:val="003201BA"/>
    <w:pPr>
      <w:spacing w:line="240" w:lineRule="auto"/>
    </w:pPr>
    <w:rPr>
      <w:sz w:val="20"/>
      <w:szCs w:val="20"/>
    </w:rPr>
  </w:style>
  <w:style w:type="character" w:customStyle="1" w:styleId="CommentTextChar">
    <w:name w:val="Comment Text Char"/>
    <w:basedOn w:val="DefaultParagraphFont"/>
    <w:link w:val="CommentText"/>
    <w:uiPriority w:val="99"/>
    <w:rsid w:val="003201BA"/>
    <w:rPr>
      <w:rFonts w:ascii="Arial" w:hAnsi="Arial"/>
      <w:spacing w:val="4"/>
    </w:rPr>
  </w:style>
  <w:style w:type="paragraph" w:styleId="CommentSubject">
    <w:name w:val="annotation subject"/>
    <w:basedOn w:val="CommentText"/>
    <w:next w:val="CommentText"/>
    <w:link w:val="CommentSubjectChar"/>
    <w:semiHidden/>
    <w:unhideWhenUsed/>
    <w:rsid w:val="003201BA"/>
    <w:rPr>
      <w:b/>
      <w:bCs/>
    </w:rPr>
  </w:style>
  <w:style w:type="character" w:customStyle="1" w:styleId="CommentSubjectChar">
    <w:name w:val="Comment Subject Char"/>
    <w:basedOn w:val="CommentTextChar"/>
    <w:link w:val="CommentSubject"/>
    <w:semiHidden/>
    <w:rsid w:val="003201BA"/>
    <w:rPr>
      <w:rFonts w:ascii="Arial" w:hAnsi="Arial"/>
      <w:b/>
      <w:bCs/>
      <w:spacing w:val="4"/>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rsid w:val="00322D28"/>
    <w:rPr>
      <w:rFonts w:ascii="Arial" w:hAnsi="Arial"/>
      <w:spacing w:val="4"/>
      <w:sz w:val="24"/>
      <w:szCs w:val="24"/>
    </w:rPr>
  </w:style>
  <w:style w:type="character" w:styleId="FollowedHyperlink">
    <w:name w:val="FollowedHyperlink"/>
    <w:basedOn w:val="DefaultParagraphFont"/>
    <w:uiPriority w:val="99"/>
    <w:semiHidden/>
    <w:unhideWhenUsed/>
    <w:rsid w:val="008F314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75397761">
      <w:bodyDiv w:val="1"/>
      <w:marLeft w:val="0"/>
      <w:marRight w:val="0"/>
      <w:marTop w:val="0"/>
      <w:marBottom w:val="0"/>
      <w:divBdr>
        <w:top w:val="none" w:sz="0" w:space="0" w:color="auto"/>
        <w:left w:val="none" w:sz="0" w:space="0" w:color="auto"/>
        <w:bottom w:val="none" w:sz="0" w:space="0" w:color="auto"/>
        <w:right w:val="none" w:sz="0" w:space="0" w:color="auto"/>
      </w:divBdr>
    </w:div>
    <w:div w:id="2123916511">
      <w:bodyDiv w:val="1"/>
      <w:marLeft w:val="0"/>
      <w:marRight w:val="0"/>
      <w:marTop w:val="0"/>
      <w:marBottom w:val="0"/>
      <w:divBdr>
        <w:top w:val="none" w:sz="0" w:space="0" w:color="auto"/>
        <w:left w:val="none" w:sz="0" w:space="0" w:color="auto"/>
        <w:bottom w:val="none" w:sz="0" w:space="0" w:color="auto"/>
        <w:right w:val="none" w:sz="0" w:space="0" w:color="auto"/>
      </w:divBdr>
    </w:div>
    <w:div w:id="21360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mbling@ds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ambling@dss.gov.au" TargetMode="External"/><Relationship Id="rId7" Type="http://schemas.openxmlformats.org/officeDocument/2006/relationships/settings" Target="settings.xml"/><Relationship Id="rId12" Type="http://schemas.openxmlformats.org/officeDocument/2006/relationships/hyperlink" Target="mailto:gambling@ds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ambling@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7EBEC85965345A0843BAEA51AA1FA" ma:contentTypeVersion="0" ma:contentTypeDescription="Create a new document." ma:contentTypeScope="" ma:versionID="111adf2e4a452b8c111a04aba0b8dea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9648-C85D-4C05-91AF-C5153DA6EB47}">
  <ds:schemaRefs>
    <ds:schemaRef ds:uri="http://schemas.microsoft.com/sharepoint/v3/contenttype/forms"/>
  </ds:schemaRefs>
</ds:datastoreItem>
</file>

<file path=customXml/itemProps2.xml><?xml version="1.0" encoding="utf-8"?>
<ds:datastoreItem xmlns:ds="http://schemas.openxmlformats.org/officeDocument/2006/customXml" ds:itemID="{7C81EE8B-1F9B-42F6-B6D8-8196135F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C89944-1811-4F33-AE30-8FF9C4B0F389}">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37967EE-5E50-449C-A5E2-EC0ED257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2</TotalTime>
  <Pages>6</Pages>
  <Words>1699</Words>
  <Characters>9721</Characters>
  <Application>Microsoft Office Word</Application>
  <DocSecurity>0</DocSecurity>
  <Lines>284</Lines>
  <Paragraphs>183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FISHER, Stephanie</dc:creator>
  <cp:keywords>[SEC=OFFICIAL]</cp:keywords>
  <cp:lastModifiedBy>SCHOFIELD, Melody</cp:lastModifiedBy>
  <cp:revision>3</cp:revision>
  <cp:lastPrinted>2022-10-26T00:24:00Z</cp:lastPrinted>
  <dcterms:created xsi:type="dcterms:W3CDTF">2022-12-09T03:19:00Z</dcterms:created>
  <dcterms:modified xsi:type="dcterms:W3CDTF">2022-12-09T03:21:00Z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1638696BDC7FDA47C135F8016C578F4040FCB7E1</vt:lpwstr>
  </property>
  <property fmtid="{D5CDD505-2E9C-101B-9397-08002B2CF9AE}" pid="11" name="PM_OriginationTimeStamp">
    <vt:lpwstr>2022-12-09T03:21:04Z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2E3137907FE48369173572EC5E00B29A</vt:lpwstr>
  </property>
  <property fmtid="{D5CDD505-2E9C-101B-9397-08002B2CF9AE}" pid="21" name="PM_Hash_Salt">
    <vt:lpwstr>45F0B3C1FF74FE21C297865CC7F48198</vt:lpwstr>
  </property>
  <property fmtid="{D5CDD505-2E9C-101B-9397-08002B2CF9AE}" pid="22" name="PM_Hash_SHA1">
    <vt:lpwstr>D1FBCA4A5E2D38175464E33272BFFA91969EEAA9</vt:lpwstr>
  </property>
  <property fmtid="{D5CDD505-2E9C-101B-9397-08002B2CF9AE}" pid="23" name="PM_OriginatorUserAccountName_SHA256">
    <vt:lpwstr>70914321CBD2F557633FAA199D99C15C7B2B1B38A6F3E40D811EA7D71EB6C524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0x010100F607EBEC85965345A0843BAEA51AA1FA</vt:lpwstr>
  </property>
</Properties>
</file>