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ED1AD9" w14:textId="392BAC68" w:rsidR="00EF78C7" w:rsidRPr="00120AAB" w:rsidRDefault="00EF78C7">
      <w:pPr>
        <w:rPr>
          <w:rFonts w:asciiTheme="majorHAnsi" w:hAnsiTheme="majorHAnsi"/>
        </w:rPr>
      </w:pPr>
      <w:r w:rsidRPr="00120AAB">
        <w:rPr>
          <w:rFonts w:asciiTheme="majorHAnsi" w:hAnsiTheme="majorHAnsi"/>
        </w:rPr>
        <w:t xml:space="preserve"> </w:t>
      </w:r>
    </w:p>
    <w:sdt>
      <w:sdtPr>
        <w:rPr>
          <w:rFonts w:asciiTheme="majorHAnsi" w:hAnsiTheme="majorHAnsi"/>
        </w:rPr>
        <w:id w:val="331190517"/>
        <w:docPartObj>
          <w:docPartGallery w:val="Cover Pages"/>
          <w:docPartUnique/>
        </w:docPartObj>
      </w:sdtPr>
      <w:sdtEndPr>
        <w:rPr>
          <w:rFonts w:ascii="Gill Sans Nova" w:hAnsi="Gill Sans Nova"/>
          <w:lang w:val="en-GB"/>
        </w:rPr>
      </w:sdtEndPr>
      <w:sdtContent>
        <w:p w14:paraId="5C6FBC56" w14:textId="440F02D9" w:rsidR="0073756C" w:rsidRPr="00120AAB" w:rsidRDefault="0073756C">
          <w:pPr>
            <w:rPr>
              <w:rFonts w:asciiTheme="majorHAnsi" w:hAnsiTheme="majorHAnsi"/>
            </w:rPr>
          </w:pPr>
        </w:p>
        <w:p w14:paraId="2155943E" w14:textId="77777777" w:rsidR="008035A7" w:rsidRPr="00120AAB" w:rsidRDefault="008035A7" w:rsidP="008035A7">
          <w:pPr>
            <w:pStyle w:val="Title"/>
            <w:rPr>
              <w:rFonts w:asciiTheme="majorHAnsi" w:hAnsiTheme="majorHAnsi"/>
            </w:rPr>
          </w:pPr>
        </w:p>
        <w:p w14:paraId="51777AF5" w14:textId="395818B8" w:rsidR="008035A7" w:rsidRPr="00120AAB" w:rsidRDefault="008035A7" w:rsidP="00540368">
          <w:pPr>
            <w:pStyle w:val="Heading1"/>
          </w:pPr>
          <w:r w:rsidRPr="00120AAB">
            <w:t>National Aboriginal and </w:t>
          </w:r>
          <w:r w:rsidR="00E870AD" w:rsidRPr="00120AAB">
            <w:t>Torres Strait Islander Centre</w:t>
          </w:r>
          <w:r w:rsidRPr="00120AAB">
            <w:t xml:space="preserve"> for </w:t>
          </w:r>
          <w:r w:rsidR="00E870AD" w:rsidRPr="00120AAB">
            <w:t>Excellence</w:t>
          </w:r>
          <w:r w:rsidRPr="00120AAB">
            <w:t xml:space="preserve"> in </w:t>
          </w:r>
          <w:r w:rsidR="00E870AD" w:rsidRPr="00120AAB">
            <w:t xml:space="preserve">Child </w:t>
          </w:r>
          <w:r w:rsidR="00E870AD">
            <w:t>a</w:t>
          </w:r>
          <w:r w:rsidR="00E870AD" w:rsidRPr="00120AAB">
            <w:t>nd Family Support</w:t>
          </w:r>
        </w:p>
        <w:p w14:paraId="6FB4F68C" w14:textId="77777777" w:rsidR="008035A7" w:rsidRPr="00120AAB" w:rsidRDefault="008035A7" w:rsidP="008035A7">
          <w:pPr>
            <w:rPr>
              <w:rFonts w:asciiTheme="majorHAnsi" w:hAnsiTheme="majorHAnsi"/>
            </w:rPr>
          </w:pPr>
        </w:p>
        <w:p w14:paraId="558ABAEA" w14:textId="77777777" w:rsidR="00E91B59" w:rsidRDefault="00D97644" w:rsidP="00540368">
          <w:pPr>
            <w:pStyle w:val="Heading2"/>
          </w:pPr>
          <w:r w:rsidRPr="00E91B59">
            <w:t>Design</w:t>
          </w:r>
          <w:r w:rsidR="008035A7" w:rsidRPr="00E91B59">
            <w:t xml:space="preserve"> Report </w:t>
          </w:r>
        </w:p>
        <w:p w14:paraId="1DE301F6" w14:textId="77777777" w:rsidR="00E91B59" w:rsidRDefault="00E91B59" w:rsidP="00E91B59">
          <w:pPr>
            <w:spacing w:before="120"/>
            <w:rPr>
              <w:rFonts w:asciiTheme="majorHAnsi" w:hAnsiTheme="majorHAnsi"/>
              <w:sz w:val="32"/>
              <w:szCs w:val="32"/>
            </w:rPr>
          </w:pPr>
        </w:p>
        <w:p w14:paraId="7BA703A2" w14:textId="321B5B1F" w:rsidR="00F577F2" w:rsidRPr="00E91B59" w:rsidRDefault="00E91B59" w:rsidP="00435F3C">
          <w:pPr>
            <w:rPr>
              <w:lang w:val="en-GB"/>
            </w:rPr>
          </w:pPr>
          <w:r w:rsidRPr="00540368">
            <w:rPr>
              <w:rStyle w:val="Heading3Char"/>
            </w:rPr>
            <w:t>September 2024</w:t>
          </w:r>
          <w:r w:rsidR="0073756C" w:rsidRPr="00E91B59">
            <w:rPr>
              <w:lang w:val="en-GB"/>
            </w:rPr>
            <w:br w:type="page"/>
          </w:r>
        </w:p>
      </w:sdtContent>
    </w:sdt>
    <w:sdt>
      <w:sdtPr>
        <w:rPr>
          <w:rFonts w:ascii="Gill Sans Nova" w:eastAsia="SimSun" w:hAnsi="Gill Sans Nova" w:cstheme="minorBidi"/>
          <w:color w:val="auto"/>
          <w:kern w:val="2"/>
          <w:sz w:val="24"/>
          <w:szCs w:val="24"/>
          <w:lang w:val="en-GB"/>
          <w14:ligatures w14:val="standardContextual"/>
        </w:rPr>
        <w:id w:val="1629365223"/>
        <w:docPartObj>
          <w:docPartGallery w:val="Table of Contents"/>
          <w:docPartUnique/>
        </w:docPartObj>
      </w:sdtPr>
      <w:sdtEndPr>
        <w:rPr>
          <w:b/>
        </w:rPr>
      </w:sdtEndPr>
      <w:sdtContent>
        <w:p w14:paraId="144D6E4C" w14:textId="2326549A" w:rsidR="00584261" w:rsidRPr="00120AAB" w:rsidRDefault="00584261">
          <w:pPr>
            <w:pStyle w:val="TOCHeading"/>
            <w:rPr>
              <w:b/>
              <w:bCs/>
              <w:color w:val="auto"/>
            </w:rPr>
          </w:pPr>
          <w:r w:rsidRPr="00120AAB">
            <w:rPr>
              <w:b/>
              <w:bCs/>
              <w:color w:val="auto"/>
              <w:lang w:val="en-GB"/>
            </w:rPr>
            <w:t>Contents</w:t>
          </w:r>
        </w:p>
        <w:p w14:paraId="6A1E2E87" w14:textId="39B5C51C" w:rsidR="009D2786" w:rsidRDefault="00584261">
          <w:pPr>
            <w:pStyle w:val="TOC1"/>
            <w:rPr>
              <w:rFonts w:asciiTheme="minorHAnsi" w:eastAsiaTheme="minorEastAsia" w:hAnsiTheme="minorHAnsi"/>
              <w:noProof/>
              <w:lang w:val="en-AU" w:eastAsia="en-AU"/>
            </w:rPr>
          </w:pPr>
          <w:r w:rsidRPr="00120AAB">
            <w:rPr>
              <w:rFonts w:asciiTheme="majorHAnsi" w:hAnsiTheme="majorHAnsi"/>
            </w:rPr>
            <w:fldChar w:fldCharType="begin"/>
          </w:r>
          <w:r w:rsidRPr="00120AAB">
            <w:rPr>
              <w:rFonts w:asciiTheme="majorHAnsi" w:hAnsiTheme="majorHAnsi"/>
            </w:rPr>
            <w:instrText xml:space="preserve"> TOC \o "1-3" \h \z \u </w:instrText>
          </w:r>
          <w:r w:rsidRPr="00120AAB">
            <w:rPr>
              <w:rFonts w:asciiTheme="majorHAnsi" w:hAnsiTheme="majorHAnsi"/>
            </w:rPr>
            <w:fldChar w:fldCharType="separate"/>
          </w:r>
          <w:hyperlink w:anchor="_Toc180484271" w:history="1">
            <w:r w:rsidR="009D2786" w:rsidRPr="003C1600">
              <w:rPr>
                <w:rStyle w:val="Hyperlink"/>
                <w:noProof/>
              </w:rPr>
              <w:t>Acknowledgements</w:t>
            </w:r>
            <w:r w:rsidR="009D2786">
              <w:rPr>
                <w:noProof/>
                <w:webHidden/>
              </w:rPr>
              <w:tab/>
            </w:r>
            <w:r w:rsidR="009D2786">
              <w:rPr>
                <w:noProof/>
                <w:webHidden/>
              </w:rPr>
              <w:fldChar w:fldCharType="begin"/>
            </w:r>
            <w:r w:rsidR="009D2786">
              <w:rPr>
                <w:noProof/>
                <w:webHidden/>
              </w:rPr>
              <w:instrText xml:space="preserve"> PAGEREF _Toc180484271 \h </w:instrText>
            </w:r>
            <w:r w:rsidR="009D2786">
              <w:rPr>
                <w:noProof/>
                <w:webHidden/>
              </w:rPr>
            </w:r>
            <w:r w:rsidR="009D2786">
              <w:rPr>
                <w:noProof/>
                <w:webHidden/>
              </w:rPr>
              <w:fldChar w:fldCharType="separate"/>
            </w:r>
            <w:r w:rsidR="00BA3161">
              <w:rPr>
                <w:noProof/>
                <w:webHidden/>
              </w:rPr>
              <w:t>4</w:t>
            </w:r>
            <w:r w:rsidR="009D2786">
              <w:rPr>
                <w:noProof/>
                <w:webHidden/>
              </w:rPr>
              <w:fldChar w:fldCharType="end"/>
            </w:r>
          </w:hyperlink>
        </w:p>
        <w:p w14:paraId="22EBD7B2" w14:textId="31DF0DC2" w:rsidR="009D2786" w:rsidRDefault="00000000">
          <w:pPr>
            <w:pStyle w:val="TOC1"/>
            <w:rPr>
              <w:rFonts w:asciiTheme="minorHAnsi" w:eastAsiaTheme="minorEastAsia" w:hAnsiTheme="minorHAnsi"/>
              <w:noProof/>
              <w:lang w:val="en-AU" w:eastAsia="en-AU"/>
            </w:rPr>
          </w:pPr>
          <w:hyperlink w:anchor="_Toc180484272" w:history="1">
            <w:r w:rsidR="009D2786" w:rsidRPr="003C1600">
              <w:rPr>
                <w:rStyle w:val="Hyperlink"/>
                <w:noProof/>
              </w:rPr>
              <w:t>Introduction</w:t>
            </w:r>
            <w:r w:rsidR="009D2786">
              <w:rPr>
                <w:noProof/>
                <w:webHidden/>
              </w:rPr>
              <w:tab/>
            </w:r>
            <w:r w:rsidR="009D2786">
              <w:rPr>
                <w:noProof/>
                <w:webHidden/>
              </w:rPr>
              <w:fldChar w:fldCharType="begin"/>
            </w:r>
            <w:r w:rsidR="009D2786">
              <w:rPr>
                <w:noProof/>
                <w:webHidden/>
              </w:rPr>
              <w:instrText xml:space="preserve"> PAGEREF _Toc180484272 \h </w:instrText>
            </w:r>
            <w:r w:rsidR="009D2786">
              <w:rPr>
                <w:noProof/>
                <w:webHidden/>
              </w:rPr>
            </w:r>
            <w:r w:rsidR="009D2786">
              <w:rPr>
                <w:noProof/>
                <w:webHidden/>
              </w:rPr>
              <w:fldChar w:fldCharType="separate"/>
            </w:r>
            <w:r w:rsidR="00BA3161">
              <w:rPr>
                <w:noProof/>
                <w:webHidden/>
              </w:rPr>
              <w:t>5</w:t>
            </w:r>
            <w:r w:rsidR="009D2786">
              <w:rPr>
                <w:noProof/>
                <w:webHidden/>
              </w:rPr>
              <w:fldChar w:fldCharType="end"/>
            </w:r>
          </w:hyperlink>
        </w:p>
        <w:p w14:paraId="4CBE9BA9" w14:textId="373EA6D1" w:rsidR="009D2786" w:rsidRDefault="00000000">
          <w:pPr>
            <w:pStyle w:val="TOC2"/>
            <w:tabs>
              <w:tab w:val="right" w:leader="dot" w:pos="9622"/>
            </w:tabs>
            <w:rPr>
              <w:rFonts w:asciiTheme="minorHAnsi" w:eastAsiaTheme="minorEastAsia" w:hAnsiTheme="minorHAnsi"/>
              <w:noProof/>
              <w:lang w:val="en-AU" w:eastAsia="en-AU"/>
            </w:rPr>
          </w:pPr>
          <w:hyperlink w:anchor="_Toc180484273" w:history="1">
            <w:r w:rsidR="009D2786" w:rsidRPr="003C1600">
              <w:rPr>
                <w:rStyle w:val="Hyperlink"/>
                <w:noProof/>
              </w:rPr>
              <w:t>Recommendations</w:t>
            </w:r>
            <w:r w:rsidR="009D2786">
              <w:rPr>
                <w:noProof/>
                <w:webHidden/>
              </w:rPr>
              <w:tab/>
            </w:r>
            <w:r w:rsidR="009D2786">
              <w:rPr>
                <w:noProof/>
                <w:webHidden/>
              </w:rPr>
              <w:fldChar w:fldCharType="begin"/>
            </w:r>
            <w:r w:rsidR="009D2786">
              <w:rPr>
                <w:noProof/>
                <w:webHidden/>
              </w:rPr>
              <w:instrText xml:space="preserve"> PAGEREF _Toc180484273 \h </w:instrText>
            </w:r>
            <w:r w:rsidR="009D2786">
              <w:rPr>
                <w:noProof/>
                <w:webHidden/>
              </w:rPr>
            </w:r>
            <w:r w:rsidR="009D2786">
              <w:rPr>
                <w:noProof/>
                <w:webHidden/>
              </w:rPr>
              <w:fldChar w:fldCharType="separate"/>
            </w:r>
            <w:r w:rsidR="00BA3161">
              <w:rPr>
                <w:noProof/>
                <w:webHidden/>
              </w:rPr>
              <w:t>6</w:t>
            </w:r>
            <w:r w:rsidR="009D2786">
              <w:rPr>
                <w:noProof/>
                <w:webHidden/>
              </w:rPr>
              <w:fldChar w:fldCharType="end"/>
            </w:r>
          </w:hyperlink>
        </w:p>
        <w:p w14:paraId="47666D9F" w14:textId="044A7AE3" w:rsidR="009D2786" w:rsidRDefault="00000000">
          <w:pPr>
            <w:pStyle w:val="TOC3"/>
            <w:tabs>
              <w:tab w:val="right" w:leader="dot" w:pos="9622"/>
            </w:tabs>
            <w:rPr>
              <w:rFonts w:cstheme="minorBidi"/>
              <w:noProof/>
              <w:kern w:val="2"/>
              <w:sz w:val="24"/>
              <w:szCs w:val="24"/>
              <w14:ligatures w14:val="standardContextual"/>
            </w:rPr>
          </w:pPr>
          <w:hyperlink w:anchor="_Toc180484274" w:history="1">
            <w:r w:rsidR="009D2786" w:rsidRPr="003C1600">
              <w:rPr>
                <w:rStyle w:val="Hyperlink"/>
                <w:noProof/>
              </w:rPr>
              <w:t>Recommendation 1:</w:t>
            </w:r>
            <w:r w:rsidR="009D2786">
              <w:rPr>
                <w:noProof/>
                <w:webHidden/>
              </w:rPr>
              <w:tab/>
            </w:r>
            <w:r w:rsidR="009D2786">
              <w:rPr>
                <w:noProof/>
                <w:webHidden/>
              </w:rPr>
              <w:fldChar w:fldCharType="begin"/>
            </w:r>
            <w:r w:rsidR="009D2786">
              <w:rPr>
                <w:noProof/>
                <w:webHidden/>
              </w:rPr>
              <w:instrText xml:space="preserve"> PAGEREF _Toc180484274 \h </w:instrText>
            </w:r>
            <w:r w:rsidR="009D2786">
              <w:rPr>
                <w:noProof/>
                <w:webHidden/>
              </w:rPr>
            </w:r>
            <w:r w:rsidR="009D2786">
              <w:rPr>
                <w:noProof/>
                <w:webHidden/>
              </w:rPr>
              <w:fldChar w:fldCharType="separate"/>
            </w:r>
            <w:r w:rsidR="00BA3161">
              <w:rPr>
                <w:noProof/>
                <w:webHidden/>
              </w:rPr>
              <w:t>6</w:t>
            </w:r>
            <w:r w:rsidR="009D2786">
              <w:rPr>
                <w:noProof/>
                <w:webHidden/>
              </w:rPr>
              <w:fldChar w:fldCharType="end"/>
            </w:r>
          </w:hyperlink>
        </w:p>
        <w:p w14:paraId="3F8854B0" w14:textId="4A103D89" w:rsidR="009D2786" w:rsidRDefault="00000000">
          <w:pPr>
            <w:pStyle w:val="TOC3"/>
            <w:tabs>
              <w:tab w:val="right" w:leader="dot" w:pos="9622"/>
            </w:tabs>
            <w:rPr>
              <w:rFonts w:cstheme="minorBidi"/>
              <w:noProof/>
              <w:kern w:val="2"/>
              <w:sz w:val="24"/>
              <w:szCs w:val="24"/>
              <w14:ligatures w14:val="standardContextual"/>
            </w:rPr>
          </w:pPr>
          <w:hyperlink w:anchor="_Toc180484275" w:history="1">
            <w:r w:rsidR="009D2786" w:rsidRPr="003C1600">
              <w:rPr>
                <w:rStyle w:val="Hyperlink"/>
                <w:noProof/>
              </w:rPr>
              <w:t>Recommendation 2</w:t>
            </w:r>
            <w:r w:rsidR="009D2786">
              <w:rPr>
                <w:noProof/>
                <w:webHidden/>
              </w:rPr>
              <w:tab/>
            </w:r>
            <w:r w:rsidR="009D2786">
              <w:rPr>
                <w:noProof/>
                <w:webHidden/>
              </w:rPr>
              <w:fldChar w:fldCharType="begin"/>
            </w:r>
            <w:r w:rsidR="009D2786">
              <w:rPr>
                <w:noProof/>
                <w:webHidden/>
              </w:rPr>
              <w:instrText xml:space="preserve"> PAGEREF _Toc180484275 \h </w:instrText>
            </w:r>
            <w:r w:rsidR="009D2786">
              <w:rPr>
                <w:noProof/>
                <w:webHidden/>
              </w:rPr>
            </w:r>
            <w:r w:rsidR="009D2786">
              <w:rPr>
                <w:noProof/>
                <w:webHidden/>
              </w:rPr>
              <w:fldChar w:fldCharType="separate"/>
            </w:r>
            <w:r w:rsidR="00BA3161">
              <w:rPr>
                <w:noProof/>
                <w:webHidden/>
              </w:rPr>
              <w:t>6</w:t>
            </w:r>
            <w:r w:rsidR="009D2786">
              <w:rPr>
                <w:noProof/>
                <w:webHidden/>
              </w:rPr>
              <w:fldChar w:fldCharType="end"/>
            </w:r>
          </w:hyperlink>
        </w:p>
        <w:p w14:paraId="6C25BB4D" w14:textId="0FDB26B6" w:rsidR="009D2786" w:rsidRDefault="00000000">
          <w:pPr>
            <w:pStyle w:val="TOC3"/>
            <w:tabs>
              <w:tab w:val="right" w:leader="dot" w:pos="9622"/>
            </w:tabs>
            <w:rPr>
              <w:rFonts w:cstheme="minorBidi"/>
              <w:noProof/>
              <w:kern w:val="2"/>
              <w:sz w:val="24"/>
              <w:szCs w:val="24"/>
              <w14:ligatures w14:val="standardContextual"/>
            </w:rPr>
          </w:pPr>
          <w:hyperlink w:anchor="_Toc180484276" w:history="1">
            <w:r w:rsidR="009D2786" w:rsidRPr="003C1600">
              <w:rPr>
                <w:rStyle w:val="Hyperlink"/>
                <w:noProof/>
              </w:rPr>
              <w:t>Recommendation 3:</w:t>
            </w:r>
            <w:r w:rsidR="009D2786">
              <w:rPr>
                <w:noProof/>
                <w:webHidden/>
              </w:rPr>
              <w:tab/>
            </w:r>
            <w:r w:rsidR="009D2786">
              <w:rPr>
                <w:noProof/>
                <w:webHidden/>
              </w:rPr>
              <w:fldChar w:fldCharType="begin"/>
            </w:r>
            <w:r w:rsidR="009D2786">
              <w:rPr>
                <w:noProof/>
                <w:webHidden/>
              </w:rPr>
              <w:instrText xml:space="preserve"> PAGEREF _Toc180484276 \h </w:instrText>
            </w:r>
            <w:r w:rsidR="009D2786">
              <w:rPr>
                <w:noProof/>
                <w:webHidden/>
              </w:rPr>
            </w:r>
            <w:r w:rsidR="009D2786">
              <w:rPr>
                <w:noProof/>
                <w:webHidden/>
              </w:rPr>
              <w:fldChar w:fldCharType="separate"/>
            </w:r>
            <w:r w:rsidR="00BA3161">
              <w:rPr>
                <w:noProof/>
                <w:webHidden/>
              </w:rPr>
              <w:t>6</w:t>
            </w:r>
            <w:r w:rsidR="009D2786">
              <w:rPr>
                <w:noProof/>
                <w:webHidden/>
              </w:rPr>
              <w:fldChar w:fldCharType="end"/>
            </w:r>
          </w:hyperlink>
        </w:p>
        <w:p w14:paraId="7E8F713B" w14:textId="012253DC" w:rsidR="009D2786" w:rsidRDefault="00000000">
          <w:pPr>
            <w:pStyle w:val="TOC3"/>
            <w:tabs>
              <w:tab w:val="right" w:leader="dot" w:pos="9622"/>
            </w:tabs>
            <w:rPr>
              <w:rFonts w:cstheme="minorBidi"/>
              <w:noProof/>
              <w:kern w:val="2"/>
              <w:sz w:val="24"/>
              <w:szCs w:val="24"/>
              <w14:ligatures w14:val="standardContextual"/>
            </w:rPr>
          </w:pPr>
          <w:hyperlink w:anchor="_Toc180484277" w:history="1">
            <w:r w:rsidR="009D2786" w:rsidRPr="003C1600">
              <w:rPr>
                <w:rStyle w:val="Hyperlink"/>
                <w:noProof/>
              </w:rPr>
              <w:t>Recommendation 4:</w:t>
            </w:r>
            <w:r w:rsidR="009D2786">
              <w:rPr>
                <w:noProof/>
                <w:webHidden/>
              </w:rPr>
              <w:tab/>
            </w:r>
            <w:r w:rsidR="009D2786">
              <w:rPr>
                <w:noProof/>
                <w:webHidden/>
              </w:rPr>
              <w:fldChar w:fldCharType="begin"/>
            </w:r>
            <w:r w:rsidR="009D2786">
              <w:rPr>
                <w:noProof/>
                <w:webHidden/>
              </w:rPr>
              <w:instrText xml:space="preserve"> PAGEREF _Toc180484277 \h </w:instrText>
            </w:r>
            <w:r w:rsidR="009D2786">
              <w:rPr>
                <w:noProof/>
                <w:webHidden/>
              </w:rPr>
            </w:r>
            <w:r w:rsidR="009D2786">
              <w:rPr>
                <w:noProof/>
                <w:webHidden/>
              </w:rPr>
              <w:fldChar w:fldCharType="separate"/>
            </w:r>
            <w:r w:rsidR="00BA3161">
              <w:rPr>
                <w:noProof/>
                <w:webHidden/>
              </w:rPr>
              <w:t>7</w:t>
            </w:r>
            <w:r w:rsidR="009D2786">
              <w:rPr>
                <w:noProof/>
                <w:webHidden/>
              </w:rPr>
              <w:fldChar w:fldCharType="end"/>
            </w:r>
          </w:hyperlink>
        </w:p>
        <w:p w14:paraId="5FF7D2CD" w14:textId="6866BAB6" w:rsidR="009D2786" w:rsidRDefault="00000000">
          <w:pPr>
            <w:pStyle w:val="TOC3"/>
            <w:tabs>
              <w:tab w:val="right" w:leader="dot" w:pos="9622"/>
            </w:tabs>
            <w:rPr>
              <w:rFonts w:cstheme="minorBidi"/>
              <w:noProof/>
              <w:kern w:val="2"/>
              <w:sz w:val="24"/>
              <w:szCs w:val="24"/>
              <w14:ligatures w14:val="standardContextual"/>
            </w:rPr>
          </w:pPr>
          <w:hyperlink w:anchor="_Toc180484278" w:history="1">
            <w:r w:rsidR="009D2786" w:rsidRPr="003C1600">
              <w:rPr>
                <w:rStyle w:val="Hyperlink"/>
                <w:noProof/>
              </w:rPr>
              <w:t>Recommendation 5</w:t>
            </w:r>
            <w:r w:rsidR="009D2786">
              <w:rPr>
                <w:noProof/>
                <w:webHidden/>
              </w:rPr>
              <w:tab/>
            </w:r>
            <w:r w:rsidR="009D2786">
              <w:rPr>
                <w:noProof/>
                <w:webHidden/>
              </w:rPr>
              <w:fldChar w:fldCharType="begin"/>
            </w:r>
            <w:r w:rsidR="009D2786">
              <w:rPr>
                <w:noProof/>
                <w:webHidden/>
              </w:rPr>
              <w:instrText xml:space="preserve"> PAGEREF _Toc180484278 \h </w:instrText>
            </w:r>
            <w:r w:rsidR="009D2786">
              <w:rPr>
                <w:noProof/>
                <w:webHidden/>
              </w:rPr>
            </w:r>
            <w:r w:rsidR="009D2786">
              <w:rPr>
                <w:noProof/>
                <w:webHidden/>
              </w:rPr>
              <w:fldChar w:fldCharType="separate"/>
            </w:r>
            <w:r w:rsidR="00BA3161">
              <w:rPr>
                <w:noProof/>
                <w:webHidden/>
              </w:rPr>
              <w:t>7</w:t>
            </w:r>
            <w:r w:rsidR="009D2786">
              <w:rPr>
                <w:noProof/>
                <w:webHidden/>
              </w:rPr>
              <w:fldChar w:fldCharType="end"/>
            </w:r>
          </w:hyperlink>
        </w:p>
        <w:p w14:paraId="415EF1BE" w14:textId="06820150" w:rsidR="009D2786" w:rsidRDefault="00000000">
          <w:pPr>
            <w:pStyle w:val="TOC3"/>
            <w:tabs>
              <w:tab w:val="right" w:leader="dot" w:pos="9622"/>
            </w:tabs>
            <w:rPr>
              <w:rFonts w:cstheme="minorBidi"/>
              <w:noProof/>
              <w:kern w:val="2"/>
              <w:sz w:val="24"/>
              <w:szCs w:val="24"/>
              <w14:ligatures w14:val="standardContextual"/>
            </w:rPr>
          </w:pPr>
          <w:hyperlink w:anchor="_Toc180484279" w:history="1">
            <w:r w:rsidR="009D2786" w:rsidRPr="003C1600">
              <w:rPr>
                <w:rStyle w:val="Hyperlink"/>
                <w:noProof/>
              </w:rPr>
              <w:t>Recommendation 6:</w:t>
            </w:r>
            <w:r w:rsidR="009D2786">
              <w:rPr>
                <w:noProof/>
                <w:webHidden/>
              </w:rPr>
              <w:tab/>
            </w:r>
            <w:r w:rsidR="009D2786">
              <w:rPr>
                <w:noProof/>
                <w:webHidden/>
              </w:rPr>
              <w:fldChar w:fldCharType="begin"/>
            </w:r>
            <w:r w:rsidR="009D2786">
              <w:rPr>
                <w:noProof/>
                <w:webHidden/>
              </w:rPr>
              <w:instrText xml:space="preserve"> PAGEREF _Toc180484279 \h </w:instrText>
            </w:r>
            <w:r w:rsidR="009D2786">
              <w:rPr>
                <w:noProof/>
                <w:webHidden/>
              </w:rPr>
            </w:r>
            <w:r w:rsidR="009D2786">
              <w:rPr>
                <w:noProof/>
                <w:webHidden/>
              </w:rPr>
              <w:fldChar w:fldCharType="separate"/>
            </w:r>
            <w:r w:rsidR="00BA3161">
              <w:rPr>
                <w:noProof/>
                <w:webHidden/>
              </w:rPr>
              <w:t>7</w:t>
            </w:r>
            <w:r w:rsidR="009D2786">
              <w:rPr>
                <w:noProof/>
                <w:webHidden/>
              </w:rPr>
              <w:fldChar w:fldCharType="end"/>
            </w:r>
          </w:hyperlink>
        </w:p>
        <w:p w14:paraId="726CD5BF" w14:textId="721D8368" w:rsidR="009D2786" w:rsidRDefault="00000000">
          <w:pPr>
            <w:pStyle w:val="TOC3"/>
            <w:tabs>
              <w:tab w:val="right" w:leader="dot" w:pos="9622"/>
            </w:tabs>
            <w:rPr>
              <w:rFonts w:cstheme="minorBidi"/>
              <w:noProof/>
              <w:kern w:val="2"/>
              <w:sz w:val="24"/>
              <w:szCs w:val="24"/>
              <w14:ligatures w14:val="standardContextual"/>
            </w:rPr>
          </w:pPr>
          <w:hyperlink w:anchor="_Toc180484280" w:history="1">
            <w:r w:rsidR="009D2786" w:rsidRPr="003C1600">
              <w:rPr>
                <w:rStyle w:val="Hyperlink"/>
                <w:noProof/>
              </w:rPr>
              <w:t>Recommendation 7:</w:t>
            </w:r>
            <w:r w:rsidR="009D2786">
              <w:rPr>
                <w:noProof/>
                <w:webHidden/>
              </w:rPr>
              <w:tab/>
            </w:r>
            <w:r w:rsidR="009D2786">
              <w:rPr>
                <w:noProof/>
                <w:webHidden/>
              </w:rPr>
              <w:fldChar w:fldCharType="begin"/>
            </w:r>
            <w:r w:rsidR="009D2786">
              <w:rPr>
                <w:noProof/>
                <w:webHidden/>
              </w:rPr>
              <w:instrText xml:space="preserve"> PAGEREF _Toc180484280 \h </w:instrText>
            </w:r>
            <w:r w:rsidR="009D2786">
              <w:rPr>
                <w:noProof/>
                <w:webHidden/>
              </w:rPr>
            </w:r>
            <w:r w:rsidR="009D2786">
              <w:rPr>
                <w:noProof/>
                <w:webHidden/>
              </w:rPr>
              <w:fldChar w:fldCharType="separate"/>
            </w:r>
            <w:r w:rsidR="00BA3161">
              <w:rPr>
                <w:noProof/>
                <w:webHidden/>
              </w:rPr>
              <w:t>7</w:t>
            </w:r>
            <w:r w:rsidR="009D2786">
              <w:rPr>
                <w:noProof/>
                <w:webHidden/>
              </w:rPr>
              <w:fldChar w:fldCharType="end"/>
            </w:r>
          </w:hyperlink>
        </w:p>
        <w:p w14:paraId="5450E46A" w14:textId="516A9EBE" w:rsidR="009D2786" w:rsidRDefault="00000000">
          <w:pPr>
            <w:pStyle w:val="TOC3"/>
            <w:tabs>
              <w:tab w:val="right" w:leader="dot" w:pos="9622"/>
            </w:tabs>
            <w:rPr>
              <w:rFonts w:cstheme="minorBidi"/>
              <w:noProof/>
              <w:kern w:val="2"/>
              <w:sz w:val="24"/>
              <w:szCs w:val="24"/>
              <w14:ligatures w14:val="standardContextual"/>
            </w:rPr>
          </w:pPr>
          <w:hyperlink w:anchor="_Toc180484281" w:history="1">
            <w:r w:rsidR="009D2786" w:rsidRPr="003C1600">
              <w:rPr>
                <w:rStyle w:val="Hyperlink"/>
                <w:noProof/>
              </w:rPr>
              <w:t>Recommendation 8:</w:t>
            </w:r>
            <w:r w:rsidR="009D2786">
              <w:rPr>
                <w:noProof/>
                <w:webHidden/>
              </w:rPr>
              <w:tab/>
            </w:r>
            <w:r w:rsidR="009D2786">
              <w:rPr>
                <w:noProof/>
                <w:webHidden/>
              </w:rPr>
              <w:fldChar w:fldCharType="begin"/>
            </w:r>
            <w:r w:rsidR="009D2786">
              <w:rPr>
                <w:noProof/>
                <w:webHidden/>
              </w:rPr>
              <w:instrText xml:space="preserve"> PAGEREF _Toc180484281 \h </w:instrText>
            </w:r>
            <w:r w:rsidR="009D2786">
              <w:rPr>
                <w:noProof/>
                <w:webHidden/>
              </w:rPr>
            </w:r>
            <w:r w:rsidR="009D2786">
              <w:rPr>
                <w:noProof/>
                <w:webHidden/>
              </w:rPr>
              <w:fldChar w:fldCharType="separate"/>
            </w:r>
            <w:r w:rsidR="00BA3161">
              <w:rPr>
                <w:noProof/>
                <w:webHidden/>
              </w:rPr>
              <w:t>7</w:t>
            </w:r>
            <w:r w:rsidR="009D2786">
              <w:rPr>
                <w:noProof/>
                <w:webHidden/>
              </w:rPr>
              <w:fldChar w:fldCharType="end"/>
            </w:r>
          </w:hyperlink>
        </w:p>
        <w:p w14:paraId="3E57A33B" w14:textId="22B2B133" w:rsidR="009D2786" w:rsidRDefault="00000000">
          <w:pPr>
            <w:pStyle w:val="TOC3"/>
            <w:tabs>
              <w:tab w:val="right" w:leader="dot" w:pos="9622"/>
            </w:tabs>
            <w:rPr>
              <w:rFonts w:cstheme="minorBidi"/>
              <w:noProof/>
              <w:kern w:val="2"/>
              <w:sz w:val="24"/>
              <w:szCs w:val="24"/>
              <w14:ligatures w14:val="standardContextual"/>
            </w:rPr>
          </w:pPr>
          <w:hyperlink w:anchor="_Toc180484282" w:history="1">
            <w:r w:rsidR="009D2786" w:rsidRPr="003C1600">
              <w:rPr>
                <w:rStyle w:val="Hyperlink"/>
                <w:noProof/>
              </w:rPr>
              <w:t>Recommendation 9:</w:t>
            </w:r>
            <w:r w:rsidR="009D2786">
              <w:rPr>
                <w:noProof/>
                <w:webHidden/>
              </w:rPr>
              <w:tab/>
            </w:r>
            <w:r w:rsidR="009D2786">
              <w:rPr>
                <w:noProof/>
                <w:webHidden/>
              </w:rPr>
              <w:fldChar w:fldCharType="begin"/>
            </w:r>
            <w:r w:rsidR="009D2786">
              <w:rPr>
                <w:noProof/>
                <w:webHidden/>
              </w:rPr>
              <w:instrText xml:space="preserve"> PAGEREF _Toc180484282 \h </w:instrText>
            </w:r>
            <w:r w:rsidR="009D2786">
              <w:rPr>
                <w:noProof/>
                <w:webHidden/>
              </w:rPr>
            </w:r>
            <w:r w:rsidR="009D2786">
              <w:rPr>
                <w:noProof/>
                <w:webHidden/>
              </w:rPr>
              <w:fldChar w:fldCharType="separate"/>
            </w:r>
            <w:r w:rsidR="00BA3161">
              <w:rPr>
                <w:noProof/>
                <w:webHidden/>
              </w:rPr>
              <w:t>7</w:t>
            </w:r>
            <w:r w:rsidR="009D2786">
              <w:rPr>
                <w:noProof/>
                <w:webHidden/>
              </w:rPr>
              <w:fldChar w:fldCharType="end"/>
            </w:r>
          </w:hyperlink>
        </w:p>
        <w:p w14:paraId="431DD76A" w14:textId="30F3BA9C" w:rsidR="009D2786" w:rsidRDefault="00000000">
          <w:pPr>
            <w:pStyle w:val="TOC1"/>
            <w:rPr>
              <w:rFonts w:asciiTheme="minorHAnsi" w:eastAsiaTheme="minorEastAsia" w:hAnsiTheme="minorHAnsi"/>
              <w:noProof/>
              <w:lang w:val="en-AU" w:eastAsia="en-AU"/>
            </w:rPr>
          </w:pPr>
          <w:hyperlink w:anchor="_Toc180484283" w:history="1">
            <w:r w:rsidR="009D2786" w:rsidRPr="003C1600">
              <w:rPr>
                <w:rStyle w:val="Hyperlink"/>
                <w:noProof/>
              </w:rPr>
              <w:t>Why do we need a National Centre for Excellence?</w:t>
            </w:r>
            <w:r w:rsidR="009D2786">
              <w:rPr>
                <w:noProof/>
                <w:webHidden/>
              </w:rPr>
              <w:tab/>
            </w:r>
            <w:r w:rsidR="009D2786">
              <w:rPr>
                <w:noProof/>
                <w:webHidden/>
              </w:rPr>
              <w:fldChar w:fldCharType="begin"/>
            </w:r>
            <w:r w:rsidR="009D2786">
              <w:rPr>
                <w:noProof/>
                <w:webHidden/>
              </w:rPr>
              <w:instrText xml:space="preserve"> PAGEREF _Toc180484283 \h </w:instrText>
            </w:r>
            <w:r w:rsidR="009D2786">
              <w:rPr>
                <w:noProof/>
                <w:webHidden/>
              </w:rPr>
            </w:r>
            <w:r w:rsidR="009D2786">
              <w:rPr>
                <w:noProof/>
                <w:webHidden/>
              </w:rPr>
              <w:fldChar w:fldCharType="separate"/>
            </w:r>
            <w:r w:rsidR="00BA3161">
              <w:rPr>
                <w:noProof/>
                <w:webHidden/>
              </w:rPr>
              <w:t>8</w:t>
            </w:r>
            <w:r w:rsidR="009D2786">
              <w:rPr>
                <w:noProof/>
                <w:webHidden/>
              </w:rPr>
              <w:fldChar w:fldCharType="end"/>
            </w:r>
          </w:hyperlink>
        </w:p>
        <w:p w14:paraId="6ADDD433" w14:textId="79366191" w:rsidR="009D2786" w:rsidRDefault="00000000">
          <w:pPr>
            <w:pStyle w:val="TOC3"/>
            <w:tabs>
              <w:tab w:val="right" w:leader="dot" w:pos="9622"/>
            </w:tabs>
            <w:rPr>
              <w:rFonts w:cstheme="minorBidi"/>
              <w:noProof/>
              <w:kern w:val="2"/>
              <w:sz w:val="24"/>
              <w:szCs w:val="24"/>
              <w14:ligatures w14:val="standardContextual"/>
            </w:rPr>
          </w:pPr>
          <w:hyperlink w:anchor="_Toc180484284" w:history="1">
            <w:r w:rsidR="009D2786" w:rsidRPr="003C1600">
              <w:rPr>
                <w:rStyle w:val="Hyperlink"/>
                <w:noProof/>
              </w:rPr>
              <w:t>The need for a coordinated Aboriginal and Torres Strait Islander-led research agenda in relation to children, young people and families</w:t>
            </w:r>
            <w:r w:rsidR="009D2786">
              <w:rPr>
                <w:noProof/>
                <w:webHidden/>
              </w:rPr>
              <w:tab/>
            </w:r>
            <w:r w:rsidR="009D2786">
              <w:rPr>
                <w:noProof/>
                <w:webHidden/>
              </w:rPr>
              <w:fldChar w:fldCharType="begin"/>
            </w:r>
            <w:r w:rsidR="009D2786">
              <w:rPr>
                <w:noProof/>
                <w:webHidden/>
              </w:rPr>
              <w:instrText xml:space="preserve"> PAGEREF _Toc180484284 \h </w:instrText>
            </w:r>
            <w:r w:rsidR="009D2786">
              <w:rPr>
                <w:noProof/>
                <w:webHidden/>
              </w:rPr>
            </w:r>
            <w:r w:rsidR="009D2786">
              <w:rPr>
                <w:noProof/>
                <w:webHidden/>
              </w:rPr>
              <w:fldChar w:fldCharType="separate"/>
            </w:r>
            <w:r w:rsidR="00BA3161">
              <w:rPr>
                <w:noProof/>
                <w:webHidden/>
              </w:rPr>
              <w:t>8</w:t>
            </w:r>
            <w:r w:rsidR="009D2786">
              <w:rPr>
                <w:noProof/>
                <w:webHidden/>
              </w:rPr>
              <w:fldChar w:fldCharType="end"/>
            </w:r>
          </w:hyperlink>
        </w:p>
        <w:p w14:paraId="5B22886F" w14:textId="4D6CB348" w:rsidR="009D2786" w:rsidRDefault="00000000">
          <w:pPr>
            <w:pStyle w:val="TOC3"/>
            <w:tabs>
              <w:tab w:val="right" w:leader="dot" w:pos="9622"/>
            </w:tabs>
            <w:rPr>
              <w:rFonts w:cstheme="minorBidi"/>
              <w:noProof/>
              <w:kern w:val="2"/>
              <w:sz w:val="24"/>
              <w:szCs w:val="24"/>
              <w14:ligatures w14:val="standardContextual"/>
            </w:rPr>
          </w:pPr>
          <w:hyperlink w:anchor="_Toc180484285" w:history="1">
            <w:r w:rsidR="009D2786" w:rsidRPr="003C1600">
              <w:rPr>
                <w:rStyle w:val="Hyperlink"/>
                <w:noProof/>
              </w:rPr>
              <w:t>The need to resource and undertake more Aboriginal and Torres Strait Islander-led research</w:t>
            </w:r>
            <w:r w:rsidR="009D2786">
              <w:rPr>
                <w:noProof/>
                <w:webHidden/>
              </w:rPr>
              <w:tab/>
            </w:r>
            <w:r w:rsidR="009D2786">
              <w:rPr>
                <w:noProof/>
                <w:webHidden/>
              </w:rPr>
              <w:fldChar w:fldCharType="begin"/>
            </w:r>
            <w:r w:rsidR="009D2786">
              <w:rPr>
                <w:noProof/>
                <w:webHidden/>
              </w:rPr>
              <w:instrText xml:space="preserve"> PAGEREF _Toc180484285 \h </w:instrText>
            </w:r>
            <w:r w:rsidR="009D2786">
              <w:rPr>
                <w:noProof/>
                <w:webHidden/>
              </w:rPr>
            </w:r>
            <w:r w:rsidR="009D2786">
              <w:rPr>
                <w:noProof/>
                <w:webHidden/>
              </w:rPr>
              <w:fldChar w:fldCharType="separate"/>
            </w:r>
            <w:r w:rsidR="00BA3161">
              <w:rPr>
                <w:noProof/>
                <w:webHidden/>
              </w:rPr>
              <w:t>8</w:t>
            </w:r>
            <w:r w:rsidR="009D2786">
              <w:rPr>
                <w:noProof/>
                <w:webHidden/>
              </w:rPr>
              <w:fldChar w:fldCharType="end"/>
            </w:r>
          </w:hyperlink>
        </w:p>
        <w:p w14:paraId="56D8F758" w14:textId="0E71D3AE" w:rsidR="009D2786" w:rsidRDefault="00000000">
          <w:pPr>
            <w:pStyle w:val="TOC3"/>
            <w:tabs>
              <w:tab w:val="right" w:leader="dot" w:pos="9622"/>
            </w:tabs>
            <w:rPr>
              <w:rFonts w:cstheme="minorBidi"/>
              <w:noProof/>
              <w:kern w:val="2"/>
              <w:sz w:val="24"/>
              <w:szCs w:val="24"/>
              <w14:ligatures w14:val="standardContextual"/>
            </w:rPr>
          </w:pPr>
          <w:hyperlink w:anchor="_Toc180484286" w:history="1">
            <w:r w:rsidR="009D2786" w:rsidRPr="003C1600">
              <w:rPr>
                <w:rStyle w:val="Hyperlink"/>
                <w:noProof/>
              </w:rPr>
              <w:t>The need for Aboriginal and Torres Strait Islander-led knowledge translation</w:t>
            </w:r>
            <w:r w:rsidR="009D2786">
              <w:rPr>
                <w:noProof/>
                <w:webHidden/>
              </w:rPr>
              <w:tab/>
            </w:r>
            <w:r w:rsidR="009D2786">
              <w:rPr>
                <w:noProof/>
                <w:webHidden/>
              </w:rPr>
              <w:fldChar w:fldCharType="begin"/>
            </w:r>
            <w:r w:rsidR="009D2786">
              <w:rPr>
                <w:noProof/>
                <w:webHidden/>
              </w:rPr>
              <w:instrText xml:space="preserve"> PAGEREF _Toc180484286 \h </w:instrText>
            </w:r>
            <w:r w:rsidR="009D2786">
              <w:rPr>
                <w:noProof/>
                <w:webHidden/>
              </w:rPr>
            </w:r>
            <w:r w:rsidR="009D2786">
              <w:rPr>
                <w:noProof/>
                <w:webHidden/>
              </w:rPr>
              <w:fldChar w:fldCharType="separate"/>
            </w:r>
            <w:r w:rsidR="00BA3161">
              <w:rPr>
                <w:noProof/>
                <w:webHidden/>
              </w:rPr>
              <w:t>9</w:t>
            </w:r>
            <w:r w:rsidR="009D2786">
              <w:rPr>
                <w:noProof/>
                <w:webHidden/>
              </w:rPr>
              <w:fldChar w:fldCharType="end"/>
            </w:r>
          </w:hyperlink>
        </w:p>
        <w:p w14:paraId="5C95CFD2" w14:textId="07DD9E12" w:rsidR="009D2786" w:rsidRDefault="00000000">
          <w:pPr>
            <w:pStyle w:val="TOC3"/>
            <w:tabs>
              <w:tab w:val="right" w:leader="dot" w:pos="9622"/>
            </w:tabs>
            <w:rPr>
              <w:rFonts w:cstheme="minorBidi"/>
              <w:noProof/>
              <w:kern w:val="2"/>
              <w:sz w:val="24"/>
              <w:szCs w:val="24"/>
              <w14:ligatures w14:val="standardContextual"/>
            </w:rPr>
          </w:pPr>
          <w:hyperlink w:anchor="_Toc180484287" w:history="1">
            <w:r w:rsidR="009D2786" w:rsidRPr="003C1600">
              <w:rPr>
                <w:rStyle w:val="Hyperlink"/>
                <w:noProof/>
              </w:rPr>
              <w:t>The need to support, nurture and grow the Aboriginal and Torres Strait Islander-led research workforce, and value the contributions of ACCOs and their staff to research</w:t>
            </w:r>
            <w:r w:rsidR="009D2786">
              <w:rPr>
                <w:noProof/>
                <w:webHidden/>
              </w:rPr>
              <w:tab/>
            </w:r>
            <w:r w:rsidR="009D2786">
              <w:rPr>
                <w:noProof/>
                <w:webHidden/>
              </w:rPr>
              <w:fldChar w:fldCharType="begin"/>
            </w:r>
            <w:r w:rsidR="009D2786">
              <w:rPr>
                <w:noProof/>
                <w:webHidden/>
              </w:rPr>
              <w:instrText xml:space="preserve"> PAGEREF _Toc180484287 \h </w:instrText>
            </w:r>
            <w:r w:rsidR="009D2786">
              <w:rPr>
                <w:noProof/>
                <w:webHidden/>
              </w:rPr>
            </w:r>
            <w:r w:rsidR="009D2786">
              <w:rPr>
                <w:noProof/>
                <w:webHidden/>
              </w:rPr>
              <w:fldChar w:fldCharType="separate"/>
            </w:r>
            <w:r w:rsidR="00BA3161">
              <w:rPr>
                <w:noProof/>
                <w:webHidden/>
              </w:rPr>
              <w:t>9</w:t>
            </w:r>
            <w:r w:rsidR="009D2786">
              <w:rPr>
                <w:noProof/>
                <w:webHidden/>
              </w:rPr>
              <w:fldChar w:fldCharType="end"/>
            </w:r>
          </w:hyperlink>
        </w:p>
        <w:p w14:paraId="7A5297DB" w14:textId="62F543B4" w:rsidR="009D2786" w:rsidRDefault="00000000">
          <w:pPr>
            <w:pStyle w:val="TOC3"/>
            <w:tabs>
              <w:tab w:val="right" w:leader="dot" w:pos="9622"/>
            </w:tabs>
            <w:rPr>
              <w:rFonts w:cstheme="minorBidi"/>
              <w:noProof/>
              <w:kern w:val="2"/>
              <w:sz w:val="24"/>
              <w:szCs w:val="24"/>
              <w14:ligatures w14:val="standardContextual"/>
            </w:rPr>
          </w:pPr>
          <w:hyperlink w:anchor="_Toc180484288" w:history="1">
            <w:r w:rsidR="009D2786" w:rsidRPr="003C1600">
              <w:rPr>
                <w:rStyle w:val="Hyperlink"/>
                <w:noProof/>
              </w:rPr>
              <w:t>The need to put Indigenous Data Sovereignty into practice</w:t>
            </w:r>
            <w:r w:rsidR="009D2786">
              <w:rPr>
                <w:noProof/>
                <w:webHidden/>
              </w:rPr>
              <w:tab/>
            </w:r>
            <w:r w:rsidR="009D2786">
              <w:rPr>
                <w:noProof/>
                <w:webHidden/>
              </w:rPr>
              <w:fldChar w:fldCharType="begin"/>
            </w:r>
            <w:r w:rsidR="009D2786">
              <w:rPr>
                <w:noProof/>
                <w:webHidden/>
              </w:rPr>
              <w:instrText xml:space="preserve"> PAGEREF _Toc180484288 \h </w:instrText>
            </w:r>
            <w:r w:rsidR="009D2786">
              <w:rPr>
                <w:noProof/>
                <w:webHidden/>
              </w:rPr>
            </w:r>
            <w:r w:rsidR="009D2786">
              <w:rPr>
                <w:noProof/>
                <w:webHidden/>
              </w:rPr>
              <w:fldChar w:fldCharType="separate"/>
            </w:r>
            <w:r w:rsidR="00BA3161">
              <w:rPr>
                <w:noProof/>
                <w:webHidden/>
              </w:rPr>
              <w:t>9</w:t>
            </w:r>
            <w:r w:rsidR="009D2786">
              <w:rPr>
                <w:noProof/>
                <w:webHidden/>
              </w:rPr>
              <w:fldChar w:fldCharType="end"/>
            </w:r>
          </w:hyperlink>
        </w:p>
        <w:p w14:paraId="4D98B454" w14:textId="28181ADE" w:rsidR="009D2786" w:rsidRDefault="00000000">
          <w:pPr>
            <w:pStyle w:val="TOC3"/>
            <w:tabs>
              <w:tab w:val="right" w:leader="dot" w:pos="9622"/>
            </w:tabs>
            <w:rPr>
              <w:rFonts w:cstheme="minorBidi"/>
              <w:noProof/>
              <w:kern w:val="2"/>
              <w:sz w:val="24"/>
              <w:szCs w:val="24"/>
              <w14:ligatures w14:val="standardContextual"/>
            </w:rPr>
          </w:pPr>
          <w:hyperlink w:anchor="_Toc180484289" w:history="1">
            <w:r w:rsidR="009D2786" w:rsidRPr="003C1600">
              <w:rPr>
                <w:rStyle w:val="Hyperlink"/>
                <w:noProof/>
              </w:rPr>
              <w:t>The need to support the role of ACCOs in delivering evidence-based supports to their communities</w:t>
            </w:r>
            <w:r w:rsidR="009D2786">
              <w:rPr>
                <w:noProof/>
                <w:webHidden/>
              </w:rPr>
              <w:tab/>
            </w:r>
            <w:r w:rsidR="009D2786">
              <w:rPr>
                <w:noProof/>
                <w:webHidden/>
              </w:rPr>
              <w:fldChar w:fldCharType="begin"/>
            </w:r>
            <w:r w:rsidR="009D2786">
              <w:rPr>
                <w:noProof/>
                <w:webHidden/>
              </w:rPr>
              <w:instrText xml:space="preserve"> PAGEREF _Toc180484289 \h </w:instrText>
            </w:r>
            <w:r w:rsidR="009D2786">
              <w:rPr>
                <w:noProof/>
                <w:webHidden/>
              </w:rPr>
            </w:r>
            <w:r w:rsidR="009D2786">
              <w:rPr>
                <w:noProof/>
                <w:webHidden/>
              </w:rPr>
              <w:fldChar w:fldCharType="separate"/>
            </w:r>
            <w:r w:rsidR="00BA3161">
              <w:rPr>
                <w:noProof/>
                <w:webHidden/>
              </w:rPr>
              <w:t>10</w:t>
            </w:r>
            <w:r w:rsidR="009D2786">
              <w:rPr>
                <w:noProof/>
                <w:webHidden/>
              </w:rPr>
              <w:fldChar w:fldCharType="end"/>
            </w:r>
          </w:hyperlink>
        </w:p>
        <w:p w14:paraId="764AD972" w14:textId="7EFFE240" w:rsidR="009D2786" w:rsidRDefault="00000000">
          <w:pPr>
            <w:pStyle w:val="TOC1"/>
            <w:rPr>
              <w:rFonts w:asciiTheme="minorHAnsi" w:eastAsiaTheme="minorEastAsia" w:hAnsiTheme="minorHAnsi"/>
              <w:noProof/>
              <w:lang w:val="en-AU" w:eastAsia="en-AU"/>
            </w:rPr>
          </w:pPr>
          <w:hyperlink w:anchor="_Toc180484290" w:history="1">
            <w:r w:rsidR="009D2786" w:rsidRPr="003C1600">
              <w:rPr>
                <w:rStyle w:val="Hyperlink"/>
                <w:noProof/>
              </w:rPr>
              <w:t>Design summary</w:t>
            </w:r>
            <w:r w:rsidR="009D2786">
              <w:rPr>
                <w:noProof/>
                <w:webHidden/>
              </w:rPr>
              <w:tab/>
            </w:r>
            <w:r w:rsidR="009D2786">
              <w:rPr>
                <w:noProof/>
                <w:webHidden/>
              </w:rPr>
              <w:fldChar w:fldCharType="begin"/>
            </w:r>
            <w:r w:rsidR="009D2786">
              <w:rPr>
                <w:noProof/>
                <w:webHidden/>
              </w:rPr>
              <w:instrText xml:space="preserve"> PAGEREF _Toc180484290 \h </w:instrText>
            </w:r>
            <w:r w:rsidR="009D2786">
              <w:rPr>
                <w:noProof/>
                <w:webHidden/>
              </w:rPr>
            </w:r>
            <w:r w:rsidR="009D2786">
              <w:rPr>
                <w:noProof/>
                <w:webHidden/>
              </w:rPr>
              <w:fldChar w:fldCharType="separate"/>
            </w:r>
            <w:r w:rsidR="00BA3161">
              <w:rPr>
                <w:noProof/>
                <w:webHidden/>
              </w:rPr>
              <w:t>11</w:t>
            </w:r>
            <w:r w:rsidR="009D2786">
              <w:rPr>
                <w:noProof/>
                <w:webHidden/>
              </w:rPr>
              <w:fldChar w:fldCharType="end"/>
            </w:r>
          </w:hyperlink>
        </w:p>
        <w:p w14:paraId="3084EFF0" w14:textId="0D232E02" w:rsidR="009D2786" w:rsidRDefault="00000000">
          <w:pPr>
            <w:pStyle w:val="TOC2"/>
            <w:tabs>
              <w:tab w:val="right" w:leader="dot" w:pos="9622"/>
            </w:tabs>
            <w:rPr>
              <w:rFonts w:asciiTheme="minorHAnsi" w:eastAsiaTheme="minorEastAsia" w:hAnsiTheme="minorHAnsi"/>
              <w:noProof/>
              <w:lang w:val="en-AU" w:eastAsia="en-AU"/>
            </w:rPr>
          </w:pPr>
          <w:hyperlink w:anchor="_Toc180484291" w:history="1">
            <w:r w:rsidR="009D2786" w:rsidRPr="003C1600">
              <w:rPr>
                <w:rStyle w:val="Hyperlink"/>
                <w:noProof/>
              </w:rPr>
              <w:t>Principles and values</w:t>
            </w:r>
            <w:r w:rsidR="009D2786">
              <w:rPr>
                <w:noProof/>
                <w:webHidden/>
              </w:rPr>
              <w:tab/>
            </w:r>
            <w:r w:rsidR="009D2786">
              <w:rPr>
                <w:noProof/>
                <w:webHidden/>
              </w:rPr>
              <w:fldChar w:fldCharType="begin"/>
            </w:r>
            <w:r w:rsidR="009D2786">
              <w:rPr>
                <w:noProof/>
                <w:webHidden/>
              </w:rPr>
              <w:instrText xml:space="preserve"> PAGEREF _Toc180484291 \h </w:instrText>
            </w:r>
            <w:r w:rsidR="009D2786">
              <w:rPr>
                <w:noProof/>
                <w:webHidden/>
              </w:rPr>
            </w:r>
            <w:r w:rsidR="009D2786">
              <w:rPr>
                <w:noProof/>
                <w:webHidden/>
              </w:rPr>
              <w:fldChar w:fldCharType="separate"/>
            </w:r>
            <w:r w:rsidR="00BA3161">
              <w:rPr>
                <w:noProof/>
                <w:webHidden/>
              </w:rPr>
              <w:t>11</w:t>
            </w:r>
            <w:r w:rsidR="009D2786">
              <w:rPr>
                <w:noProof/>
                <w:webHidden/>
              </w:rPr>
              <w:fldChar w:fldCharType="end"/>
            </w:r>
          </w:hyperlink>
        </w:p>
        <w:p w14:paraId="76F59809" w14:textId="7B2E7A5B" w:rsidR="009D2786" w:rsidRDefault="00000000">
          <w:pPr>
            <w:pStyle w:val="TOC2"/>
            <w:tabs>
              <w:tab w:val="right" w:leader="dot" w:pos="9622"/>
            </w:tabs>
            <w:rPr>
              <w:rFonts w:asciiTheme="minorHAnsi" w:eastAsiaTheme="minorEastAsia" w:hAnsiTheme="minorHAnsi"/>
              <w:noProof/>
              <w:lang w:val="en-AU" w:eastAsia="en-AU"/>
            </w:rPr>
          </w:pPr>
          <w:hyperlink w:anchor="_Toc180484292" w:history="1">
            <w:r w:rsidR="009D2786" w:rsidRPr="003C1600">
              <w:rPr>
                <w:rStyle w:val="Hyperlink"/>
                <w:noProof/>
              </w:rPr>
              <w:t>Purpose and priorities</w:t>
            </w:r>
            <w:r w:rsidR="009D2786">
              <w:rPr>
                <w:noProof/>
                <w:webHidden/>
              </w:rPr>
              <w:tab/>
            </w:r>
            <w:r w:rsidR="009D2786">
              <w:rPr>
                <w:noProof/>
                <w:webHidden/>
              </w:rPr>
              <w:fldChar w:fldCharType="begin"/>
            </w:r>
            <w:r w:rsidR="009D2786">
              <w:rPr>
                <w:noProof/>
                <w:webHidden/>
              </w:rPr>
              <w:instrText xml:space="preserve"> PAGEREF _Toc180484292 \h </w:instrText>
            </w:r>
            <w:r w:rsidR="009D2786">
              <w:rPr>
                <w:noProof/>
                <w:webHidden/>
              </w:rPr>
            </w:r>
            <w:r w:rsidR="009D2786">
              <w:rPr>
                <w:noProof/>
                <w:webHidden/>
              </w:rPr>
              <w:fldChar w:fldCharType="separate"/>
            </w:r>
            <w:r w:rsidR="00BA3161">
              <w:rPr>
                <w:noProof/>
                <w:webHidden/>
              </w:rPr>
              <w:t>11</w:t>
            </w:r>
            <w:r w:rsidR="009D2786">
              <w:rPr>
                <w:noProof/>
                <w:webHidden/>
              </w:rPr>
              <w:fldChar w:fldCharType="end"/>
            </w:r>
          </w:hyperlink>
        </w:p>
        <w:p w14:paraId="46D686E8" w14:textId="76E76D40" w:rsidR="009D2786" w:rsidRDefault="00000000">
          <w:pPr>
            <w:pStyle w:val="TOC3"/>
            <w:tabs>
              <w:tab w:val="right" w:leader="dot" w:pos="9622"/>
            </w:tabs>
            <w:rPr>
              <w:rFonts w:cstheme="minorBidi"/>
              <w:noProof/>
              <w:kern w:val="2"/>
              <w:sz w:val="24"/>
              <w:szCs w:val="24"/>
              <w14:ligatures w14:val="standardContextual"/>
            </w:rPr>
          </w:pPr>
          <w:hyperlink w:anchor="_Toc180484293" w:history="1">
            <w:r w:rsidR="009D2786" w:rsidRPr="003C1600">
              <w:rPr>
                <w:rStyle w:val="Hyperlink"/>
                <w:noProof/>
              </w:rPr>
              <w:t>Lead Aboriginal and Torres Strait Islander pedagogy, wisdom and knowledge</w:t>
            </w:r>
            <w:r w:rsidR="009D2786">
              <w:rPr>
                <w:noProof/>
                <w:webHidden/>
              </w:rPr>
              <w:tab/>
            </w:r>
            <w:r w:rsidR="009D2786">
              <w:rPr>
                <w:noProof/>
                <w:webHidden/>
              </w:rPr>
              <w:fldChar w:fldCharType="begin"/>
            </w:r>
            <w:r w:rsidR="009D2786">
              <w:rPr>
                <w:noProof/>
                <w:webHidden/>
              </w:rPr>
              <w:instrText xml:space="preserve"> PAGEREF _Toc180484293 \h </w:instrText>
            </w:r>
            <w:r w:rsidR="009D2786">
              <w:rPr>
                <w:noProof/>
                <w:webHidden/>
              </w:rPr>
            </w:r>
            <w:r w:rsidR="009D2786">
              <w:rPr>
                <w:noProof/>
                <w:webHidden/>
              </w:rPr>
              <w:fldChar w:fldCharType="separate"/>
            </w:r>
            <w:r w:rsidR="00BA3161">
              <w:rPr>
                <w:noProof/>
                <w:webHidden/>
              </w:rPr>
              <w:t>11</w:t>
            </w:r>
            <w:r w:rsidR="009D2786">
              <w:rPr>
                <w:noProof/>
                <w:webHidden/>
              </w:rPr>
              <w:fldChar w:fldCharType="end"/>
            </w:r>
          </w:hyperlink>
        </w:p>
        <w:p w14:paraId="2F025304" w14:textId="57B6BAC7" w:rsidR="009D2786" w:rsidRDefault="00000000">
          <w:pPr>
            <w:pStyle w:val="TOC3"/>
            <w:tabs>
              <w:tab w:val="right" w:leader="dot" w:pos="9622"/>
            </w:tabs>
            <w:rPr>
              <w:rFonts w:cstheme="minorBidi"/>
              <w:noProof/>
              <w:kern w:val="2"/>
              <w:sz w:val="24"/>
              <w:szCs w:val="24"/>
              <w14:ligatures w14:val="standardContextual"/>
            </w:rPr>
          </w:pPr>
          <w:hyperlink w:anchor="_Toc180484294" w:history="1">
            <w:r w:rsidR="009D2786" w:rsidRPr="003C1600">
              <w:rPr>
                <w:rStyle w:val="Hyperlink"/>
                <w:noProof/>
              </w:rPr>
              <w:t>Reassert Aboriginal and Torres Strait Islander ways of knowing, being and doing</w:t>
            </w:r>
            <w:r w:rsidR="009D2786">
              <w:rPr>
                <w:noProof/>
                <w:webHidden/>
              </w:rPr>
              <w:tab/>
            </w:r>
            <w:r w:rsidR="009D2786">
              <w:rPr>
                <w:noProof/>
                <w:webHidden/>
              </w:rPr>
              <w:fldChar w:fldCharType="begin"/>
            </w:r>
            <w:r w:rsidR="009D2786">
              <w:rPr>
                <w:noProof/>
                <w:webHidden/>
              </w:rPr>
              <w:instrText xml:space="preserve"> PAGEREF _Toc180484294 \h </w:instrText>
            </w:r>
            <w:r w:rsidR="009D2786">
              <w:rPr>
                <w:noProof/>
                <w:webHidden/>
              </w:rPr>
            </w:r>
            <w:r w:rsidR="009D2786">
              <w:rPr>
                <w:noProof/>
                <w:webHidden/>
              </w:rPr>
              <w:fldChar w:fldCharType="separate"/>
            </w:r>
            <w:r w:rsidR="00BA3161">
              <w:rPr>
                <w:noProof/>
                <w:webHidden/>
              </w:rPr>
              <w:t>11</w:t>
            </w:r>
            <w:r w:rsidR="009D2786">
              <w:rPr>
                <w:noProof/>
                <w:webHidden/>
              </w:rPr>
              <w:fldChar w:fldCharType="end"/>
            </w:r>
          </w:hyperlink>
        </w:p>
        <w:p w14:paraId="0737870A" w14:textId="5F0EE00B" w:rsidR="009D2786" w:rsidRDefault="00000000">
          <w:pPr>
            <w:pStyle w:val="TOC3"/>
            <w:tabs>
              <w:tab w:val="right" w:leader="dot" w:pos="9622"/>
            </w:tabs>
            <w:rPr>
              <w:rFonts w:cstheme="minorBidi"/>
              <w:noProof/>
              <w:kern w:val="2"/>
              <w:sz w:val="24"/>
              <w:szCs w:val="24"/>
              <w14:ligatures w14:val="standardContextual"/>
            </w:rPr>
          </w:pPr>
          <w:hyperlink w:anchor="_Toc180484295" w:history="1">
            <w:r w:rsidR="009D2786" w:rsidRPr="003C1600">
              <w:rPr>
                <w:rStyle w:val="Hyperlink"/>
                <w:noProof/>
              </w:rPr>
              <w:t>Support existing expertise and grow the Aboriginal and Torres Strait Islander research network</w:t>
            </w:r>
            <w:r w:rsidR="009D2786">
              <w:rPr>
                <w:noProof/>
                <w:webHidden/>
              </w:rPr>
              <w:tab/>
            </w:r>
            <w:r w:rsidR="009D2786">
              <w:rPr>
                <w:noProof/>
                <w:webHidden/>
              </w:rPr>
              <w:fldChar w:fldCharType="begin"/>
            </w:r>
            <w:r w:rsidR="009D2786">
              <w:rPr>
                <w:noProof/>
                <w:webHidden/>
              </w:rPr>
              <w:instrText xml:space="preserve"> PAGEREF _Toc180484295 \h </w:instrText>
            </w:r>
            <w:r w:rsidR="009D2786">
              <w:rPr>
                <w:noProof/>
                <w:webHidden/>
              </w:rPr>
            </w:r>
            <w:r w:rsidR="009D2786">
              <w:rPr>
                <w:noProof/>
                <w:webHidden/>
              </w:rPr>
              <w:fldChar w:fldCharType="separate"/>
            </w:r>
            <w:r w:rsidR="00BA3161">
              <w:rPr>
                <w:noProof/>
                <w:webHidden/>
              </w:rPr>
              <w:t>11</w:t>
            </w:r>
            <w:r w:rsidR="009D2786">
              <w:rPr>
                <w:noProof/>
                <w:webHidden/>
              </w:rPr>
              <w:fldChar w:fldCharType="end"/>
            </w:r>
          </w:hyperlink>
        </w:p>
        <w:p w14:paraId="78444227" w14:textId="551F3D7D" w:rsidR="009D2786" w:rsidRDefault="00000000">
          <w:pPr>
            <w:pStyle w:val="TOC3"/>
            <w:tabs>
              <w:tab w:val="right" w:leader="dot" w:pos="9622"/>
            </w:tabs>
            <w:rPr>
              <w:rFonts w:cstheme="minorBidi"/>
              <w:noProof/>
              <w:kern w:val="2"/>
              <w:sz w:val="24"/>
              <w:szCs w:val="24"/>
              <w14:ligatures w14:val="standardContextual"/>
            </w:rPr>
          </w:pPr>
          <w:hyperlink w:anchor="_Toc180484296" w:history="1">
            <w:r w:rsidR="009D2786" w:rsidRPr="003C1600">
              <w:rPr>
                <w:rStyle w:val="Hyperlink"/>
                <w:noProof/>
              </w:rPr>
              <w:t>Strengthen organisational capacity and support community-led research</w:t>
            </w:r>
            <w:r w:rsidR="009D2786">
              <w:rPr>
                <w:noProof/>
                <w:webHidden/>
              </w:rPr>
              <w:tab/>
            </w:r>
            <w:r w:rsidR="009D2786">
              <w:rPr>
                <w:noProof/>
                <w:webHidden/>
              </w:rPr>
              <w:fldChar w:fldCharType="begin"/>
            </w:r>
            <w:r w:rsidR="009D2786">
              <w:rPr>
                <w:noProof/>
                <w:webHidden/>
              </w:rPr>
              <w:instrText xml:space="preserve"> PAGEREF _Toc180484296 \h </w:instrText>
            </w:r>
            <w:r w:rsidR="009D2786">
              <w:rPr>
                <w:noProof/>
                <w:webHidden/>
              </w:rPr>
            </w:r>
            <w:r w:rsidR="009D2786">
              <w:rPr>
                <w:noProof/>
                <w:webHidden/>
              </w:rPr>
              <w:fldChar w:fldCharType="separate"/>
            </w:r>
            <w:r w:rsidR="00BA3161">
              <w:rPr>
                <w:noProof/>
                <w:webHidden/>
              </w:rPr>
              <w:t>12</w:t>
            </w:r>
            <w:r w:rsidR="009D2786">
              <w:rPr>
                <w:noProof/>
                <w:webHidden/>
              </w:rPr>
              <w:fldChar w:fldCharType="end"/>
            </w:r>
          </w:hyperlink>
        </w:p>
        <w:p w14:paraId="6DAAC2DC" w14:textId="118D68C6" w:rsidR="009D2786" w:rsidRDefault="00000000">
          <w:pPr>
            <w:pStyle w:val="TOC3"/>
            <w:tabs>
              <w:tab w:val="right" w:leader="dot" w:pos="9622"/>
            </w:tabs>
            <w:rPr>
              <w:rFonts w:cstheme="minorBidi"/>
              <w:noProof/>
              <w:kern w:val="2"/>
              <w:sz w:val="24"/>
              <w:szCs w:val="24"/>
              <w14:ligatures w14:val="standardContextual"/>
            </w:rPr>
          </w:pPr>
          <w:hyperlink w:anchor="_Toc180484297" w:history="1">
            <w:r w:rsidR="009D2786" w:rsidRPr="003C1600">
              <w:rPr>
                <w:rStyle w:val="Hyperlink"/>
                <w:noProof/>
              </w:rPr>
              <w:t>Serve as a national platform to drive transformation of systems and services</w:t>
            </w:r>
            <w:r w:rsidR="009D2786">
              <w:rPr>
                <w:noProof/>
                <w:webHidden/>
              </w:rPr>
              <w:tab/>
            </w:r>
            <w:r w:rsidR="009D2786">
              <w:rPr>
                <w:noProof/>
                <w:webHidden/>
              </w:rPr>
              <w:fldChar w:fldCharType="begin"/>
            </w:r>
            <w:r w:rsidR="009D2786">
              <w:rPr>
                <w:noProof/>
                <w:webHidden/>
              </w:rPr>
              <w:instrText xml:space="preserve"> PAGEREF _Toc180484297 \h </w:instrText>
            </w:r>
            <w:r w:rsidR="009D2786">
              <w:rPr>
                <w:noProof/>
                <w:webHidden/>
              </w:rPr>
            </w:r>
            <w:r w:rsidR="009D2786">
              <w:rPr>
                <w:noProof/>
                <w:webHidden/>
              </w:rPr>
              <w:fldChar w:fldCharType="separate"/>
            </w:r>
            <w:r w:rsidR="00BA3161">
              <w:rPr>
                <w:noProof/>
                <w:webHidden/>
              </w:rPr>
              <w:t>12</w:t>
            </w:r>
            <w:r w:rsidR="009D2786">
              <w:rPr>
                <w:noProof/>
                <w:webHidden/>
              </w:rPr>
              <w:fldChar w:fldCharType="end"/>
            </w:r>
          </w:hyperlink>
        </w:p>
        <w:p w14:paraId="4B0252F4" w14:textId="0B215EAB" w:rsidR="009D2786" w:rsidRDefault="00000000">
          <w:pPr>
            <w:pStyle w:val="TOC2"/>
            <w:tabs>
              <w:tab w:val="right" w:leader="dot" w:pos="9622"/>
            </w:tabs>
            <w:rPr>
              <w:rFonts w:asciiTheme="minorHAnsi" w:eastAsiaTheme="minorEastAsia" w:hAnsiTheme="minorHAnsi"/>
              <w:noProof/>
              <w:lang w:val="en-AU" w:eastAsia="en-AU"/>
            </w:rPr>
          </w:pPr>
          <w:hyperlink w:anchor="_Toc180484298" w:history="1">
            <w:r w:rsidR="009D2786" w:rsidRPr="003C1600">
              <w:rPr>
                <w:rStyle w:val="Hyperlink"/>
                <w:noProof/>
              </w:rPr>
              <w:t>Functions</w:t>
            </w:r>
            <w:r w:rsidR="009D2786">
              <w:rPr>
                <w:noProof/>
                <w:webHidden/>
              </w:rPr>
              <w:tab/>
            </w:r>
            <w:r w:rsidR="009D2786">
              <w:rPr>
                <w:noProof/>
                <w:webHidden/>
              </w:rPr>
              <w:fldChar w:fldCharType="begin"/>
            </w:r>
            <w:r w:rsidR="009D2786">
              <w:rPr>
                <w:noProof/>
                <w:webHidden/>
              </w:rPr>
              <w:instrText xml:space="preserve"> PAGEREF _Toc180484298 \h </w:instrText>
            </w:r>
            <w:r w:rsidR="009D2786">
              <w:rPr>
                <w:noProof/>
                <w:webHidden/>
              </w:rPr>
            </w:r>
            <w:r w:rsidR="009D2786">
              <w:rPr>
                <w:noProof/>
                <w:webHidden/>
              </w:rPr>
              <w:fldChar w:fldCharType="separate"/>
            </w:r>
            <w:r w:rsidR="00BA3161">
              <w:rPr>
                <w:noProof/>
                <w:webHidden/>
              </w:rPr>
              <w:t>12</w:t>
            </w:r>
            <w:r w:rsidR="009D2786">
              <w:rPr>
                <w:noProof/>
                <w:webHidden/>
              </w:rPr>
              <w:fldChar w:fldCharType="end"/>
            </w:r>
          </w:hyperlink>
        </w:p>
        <w:p w14:paraId="33353D2C" w14:textId="2D2B0F87" w:rsidR="009D2786" w:rsidRDefault="00000000">
          <w:pPr>
            <w:pStyle w:val="TOC3"/>
            <w:tabs>
              <w:tab w:val="right" w:leader="dot" w:pos="9622"/>
            </w:tabs>
            <w:rPr>
              <w:rFonts w:cstheme="minorBidi"/>
              <w:noProof/>
              <w:kern w:val="2"/>
              <w:sz w:val="24"/>
              <w:szCs w:val="24"/>
              <w14:ligatures w14:val="standardContextual"/>
            </w:rPr>
          </w:pPr>
          <w:hyperlink w:anchor="_Toc180484299" w:history="1">
            <w:r w:rsidR="009D2786" w:rsidRPr="003C1600">
              <w:rPr>
                <w:rStyle w:val="Hyperlink"/>
                <w:noProof/>
              </w:rPr>
              <w:t>Shaping the national research agenda in relation to children, young people and families</w:t>
            </w:r>
            <w:r w:rsidR="009D2786">
              <w:rPr>
                <w:noProof/>
                <w:webHidden/>
              </w:rPr>
              <w:tab/>
            </w:r>
            <w:r w:rsidR="009D2786">
              <w:rPr>
                <w:noProof/>
                <w:webHidden/>
              </w:rPr>
              <w:fldChar w:fldCharType="begin"/>
            </w:r>
            <w:r w:rsidR="009D2786">
              <w:rPr>
                <w:noProof/>
                <w:webHidden/>
              </w:rPr>
              <w:instrText xml:space="preserve"> PAGEREF _Toc180484299 \h </w:instrText>
            </w:r>
            <w:r w:rsidR="009D2786">
              <w:rPr>
                <w:noProof/>
                <w:webHidden/>
              </w:rPr>
            </w:r>
            <w:r w:rsidR="009D2786">
              <w:rPr>
                <w:noProof/>
                <w:webHidden/>
              </w:rPr>
              <w:fldChar w:fldCharType="separate"/>
            </w:r>
            <w:r w:rsidR="00BA3161">
              <w:rPr>
                <w:noProof/>
                <w:webHidden/>
              </w:rPr>
              <w:t>12</w:t>
            </w:r>
            <w:r w:rsidR="009D2786">
              <w:rPr>
                <w:noProof/>
                <w:webHidden/>
              </w:rPr>
              <w:fldChar w:fldCharType="end"/>
            </w:r>
          </w:hyperlink>
        </w:p>
        <w:p w14:paraId="1C78955B" w14:textId="4E101D2C" w:rsidR="009D2786" w:rsidRDefault="00000000">
          <w:pPr>
            <w:pStyle w:val="TOC3"/>
            <w:tabs>
              <w:tab w:val="right" w:leader="dot" w:pos="9622"/>
            </w:tabs>
            <w:rPr>
              <w:rFonts w:cstheme="minorBidi"/>
              <w:noProof/>
              <w:kern w:val="2"/>
              <w:sz w:val="24"/>
              <w:szCs w:val="24"/>
              <w14:ligatures w14:val="standardContextual"/>
            </w:rPr>
          </w:pPr>
          <w:hyperlink w:anchor="_Toc180484300" w:history="1">
            <w:r w:rsidR="009D2786" w:rsidRPr="003C1600">
              <w:rPr>
                <w:rStyle w:val="Hyperlink"/>
                <w:noProof/>
              </w:rPr>
              <w:t>Research and knowledge creation</w:t>
            </w:r>
            <w:r w:rsidR="009D2786">
              <w:rPr>
                <w:noProof/>
                <w:webHidden/>
              </w:rPr>
              <w:tab/>
            </w:r>
            <w:r w:rsidR="009D2786">
              <w:rPr>
                <w:noProof/>
                <w:webHidden/>
              </w:rPr>
              <w:fldChar w:fldCharType="begin"/>
            </w:r>
            <w:r w:rsidR="009D2786">
              <w:rPr>
                <w:noProof/>
                <w:webHidden/>
              </w:rPr>
              <w:instrText xml:space="preserve"> PAGEREF _Toc180484300 \h </w:instrText>
            </w:r>
            <w:r w:rsidR="009D2786">
              <w:rPr>
                <w:noProof/>
                <w:webHidden/>
              </w:rPr>
            </w:r>
            <w:r w:rsidR="009D2786">
              <w:rPr>
                <w:noProof/>
                <w:webHidden/>
              </w:rPr>
              <w:fldChar w:fldCharType="separate"/>
            </w:r>
            <w:r w:rsidR="00BA3161">
              <w:rPr>
                <w:noProof/>
                <w:webHidden/>
              </w:rPr>
              <w:t>13</w:t>
            </w:r>
            <w:r w:rsidR="009D2786">
              <w:rPr>
                <w:noProof/>
                <w:webHidden/>
              </w:rPr>
              <w:fldChar w:fldCharType="end"/>
            </w:r>
          </w:hyperlink>
        </w:p>
        <w:p w14:paraId="59068BC4" w14:textId="2A4E1D14" w:rsidR="009D2786" w:rsidRDefault="00000000">
          <w:pPr>
            <w:pStyle w:val="TOC3"/>
            <w:tabs>
              <w:tab w:val="right" w:leader="dot" w:pos="9622"/>
            </w:tabs>
            <w:rPr>
              <w:rFonts w:cstheme="minorBidi"/>
              <w:noProof/>
              <w:kern w:val="2"/>
              <w:sz w:val="24"/>
              <w:szCs w:val="24"/>
              <w14:ligatures w14:val="standardContextual"/>
            </w:rPr>
          </w:pPr>
          <w:hyperlink w:anchor="_Toc180484301" w:history="1">
            <w:r w:rsidR="009D2786" w:rsidRPr="003C1600">
              <w:rPr>
                <w:rStyle w:val="Hyperlink"/>
                <w:noProof/>
              </w:rPr>
              <w:t>Aboriginal and Torres Strait Islander data development, management, and sovereignty</w:t>
            </w:r>
            <w:r w:rsidR="009D2786">
              <w:rPr>
                <w:noProof/>
                <w:webHidden/>
              </w:rPr>
              <w:tab/>
            </w:r>
            <w:r w:rsidR="009D2786">
              <w:rPr>
                <w:noProof/>
                <w:webHidden/>
              </w:rPr>
              <w:fldChar w:fldCharType="begin"/>
            </w:r>
            <w:r w:rsidR="009D2786">
              <w:rPr>
                <w:noProof/>
                <w:webHidden/>
              </w:rPr>
              <w:instrText xml:space="preserve"> PAGEREF _Toc180484301 \h </w:instrText>
            </w:r>
            <w:r w:rsidR="009D2786">
              <w:rPr>
                <w:noProof/>
                <w:webHidden/>
              </w:rPr>
            </w:r>
            <w:r w:rsidR="009D2786">
              <w:rPr>
                <w:noProof/>
                <w:webHidden/>
              </w:rPr>
              <w:fldChar w:fldCharType="separate"/>
            </w:r>
            <w:r w:rsidR="00BA3161">
              <w:rPr>
                <w:noProof/>
                <w:webHidden/>
              </w:rPr>
              <w:t>13</w:t>
            </w:r>
            <w:r w:rsidR="009D2786">
              <w:rPr>
                <w:noProof/>
                <w:webHidden/>
              </w:rPr>
              <w:fldChar w:fldCharType="end"/>
            </w:r>
          </w:hyperlink>
        </w:p>
        <w:p w14:paraId="6B2CB185" w14:textId="5011341E" w:rsidR="009D2786" w:rsidRDefault="00000000">
          <w:pPr>
            <w:pStyle w:val="TOC2"/>
            <w:tabs>
              <w:tab w:val="right" w:leader="dot" w:pos="9622"/>
            </w:tabs>
            <w:rPr>
              <w:rFonts w:asciiTheme="minorHAnsi" w:eastAsiaTheme="minorEastAsia" w:hAnsiTheme="minorHAnsi"/>
              <w:noProof/>
              <w:lang w:val="en-AU" w:eastAsia="en-AU"/>
            </w:rPr>
          </w:pPr>
          <w:hyperlink w:anchor="_Toc180484302" w:history="1">
            <w:r w:rsidR="009D2786" w:rsidRPr="003C1600">
              <w:rPr>
                <w:rStyle w:val="Hyperlink"/>
                <w:rFonts w:asciiTheme="majorHAnsi" w:eastAsiaTheme="majorEastAsia" w:hAnsiTheme="majorHAnsi" w:cs="Calibri"/>
                <w:noProof/>
              </w:rPr>
              <w:t>Infrastructure/ software requirements:</w:t>
            </w:r>
            <w:r w:rsidR="009D2786">
              <w:rPr>
                <w:noProof/>
                <w:webHidden/>
              </w:rPr>
              <w:tab/>
            </w:r>
            <w:r w:rsidR="009D2786">
              <w:rPr>
                <w:noProof/>
                <w:webHidden/>
              </w:rPr>
              <w:fldChar w:fldCharType="begin"/>
            </w:r>
            <w:r w:rsidR="009D2786">
              <w:rPr>
                <w:noProof/>
                <w:webHidden/>
              </w:rPr>
              <w:instrText xml:space="preserve"> PAGEREF _Toc180484302 \h </w:instrText>
            </w:r>
            <w:r w:rsidR="009D2786">
              <w:rPr>
                <w:noProof/>
                <w:webHidden/>
              </w:rPr>
            </w:r>
            <w:r w:rsidR="009D2786">
              <w:rPr>
                <w:noProof/>
                <w:webHidden/>
              </w:rPr>
              <w:fldChar w:fldCharType="separate"/>
            </w:r>
            <w:r w:rsidR="00BA3161">
              <w:rPr>
                <w:noProof/>
                <w:webHidden/>
              </w:rPr>
              <w:t>14</w:t>
            </w:r>
            <w:r w:rsidR="009D2786">
              <w:rPr>
                <w:noProof/>
                <w:webHidden/>
              </w:rPr>
              <w:fldChar w:fldCharType="end"/>
            </w:r>
          </w:hyperlink>
        </w:p>
        <w:p w14:paraId="2CA33AEC" w14:textId="618B6366" w:rsidR="009D2786" w:rsidRDefault="00000000">
          <w:pPr>
            <w:pStyle w:val="TOC2"/>
            <w:tabs>
              <w:tab w:val="right" w:leader="dot" w:pos="9622"/>
            </w:tabs>
            <w:rPr>
              <w:rFonts w:asciiTheme="minorHAnsi" w:eastAsiaTheme="minorEastAsia" w:hAnsiTheme="minorHAnsi"/>
              <w:noProof/>
              <w:lang w:val="en-AU" w:eastAsia="en-AU"/>
            </w:rPr>
          </w:pPr>
          <w:hyperlink w:anchor="_Toc180484303" w:history="1">
            <w:r w:rsidR="009D2786" w:rsidRPr="003C1600">
              <w:rPr>
                <w:rStyle w:val="Hyperlink"/>
                <w:rFonts w:asciiTheme="majorHAnsi" w:eastAsiaTheme="majorEastAsia" w:hAnsiTheme="majorHAnsi" w:cs="Calibri"/>
                <w:noProof/>
              </w:rPr>
              <w:t>Policy / protocol requirements:</w:t>
            </w:r>
            <w:r w:rsidR="009D2786">
              <w:rPr>
                <w:noProof/>
                <w:webHidden/>
              </w:rPr>
              <w:tab/>
            </w:r>
            <w:r w:rsidR="009D2786">
              <w:rPr>
                <w:noProof/>
                <w:webHidden/>
              </w:rPr>
              <w:fldChar w:fldCharType="begin"/>
            </w:r>
            <w:r w:rsidR="009D2786">
              <w:rPr>
                <w:noProof/>
                <w:webHidden/>
              </w:rPr>
              <w:instrText xml:space="preserve"> PAGEREF _Toc180484303 \h </w:instrText>
            </w:r>
            <w:r w:rsidR="009D2786">
              <w:rPr>
                <w:noProof/>
                <w:webHidden/>
              </w:rPr>
            </w:r>
            <w:r w:rsidR="009D2786">
              <w:rPr>
                <w:noProof/>
                <w:webHidden/>
              </w:rPr>
              <w:fldChar w:fldCharType="separate"/>
            </w:r>
            <w:r w:rsidR="00BA3161">
              <w:rPr>
                <w:noProof/>
                <w:webHidden/>
              </w:rPr>
              <w:t>14</w:t>
            </w:r>
            <w:r w:rsidR="009D2786">
              <w:rPr>
                <w:noProof/>
                <w:webHidden/>
              </w:rPr>
              <w:fldChar w:fldCharType="end"/>
            </w:r>
          </w:hyperlink>
        </w:p>
        <w:p w14:paraId="0D18301A" w14:textId="7E656791" w:rsidR="009D2786" w:rsidRDefault="00000000">
          <w:pPr>
            <w:pStyle w:val="TOC3"/>
            <w:tabs>
              <w:tab w:val="right" w:leader="dot" w:pos="9622"/>
            </w:tabs>
            <w:rPr>
              <w:rFonts w:cstheme="minorBidi"/>
              <w:noProof/>
              <w:kern w:val="2"/>
              <w:sz w:val="24"/>
              <w:szCs w:val="24"/>
              <w14:ligatures w14:val="standardContextual"/>
            </w:rPr>
          </w:pPr>
          <w:hyperlink w:anchor="_Toc180484304" w:history="1">
            <w:r w:rsidR="009D2786" w:rsidRPr="003C1600">
              <w:rPr>
                <w:rStyle w:val="Hyperlink"/>
                <w:noProof/>
              </w:rPr>
              <w:t>Commissioning and administration of research grants</w:t>
            </w:r>
            <w:r w:rsidR="009D2786">
              <w:rPr>
                <w:noProof/>
                <w:webHidden/>
              </w:rPr>
              <w:tab/>
            </w:r>
            <w:r w:rsidR="009D2786">
              <w:rPr>
                <w:noProof/>
                <w:webHidden/>
              </w:rPr>
              <w:fldChar w:fldCharType="begin"/>
            </w:r>
            <w:r w:rsidR="009D2786">
              <w:rPr>
                <w:noProof/>
                <w:webHidden/>
              </w:rPr>
              <w:instrText xml:space="preserve"> PAGEREF _Toc180484304 \h </w:instrText>
            </w:r>
            <w:r w:rsidR="009D2786">
              <w:rPr>
                <w:noProof/>
                <w:webHidden/>
              </w:rPr>
            </w:r>
            <w:r w:rsidR="009D2786">
              <w:rPr>
                <w:noProof/>
                <w:webHidden/>
              </w:rPr>
              <w:fldChar w:fldCharType="separate"/>
            </w:r>
            <w:r w:rsidR="00BA3161">
              <w:rPr>
                <w:noProof/>
                <w:webHidden/>
              </w:rPr>
              <w:t>15</w:t>
            </w:r>
            <w:r w:rsidR="009D2786">
              <w:rPr>
                <w:noProof/>
                <w:webHidden/>
              </w:rPr>
              <w:fldChar w:fldCharType="end"/>
            </w:r>
          </w:hyperlink>
        </w:p>
        <w:p w14:paraId="73FA0A0B" w14:textId="0EEC1EB3" w:rsidR="009D2786" w:rsidRDefault="00000000">
          <w:pPr>
            <w:pStyle w:val="TOC3"/>
            <w:tabs>
              <w:tab w:val="right" w:leader="dot" w:pos="9622"/>
            </w:tabs>
            <w:rPr>
              <w:rFonts w:cstheme="minorBidi"/>
              <w:noProof/>
              <w:kern w:val="2"/>
              <w:sz w:val="24"/>
              <w:szCs w:val="24"/>
              <w14:ligatures w14:val="standardContextual"/>
            </w:rPr>
          </w:pPr>
          <w:hyperlink w:anchor="_Toc180484305" w:history="1">
            <w:r w:rsidR="009D2786" w:rsidRPr="003C1600">
              <w:rPr>
                <w:rStyle w:val="Hyperlink"/>
                <w:noProof/>
              </w:rPr>
              <w:t>Knowledge translation and dissemination</w:t>
            </w:r>
            <w:r w:rsidR="009D2786">
              <w:rPr>
                <w:noProof/>
                <w:webHidden/>
              </w:rPr>
              <w:tab/>
            </w:r>
            <w:r w:rsidR="009D2786">
              <w:rPr>
                <w:noProof/>
                <w:webHidden/>
              </w:rPr>
              <w:fldChar w:fldCharType="begin"/>
            </w:r>
            <w:r w:rsidR="009D2786">
              <w:rPr>
                <w:noProof/>
                <w:webHidden/>
              </w:rPr>
              <w:instrText xml:space="preserve"> PAGEREF _Toc180484305 \h </w:instrText>
            </w:r>
            <w:r w:rsidR="009D2786">
              <w:rPr>
                <w:noProof/>
                <w:webHidden/>
              </w:rPr>
            </w:r>
            <w:r w:rsidR="009D2786">
              <w:rPr>
                <w:noProof/>
                <w:webHidden/>
              </w:rPr>
              <w:fldChar w:fldCharType="separate"/>
            </w:r>
            <w:r w:rsidR="00BA3161">
              <w:rPr>
                <w:noProof/>
                <w:webHidden/>
              </w:rPr>
              <w:t>16</w:t>
            </w:r>
            <w:r w:rsidR="009D2786">
              <w:rPr>
                <w:noProof/>
                <w:webHidden/>
              </w:rPr>
              <w:fldChar w:fldCharType="end"/>
            </w:r>
          </w:hyperlink>
        </w:p>
        <w:p w14:paraId="5A603577" w14:textId="4356721C" w:rsidR="009D2786" w:rsidRDefault="00000000">
          <w:pPr>
            <w:pStyle w:val="TOC3"/>
            <w:tabs>
              <w:tab w:val="right" w:leader="dot" w:pos="9622"/>
            </w:tabs>
            <w:rPr>
              <w:rFonts w:cstheme="minorBidi"/>
              <w:noProof/>
              <w:kern w:val="2"/>
              <w:sz w:val="24"/>
              <w:szCs w:val="24"/>
              <w14:ligatures w14:val="standardContextual"/>
            </w:rPr>
          </w:pPr>
          <w:hyperlink w:anchor="_Toc180484306" w:history="1">
            <w:r w:rsidR="009D2786" w:rsidRPr="003C1600">
              <w:rPr>
                <w:rStyle w:val="Hyperlink"/>
                <w:noProof/>
              </w:rPr>
              <w:t>Advocacy and advice</w:t>
            </w:r>
            <w:r w:rsidR="009D2786">
              <w:rPr>
                <w:noProof/>
                <w:webHidden/>
              </w:rPr>
              <w:tab/>
            </w:r>
            <w:r w:rsidR="009D2786">
              <w:rPr>
                <w:noProof/>
                <w:webHidden/>
              </w:rPr>
              <w:fldChar w:fldCharType="begin"/>
            </w:r>
            <w:r w:rsidR="009D2786">
              <w:rPr>
                <w:noProof/>
                <w:webHidden/>
              </w:rPr>
              <w:instrText xml:space="preserve"> PAGEREF _Toc180484306 \h </w:instrText>
            </w:r>
            <w:r w:rsidR="009D2786">
              <w:rPr>
                <w:noProof/>
                <w:webHidden/>
              </w:rPr>
            </w:r>
            <w:r w:rsidR="009D2786">
              <w:rPr>
                <w:noProof/>
                <w:webHidden/>
              </w:rPr>
              <w:fldChar w:fldCharType="separate"/>
            </w:r>
            <w:r w:rsidR="00BA3161">
              <w:rPr>
                <w:noProof/>
                <w:webHidden/>
              </w:rPr>
              <w:t>16</w:t>
            </w:r>
            <w:r w:rsidR="009D2786">
              <w:rPr>
                <w:noProof/>
                <w:webHidden/>
              </w:rPr>
              <w:fldChar w:fldCharType="end"/>
            </w:r>
          </w:hyperlink>
        </w:p>
        <w:p w14:paraId="37EFFE9B" w14:textId="390CEBDF" w:rsidR="009D2786" w:rsidRDefault="00000000">
          <w:pPr>
            <w:pStyle w:val="TOC3"/>
            <w:tabs>
              <w:tab w:val="right" w:leader="dot" w:pos="9622"/>
            </w:tabs>
            <w:rPr>
              <w:rFonts w:cstheme="minorBidi"/>
              <w:noProof/>
              <w:kern w:val="2"/>
              <w:sz w:val="24"/>
              <w:szCs w:val="24"/>
              <w14:ligatures w14:val="standardContextual"/>
            </w:rPr>
          </w:pPr>
          <w:hyperlink w:anchor="_Toc180484307" w:history="1">
            <w:r w:rsidR="009D2786" w:rsidRPr="003C1600">
              <w:rPr>
                <w:rStyle w:val="Hyperlink"/>
                <w:noProof/>
              </w:rPr>
              <w:t>Supporting and growing the Aboriginal and Torres Strait Islander research workforce and the participation of ACCOs in research and evidence building</w:t>
            </w:r>
            <w:r w:rsidR="009D2786">
              <w:rPr>
                <w:noProof/>
                <w:webHidden/>
              </w:rPr>
              <w:tab/>
            </w:r>
            <w:r w:rsidR="009D2786">
              <w:rPr>
                <w:noProof/>
                <w:webHidden/>
              </w:rPr>
              <w:fldChar w:fldCharType="begin"/>
            </w:r>
            <w:r w:rsidR="009D2786">
              <w:rPr>
                <w:noProof/>
                <w:webHidden/>
              </w:rPr>
              <w:instrText xml:space="preserve"> PAGEREF _Toc180484307 \h </w:instrText>
            </w:r>
            <w:r w:rsidR="009D2786">
              <w:rPr>
                <w:noProof/>
                <w:webHidden/>
              </w:rPr>
            </w:r>
            <w:r w:rsidR="009D2786">
              <w:rPr>
                <w:noProof/>
                <w:webHidden/>
              </w:rPr>
              <w:fldChar w:fldCharType="separate"/>
            </w:r>
            <w:r w:rsidR="00BA3161">
              <w:rPr>
                <w:noProof/>
                <w:webHidden/>
              </w:rPr>
              <w:t>17</w:t>
            </w:r>
            <w:r w:rsidR="009D2786">
              <w:rPr>
                <w:noProof/>
                <w:webHidden/>
              </w:rPr>
              <w:fldChar w:fldCharType="end"/>
            </w:r>
          </w:hyperlink>
        </w:p>
        <w:p w14:paraId="0D075B20" w14:textId="0292558D" w:rsidR="009D2786" w:rsidRDefault="00000000">
          <w:pPr>
            <w:pStyle w:val="TOC3"/>
            <w:tabs>
              <w:tab w:val="right" w:leader="dot" w:pos="9622"/>
            </w:tabs>
            <w:rPr>
              <w:rFonts w:cstheme="minorBidi"/>
              <w:noProof/>
              <w:kern w:val="2"/>
              <w:sz w:val="24"/>
              <w:szCs w:val="24"/>
              <w14:ligatures w14:val="standardContextual"/>
            </w:rPr>
          </w:pPr>
          <w:hyperlink w:anchor="_Toc180484308" w:history="1">
            <w:r w:rsidR="009D2786" w:rsidRPr="003C1600">
              <w:rPr>
                <w:rStyle w:val="Hyperlink"/>
                <w:noProof/>
              </w:rPr>
              <w:t>Facilitate sharing and showcasing of learnings and best practice</w:t>
            </w:r>
            <w:r w:rsidR="009D2786">
              <w:rPr>
                <w:noProof/>
                <w:webHidden/>
              </w:rPr>
              <w:tab/>
            </w:r>
            <w:r w:rsidR="009D2786">
              <w:rPr>
                <w:noProof/>
                <w:webHidden/>
              </w:rPr>
              <w:fldChar w:fldCharType="begin"/>
            </w:r>
            <w:r w:rsidR="009D2786">
              <w:rPr>
                <w:noProof/>
                <w:webHidden/>
              </w:rPr>
              <w:instrText xml:space="preserve"> PAGEREF _Toc180484308 \h </w:instrText>
            </w:r>
            <w:r w:rsidR="009D2786">
              <w:rPr>
                <w:noProof/>
                <w:webHidden/>
              </w:rPr>
            </w:r>
            <w:r w:rsidR="009D2786">
              <w:rPr>
                <w:noProof/>
                <w:webHidden/>
              </w:rPr>
              <w:fldChar w:fldCharType="separate"/>
            </w:r>
            <w:r w:rsidR="00BA3161">
              <w:rPr>
                <w:noProof/>
                <w:webHidden/>
              </w:rPr>
              <w:t>18</w:t>
            </w:r>
            <w:r w:rsidR="009D2786">
              <w:rPr>
                <w:noProof/>
                <w:webHidden/>
              </w:rPr>
              <w:fldChar w:fldCharType="end"/>
            </w:r>
          </w:hyperlink>
        </w:p>
        <w:p w14:paraId="6E3F93CB" w14:textId="76C5AC39" w:rsidR="009D2786" w:rsidRDefault="00000000">
          <w:pPr>
            <w:pStyle w:val="TOC3"/>
            <w:tabs>
              <w:tab w:val="right" w:leader="dot" w:pos="9622"/>
            </w:tabs>
            <w:rPr>
              <w:rFonts w:cstheme="minorBidi"/>
              <w:noProof/>
              <w:kern w:val="2"/>
              <w:sz w:val="24"/>
              <w:szCs w:val="24"/>
              <w14:ligatures w14:val="standardContextual"/>
            </w:rPr>
          </w:pPr>
          <w:hyperlink w:anchor="_Toc180484309" w:history="1">
            <w:r w:rsidR="009D2786" w:rsidRPr="003C1600">
              <w:rPr>
                <w:rStyle w:val="Hyperlink"/>
                <w:noProof/>
              </w:rPr>
              <w:t>Monitoring and evaluating key strategies that impact Aboriginal and Torres Strait Islander children and families</w:t>
            </w:r>
            <w:r w:rsidR="009D2786">
              <w:rPr>
                <w:noProof/>
                <w:webHidden/>
              </w:rPr>
              <w:tab/>
            </w:r>
            <w:r w:rsidR="009D2786">
              <w:rPr>
                <w:noProof/>
                <w:webHidden/>
              </w:rPr>
              <w:fldChar w:fldCharType="begin"/>
            </w:r>
            <w:r w:rsidR="009D2786">
              <w:rPr>
                <w:noProof/>
                <w:webHidden/>
              </w:rPr>
              <w:instrText xml:space="preserve"> PAGEREF _Toc180484309 \h </w:instrText>
            </w:r>
            <w:r w:rsidR="009D2786">
              <w:rPr>
                <w:noProof/>
                <w:webHidden/>
              </w:rPr>
            </w:r>
            <w:r w:rsidR="009D2786">
              <w:rPr>
                <w:noProof/>
                <w:webHidden/>
              </w:rPr>
              <w:fldChar w:fldCharType="separate"/>
            </w:r>
            <w:r w:rsidR="00BA3161">
              <w:rPr>
                <w:noProof/>
                <w:webHidden/>
              </w:rPr>
              <w:t>18</w:t>
            </w:r>
            <w:r w:rsidR="009D2786">
              <w:rPr>
                <w:noProof/>
                <w:webHidden/>
              </w:rPr>
              <w:fldChar w:fldCharType="end"/>
            </w:r>
          </w:hyperlink>
        </w:p>
        <w:p w14:paraId="1815C34B" w14:textId="2661D06A" w:rsidR="009D2786" w:rsidRDefault="00000000">
          <w:pPr>
            <w:pStyle w:val="TOC1"/>
            <w:rPr>
              <w:rFonts w:asciiTheme="minorHAnsi" w:eastAsiaTheme="minorEastAsia" w:hAnsiTheme="minorHAnsi"/>
              <w:noProof/>
              <w:lang w:val="en-AU" w:eastAsia="en-AU"/>
            </w:rPr>
          </w:pPr>
          <w:hyperlink w:anchor="_Toc180484310" w:history="1">
            <w:r w:rsidR="009D2786" w:rsidRPr="003C1600">
              <w:rPr>
                <w:rStyle w:val="Hyperlink"/>
                <w:noProof/>
              </w:rPr>
              <w:t>Governance</w:t>
            </w:r>
            <w:r w:rsidR="009D2786">
              <w:rPr>
                <w:noProof/>
                <w:webHidden/>
              </w:rPr>
              <w:tab/>
            </w:r>
            <w:r w:rsidR="009D2786">
              <w:rPr>
                <w:noProof/>
                <w:webHidden/>
              </w:rPr>
              <w:fldChar w:fldCharType="begin"/>
            </w:r>
            <w:r w:rsidR="009D2786">
              <w:rPr>
                <w:noProof/>
                <w:webHidden/>
              </w:rPr>
              <w:instrText xml:space="preserve"> PAGEREF _Toc180484310 \h </w:instrText>
            </w:r>
            <w:r w:rsidR="009D2786">
              <w:rPr>
                <w:noProof/>
                <w:webHidden/>
              </w:rPr>
            </w:r>
            <w:r w:rsidR="009D2786">
              <w:rPr>
                <w:noProof/>
                <w:webHidden/>
              </w:rPr>
              <w:fldChar w:fldCharType="separate"/>
            </w:r>
            <w:r w:rsidR="00BA3161">
              <w:rPr>
                <w:noProof/>
                <w:webHidden/>
              </w:rPr>
              <w:t>19</w:t>
            </w:r>
            <w:r w:rsidR="009D2786">
              <w:rPr>
                <w:noProof/>
                <w:webHidden/>
              </w:rPr>
              <w:fldChar w:fldCharType="end"/>
            </w:r>
          </w:hyperlink>
        </w:p>
        <w:p w14:paraId="15F1C122" w14:textId="4061B46E" w:rsidR="009D2786" w:rsidRDefault="00000000">
          <w:pPr>
            <w:pStyle w:val="TOC2"/>
            <w:tabs>
              <w:tab w:val="right" w:leader="dot" w:pos="9622"/>
            </w:tabs>
            <w:rPr>
              <w:rFonts w:asciiTheme="minorHAnsi" w:eastAsiaTheme="minorEastAsia" w:hAnsiTheme="minorHAnsi"/>
              <w:noProof/>
              <w:lang w:val="en-AU" w:eastAsia="en-AU"/>
            </w:rPr>
          </w:pPr>
          <w:hyperlink w:anchor="_Toc180484311" w:history="1">
            <w:r w:rsidR="009D2786" w:rsidRPr="003C1600">
              <w:rPr>
                <w:rStyle w:val="Hyperlink"/>
                <w:noProof/>
              </w:rPr>
              <w:t>Organisational governance through a host organisation</w:t>
            </w:r>
            <w:r w:rsidR="009D2786">
              <w:rPr>
                <w:noProof/>
                <w:webHidden/>
              </w:rPr>
              <w:tab/>
            </w:r>
            <w:r w:rsidR="009D2786">
              <w:rPr>
                <w:noProof/>
                <w:webHidden/>
              </w:rPr>
              <w:fldChar w:fldCharType="begin"/>
            </w:r>
            <w:r w:rsidR="009D2786">
              <w:rPr>
                <w:noProof/>
                <w:webHidden/>
              </w:rPr>
              <w:instrText xml:space="preserve"> PAGEREF _Toc180484311 \h </w:instrText>
            </w:r>
            <w:r w:rsidR="009D2786">
              <w:rPr>
                <w:noProof/>
                <w:webHidden/>
              </w:rPr>
            </w:r>
            <w:r w:rsidR="009D2786">
              <w:rPr>
                <w:noProof/>
                <w:webHidden/>
              </w:rPr>
              <w:fldChar w:fldCharType="separate"/>
            </w:r>
            <w:r w:rsidR="00BA3161">
              <w:rPr>
                <w:noProof/>
                <w:webHidden/>
              </w:rPr>
              <w:t>20</w:t>
            </w:r>
            <w:r w:rsidR="009D2786">
              <w:rPr>
                <w:noProof/>
                <w:webHidden/>
              </w:rPr>
              <w:fldChar w:fldCharType="end"/>
            </w:r>
          </w:hyperlink>
        </w:p>
        <w:p w14:paraId="768AE142" w14:textId="47EC7796" w:rsidR="009D2786" w:rsidRDefault="00000000">
          <w:pPr>
            <w:pStyle w:val="TOC3"/>
            <w:tabs>
              <w:tab w:val="right" w:leader="dot" w:pos="9622"/>
            </w:tabs>
            <w:rPr>
              <w:rFonts w:cstheme="minorBidi"/>
              <w:noProof/>
              <w:kern w:val="2"/>
              <w:sz w:val="24"/>
              <w:szCs w:val="24"/>
              <w14:ligatures w14:val="standardContextual"/>
            </w:rPr>
          </w:pPr>
          <w:hyperlink w:anchor="_Toc180484312" w:history="1">
            <w:r w:rsidR="009D2786" w:rsidRPr="003C1600">
              <w:rPr>
                <w:rStyle w:val="Hyperlink"/>
                <w:noProof/>
              </w:rPr>
              <w:t>Leveraging existing partnerships and relationships</w:t>
            </w:r>
            <w:r w:rsidR="009D2786">
              <w:rPr>
                <w:noProof/>
                <w:webHidden/>
              </w:rPr>
              <w:tab/>
            </w:r>
            <w:r w:rsidR="009D2786">
              <w:rPr>
                <w:noProof/>
                <w:webHidden/>
              </w:rPr>
              <w:fldChar w:fldCharType="begin"/>
            </w:r>
            <w:r w:rsidR="009D2786">
              <w:rPr>
                <w:noProof/>
                <w:webHidden/>
              </w:rPr>
              <w:instrText xml:space="preserve"> PAGEREF _Toc180484312 \h </w:instrText>
            </w:r>
            <w:r w:rsidR="009D2786">
              <w:rPr>
                <w:noProof/>
                <w:webHidden/>
              </w:rPr>
            </w:r>
            <w:r w:rsidR="009D2786">
              <w:rPr>
                <w:noProof/>
                <w:webHidden/>
              </w:rPr>
              <w:fldChar w:fldCharType="separate"/>
            </w:r>
            <w:r w:rsidR="00BA3161">
              <w:rPr>
                <w:noProof/>
                <w:webHidden/>
              </w:rPr>
              <w:t>20</w:t>
            </w:r>
            <w:r w:rsidR="009D2786">
              <w:rPr>
                <w:noProof/>
                <w:webHidden/>
              </w:rPr>
              <w:fldChar w:fldCharType="end"/>
            </w:r>
          </w:hyperlink>
        </w:p>
        <w:p w14:paraId="48F08BC0" w14:textId="0C9AAE28" w:rsidR="009D2786" w:rsidRDefault="00000000">
          <w:pPr>
            <w:pStyle w:val="TOC3"/>
            <w:tabs>
              <w:tab w:val="right" w:leader="dot" w:pos="9622"/>
            </w:tabs>
            <w:rPr>
              <w:rFonts w:cstheme="minorBidi"/>
              <w:noProof/>
              <w:kern w:val="2"/>
              <w:sz w:val="24"/>
              <w:szCs w:val="24"/>
              <w14:ligatures w14:val="standardContextual"/>
            </w:rPr>
          </w:pPr>
          <w:hyperlink w:anchor="_Toc180484313" w:history="1">
            <w:r w:rsidR="009D2786" w:rsidRPr="003C1600">
              <w:rPr>
                <w:rStyle w:val="Hyperlink"/>
                <w:noProof/>
              </w:rPr>
              <w:t>Alignment with the Centre’s purpose scope, functions, roles and responsibilities</w:t>
            </w:r>
            <w:r w:rsidR="009D2786">
              <w:rPr>
                <w:noProof/>
                <w:webHidden/>
              </w:rPr>
              <w:tab/>
            </w:r>
            <w:r w:rsidR="009D2786">
              <w:rPr>
                <w:noProof/>
                <w:webHidden/>
              </w:rPr>
              <w:fldChar w:fldCharType="begin"/>
            </w:r>
            <w:r w:rsidR="009D2786">
              <w:rPr>
                <w:noProof/>
                <w:webHidden/>
              </w:rPr>
              <w:instrText xml:space="preserve"> PAGEREF _Toc180484313 \h </w:instrText>
            </w:r>
            <w:r w:rsidR="009D2786">
              <w:rPr>
                <w:noProof/>
                <w:webHidden/>
              </w:rPr>
            </w:r>
            <w:r w:rsidR="009D2786">
              <w:rPr>
                <w:noProof/>
                <w:webHidden/>
              </w:rPr>
              <w:fldChar w:fldCharType="separate"/>
            </w:r>
            <w:r w:rsidR="00BA3161">
              <w:rPr>
                <w:noProof/>
                <w:webHidden/>
              </w:rPr>
              <w:t>21</w:t>
            </w:r>
            <w:r w:rsidR="009D2786">
              <w:rPr>
                <w:noProof/>
                <w:webHidden/>
              </w:rPr>
              <w:fldChar w:fldCharType="end"/>
            </w:r>
          </w:hyperlink>
        </w:p>
        <w:p w14:paraId="4F2E1872" w14:textId="20746EAD" w:rsidR="009D2786" w:rsidRDefault="00000000">
          <w:pPr>
            <w:pStyle w:val="TOC3"/>
            <w:tabs>
              <w:tab w:val="right" w:leader="dot" w:pos="9622"/>
            </w:tabs>
            <w:rPr>
              <w:rFonts w:cstheme="minorBidi"/>
              <w:noProof/>
              <w:kern w:val="2"/>
              <w:sz w:val="24"/>
              <w:szCs w:val="24"/>
              <w14:ligatures w14:val="standardContextual"/>
            </w:rPr>
          </w:pPr>
          <w:hyperlink w:anchor="_Toc180484314" w:history="1">
            <w:r w:rsidR="009D2786" w:rsidRPr="003C1600">
              <w:rPr>
                <w:rStyle w:val="Hyperlink"/>
                <w:noProof/>
              </w:rPr>
              <w:t>Experience working with governments and key governance structures to improve outcomes for children and families</w:t>
            </w:r>
            <w:r w:rsidR="009D2786">
              <w:rPr>
                <w:noProof/>
                <w:webHidden/>
              </w:rPr>
              <w:tab/>
            </w:r>
            <w:r w:rsidR="009D2786">
              <w:rPr>
                <w:noProof/>
                <w:webHidden/>
              </w:rPr>
              <w:fldChar w:fldCharType="begin"/>
            </w:r>
            <w:r w:rsidR="009D2786">
              <w:rPr>
                <w:noProof/>
                <w:webHidden/>
              </w:rPr>
              <w:instrText xml:space="preserve"> PAGEREF _Toc180484314 \h </w:instrText>
            </w:r>
            <w:r w:rsidR="009D2786">
              <w:rPr>
                <w:noProof/>
                <w:webHidden/>
              </w:rPr>
            </w:r>
            <w:r w:rsidR="009D2786">
              <w:rPr>
                <w:noProof/>
                <w:webHidden/>
              </w:rPr>
              <w:fldChar w:fldCharType="separate"/>
            </w:r>
            <w:r w:rsidR="00BA3161">
              <w:rPr>
                <w:noProof/>
                <w:webHidden/>
              </w:rPr>
              <w:t>21</w:t>
            </w:r>
            <w:r w:rsidR="009D2786">
              <w:rPr>
                <w:noProof/>
                <w:webHidden/>
              </w:rPr>
              <w:fldChar w:fldCharType="end"/>
            </w:r>
          </w:hyperlink>
        </w:p>
        <w:p w14:paraId="366CA322" w14:textId="3B7846AA" w:rsidR="009D2786" w:rsidRDefault="00000000">
          <w:pPr>
            <w:pStyle w:val="TOC3"/>
            <w:tabs>
              <w:tab w:val="right" w:leader="dot" w:pos="9622"/>
            </w:tabs>
            <w:rPr>
              <w:rFonts w:cstheme="minorBidi"/>
              <w:noProof/>
              <w:kern w:val="2"/>
              <w:sz w:val="24"/>
              <w:szCs w:val="24"/>
              <w14:ligatures w14:val="standardContextual"/>
            </w:rPr>
          </w:pPr>
          <w:hyperlink w:anchor="_Toc180484315" w:history="1">
            <w:r w:rsidR="009D2786" w:rsidRPr="003C1600">
              <w:rPr>
                <w:rStyle w:val="Hyperlink"/>
                <w:noProof/>
              </w:rPr>
              <w:t>A commitment to community-led and culturally centred research to support Aboriginal and Torres Strait Islander communities</w:t>
            </w:r>
            <w:r w:rsidR="009D2786">
              <w:rPr>
                <w:noProof/>
                <w:webHidden/>
              </w:rPr>
              <w:tab/>
            </w:r>
            <w:r w:rsidR="009D2786">
              <w:rPr>
                <w:noProof/>
                <w:webHidden/>
              </w:rPr>
              <w:fldChar w:fldCharType="begin"/>
            </w:r>
            <w:r w:rsidR="009D2786">
              <w:rPr>
                <w:noProof/>
                <w:webHidden/>
              </w:rPr>
              <w:instrText xml:space="preserve"> PAGEREF _Toc180484315 \h </w:instrText>
            </w:r>
            <w:r w:rsidR="009D2786">
              <w:rPr>
                <w:noProof/>
                <w:webHidden/>
              </w:rPr>
            </w:r>
            <w:r w:rsidR="009D2786">
              <w:rPr>
                <w:noProof/>
                <w:webHidden/>
              </w:rPr>
              <w:fldChar w:fldCharType="separate"/>
            </w:r>
            <w:r w:rsidR="00BA3161">
              <w:rPr>
                <w:noProof/>
                <w:webHidden/>
              </w:rPr>
              <w:t>22</w:t>
            </w:r>
            <w:r w:rsidR="009D2786">
              <w:rPr>
                <w:noProof/>
                <w:webHidden/>
              </w:rPr>
              <w:fldChar w:fldCharType="end"/>
            </w:r>
          </w:hyperlink>
        </w:p>
        <w:p w14:paraId="00BB2167" w14:textId="5CAA7CD8" w:rsidR="009D2786" w:rsidRDefault="00000000">
          <w:pPr>
            <w:pStyle w:val="TOC3"/>
            <w:tabs>
              <w:tab w:val="right" w:leader="dot" w:pos="9622"/>
            </w:tabs>
            <w:rPr>
              <w:rFonts w:cstheme="minorBidi"/>
              <w:noProof/>
              <w:kern w:val="2"/>
              <w:sz w:val="24"/>
              <w:szCs w:val="24"/>
              <w14:ligatures w14:val="standardContextual"/>
            </w:rPr>
          </w:pPr>
          <w:hyperlink w:anchor="_Toc180484316" w:history="1">
            <w:r w:rsidR="009D2786" w:rsidRPr="003C1600">
              <w:rPr>
                <w:rStyle w:val="Hyperlink"/>
                <w:noProof/>
              </w:rPr>
              <w:t>Additional requirements</w:t>
            </w:r>
            <w:r w:rsidR="009D2786">
              <w:rPr>
                <w:noProof/>
                <w:webHidden/>
              </w:rPr>
              <w:tab/>
            </w:r>
            <w:r w:rsidR="009D2786">
              <w:rPr>
                <w:noProof/>
                <w:webHidden/>
              </w:rPr>
              <w:fldChar w:fldCharType="begin"/>
            </w:r>
            <w:r w:rsidR="009D2786">
              <w:rPr>
                <w:noProof/>
                <w:webHidden/>
              </w:rPr>
              <w:instrText xml:space="preserve"> PAGEREF _Toc180484316 \h </w:instrText>
            </w:r>
            <w:r w:rsidR="009D2786">
              <w:rPr>
                <w:noProof/>
                <w:webHidden/>
              </w:rPr>
            </w:r>
            <w:r w:rsidR="009D2786">
              <w:rPr>
                <w:noProof/>
                <w:webHidden/>
              </w:rPr>
              <w:fldChar w:fldCharType="separate"/>
            </w:r>
            <w:r w:rsidR="00BA3161">
              <w:rPr>
                <w:noProof/>
                <w:webHidden/>
              </w:rPr>
              <w:t>22</w:t>
            </w:r>
            <w:r w:rsidR="009D2786">
              <w:rPr>
                <w:noProof/>
                <w:webHidden/>
              </w:rPr>
              <w:fldChar w:fldCharType="end"/>
            </w:r>
          </w:hyperlink>
        </w:p>
        <w:p w14:paraId="25FD1BED" w14:textId="5493987E" w:rsidR="009D2786" w:rsidRDefault="00000000">
          <w:pPr>
            <w:pStyle w:val="TOC2"/>
            <w:tabs>
              <w:tab w:val="right" w:leader="dot" w:pos="9622"/>
            </w:tabs>
            <w:rPr>
              <w:rFonts w:asciiTheme="minorHAnsi" w:eastAsiaTheme="minorEastAsia" w:hAnsiTheme="minorHAnsi"/>
              <w:noProof/>
              <w:lang w:val="en-AU" w:eastAsia="en-AU"/>
            </w:rPr>
          </w:pPr>
          <w:hyperlink w:anchor="_Toc180484317" w:history="1">
            <w:r w:rsidR="009D2786" w:rsidRPr="003C1600">
              <w:rPr>
                <w:rStyle w:val="Hyperlink"/>
                <w:noProof/>
              </w:rPr>
              <w:t>Other options considered</w:t>
            </w:r>
            <w:r w:rsidR="009D2786">
              <w:rPr>
                <w:noProof/>
                <w:webHidden/>
              </w:rPr>
              <w:tab/>
            </w:r>
            <w:r w:rsidR="009D2786">
              <w:rPr>
                <w:noProof/>
                <w:webHidden/>
              </w:rPr>
              <w:fldChar w:fldCharType="begin"/>
            </w:r>
            <w:r w:rsidR="009D2786">
              <w:rPr>
                <w:noProof/>
                <w:webHidden/>
              </w:rPr>
              <w:instrText xml:space="preserve"> PAGEREF _Toc180484317 \h </w:instrText>
            </w:r>
            <w:r w:rsidR="009D2786">
              <w:rPr>
                <w:noProof/>
                <w:webHidden/>
              </w:rPr>
            </w:r>
            <w:r w:rsidR="009D2786">
              <w:rPr>
                <w:noProof/>
                <w:webHidden/>
              </w:rPr>
              <w:fldChar w:fldCharType="separate"/>
            </w:r>
            <w:r w:rsidR="00BA3161">
              <w:rPr>
                <w:noProof/>
                <w:webHidden/>
              </w:rPr>
              <w:t>22</w:t>
            </w:r>
            <w:r w:rsidR="009D2786">
              <w:rPr>
                <w:noProof/>
                <w:webHidden/>
              </w:rPr>
              <w:fldChar w:fldCharType="end"/>
            </w:r>
          </w:hyperlink>
        </w:p>
        <w:p w14:paraId="7A250CB7" w14:textId="712EAF39" w:rsidR="009D2786" w:rsidRDefault="00000000">
          <w:pPr>
            <w:pStyle w:val="TOC3"/>
            <w:tabs>
              <w:tab w:val="right" w:leader="dot" w:pos="9622"/>
            </w:tabs>
            <w:rPr>
              <w:rFonts w:cstheme="minorBidi"/>
              <w:noProof/>
              <w:kern w:val="2"/>
              <w:sz w:val="24"/>
              <w:szCs w:val="24"/>
              <w14:ligatures w14:val="standardContextual"/>
            </w:rPr>
          </w:pPr>
          <w:hyperlink w:anchor="_Toc180484318" w:history="1">
            <w:r w:rsidR="009D2786" w:rsidRPr="003C1600">
              <w:rPr>
                <w:rStyle w:val="Hyperlink"/>
                <w:noProof/>
              </w:rPr>
              <w:t>Standalone model</w:t>
            </w:r>
            <w:r w:rsidR="009D2786">
              <w:rPr>
                <w:noProof/>
                <w:webHidden/>
              </w:rPr>
              <w:tab/>
            </w:r>
            <w:r w:rsidR="009D2786">
              <w:rPr>
                <w:noProof/>
                <w:webHidden/>
              </w:rPr>
              <w:fldChar w:fldCharType="begin"/>
            </w:r>
            <w:r w:rsidR="009D2786">
              <w:rPr>
                <w:noProof/>
                <w:webHidden/>
              </w:rPr>
              <w:instrText xml:space="preserve"> PAGEREF _Toc180484318 \h </w:instrText>
            </w:r>
            <w:r w:rsidR="009D2786">
              <w:rPr>
                <w:noProof/>
                <w:webHidden/>
              </w:rPr>
            </w:r>
            <w:r w:rsidR="009D2786">
              <w:rPr>
                <w:noProof/>
                <w:webHidden/>
              </w:rPr>
              <w:fldChar w:fldCharType="separate"/>
            </w:r>
            <w:r w:rsidR="00BA3161">
              <w:rPr>
                <w:noProof/>
                <w:webHidden/>
              </w:rPr>
              <w:t>22</w:t>
            </w:r>
            <w:r w:rsidR="009D2786">
              <w:rPr>
                <w:noProof/>
                <w:webHidden/>
              </w:rPr>
              <w:fldChar w:fldCharType="end"/>
            </w:r>
          </w:hyperlink>
        </w:p>
        <w:p w14:paraId="7A65C7F8" w14:textId="09A70D6A" w:rsidR="009D2786" w:rsidRDefault="00000000">
          <w:pPr>
            <w:pStyle w:val="TOC3"/>
            <w:tabs>
              <w:tab w:val="right" w:leader="dot" w:pos="9622"/>
            </w:tabs>
            <w:rPr>
              <w:rFonts w:cstheme="minorBidi"/>
              <w:noProof/>
              <w:kern w:val="2"/>
              <w:sz w:val="24"/>
              <w:szCs w:val="24"/>
              <w14:ligatures w14:val="standardContextual"/>
            </w:rPr>
          </w:pPr>
          <w:hyperlink w:anchor="_Toc180484319" w:history="1">
            <w:r w:rsidR="009D2786" w:rsidRPr="003C1600">
              <w:rPr>
                <w:rStyle w:val="Hyperlink"/>
                <w:noProof/>
              </w:rPr>
              <w:t>Academic partnership model</w:t>
            </w:r>
            <w:r w:rsidR="009D2786">
              <w:rPr>
                <w:noProof/>
                <w:webHidden/>
              </w:rPr>
              <w:tab/>
            </w:r>
            <w:r w:rsidR="009D2786">
              <w:rPr>
                <w:noProof/>
                <w:webHidden/>
              </w:rPr>
              <w:fldChar w:fldCharType="begin"/>
            </w:r>
            <w:r w:rsidR="009D2786">
              <w:rPr>
                <w:noProof/>
                <w:webHidden/>
              </w:rPr>
              <w:instrText xml:space="preserve"> PAGEREF _Toc180484319 \h </w:instrText>
            </w:r>
            <w:r w:rsidR="009D2786">
              <w:rPr>
                <w:noProof/>
                <w:webHidden/>
              </w:rPr>
            </w:r>
            <w:r w:rsidR="009D2786">
              <w:rPr>
                <w:noProof/>
                <w:webHidden/>
              </w:rPr>
              <w:fldChar w:fldCharType="separate"/>
            </w:r>
            <w:r w:rsidR="00BA3161">
              <w:rPr>
                <w:noProof/>
                <w:webHidden/>
              </w:rPr>
              <w:t>23</w:t>
            </w:r>
            <w:r w:rsidR="009D2786">
              <w:rPr>
                <w:noProof/>
                <w:webHidden/>
              </w:rPr>
              <w:fldChar w:fldCharType="end"/>
            </w:r>
          </w:hyperlink>
        </w:p>
        <w:p w14:paraId="2DB56483" w14:textId="4D7AD678" w:rsidR="009D2786" w:rsidRDefault="00000000">
          <w:pPr>
            <w:pStyle w:val="TOC2"/>
            <w:tabs>
              <w:tab w:val="right" w:leader="dot" w:pos="9622"/>
            </w:tabs>
            <w:rPr>
              <w:rFonts w:asciiTheme="minorHAnsi" w:eastAsiaTheme="minorEastAsia" w:hAnsiTheme="minorHAnsi"/>
              <w:noProof/>
              <w:lang w:val="en-AU" w:eastAsia="en-AU"/>
            </w:rPr>
          </w:pPr>
          <w:hyperlink w:anchor="_Toc180484320" w:history="1">
            <w:r w:rsidR="009D2786" w:rsidRPr="003C1600">
              <w:rPr>
                <w:rStyle w:val="Hyperlink"/>
                <w:noProof/>
              </w:rPr>
              <w:t>Tailored governance arrangements</w:t>
            </w:r>
            <w:r w:rsidR="009D2786">
              <w:rPr>
                <w:noProof/>
                <w:webHidden/>
              </w:rPr>
              <w:tab/>
            </w:r>
            <w:r w:rsidR="009D2786">
              <w:rPr>
                <w:noProof/>
                <w:webHidden/>
              </w:rPr>
              <w:fldChar w:fldCharType="begin"/>
            </w:r>
            <w:r w:rsidR="009D2786">
              <w:rPr>
                <w:noProof/>
                <w:webHidden/>
              </w:rPr>
              <w:instrText xml:space="preserve"> PAGEREF _Toc180484320 \h </w:instrText>
            </w:r>
            <w:r w:rsidR="009D2786">
              <w:rPr>
                <w:noProof/>
                <w:webHidden/>
              </w:rPr>
            </w:r>
            <w:r w:rsidR="009D2786">
              <w:rPr>
                <w:noProof/>
                <w:webHidden/>
              </w:rPr>
              <w:fldChar w:fldCharType="separate"/>
            </w:r>
            <w:r w:rsidR="00BA3161">
              <w:rPr>
                <w:noProof/>
                <w:webHidden/>
              </w:rPr>
              <w:t>23</w:t>
            </w:r>
            <w:r w:rsidR="009D2786">
              <w:rPr>
                <w:noProof/>
                <w:webHidden/>
              </w:rPr>
              <w:fldChar w:fldCharType="end"/>
            </w:r>
          </w:hyperlink>
        </w:p>
        <w:p w14:paraId="22DDD354" w14:textId="3A4A64E2" w:rsidR="009D2786" w:rsidRDefault="00000000">
          <w:pPr>
            <w:pStyle w:val="TOC2"/>
            <w:tabs>
              <w:tab w:val="right" w:leader="dot" w:pos="9622"/>
            </w:tabs>
            <w:rPr>
              <w:rFonts w:asciiTheme="minorHAnsi" w:eastAsiaTheme="minorEastAsia" w:hAnsiTheme="minorHAnsi"/>
              <w:noProof/>
              <w:lang w:val="en-AU" w:eastAsia="en-AU"/>
            </w:rPr>
          </w:pPr>
          <w:hyperlink w:anchor="_Toc180484321" w:history="1">
            <w:r w:rsidR="009D2786" w:rsidRPr="003C1600">
              <w:rPr>
                <w:rStyle w:val="Hyperlink"/>
                <w:noProof/>
              </w:rPr>
              <w:t>Centre Advisory Council</w:t>
            </w:r>
            <w:r w:rsidR="009D2786">
              <w:rPr>
                <w:noProof/>
                <w:webHidden/>
              </w:rPr>
              <w:tab/>
            </w:r>
            <w:r w:rsidR="009D2786">
              <w:rPr>
                <w:noProof/>
                <w:webHidden/>
              </w:rPr>
              <w:fldChar w:fldCharType="begin"/>
            </w:r>
            <w:r w:rsidR="009D2786">
              <w:rPr>
                <w:noProof/>
                <w:webHidden/>
              </w:rPr>
              <w:instrText xml:space="preserve"> PAGEREF _Toc180484321 \h </w:instrText>
            </w:r>
            <w:r w:rsidR="009D2786">
              <w:rPr>
                <w:noProof/>
                <w:webHidden/>
              </w:rPr>
            </w:r>
            <w:r w:rsidR="009D2786">
              <w:rPr>
                <w:noProof/>
                <w:webHidden/>
              </w:rPr>
              <w:fldChar w:fldCharType="separate"/>
            </w:r>
            <w:r w:rsidR="00BA3161">
              <w:rPr>
                <w:noProof/>
                <w:webHidden/>
              </w:rPr>
              <w:t>24</w:t>
            </w:r>
            <w:r w:rsidR="009D2786">
              <w:rPr>
                <w:noProof/>
                <w:webHidden/>
              </w:rPr>
              <w:fldChar w:fldCharType="end"/>
            </w:r>
          </w:hyperlink>
        </w:p>
        <w:p w14:paraId="3300F9E9" w14:textId="34624750" w:rsidR="009D2786" w:rsidRDefault="00000000">
          <w:pPr>
            <w:pStyle w:val="TOC2"/>
            <w:tabs>
              <w:tab w:val="right" w:leader="dot" w:pos="9622"/>
            </w:tabs>
            <w:rPr>
              <w:rFonts w:asciiTheme="minorHAnsi" w:eastAsiaTheme="minorEastAsia" w:hAnsiTheme="minorHAnsi"/>
              <w:noProof/>
              <w:lang w:val="en-AU" w:eastAsia="en-AU"/>
            </w:rPr>
          </w:pPr>
          <w:hyperlink w:anchor="_Toc180484322" w:history="1">
            <w:r w:rsidR="009D2786" w:rsidRPr="003C1600">
              <w:rPr>
                <w:rStyle w:val="Hyperlink"/>
                <w:noProof/>
              </w:rPr>
              <w:t>Cross-Disciplinary Expert Community of Practice</w:t>
            </w:r>
            <w:r w:rsidR="009D2786">
              <w:rPr>
                <w:noProof/>
                <w:webHidden/>
              </w:rPr>
              <w:tab/>
            </w:r>
            <w:r w:rsidR="009D2786">
              <w:rPr>
                <w:noProof/>
                <w:webHidden/>
              </w:rPr>
              <w:fldChar w:fldCharType="begin"/>
            </w:r>
            <w:r w:rsidR="009D2786">
              <w:rPr>
                <w:noProof/>
                <w:webHidden/>
              </w:rPr>
              <w:instrText xml:space="preserve"> PAGEREF _Toc180484322 \h </w:instrText>
            </w:r>
            <w:r w:rsidR="009D2786">
              <w:rPr>
                <w:noProof/>
                <w:webHidden/>
              </w:rPr>
            </w:r>
            <w:r w:rsidR="009D2786">
              <w:rPr>
                <w:noProof/>
                <w:webHidden/>
              </w:rPr>
              <w:fldChar w:fldCharType="separate"/>
            </w:r>
            <w:r w:rsidR="00BA3161">
              <w:rPr>
                <w:noProof/>
                <w:webHidden/>
              </w:rPr>
              <w:t>25</w:t>
            </w:r>
            <w:r w:rsidR="009D2786">
              <w:rPr>
                <w:noProof/>
                <w:webHidden/>
              </w:rPr>
              <w:fldChar w:fldCharType="end"/>
            </w:r>
          </w:hyperlink>
        </w:p>
        <w:p w14:paraId="4780228E" w14:textId="4A90F7F8" w:rsidR="009D2786" w:rsidRDefault="00000000">
          <w:pPr>
            <w:pStyle w:val="TOC2"/>
            <w:tabs>
              <w:tab w:val="right" w:leader="dot" w:pos="9622"/>
            </w:tabs>
            <w:rPr>
              <w:rFonts w:asciiTheme="minorHAnsi" w:eastAsiaTheme="minorEastAsia" w:hAnsiTheme="minorHAnsi"/>
              <w:noProof/>
              <w:lang w:val="en-AU" w:eastAsia="en-AU"/>
            </w:rPr>
          </w:pPr>
          <w:hyperlink w:anchor="_Toc180484323" w:history="1">
            <w:r w:rsidR="009D2786" w:rsidRPr="003C1600">
              <w:rPr>
                <w:rStyle w:val="Hyperlink"/>
                <w:noProof/>
              </w:rPr>
              <w:t>Indigenous Data Sovereignty Knowledge Holders</w:t>
            </w:r>
            <w:r w:rsidR="009D2786">
              <w:rPr>
                <w:noProof/>
                <w:webHidden/>
              </w:rPr>
              <w:tab/>
            </w:r>
            <w:r w:rsidR="009D2786">
              <w:rPr>
                <w:noProof/>
                <w:webHidden/>
              </w:rPr>
              <w:fldChar w:fldCharType="begin"/>
            </w:r>
            <w:r w:rsidR="009D2786">
              <w:rPr>
                <w:noProof/>
                <w:webHidden/>
              </w:rPr>
              <w:instrText xml:space="preserve"> PAGEREF _Toc180484323 \h </w:instrText>
            </w:r>
            <w:r w:rsidR="009D2786">
              <w:rPr>
                <w:noProof/>
                <w:webHidden/>
              </w:rPr>
            </w:r>
            <w:r w:rsidR="009D2786">
              <w:rPr>
                <w:noProof/>
                <w:webHidden/>
              </w:rPr>
              <w:fldChar w:fldCharType="separate"/>
            </w:r>
            <w:r w:rsidR="00BA3161">
              <w:rPr>
                <w:noProof/>
                <w:webHidden/>
              </w:rPr>
              <w:t>26</w:t>
            </w:r>
            <w:r w:rsidR="009D2786">
              <w:rPr>
                <w:noProof/>
                <w:webHidden/>
              </w:rPr>
              <w:fldChar w:fldCharType="end"/>
            </w:r>
          </w:hyperlink>
        </w:p>
        <w:p w14:paraId="19BA834C" w14:textId="46844B45" w:rsidR="009D2786" w:rsidRDefault="00000000">
          <w:pPr>
            <w:pStyle w:val="TOC2"/>
            <w:tabs>
              <w:tab w:val="right" w:leader="dot" w:pos="9622"/>
            </w:tabs>
            <w:rPr>
              <w:rFonts w:asciiTheme="minorHAnsi" w:eastAsiaTheme="minorEastAsia" w:hAnsiTheme="minorHAnsi"/>
              <w:noProof/>
              <w:lang w:val="en-AU" w:eastAsia="en-AU"/>
            </w:rPr>
          </w:pPr>
          <w:hyperlink w:anchor="_Toc180484324" w:history="1">
            <w:r w:rsidR="009D2786" w:rsidRPr="003C1600">
              <w:rPr>
                <w:rStyle w:val="Hyperlink"/>
                <w:noProof/>
              </w:rPr>
              <w:t>Collaborative Panel</w:t>
            </w:r>
            <w:r w:rsidR="009D2786">
              <w:rPr>
                <w:noProof/>
                <w:webHidden/>
              </w:rPr>
              <w:tab/>
            </w:r>
            <w:r w:rsidR="009D2786">
              <w:rPr>
                <w:noProof/>
                <w:webHidden/>
              </w:rPr>
              <w:fldChar w:fldCharType="begin"/>
            </w:r>
            <w:r w:rsidR="009D2786">
              <w:rPr>
                <w:noProof/>
                <w:webHidden/>
              </w:rPr>
              <w:instrText xml:space="preserve"> PAGEREF _Toc180484324 \h </w:instrText>
            </w:r>
            <w:r w:rsidR="009D2786">
              <w:rPr>
                <w:noProof/>
                <w:webHidden/>
              </w:rPr>
            </w:r>
            <w:r w:rsidR="009D2786">
              <w:rPr>
                <w:noProof/>
                <w:webHidden/>
              </w:rPr>
              <w:fldChar w:fldCharType="separate"/>
            </w:r>
            <w:r w:rsidR="00BA3161">
              <w:rPr>
                <w:noProof/>
                <w:webHidden/>
              </w:rPr>
              <w:t>27</w:t>
            </w:r>
            <w:r w:rsidR="009D2786">
              <w:rPr>
                <w:noProof/>
                <w:webHidden/>
              </w:rPr>
              <w:fldChar w:fldCharType="end"/>
            </w:r>
          </w:hyperlink>
        </w:p>
        <w:p w14:paraId="234BA8B1" w14:textId="60507C17" w:rsidR="009D2786" w:rsidRDefault="00000000">
          <w:pPr>
            <w:pStyle w:val="TOC2"/>
            <w:tabs>
              <w:tab w:val="right" w:leader="dot" w:pos="9622"/>
            </w:tabs>
            <w:rPr>
              <w:rFonts w:asciiTheme="minorHAnsi" w:eastAsiaTheme="minorEastAsia" w:hAnsiTheme="minorHAnsi"/>
              <w:noProof/>
              <w:lang w:val="en-AU" w:eastAsia="en-AU"/>
            </w:rPr>
          </w:pPr>
          <w:hyperlink w:anchor="_Toc180484325" w:history="1">
            <w:r w:rsidR="009D2786" w:rsidRPr="003C1600">
              <w:rPr>
                <w:rStyle w:val="Hyperlink"/>
                <w:noProof/>
              </w:rPr>
              <w:t>Community Advisors</w:t>
            </w:r>
            <w:r w:rsidR="009D2786">
              <w:rPr>
                <w:noProof/>
                <w:webHidden/>
              </w:rPr>
              <w:tab/>
            </w:r>
            <w:r w:rsidR="009D2786">
              <w:rPr>
                <w:noProof/>
                <w:webHidden/>
              </w:rPr>
              <w:fldChar w:fldCharType="begin"/>
            </w:r>
            <w:r w:rsidR="009D2786">
              <w:rPr>
                <w:noProof/>
                <w:webHidden/>
              </w:rPr>
              <w:instrText xml:space="preserve"> PAGEREF _Toc180484325 \h </w:instrText>
            </w:r>
            <w:r w:rsidR="009D2786">
              <w:rPr>
                <w:noProof/>
                <w:webHidden/>
              </w:rPr>
            </w:r>
            <w:r w:rsidR="009D2786">
              <w:rPr>
                <w:noProof/>
                <w:webHidden/>
              </w:rPr>
              <w:fldChar w:fldCharType="separate"/>
            </w:r>
            <w:r w:rsidR="00BA3161">
              <w:rPr>
                <w:noProof/>
                <w:webHidden/>
              </w:rPr>
              <w:t>27</w:t>
            </w:r>
            <w:r w:rsidR="009D2786">
              <w:rPr>
                <w:noProof/>
                <w:webHidden/>
              </w:rPr>
              <w:fldChar w:fldCharType="end"/>
            </w:r>
          </w:hyperlink>
        </w:p>
        <w:p w14:paraId="28935CFA" w14:textId="6F1E4D1F" w:rsidR="009D2786" w:rsidRDefault="00000000">
          <w:pPr>
            <w:pStyle w:val="TOC2"/>
            <w:tabs>
              <w:tab w:val="right" w:leader="dot" w:pos="9622"/>
            </w:tabs>
            <w:rPr>
              <w:rFonts w:asciiTheme="minorHAnsi" w:eastAsiaTheme="minorEastAsia" w:hAnsiTheme="minorHAnsi"/>
              <w:noProof/>
              <w:lang w:val="en-AU" w:eastAsia="en-AU"/>
            </w:rPr>
          </w:pPr>
          <w:hyperlink w:anchor="_Toc180484326" w:history="1">
            <w:r w:rsidR="009D2786" w:rsidRPr="003C1600">
              <w:rPr>
                <w:rStyle w:val="Hyperlink"/>
                <w:noProof/>
              </w:rPr>
              <w:t>Jurisdictional centres, networks and institutes</w:t>
            </w:r>
            <w:r w:rsidR="009D2786">
              <w:rPr>
                <w:noProof/>
                <w:webHidden/>
              </w:rPr>
              <w:tab/>
            </w:r>
            <w:r w:rsidR="009D2786">
              <w:rPr>
                <w:noProof/>
                <w:webHidden/>
              </w:rPr>
              <w:fldChar w:fldCharType="begin"/>
            </w:r>
            <w:r w:rsidR="009D2786">
              <w:rPr>
                <w:noProof/>
                <w:webHidden/>
              </w:rPr>
              <w:instrText xml:space="preserve"> PAGEREF _Toc180484326 \h </w:instrText>
            </w:r>
            <w:r w:rsidR="009D2786">
              <w:rPr>
                <w:noProof/>
                <w:webHidden/>
              </w:rPr>
            </w:r>
            <w:r w:rsidR="009D2786">
              <w:rPr>
                <w:noProof/>
                <w:webHidden/>
              </w:rPr>
              <w:fldChar w:fldCharType="separate"/>
            </w:r>
            <w:r w:rsidR="00BA3161">
              <w:rPr>
                <w:noProof/>
                <w:webHidden/>
              </w:rPr>
              <w:t>28</w:t>
            </w:r>
            <w:r w:rsidR="009D2786">
              <w:rPr>
                <w:noProof/>
                <w:webHidden/>
              </w:rPr>
              <w:fldChar w:fldCharType="end"/>
            </w:r>
          </w:hyperlink>
        </w:p>
        <w:p w14:paraId="3862B205" w14:textId="1B2B40B6" w:rsidR="009D2786" w:rsidRDefault="00000000">
          <w:pPr>
            <w:pStyle w:val="TOC2"/>
            <w:tabs>
              <w:tab w:val="right" w:leader="dot" w:pos="9622"/>
            </w:tabs>
            <w:rPr>
              <w:rFonts w:asciiTheme="minorHAnsi" w:eastAsiaTheme="minorEastAsia" w:hAnsiTheme="minorHAnsi"/>
              <w:noProof/>
              <w:lang w:val="en-AU" w:eastAsia="en-AU"/>
            </w:rPr>
          </w:pPr>
          <w:hyperlink w:anchor="_Toc180484327" w:history="1">
            <w:r w:rsidR="009D2786" w:rsidRPr="003C1600">
              <w:rPr>
                <w:rStyle w:val="Hyperlink"/>
                <w:noProof/>
              </w:rPr>
              <w:t>Aboriginal and Torres Strait Islander data governance</w:t>
            </w:r>
            <w:r w:rsidR="009D2786">
              <w:rPr>
                <w:noProof/>
                <w:webHidden/>
              </w:rPr>
              <w:tab/>
            </w:r>
            <w:r w:rsidR="009D2786">
              <w:rPr>
                <w:noProof/>
                <w:webHidden/>
              </w:rPr>
              <w:fldChar w:fldCharType="begin"/>
            </w:r>
            <w:r w:rsidR="009D2786">
              <w:rPr>
                <w:noProof/>
                <w:webHidden/>
              </w:rPr>
              <w:instrText xml:space="preserve"> PAGEREF _Toc180484327 \h </w:instrText>
            </w:r>
            <w:r w:rsidR="009D2786">
              <w:rPr>
                <w:noProof/>
                <w:webHidden/>
              </w:rPr>
            </w:r>
            <w:r w:rsidR="009D2786">
              <w:rPr>
                <w:noProof/>
                <w:webHidden/>
              </w:rPr>
              <w:fldChar w:fldCharType="separate"/>
            </w:r>
            <w:r w:rsidR="00BA3161">
              <w:rPr>
                <w:noProof/>
                <w:webHidden/>
              </w:rPr>
              <w:t>28</w:t>
            </w:r>
            <w:r w:rsidR="009D2786">
              <w:rPr>
                <w:noProof/>
                <w:webHidden/>
              </w:rPr>
              <w:fldChar w:fldCharType="end"/>
            </w:r>
          </w:hyperlink>
        </w:p>
        <w:p w14:paraId="3D54436E" w14:textId="6BA34494" w:rsidR="009D2786" w:rsidRDefault="00000000">
          <w:pPr>
            <w:pStyle w:val="TOC1"/>
            <w:rPr>
              <w:rFonts w:asciiTheme="minorHAnsi" w:eastAsiaTheme="minorEastAsia" w:hAnsiTheme="minorHAnsi"/>
              <w:noProof/>
              <w:lang w:val="en-AU" w:eastAsia="en-AU"/>
            </w:rPr>
          </w:pPr>
          <w:hyperlink w:anchor="_Toc180484328" w:history="1">
            <w:r w:rsidR="009D2786" w:rsidRPr="003C1600">
              <w:rPr>
                <w:rStyle w:val="Hyperlink"/>
                <w:noProof/>
              </w:rPr>
              <w:t>Operating model</w:t>
            </w:r>
            <w:r w:rsidR="009D2786">
              <w:rPr>
                <w:noProof/>
                <w:webHidden/>
              </w:rPr>
              <w:tab/>
            </w:r>
            <w:r w:rsidR="009D2786">
              <w:rPr>
                <w:noProof/>
                <w:webHidden/>
              </w:rPr>
              <w:fldChar w:fldCharType="begin"/>
            </w:r>
            <w:r w:rsidR="009D2786">
              <w:rPr>
                <w:noProof/>
                <w:webHidden/>
              </w:rPr>
              <w:instrText xml:space="preserve"> PAGEREF _Toc180484328 \h </w:instrText>
            </w:r>
            <w:r w:rsidR="009D2786">
              <w:rPr>
                <w:noProof/>
                <w:webHidden/>
              </w:rPr>
            </w:r>
            <w:r w:rsidR="009D2786">
              <w:rPr>
                <w:noProof/>
                <w:webHidden/>
              </w:rPr>
              <w:fldChar w:fldCharType="separate"/>
            </w:r>
            <w:r w:rsidR="00BA3161">
              <w:rPr>
                <w:noProof/>
                <w:webHidden/>
              </w:rPr>
              <w:t>30</w:t>
            </w:r>
            <w:r w:rsidR="009D2786">
              <w:rPr>
                <w:noProof/>
                <w:webHidden/>
              </w:rPr>
              <w:fldChar w:fldCharType="end"/>
            </w:r>
          </w:hyperlink>
        </w:p>
        <w:p w14:paraId="64ABB617" w14:textId="73C1AA3D" w:rsidR="009D2786" w:rsidRDefault="00000000">
          <w:pPr>
            <w:pStyle w:val="TOC2"/>
            <w:tabs>
              <w:tab w:val="right" w:leader="dot" w:pos="9622"/>
            </w:tabs>
            <w:rPr>
              <w:rFonts w:asciiTheme="minorHAnsi" w:eastAsiaTheme="minorEastAsia" w:hAnsiTheme="minorHAnsi"/>
              <w:noProof/>
              <w:lang w:val="en-AU" w:eastAsia="en-AU"/>
            </w:rPr>
          </w:pPr>
          <w:hyperlink w:anchor="_Toc180484329" w:history="1">
            <w:r w:rsidR="009D2786" w:rsidRPr="003C1600">
              <w:rPr>
                <w:rStyle w:val="Hyperlink"/>
                <w:noProof/>
              </w:rPr>
              <w:t>Physical hub</w:t>
            </w:r>
            <w:r w:rsidR="009D2786">
              <w:rPr>
                <w:noProof/>
                <w:webHidden/>
              </w:rPr>
              <w:tab/>
            </w:r>
            <w:r w:rsidR="009D2786">
              <w:rPr>
                <w:noProof/>
                <w:webHidden/>
              </w:rPr>
              <w:fldChar w:fldCharType="begin"/>
            </w:r>
            <w:r w:rsidR="009D2786">
              <w:rPr>
                <w:noProof/>
                <w:webHidden/>
              </w:rPr>
              <w:instrText xml:space="preserve"> PAGEREF _Toc180484329 \h </w:instrText>
            </w:r>
            <w:r w:rsidR="009D2786">
              <w:rPr>
                <w:noProof/>
                <w:webHidden/>
              </w:rPr>
            </w:r>
            <w:r w:rsidR="009D2786">
              <w:rPr>
                <w:noProof/>
                <w:webHidden/>
              </w:rPr>
              <w:fldChar w:fldCharType="separate"/>
            </w:r>
            <w:r w:rsidR="00BA3161">
              <w:rPr>
                <w:noProof/>
                <w:webHidden/>
              </w:rPr>
              <w:t>30</w:t>
            </w:r>
            <w:r w:rsidR="009D2786">
              <w:rPr>
                <w:noProof/>
                <w:webHidden/>
              </w:rPr>
              <w:fldChar w:fldCharType="end"/>
            </w:r>
          </w:hyperlink>
        </w:p>
        <w:p w14:paraId="2A75761C" w14:textId="703F01D2" w:rsidR="009D2786" w:rsidRDefault="00000000">
          <w:pPr>
            <w:pStyle w:val="TOC2"/>
            <w:tabs>
              <w:tab w:val="right" w:leader="dot" w:pos="9622"/>
            </w:tabs>
            <w:rPr>
              <w:rFonts w:asciiTheme="minorHAnsi" w:eastAsiaTheme="minorEastAsia" w:hAnsiTheme="minorHAnsi"/>
              <w:noProof/>
              <w:lang w:val="en-AU" w:eastAsia="en-AU"/>
            </w:rPr>
          </w:pPr>
          <w:hyperlink w:anchor="_Toc180484330" w:history="1">
            <w:r w:rsidR="009D2786" w:rsidRPr="003C1600">
              <w:rPr>
                <w:rStyle w:val="Hyperlink"/>
                <w:noProof/>
              </w:rPr>
              <w:t>Virtual spokes</w:t>
            </w:r>
            <w:r w:rsidR="009D2786">
              <w:rPr>
                <w:noProof/>
                <w:webHidden/>
              </w:rPr>
              <w:tab/>
            </w:r>
            <w:r w:rsidR="009D2786">
              <w:rPr>
                <w:noProof/>
                <w:webHidden/>
              </w:rPr>
              <w:fldChar w:fldCharType="begin"/>
            </w:r>
            <w:r w:rsidR="009D2786">
              <w:rPr>
                <w:noProof/>
                <w:webHidden/>
              </w:rPr>
              <w:instrText xml:space="preserve"> PAGEREF _Toc180484330 \h </w:instrText>
            </w:r>
            <w:r w:rsidR="009D2786">
              <w:rPr>
                <w:noProof/>
                <w:webHidden/>
              </w:rPr>
            </w:r>
            <w:r w:rsidR="009D2786">
              <w:rPr>
                <w:noProof/>
                <w:webHidden/>
              </w:rPr>
              <w:fldChar w:fldCharType="separate"/>
            </w:r>
            <w:r w:rsidR="00BA3161">
              <w:rPr>
                <w:noProof/>
                <w:webHidden/>
              </w:rPr>
              <w:t>30</w:t>
            </w:r>
            <w:r w:rsidR="009D2786">
              <w:rPr>
                <w:noProof/>
                <w:webHidden/>
              </w:rPr>
              <w:fldChar w:fldCharType="end"/>
            </w:r>
          </w:hyperlink>
        </w:p>
        <w:p w14:paraId="7740DD45" w14:textId="770D02CC" w:rsidR="009D2786" w:rsidRDefault="00000000">
          <w:pPr>
            <w:pStyle w:val="TOC2"/>
            <w:tabs>
              <w:tab w:val="right" w:leader="dot" w:pos="9622"/>
            </w:tabs>
            <w:rPr>
              <w:rFonts w:asciiTheme="minorHAnsi" w:eastAsiaTheme="minorEastAsia" w:hAnsiTheme="minorHAnsi"/>
              <w:noProof/>
              <w:lang w:val="en-AU" w:eastAsia="en-AU"/>
            </w:rPr>
          </w:pPr>
          <w:hyperlink w:anchor="_Toc180484331" w:history="1">
            <w:r w:rsidR="009D2786" w:rsidRPr="003C1600">
              <w:rPr>
                <w:rStyle w:val="Hyperlink"/>
                <w:noProof/>
              </w:rPr>
              <w:t>Centre staffing model</w:t>
            </w:r>
            <w:r w:rsidR="009D2786">
              <w:rPr>
                <w:noProof/>
                <w:webHidden/>
              </w:rPr>
              <w:tab/>
            </w:r>
            <w:r w:rsidR="009D2786">
              <w:rPr>
                <w:noProof/>
                <w:webHidden/>
              </w:rPr>
              <w:fldChar w:fldCharType="begin"/>
            </w:r>
            <w:r w:rsidR="009D2786">
              <w:rPr>
                <w:noProof/>
                <w:webHidden/>
              </w:rPr>
              <w:instrText xml:space="preserve"> PAGEREF _Toc180484331 \h </w:instrText>
            </w:r>
            <w:r w:rsidR="009D2786">
              <w:rPr>
                <w:noProof/>
                <w:webHidden/>
              </w:rPr>
            </w:r>
            <w:r w:rsidR="009D2786">
              <w:rPr>
                <w:noProof/>
                <w:webHidden/>
              </w:rPr>
              <w:fldChar w:fldCharType="separate"/>
            </w:r>
            <w:r w:rsidR="00BA3161">
              <w:rPr>
                <w:noProof/>
                <w:webHidden/>
              </w:rPr>
              <w:t>31</w:t>
            </w:r>
            <w:r w:rsidR="009D2786">
              <w:rPr>
                <w:noProof/>
                <w:webHidden/>
              </w:rPr>
              <w:fldChar w:fldCharType="end"/>
            </w:r>
          </w:hyperlink>
        </w:p>
        <w:p w14:paraId="0E759CC0" w14:textId="02C810B5" w:rsidR="009D2786" w:rsidRDefault="00000000">
          <w:pPr>
            <w:pStyle w:val="TOC1"/>
            <w:rPr>
              <w:rFonts w:asciiTheme="minorHAnsi" w:eastAsiaTheme="minorEastAsia" w:hAnsiTheme="minorHAnsi"/>
              <w:noProof/>
              <w:lang w:val="en-AU" w:eastAsia="en-AU"/>
            </w:rPr>
          </w:pPr>
          <w:hyperlink w:anchor="_Toc180484332" w:history="1">
            <w:r w:rsidR="009D2786" w:rsidRPr="003C1600">
              <w:rPr>
                <w:rStyle w:val="Hyperlink"/>
                <w:noProof/>
              </w:rPr>
              <w:t>Additional operational and logistical considerations</w:t>
            </w:r>
            <w:r w:rsidR="009D2786">
              <w:rPr>
                <w:noProof/>
                <w:webHidden/>
              </w:rPr>
              <w:tab/>
            </w:r>
            <w:r w:rsidR="009D2786">
              <w:rPr>
                <w:noProof/>
                <w:webHidden/>
              </w:rPr>
              <w:fldChar w:fldCharType="begin"/>
            </w:r>
            <w:r w:rsidR="009D2786">
              <w:rPr>
                <w:noProof/>
                <w:webHidden/>
              </w:rPr>
              <w:instrText xml:space="preserve"> PAGEREF _Toc180484332 \h </w:instrText>
            </w:r>
            <w:r w:rsidR="009D2786">
              <w:rPr>
                <w:noProof/>
                <w:webHidden/>
              </w:rPr>
            </w:r>
            <w:r w:rsidR="009D2786">
              <w:rPr>
                <w:noProof/>
                <w:webHidden/>
              </w:rPr>
              <w:fldChar w:fldCharType="separate"/>
            </w:r>
            <w:r w:rsidR="00BA3161">
              <w:rPr>
                <w:noProof/>
                <w:webHidden/>
              </w:rPr>
              <w:t>33</w:t>
            </w:r>
            <w:r w:rsidR="009D2786">
              <w:rPr>
                <w:noProof/>
                <w:webHidden/>
              </w:rPr>
              <w:fldChar w:fldCharType="end"/>
            </w:r>
          </w:hyperlink>
        </w:p>
        <w:p w14:paraId="510B2ED1" w14:textId="35D4F3D3" w:rsidR="009D2786" w:rsidRDefault="00000000">
          <w:pPr>
            <w:pStyle w:val="TOC3"/>
            <w:tabs>
              <w:tab w:val="right" w:leader="dot" w:pos="9622"/>
            </w:tabs>
            <w:rPr>
              <w:rFonts w:cstheme="minorBidi"/>
              <w:noProof/>
              <w:kern w:val="2"/>
              <w:sz w:val="24"/>
              <w:szCs w:val="24"/>
              <w14:ligatures w14:val="standardContextual"/>
            </w:rPr>
          </w:pPr>
          <w:hyperlink w:anchor="_Toc180484333" w:history="1">
            <w:r w:rsidR="009D2786" w:rsidRPr="003C1600">
              <w:rPr>
                <w:rStyle w:val="Hyperlink"/>
                <w:noProof/>
              </w:rPr>
              <w:t>Distinction between national and jurisdictional functions, roles and responsibilities</w:t>
            </w:r>
            <w:r w:rsidR="009D2786">
              <w:rPr>
                <w:noProof/>
                <w:webHidden/>
              </w:rPr>
              <w:tab/>
            </w:r>
            <w:r w:rsidR="009D2786">
              <w:rPr>
                <w:noProof/>
                <w:webHidden/>
              </w:rPr>
              <w:fldChar w:fldCharType="begin"/>
            </w:r>
            <w:r w:rsidR="009D2786">
              <w:rPr>
                <w:noProof/>
                <w:webHidden/>
              </w:rPr>
              <w:instrText xml:space="preserve"> PAGEREF _Toc180484333 \h </w:instrText>
            </w:r>
            <w:r w:rsidR="009D2786">
              <w:rPr>
                <w:noProof/>
                <w:webHidden/>
              </w:rPr>
            </w:r>
            <w:r w:rsidR="009D2786">
              <w:rPr>
                <w:noProof/>
                <w:webHidden/>
              </w:rPr>
              <w:fldChar w:fldCharType="separate"/>
            </w:r>
            <w:r w:rsidR="00BA3161">
              <w:rPr>
                <w:noProof/>
                <w:webHidden/>
              </w:rPr>
              <w:t>34</w:t>
            </w:r>
            <w:r w:rsidR="009D2786">
              <w:rPr>
                <w:noProof/>
                <w:webHidden/>
              </w:rPr>
              <w:fldChar w:fldCharType="end"/>
            </w:r>
          </w:hyperlink>
        </w:p>
        <w:p w14:paraId="350FE330" w14:textId="5924BF50" w:rsidR="009D2786" w:rsidRDefault="00000000">
          <w:pPr>
            <w:pStyle w:val="TOC3"/>
            <w:tabs>
              <w:tab w:val="right" w:leader="dot" w:pos="9622"/>
            </w:tabs>
            <w:rPr>
              <w:rFonts w:cstheme="minorBidi"/>
              <w:noProof/>
              <w:kern w:val="2"/>
              <w:sz w:val="24"/>
              <w:szCs w:val="24"/>
              <w14:ligatures w14:val="standardContextual"/>
            </w:rPr>
          </w:pPr>
          <w:hyperlink w:anchor="_Toc180484334" w:history="1">
            <w:r w:rsidR="009D2786" w:rsidRPr="003C1600">
              <w:rPr>
                <w:rStyle w:val="Hyperlink"/>
                <w:noProof/>
              </w:rPr>
              <w:t>Policies and procedures</w:t>
            </w:r>
            <w:r w:rsidR="009D2786">
              <w:rPr>
                <w:noProof/>
                <w:webHidden/>
              </w:rPr>
              <w:tab/>
            </w:r>
            <w:r w:rsidR="009D2786">
              <w:rPr>
                <w:noProof/>
                <w:webHidden/>
              </w:rPr>
              <w:fldChar w:fldCharType="begin"/>
            </w:r>
            <w:r w:rsidR="009D2786">
              <w:rPr>
                <w:noProof/>
                <w:webHidden/>
              </w:rPr>
              <w:instrText xml:space="preserve"> PAGEREF _Toc180484334 \h </w:instrText>
            </w:r>
            <w:r w:rsidR="009D2786">
              <w:rPr>
                <w:noProof/>
                <w:webHidden/>
              </w:rPr>
            </w:r>
            <w:r w:rsidR="009D2786">
              <w:rPr>
                <w:noProof/>
                <w:webHidden/>
              </w:rPr>
              <w:fldChar w:fldCharType="separate"/>
            </w:r>
            <w:r w:rsidR="00BA3161">
              <w:rPr>
                <w:noProof/>
                <w:webHidden/>
              </w:rPr>
              <w:t>34</w:t>
            </w:r>
            <w:r w:rsidR="009D2786">
              <w:rPr>
                <w:noProof/>
                <w:webHidden/>
              </w:rPr>
              <w:fldChar w:fldCharType="end"/>
            </w:r>
          </w:hyperlink>
        </w:p>
        <w:p w14:paraId="3D8B8B6B" w14:textId="427468FD" w:rsidR="009D2786" w:rsidRDefault="00000000">
          <w:pPr>
            <w:pStyle w:val="TOC2"/>
            <w:tabs>
              <w:tab w:val="right" w:leader="dot" w:pos="9622"/>
            </w:tabs>
            <w:rPr>
              <w:rFonts w:asciiTheme="minorHAnsi" w:eastAsiaTheme="minorEastAsia" w:hAnsiTheme="minorHAnsi"/>
              <w:noProof/>
              <w:lang w:val="en-AU" w:eastAsia="en-AU"/>
            </w:rPr>
          </w:pPr>
          <w:hyperlink w:anchor="_Toc180484335" w:history="1">
            <w:r w:rsidR="009D2786" w:rsidRPr="003C1600">
              <w:rPr>
                <w:rStyle w:val="Hyperlink"/>
                <w:noProof/>
              </w:rPr>
              <w:t>Resourcing</w:t>
            </w:r>
            <w:r w:rsidR="009D2786">
              <w:rPr>
                <w:noProof/>
                <w:webHidden/>
              </w:rPr>
              <w:tab/>
            </w:r>
            <w:r w:rsidR="009D2786">
              <w:rPr>
                <w:noProof/>
                <w:webHidden/>
              </w:rPr>
              <w:fldChar w:fldCharType="begin"/>
            </w:r>
            <w:r w:rsidR="009D2786">
              <w:rPr>
                <w:noProof/>
                <w:webHidden/>
              </w:rPr>
              <w:instrText xml:space="preserve"> PAGEREF _Toc180484335 \h </w:instrText>
            </w:r>
            <w:r w:rsidR="009D2786">
              <w:rPr>
                <w:noProof/>
                <w:webHidden/>
              </w:rPr>
            </w:r>
            <w:r w:rsidR="009D2786">
              <w:rPr>
                <w:noProof/>
                <w:webHidden/>
              </w:rPr>
              <w:fldChar w:fldCharType="separate"/>
            </w:r>
            <w:r w:rsidR="00BA3161">
              <w:rPr>
                <w:noProof/>
                <w:webHidden/>
              </w:rPr>
              <w:t>34</w:t>
            </w:r>
            <w:r w:rsidR="009D2786">
              <w:rPr>
                <w:noProof/>
                <w:webHidden/>
              </w:rPr>
              <w:fldChar w:fldCharType="end"/>
            </w:r>
          </w:hyperlink>
        </w:p>
        <w:p w14:paraId="2D705FB0" w14:textId="39A92E38" w:rsidR="009D2786" w:rsidRDefault="00000000">
          <w:pPr>
            <w:pStyle w:val="TOC3"/>
            <w:tabs>
              <w:tab w:val="right" w:leader="dot" w:pos="9622"/>
            </w:tabs>
            <w:rPr>
              <w:rFonts w:cstheme="minorBidi"/>
              <w:noProof/>
              <w:kern w:val="2"/>
              <w:sz w:val="24"/>
              <w:szCs w:val="24"/>
              <w14:ligatures w14:val="standardContextual"/>
            </w:rPr>
          </w:pPr>
          <w:hyperlink w:anchor="_Toc180484336" w:history="1">
            <w:r w:rsidR="009D2786" w:rsidRPr="003C1600">
              <w:rPr>
                <w:rStyle w:val="Hyperlink"/>
                <w:noProof/>
              </w:rPr>
              <w:t>Operating Costs</w:t>
            </w:r>
            <w:r w:rsidR="009D2786">
              <w:rPr>
                <w:noProof/>
                <w:webHidden/>
              </w:rPr>
              <w:tab/>
            </w:r>
            <w:r w:rsidR="009D2786">
              <w:rPr>
                <w:noProof/>
                <w:webHidden/>
              </w:rPr>
              <w:fldChar w:fldCharType="begin"/>
            </w:r>
            <w:r w:rsidR="009D2786">
              <w:rPr>
                <w:noProof/>
                <w:webHidden/>
              </w:rPr>
              <w:instrText xml:space="preserve"> PAGEREF _Toc180484336 \h </w:instrText>
            </w:r>
            <w:r w:rsidR="009D2786">
              <w:rPr>
                <w:noProof/>
                <w:webHidden/>
              </w:rPr>
            </w:r>
            <w:r w:rsidR="009D2786">
              <w:rPr>
                <w:noProof/>
                <w:webHidden/>
              </w:rPr>
              <w:fldChar w:fldCharType="separate"/>
            </w:r>
            <w:r w:rsidR="00BA3161">
              <w:rPr>
                <w:noProof/>
                <w:webHidden/>
              </w:rPr>
              <w:t>35</w:t>
            </w:r>
            <w:r w:rsidR="009D2786">
              <w:rPr>
                <w:noProof/>
                <w:webHidden/>
              </w:rPr>
              <w:fldChar w:fldCharType="end"/>
            </w:r>
          </w:hyperlink>
        </w:p>
        <w:p w14:paraId="4B13B848" w14:textId="1660510B" w:rsidR="009D2786" w:rsidRDefault="00000000">
          <w:pPr>
            <w:pStyle w:val="TOC2"/>
            <w:tabs>
              <w:tab w:val="right" w:leader="dot" w:pos="9622"/>
            </w:tabs>
            <w:rPr>
              <w:rFonts w:asciiTheme="minorHAnsi" w:eastAsiaTheme="minorEastAsia" w:hAnsiTheme="minorHAnsi"/>
              <w:noProof/>
              <w:lang w:val="en-AU" w:eastAsia="en-AU"/>
            </w:rPr>
          </w:pPr>
          <w:hyperlink w:anchor="_Toc180484337" w:history="1">
            <w:r w:rsidR="009D2786" w:rsidRPr="003C1600">
              <w:rPr>
                <w:rStyle w:val="Hyperlink"/>
                <w:noProof/>
              </w:rPr>
              <w:t>Establishment – process and next steps</w:t>
            </w:r>
            <w:r w:rsidR="009D2786">
              <w:rPr>
                <w:noProof/>
                <w:webHidden/>
              </w:rPr>
              <w:tab/>
            </w:r>
            <w:r w:rsidR="009D2786">
              <w:rPr>
                <w:noProof/>
                <w:webHidden/>
              </w:rPr>
              <w:fldChar w:fldCharType="begin"/>
            </w:r>
            <w:r w:rsidR="009D2786">
              <w:rPr>
                <w:noProof/>
                <w:webHidden/>
              </w:rPr>
              <w:instrText xml:space="preserve"> PAGEREF _Toc180484337 \h </w:instrText>
            </w:r>
            <w:r w:rsidR="009D2786">
              <w:rPr>
                <w:noProof/>
                <w:webHidden/>
              </w:rPr>
            </w:r>
            <w:r w:rsidR="009D2786">
              <w:rPr>
                <w:noProof/>
                <w:webHidden/>
              </w:rPr>
              <w:fldChar w:fldCharType="separate"/>
            </w:r>
            <w:r w:rsidR="00BA3161">
              <w:rPr>
                <w:noProof/>
                <w:webHidden/>
              </w:rPr>
              <w:t>36</w:t>
            </w:r>
            <w:r w:rsidR="009D2786">
              <w:rPr>
                <w:noProof/>
                <w:webHidden/>
              </w:rPr>
              <w:fldChar w:fldCharType="end"/>
            </w:r>
          </w:hyperlink>
        </w:p>
        <w:p w14:paraId="4E9177B9" w14:textId="2FFA3EF9" w:rsidR="009D2786" w:rsidRDefault="00000000">
          <w:pPr>
            <w:pStyle w:val="TOC2"/>
            <w:tabs>
              <w:tab w:val="right" w:leader="dot" w:pos="9622"/>
            </w:tabs>
            <w:rPr>
              <w:rFonts w:asciiTheme="minorHAnsi" w:eastAsiaTheme="minorEastAsia" w:hAnsiTheme="minorHAnsi"/>
              <w:noProof/>
              <w:lang w:val="en-AU" w:eastAsia="en-AU"/>
            </w:rPr>
          </w:pPr>
          <w:hyperlink w:anchor="_Toc180484338" w:history="1">
            <w:r w:rsidR="009D2786" w:rsidRPr="003C1600">
              <w:rPr>
                <w:rStyle w:val="Hyperlink"/>
                <w:noProof/>
              </w:rPr>
              <w:t>Phase</w:t>
            </w:r>
            <w:r w:rsidR="009D2786">
              <w:rPr>
                <w:noProof/>
                <w:webHidden/>
              </w:rPr>
              <w:tab/>
            </w:r>
            <w:r w:rsidR="009D2786">
              <w:rPr>
                <w:noProof/>
                <w:webHidden/>
              </w:rPr>
              <w:fldChar w:fldCharType="begin"/>
            </w:r>
            <w:r w:rsidR="009D2786">
              <w:rPr>
                <w:noProof/>
                <w:webHidden/>
              </w:rPr>
              <w:instrText xml:space="preserve"> PAGEREF _Toc180484338 \h </w:instrText>
            </w:r>
            <w:r w:rsidR="009D2786">
              <w:rPr>
                <w:noProof/>
                <w:webHidden/>
              </w:rPr>
            </w:r>
            <w:r w:rsidR="009D2786">
              <w:rPr>
                <w:noProof/>
                <w:webHidden/>
              </w:rPr>
              <w:fldChar w:fldCharType="separate"/>
            </w:r>
            <w:r w:rsidR="00BA3161">
              <w:rPr>
                <w:noProof/>
                <w:webHidden/>
              </w:rPr>
              <w:t>37</w:t>
            </w:r>
            <w:r w:rsidR="009D2786">
              <w:rPr>
                <w:noProof/>
                <w:webHidden/>
              </w:rPr>
              <w:fldChar w:fldCharType="end"/>
            </w:r>
          </w:hyperlink>
        </w:p>
        <w:p w14:paraId="3DAADEAE" w14:textId="17339A4F" w:rsidR="009D2786" w:rsidRDefault="00000000">
          <w:pPr>
            <w:pStyle w:val="TOC2"/>
            <w:tabs>
              <w:tab w:val="right" w:leader="dot" w:pos="9622"/>
            </w:tabs>
            <w:rPr>
              <w:rFonts w:asciiTheme="minorHAnsi" w:eastAsiaTheme="minorEastAsia" w:hAnsiTheme="minorHAnsi"/>
              <w:noProof/>
              <w:lang w:val="en-AU" w:eastAsia="en-AU"/>
            </w:rPr>
          </w:pPr>
          <w:hyperlink w:anchor="_Toc180484339" w:history="1">
            <w:r w:rsidR="009D2786" w:rsidRPr="003C1600">
              <w:rPr>
                <w:rStyle w:val="Hyperlink"/>
                <w:noProof/>
              </w:rPr>
              <w:t>Operational and logistical steps</w:t>
            </w:r>
            <w:r w:rsidR="009D2786">
              <w:rPr>
                <w:noProof/>
                <w:webHidden/>
              </w:rPr>
              <w:tab/>
            </w:r>
            <w:r w:rsidR="009D2786">
              <w:rPr>
                <w:noProof/>
                <w:webHidden/>
              </w:rPr>
              <w:fldChar w:fldCharType="begin"/>
            </w:r>
            <w:r w:rsidR="009D2786">
              <w:rPr>
                <w:noProof/>
                <w:webHidden/>
              </w:rPr>
              <w:instrText xml:space="preserve"> PAGEREF _Toc180484339 \h </w:instrText>
            </w:r>
            <w:r w:rsidR="009D2786">
              <w:rPr>
                <w:noProof/>
                <w:webHidden/>
              </w:rPr>
            </w:r>
            <w:r w:rsidR="009D2786">
              <w:rPr>
                <w:noProof/>
                <w:webHidden/>
              </w:rPr>
              <w:fldChar w:fldCharType="separate"/>
            </w:r>
            <w:r w:rsidR="00BA3161">
              <w:rPr>
                <w:noProof/>
                <w:webHidden/>
              </w:rPr>
              <w:t>37</w:t>
            </w:r>
            <w:r w:rsidR="009D2786">
              <w:rPr>
                <w:noProof/>
                <w:webHidden/>
              </w:rPr>
              <w:fldChar w:fldCharType="end"/>
            </w:r>
          </w:hyperlink>
        </w:p>
        <w:p w14:paraId="5F2D9752" w14:textId="4DDD99F3" w:rsidR="009D2786" w:rsidRDefault="00000000">
          <w:pPr>
            <w:pStyle w:val="TOC1"/>
            <w:rPr>
              <w:rFonts w:asciiTheme="minorHAnsi" w:eastAsiaTheme="minorEastAsia" w:hAnsiTheme="minorHAnsi"/>
              <w:noProof/>
              <w:lang w:val="en-AU" w:eastAsia="en-AU"/>
            </w:rPr>
          </w:pPr>
          <w:hyperlink w:anchor="_Toc180484340" w:history="1">
            <w:r w:rsidR="009D2786" w:rsidRPr="003C1600">
              <w:rPr>
                <w:rStyle w:val="Hyperlink"/>
                <w:noProof/>
              </w:rPr>
              <w:t>Appendix A – Governance Structure</w:t>
            </w:r>
            <w:r w:rsidR="009D2786">
              <w:rPr>
                <w:noProof/>
                <w:webHidden/>
              </w:rPr>
              <w:tab/>
            </w:r>
            <w:r w:rsidR="009D2786">
              <w:rPr>
                <w:noProof/>
                <w:webHidden/>
              </w:rPr>
              <w:fldChar w:fldCharType="begin"/>
            </w:r>
            <w:r w:rsidR="009D2786">
              <w:rPr>
                <w:noProof/>
                <w:webHidden/>
              </w:rPr>
              <w:instrText xml:space="preserve"> PAGEREF _Toc180484340 \h </w:instrText>
            </w:r>
            <w:r w:rsidR="009D2786">
              <w:rPr>
                <w:noProof/>
                <w:webHidden/>
              </w:rPr>
            </w:r>
            <w:r w:rsidR="009D2786">
              <w:rPr>
                <w:noProof/>
                <w:webHidden/>
              </w:rPr>
              <w:fldChar w:fldCharType="separate"/>
            </w:r>
            <w:r w:rsidR="00BA3161">
              <w:rPr>
                <w:noProof/>
                <w:webHidden/>
              </w:rPr>
              <w:t>38</w:t>
            </w:r>
            <w:r w:rsidR="009D2786">
              <w:rPr>
                <w:noProof/>
                <w:webHidden/>
              </w:rPr>
              <w:fldChar w:fldCharType="end"/>
            </w:r>
          </w:hyperlink>
        </w:p>
        <w:p w14:paraId="73130405" w14:textId="318DD3B9" w:rsidR="009D2786" w:rsidRDefault="00000000">
          <w:pPr>
            <w:pStyle w:val="TOC1"/>
            <w:rPr>
              <w:rFonts w:asciiTheme="minorHAnsi" w:eastAsiaTheme="minorEastAsia" w:hAnsiTheme="minorHAnsi"/>
              <w:noProof/>
              <w:lang w:val="en-AU" w:eastAsia="en-AU"/>
            </w:rPr>
          </w:pPr>
          <w:hyperlink w:anchor="_Toc180484341" w:history="1">
            <w:r w:rsidR="009D2786" w:rsidRPr="003C1600">
              <w:rPr>
                <w:rStyle w:val="Hyperlink"/>
                <w:noProof/>
              </w:rPr>
              <w:t>Appendix B – Staffing Model</w:t>
            </w:r>
            <w:r w:rsidR="009D2786">
              <w:rPr>
                <w:noProof/>
                <w:webHidden/>
              </w:rPr>
              <w:tab/>
            </w:r>
            <w:r w:rsidR="009D2786">
              <w:rPr>
                <w:noProof/>
                <w:webHidden/>
              </w:rPr>
              <w:fldChar w:fldCharType="begin"/>
            </w:r>
            <w:r w:rsidR="009D2786">
              <w:rPr>
                <w:noProof/>
                <w:webHidden/>
              </w:rPr>
              <w:instrText xml:space="preserve"> PAGEREF _Toc180484341 \h </w:instrText>
            </w:r>
            <w:r w:rsidR="009D2786">
              <w:rPr>
                <w:noProof/>
                <w:webHidden/>
              </w:rPr>
            </w:r>
            <w:r w:rsidR="009D2786">
              <w:rPr>
                <w:noProof/>
                <w:webHidden/>
              </w:rPr>
              <w:fldChar w:fldCharType="separate"/>
            </w:r>
            <w:r w:rsidR="00BA3161">
              <w:rPr>
                <w:noProof/>
                <w:webHidden/>
              </w:rPr>
              <w:t>38</w:t>
            </w:r>
            <w:r w:rsidR="009D2786">
              <w:rPr>
                <w:noProof/>
                <w:webHidden/>
              </w:rPr>
              <w:fldChar w:fldCharType="end"/>
            </w:r>
          </w:hyperlink>
        </w:p>
        <w:p w14:paraId="3B8E2ED9" w14:textId="09B1252C" w:rsidR="009D2786" w:rsidRDefault="00000000">
          <w:pPr>
            <w:pStyle w:val="TOC1"/>
            <w:rPr>
              <w:rFonts w:asciiTheme="minorHAnsi" w:eastAsiaTheme="minorEastAsia" w:hAnsiTheme="minorHAnsi"/>
              <w:noProof/>
              <w:lang w:val="en-AU" w:eastAsia="en-AU"/>
            </w:rPr>
          </w:pPr>
          <w:hyperlink w:anchor="_Toc180484342" w:history="1">
            <w:r w:rsidR="009D2786" w:rsidRPr="003C1600">
              <w:rPr>
                <w:rStyle w:val="Hyperlink"/>
                <w:noProof/>
              </w:rPr>
              <w:t>Appendix C – Expenses Summary</w:t>
            </w:r>
            <w:r w:rsidR="009D2786">
              <w:rPr>
                <w:noProof/>
                <w:webHidden/>
              </w:rPr>
              <w:tab/>
            </w:r>
            <w:r w:rsidR="009D2786">
              <w:rPr>
                <w:noProof/>
                <w:webHidden/>
              </w:rPr>
              <w:fldChar w:fldCharType="begin"/>
            </w:r>
            <w:r w:rsidR="009D2786">
              <w:rPr>
                <w:noProof/>
                <w:webHidden/>
              </w:rPr>
              <w:instrText xml:space="preserve"> PAGEREF _Toc180484342 \h </w:instrText>
            </w:r>
            <w:r w:rsidR="009D2786">
              <w:rPr>
                <w:noProof/>
                <w:webHidden/>
              </w:rPr>
            </w:r>
            <w:r w:rsidR="009D2786">
              <w:rPr>
                <w:noProof/>
                <w:webHidden/>
              </w:rPr>
              <w:fldChar w:fldCharType="separate"/>
            </w:r>
            <w:r w:rsidR="00BA3161">
              <w:rPr>
                <w:noProof/>
                <w:webHidden/>
              </w:rPr>
              <w:t>40</w:t>
            </w:r>
            <w:r w:rsidR="009D2786">
              <w:rPr>
                <w:noProof/>
                <w:webHidden/>
              </w:rPr>
              <w:fldChar w:fldCharType="end"/>
            </w:r>
          </w:hyperlink>
        </w:p>
        <w:p w14:paraId="58A81E8F" w14:textId="4D760EDE" w:rsidR="009D2786" w:rsidRDefault="00000000">
          <w:pPr>
            <w:pStyle w:val="TOC1"/>
            <w:rPr>
              <w:rFonts w:asciiTheme="minorHAnsi" w:eastAsiaTheme="minorEastAsia" w:hAnsiTheme="minorHAnsi"/>
              <w:noProof/>
              <w:lang w:val="en-AU" w:eastAsia="en-AU"/>
            </w:rPr>
          </w:pPr>
          <w:hyperlink w:anchor="_Toc180484343" w:history="1">
            <w:r w:rsidR="009D2786" w:rsidRPr="003C1600">
              <w:rPr>
                <w:rStyle w:val="Hyperlink"/>
                <w:rFonts w:asciiTheme="majorHAnsi" w:hAnsiTheme="majorHAnsi"/>
                <w:noProof/>
              </w:rPr>
              <w:t>Appendix D – Non-research activity model</w:t>
            </w:r>
            <w:r w:rsidR="009D2786">
              <w:rPr>
                <w:noProof/>
                <w:webHidden/>
              </w:rPr>
              <w:tab/>
            </w:r>
            <w:r w:rsidR="009D2786">
              <w:rPr>
                <w:noProof/>
                <w:webHidden/>
              </w:rPr>
              <w:fldChar w:fldCharType="begin"/>
            </w:r>
            <w:r w:rsidR="009D2786">
              <w:rPr>
                <w:noProof/>
                <w:webHidden/>
              </w:rPr>
              <w:instrText xml:space="preserve"> PAGEREF _Toc180484343 \h </w:instrText>
            </w:r>
            <w:r w:rsidR="009D2786">
              <w:rPr>
                <w:noProof/>
                <w:webHidden/>
              </w:rPr>
            </w:r>
            <w:r w:rsidR="009D2786">
              <w:rPr>
                <w:noProof/>
                <w:webHidden/>
              </w:rPr>
              <w:fldChar w:fldCharType="separate"/>
            </w:r>
            <w:r w:rsidR="00BA3161">
              <w:rPr>
                <w:noProof/>
                <w:webHidden/>
              </w:rPr>
              <w:t>41</w:t>
            </w:r>
            <w:r w:rsidR="009D2786">
              <w:rPr>
                <w:noProof/>
                <w:webHidden/>
              </w:rPr>
              <w:fldChar w:fldCharType="end"/>
            </w:r>
          </w:hyperlink>
        </w:p>
        <w:p w14:paraId="798D12ED" w14:textId="44A94B16" w:rsidR="00584261" w:rsidRPr="00120AAB" w:rsidRDefault="00584261">
          <w:pPr>
            <w:rPr>
              <w:rFonts w:asciiTheme="majorHAnsi" w:hAnsiTheme="majorHAnsi"/>
            </w:rPr>
          </w:pPr>
          <w:r w:rsidRPr="00120AAB">
            <w:rPr>
              <w:rFonts w:asciiTheme="majorHAnsi" w:hAnsiTheme="majorHAnsi"/>
              <w:b/>
              <w:bCs/>
              <w:lang w:val="en-GB"/>
            </w:rPr>
            <w:fldChar w:fldCharType="end"/>
          </w:r>
        </w:p>
      </w:sdtContent>
    </w:sdt>
    <w:p w14:paraId="1D4B30BE" w14:textId="0B5A9983" w:rsidR="007D4336" w:rsidRPr="00120AAB" w:rsidRDefault="007D4336">
      <w:pPr>
        <w:rPr>
          <w:rFonts w:asciiTheme="majorHAnsi" w:hAnsiTheme="majorHAnsi"/>
        </w:rPr>
      </w:pPr>
    </w:p>
    <w:p w14:paraId="2DE9B06E" w14:textId="77777777" w:rsidR="0078655A" w:rsidRPr="00120AAB" w:rsidRDefault="0078655A" w:rsidP="0078655A">
      <w:pPr>
        <w:rPr>
          <w:rFonts w:asciiTheme="majorHAnsi" w:hAnsiTheme="majorHAnsi"/>
        </w:rPr>
      </w:pPr>
    </w:p>
    <w:p w14:paraId="2FBD7F19" w14:textId="77777777" w:rsidR="0078655A" w:rsidRPr="00120AAB" w:rsidRDefault="0078655A" w:rsidP="0078655A">
      <w:pPr>
        <w:rPr>
          <w:rFonts w:asciiTheme="majorHAnsi" w:hAnsiTheme="majorHAnsi"/>
        </w:rPr>
      </w:pPr>
    </w:p>
    <w:p w14:paraId="7E4C127E" w14:textId="1646D024" w:rsidR="00C46B4E" w:rsidRPr="00120AAB" w:rsidRDefault="0078655A" w:rsidP="00F577F2">
      <w:pPr>
        <w:rPr>
          <w:rFonts w:asciiTheme="majorHAnsi" w:hAnsiTheme="majorHAnsi"/>
          <w:b/>
          <w:bCs/>
          <w:sz w:val="36"/>
          <w:szCs w:val="36"/>
        </w:rPr>
      </w:pPr>
      <w:r w:rsidRPr="00120AAB">
        <w:rPr>
          <w:rFonts w:asciiTheme="majorHAnsi" w:hAnsiTheme="majorHAnsi"/>
        </w:rPr>
        <w:br w:type="page"/>
      </w:r>
    </w:p>
    <w:p w14:paraId="56DB436A" w14:textId="537E8396" w:rsidR="00562742" w:rsidRDefault="008B7BF2" w:rsidP="00540368">
      <w:pPr>
        <w:pStyle w:val="Heading2"/>
      </w:pPr>
      <w:bookmarkStart w:id="0" w:name="_Toc180484271"/>
      <w:bookmarkStart w:id="1" w:name="_Toc166861686"/>
      <w:r>
        <w:t>Acknowledgements</w:t>
      </w:r>
      <w:bookmarkEnd w:id="0"/>
    </w:p>
    <w:p w14:paraId="576F19B1" w14:textId="77777777" w:rsidR="006C0250" w:rsidRDefault="00E25B19" w:rsidP="00DB5D00">
      <w:pPr>
        <w:spacing w:before="180" w:after="120"/>
      </w:pPr>
      <w:r>
        <w:t xml:space="preserve">SNAICC </w:t>
      </w:r>
      <w:r w:rsidR="006C0250">
        <w:t>shows respect by acknowledging the Traditional Custodians</w:t>
      </w:r>
      <w:r>
        <w:t xml:space="preserve"> of </w:t>
      </w:r>
      <w:r w:rsidR="006C0250">
        <w:t xml:space="preserve">Country throughout Australia and their continuing connections to land, waters and communities. SNAICC’s head office is located on the lands of the </w:t>
      </w:r>
      <w:proofErr w:type="spellStart"/>
      <w:r w:rsidR="006C0250">
        <w:t>Wurundjeri</w:t>
      </w:r>
      <w:proofErr w:type="spellEnd"/>
      <w:r w:rsidR="006C0250">
        <w:t xml:space="preserve"> People of the Kulin Nation, and </w:t>
      </w:r>
      <w:r>
        <w:t>SNAICC</w:t>
      </w:r>
      <w:r w:rsidR="006C0250">
        <w:t xml:space="preserve"> operates nationally. </w:t>
      </w:r>
    </w:p>
    <w:p w14:paraId="1604CFE0" w14:textId="1DC19229" w:rsidR="00E3454F" w:rsidRDefault="006C0250" w:rsidP="00DB5D00">
      <w:pPr>
        <w:spacing w:before="180" w:after="120"/>
      </w:pPr>
      <w:r>
        <w:t>SNAICC acknowledges Traditional Owners of all lands and waters across this continent and pays respects to Elders past and present. We acknowledge and respect their continued connection to Country, care for community and practice of culture for generations uncounted.</w:t>
      </w:r>
    </w:p>
    <w:p w14:paraId="3AADDC8E" w14:textId="51A77F7E" w:rsidR="0075758F" w:rsidRPr="00E3454F" w:rsidRDefault="006C0250" w:rsidP="00DB5D00">
      <w:pPr>
        <w:spacing w:before="180" w:after="120"/>
      </w:pPr>
      <w:r>
        <w:rPr>
          <w:rFonts w:asciiTheme="majorHAnsi" w:hAnsiTheme="majorHAnsi" w:cs="Calibri"/>
        </w:rPr>
        <w:t>SNAICC would also like to acknowledge the contributions of the</w:t>
      </w:r>
      <w:r w:rsidR="00E25B19" w:rsidRPr="00120AAB">
        <w:rPr>
          <w:rFonts w:asciiTheme="majorHAnsi" w:hAnsiTheme="majorHAnsi" w:cs="Calibri"/>
        </w:rPr>
        <w:t xml:space="preserve"> Expert Advisory Group </w:t>
      </w:r>
      <w:r w:rsidR="00921FD7">
        <w:rPr>
          <w:rFonts w:asciiTheme="majorHAnsi" w:hAnsiTheme="majorHAnsi" w:cs="Calibri"/>
        </w:rPr>
        <w:t>who</w:t>
      </w:r>
      <w:r w:rsidR="00E25B19" w:rsidRPr="00120AAB">
        <w:rPr>
          <w:rFonts w:asciiTheme="majorHAnsi" w:hAnsiTheme="majorHAnsi" w:cs="Calibri"/>
        </w:rPr>
        <w:t xml:space="preserve"> have played a key role in the design of the </w:t>
      </w:r>
      <w:r w:rsidR="00E25B19">
        <w:rPr>
          <w:rFonts w:asciiTheme="majorHAnsi" w:hAnsiTheme="majorHAnsi" w:cs="Calibri"/>
        </w:rPr>
        <w:t xml:space="preserve">National </w:t>
      </w:r>
      <w:r w:rsidR="009A0074">
        <w:rPr>
          <w:rFonts w:asciiTheme="majorHAnsi" w:hAnsiTheme="majorHAnsi" w:cs="Calibri"/>
        </w:rPr>
        <w:t xml:space="preserve">Aboriginal and Torres Strait Islander </w:t>
      </w:r>
      <w:r w:rsidR="00E25B19" w:rsidRPr="00120AAB">
        <w:rPr>
          <w:rFonts w:asciiTheme="majorHAnsi" w:hAnsiTheme="majorHAnsi" w:cs="Calibri"/>
        </w:rPr>
        <w:t>Centre</w:t>
      </w:r>
      <w:r w:rsidR="00E25B19">
        <w:rPr>
          <w:rFonts w:asciiTheme="majorHAnsi" w:hAnsiTheme="majorHAnsi" w:cs="Calibri"/>
        </w:rPr>
        <w:t xml:space="preserve"> for Excellence in Child and Family</w:t>
      </w:r>
      <w:r w:rsidR="00E25B19" w:rsidRPr="00120AAB">
        <w:rPr>
          <w:rFonts w:asciiTheme="majorHAnsi" w:hAnsiTheme="majorHAnsi" w:cs="Calibri"/>
        </w:rPr>
        <w:t xml:space="preserve">. This group consists of academics and research institutes, representatives from child and family peak bodies, leading Aboriginal Community Controlled </w:t>
      </w:r>
      <w:proofErr w:type="spellStart"/>
      <w:r w:rsidR="00E25B19" w:rsidRPr="00120AAB">
        <w:rPr>
          <w:rFonts w:asciiTheme="majorHAnsi" w:hAnsiTheme="majorHAnsi" w:cs="Calibri"/>
        </w:rPr>
        <w:t>Organisations</w:t>
      </w:r>
      <w:proofErr w:type="spellEnd"/>
      <w:r w:rsidR="00E25B19" w:rsidRPr="00120AAB">
        <w:rPr>
          <w:rFonts w:asciiTheme="majorHAnsi" w:hAnsiTheme="majorHAnsi" w:cs="Calibri"/>
        </w:rPr>
        <w:t xml:space="preserve"> (ACCOs) and service providers</w:t>
      </w:r>
      <w:r w:rsidR="00E25B19">
        <w:rPr>
          <w:rFonts w:asciiTheme="majorHAnsi" w:hAnsiTheme="majorHAnsi" w:cs="Calibri"/>
        </w:rPr>
        <w:t>.</w:t>
      </w:r>
      <w:r w:rsidR="0075758F">
        <w:rPr>
          <w:rFonts w:asciiTheme="majorHAnsi" w:hAnsiTheme="majorHAnsi" w:cs="Calibri"/>
        </w:rPr>
        <w:t xml:space="preserve"> SNAICC extends its</w:t>
      </w:r>
      <w:r w:rsidR="000561D6">
        <w:rPr>
          <w:rFonts w:asciiTheme="majorHAnsi" w:hAnsiTheme="majorHAnsi" w:cs="Calibri"/>
        </w:rPr>
        <w:t xml:space="preserve"> acknowledgement and gratitude to the following </w:t>
      </w:r>
      <w:r w:rsidR="00B76D19">
        <w:rPr>
          <w:rFonts w:asciiTheme="majorHAnsi" w:hAnsiTheme="majorHAnsi" w:cs="Calibri"/>
        </w:rPr>
        <w:t>people</w:t>
      </w:r>
      <w:r w:rsidR="000561D6">
        <w:rPr>
          <w:rFonts w:asciiTheme="majorHAnsi" w:hAnsiTheme="majorHAnsi" w:cs="Calibri"/>
        </w:rPr>
        <w:t xml:space="preserve"> their </w:t>
      </w:r>
      <w:r w:rsidR="001B451C">
        <w:rPr>
          <w:rFonts w:asciiTheme="majorHAnsi" w:hAnsiTheme="majorHAnsi" w:cs="Calibri"/>
        </w:rPr>
        <w:t xml:space="preserve">participation on the Expert Advisory Group and </w:t>
      </w:r>
      <w:r w:rsidR="000561D6">
        <w:rPr>
          <w:rFonts w:asciiTheme="majorHAnsi" w:hAnsiTheme="majorHAnsi" w:cs="Calibri"/>
        </w:rPr>
        <w:t xml:space="preserve">contribution to the design of </w:t>
      </w:r>
      <w:r w:rsidR="001B451C">
        <w:rPr>
          <w:rFonts w:asciiTheme="majorHAnsi" w:hAnsiTheme="majorHAnsi" w:cs="Calibri"/>
        </w:rPr>
        <w:t>Centre:</w:t>
      </w:r>
    </w:p>
    <w:p w14:paraId="27F8293A" w14:textId="77777777" w:rsidR="00DD7841" w:rsidRPr="00A2797E" w:rsidRDefault="00DD7841" w:rsidP="00BE2E9E">
      <w:pPr>
        <w:pStyle w:val="ListParagraph"/>
        <w:numPr>
          <w:ilvl w:val="0"/>
          <w:numId w:val="22"/>
        </w:numPr>
        <w:spacing w:before="60" w:after="60" w:line="240" w:lineRule="auto"/>
        <w:ind w:left="714" w:hanging="357"/>
        <w:contextualSpacing w:val="0"/>
        <w:rPr>
          <w:rFonts w:asciiTheme="majorHAnsi" w:hAnsiTheme="majorHAnsi" w:cs="Calibri"/>
          <w:sz w:val="24"/>
          <w:szCs w:val="24"/>
        </w:rPr>
      </w:pPr>
      <w:r>
        <w:rPr>
          <w:rFonts w:asciiTheme="majorHAnsi" w:hAnsiTheme="majorHAnsi" w:cs="Calibri"/>
          <w:sz w:val="24"/>
          <w:szCs w:val="24"/>
        </w:rPr>
        <w:t xml:space="preserve">Professor Leah Bromfield – </w:t>
      </w:r>
      <w:r w:rsidRPr="00127294">
        <w:rPr>
          <w:rFonts w:asciiTheme="majorHAnsi" w:hAnsiTheme="majorHAnsi" w:cs="Calibri"/>
          <w:sz w:val="24"/>
          <w:szCs w:val="24"/>
          <w:lang w:val="en-US"/>
        </w:rPr>
        <w:t>Australian Centre for Child Protection</w:t>
      </w:r>
      <w:r>
        <w:rPr>
          <w:rFonts w:asciiTheme="majorHAnsi" w:hAnsiTheme="majorHAnsi" w:cs="Calibri"/>
          <w:sz w:val="24"/>
          <w:szCs w:val="24"/>
          <w:lang w:val="en-US"/>
        </w:rPr>
        <w:t>, University of South Australia</w:t>
      </w:r>
    </w:p>
    <w:p w14:paraId="5625EBD0" w14:textId="77777777" w:rsidR="00AA01D8" w:rsidRPr="00A2797E" w:rsidRDefault="00AA01D8" w:rsidP="00BE2E9E">
      <w:pPr>
        <w:pStyle w:val="ListParagraph"/>
        <w:numPr>
          <w:ilvl w:val="0"/>
          <w:numId w:val="22"/>
        </w:numPr>
        <w:spacing w:before="60" w:after="60" w:line="240" w:lineRule="auto"/>
        <w:ind w:left="714" w:hanging="357"/>
        <w:contextualSpacing w:val="0"/>
        <w:rPr>
          <w:rFonts w:asciiTheme="majorHAnsi" w:hAnsiTheme="majorHAnsi" w:cs="Calibri"/>
          <w:sz w:val="24"/>
          <w:szCs w:val="24"/>
        </w:rPr>
      </w:pPr>
      <w:r w:rsidRPr="009C2A95">
        <w:rPr>
          <w:rFonts w:asciiTheme="majorHAnsi" w:hAnsiTheme="majorHAnsi" w:cs="Calibri"/>
          <w:sz w:val="24"/>
          <w:szCs w:val="24"/>
        </w:rPr>
        <w:t>Professor Cath Chamberlain</w:t>
      </w:r>
      <w:r>
        <w:rPr>
          <w:rFonts w:asciiTheme="majorHAnsi" w:hAnsiTheme="majorHAnsi" w:cs="Calibri"/>
          <w:sz w:val="24"/>
          <w:szCs w:val="24"/>
        </w:rPr>
        <w:t xml:space="preserve"> – </w:t>
      </w:r>
      <w:r w:rsidRPr="00422D34">
        <w:rPr>
          <w:rFonts w:asciiTheme="majorHAnsi" w:hAnsiTheme="majorHAnsi" w:cs="Calibri"/>
          <w:sz w:val="24"/>
          <w:szCs w:val="24"/>
          <w:lang w:val="en-US"/>
        </w:rPr>
        <w:t>Onemda: Aboriginal and Torres Strait Islander Health and Wellbeing</w:t>
      </w:r>
      <w:r>
        <w:rPr>
          <w:rFonts w:asciiTheme="majorHAnsi" w:hAnsiTheme="majorHAnsi" w:cs="Calibri"/>
          <w:sz w:val="24"/>
          <w:szCs w:val="24"/>
          <w:lang w:val="en-US"/>
        </w:rPr>
        <w:t xml:space="preserve">, </w:t>
      </w:r>
      <w:r w:rsidRPr="009C2A95">
        <w:rPr>
          <w:rFonts w:asciiTheme="majorHAnsi" w:hAnsiTheme="majorHAnsi" w:cs="Calibri"/>
          <w:sz w:val="24"/>
          <w:szCs w:val="24"/>
        </w:rPr>
        <w:t>Melbourne School of Population and Global Health, Melbourne University</w:t>
      </w:r>
    </w:p>
    <w:p w14:paraId="609D5A1A" w14:textId="77777777" w:rsidR="0060189C" w:rsidRPr="00A2797E" w:rsidRDefault="0060189C" w:rsidP="00BE2E9E">
      <w:pPr>
        <w:pStyle w:val="ListParagraph"/>
        <w:numPr>
          <w:ilvl w:val="0"/>
          <w:numId w:val="22"/>
        </w:numPr>
        <w:spacing w:before="60" w:after="60" w:line="240" w:lineRule="auto"/>
        <w:ind w:left="714" w:hanging="357"/>
        <w:contextualSpacing w:val="0"/>
        <w:rPr>
          <w:rFonts w:asciiTheme="majorHAnsi" w:hAnsiTheme="majorHAnsi" w:cs="Calibri"/>
        </w:rPr>
      </w:pPr>
      <w:r>
        <w:rPr>
          <w:rFonts w:asciiTheme="majorHAnsi" w:hAnsiTheme="majorHAnsi" w:cs="Calibri"/>
          <w:sz w:val="24"/>
          <w:szCs w:val="24"/>
        </w:rPr>
        <w:t xml:space="preserve">Sally Cowling – </w:t>
      </w:r>
      <w:r w:rsidRPr="007F2770">
        <w:rPr>
          <w:rFonts w:asciiTheme="majorHAnsi" w:hAnsiTheme="majorHAnsi" w:cs="Calibri"/>
          <w:sz w:val="24"/>
          <w:szCs w:val="24"/>
          <w:lang w:val="en-US"/>
        </w:rPr>
        <w:t>NSW Child, Family and Community Peak Aboriginal Corporation (AbSec)</w:t>
      </w:r>
    </w:p>
    <w:p w14:paraId="5F8DDEA9" w14:textId="59397223" w:rsidR="00DD7841" w:rsidRPr="00A2797E" w:rsidRDefault="00DD7841" w:rsidP="00BE2E9E">
      <w:pPr>
        <w:pStyle w:val="ListParagraph"/>
        <w:numPr>
          <w:ilvl w:val="0"/>
          <w:numId w:val="22"/>
        </w:numPr>
        <w:spacing w:before="60" w:after="60" w:line="240" w:lineRule="auto"/>
        <w:ind w:left="714" w:hanging="357"/>
        <w:contextualSpacing w:val="0"/>
        <w:rPr>
          <w:rFonts w:asciiTheme="majorHAnsi" w:hAnsiTheme="majorHAnsi" w:cs="Calibri"/>
          <w:sz w:val="24"/>
          <w:szCs w:val="24"/>
        </w:rPr>
      </w:pPr>
      <w:r w:rsidRPr="00A2797E">
        <w:rPr>
          <w:rFonts w:asciiTheme="majorHAnsi" w:hAnsiTheme="majorHAnsi" w:cs="Calibri"/>
          <w:sz w:val="24"/>
          <w:szCs w:val="24"/>
        </w:rPr>
        <w:t xml:space="preserve">Shantai Croisdale </w:t>
      </w:r>
      <w:r>
        <w:rPr>
          <w:rFonts w:asciiTheme="majorHAnsi" w:hAnsiTheme="majorHAnsi" w:cs="Calibri"/>
          <w:sz w:val="24"/>
          <w:szCs w:val="24"/>
        </w:rPr>
        <w:t>–</w:t>
      </w:r>
      <w:r w:rsidR="00BE2E9E">
        <w:rPr>
          <w:rFonts w:asciiTheme="majorHAnsi" w:hAnsiTheme="majorHAnsi" w:cs="Calibri"/>
          <w:sz w:val="24"/>
          <w:szCs w:val="24"/>
        </w:rPr>
        <w:t xml:space="preserve"> </w:t>
      </w:r>
      <w:r w:rsidRPr="00A2797E">
        <w:rPr>
          <w:rFonts w:asciiTheme="majorHAnsi" w:hAnsiTheme="majorHAnsi" w:cs="Calibri"/>
          <w:sz w:val="24"/>
          <w:szCs w:val="24"/>
        </w:rPr>
        <w:t>Victorian Aboriginal Child Care Agency (VACCA)</w:t>
      </w:r>
    </w:p>
    <w:p w14:paraId="6F76D763" w14:textId="57E748CA" w:rsidR="00062387" w:rsidRPr="00A2797E" w:rsidRDefault="007E308A" w:rsidP="00BE2E9E">
      <w:pPr>
        <w:pStyle w:val="ListParagraph"/>
        <w:numPr>
          <w:ilvl w:val="0"/>
          <w:numId w:val="22"/>
        </w:numPr>
        <w:spacing w:before="60" w:after="60" w:line="240" w:lineRule="auto"/>
        <w:ind w:left="714" w:hanging="357"/>
        <w:contextualSpacing w:val="0"/>
        <w:rPr>
          <w:rFonts w:asciiTheme="majorHAnsi" w:hAnsiTheme="majorHAnsi" w:cs="Calibri"/>
          <w:sz w:val="24"/>
          <w:szCs w:val="24"/>
        </w:rPr>
      </w:pPr>
      <w:r>
        <w:rPr>
          <w:rFonts w:asciiTheme="majorHAnsi" w:hAnsiTheme="majorHAnsi" w:cs="Calibri"/>
          <w:sz w:val="24"/>
          <w:szCs w:val="24"/>
        </w:rPr>
        <w:t>Associate Professor</w:t>
      </w:r>
      <w:r w:rsidR="00FD4930" w:rsidRPr="00A2797E">
        <w:rPr>
          <w:rFonts w:asciiTheme="majorHAnsi" w:hAnsiTheme="majorHAnsi" w:cs="Calibri"/>
          <w:sz w:val="24"/>
          <w:szCs w:val="24"/>
        </w:rPr>
        <w:t xml:space="preserve"> Paul Gray</w:t>
      </w:r>
      <w:r w:rsidR="00131DA4" w:rsidRPr="00A2797E">
        <w:rPr>
          <w:rFonts w:asciiTheme="majorHAnsi" w:hAnsiTheme="majorHAnsi" w:cs="Calibri"/>
          <w:sz w:val="24"/>
          <w:szCs w:val="24"/>
        </w:rPr>
        <w:t xml:space="preserve"> – </w:t>
      </w:r>
      <w:r w:rsidR="00AF1E75" w:rsidRPr="00AF1E75">
        <w:rPr>
          <w:rFonts w:asciiTheme="majorHAnsi" w:hAnsiTheme="majorHAnsi" w:cs="Calibri"/>
          <w:sz w:val="24"/>
          <w:szCs w:val="24"/>
          <w:lang w:val="en-US"/>
        </w:rPr>
        <w:t xml:space="preserve">Indigenous </w:t>
      </w:r>
      <w:r w:rsidR="00AF1E75">
        <w:rPr>
          <w:rFonts w:asciiTheme="majorHAnsi" w:hAnsiTheme="majorHAnsi" w:cs="Calibri"/>
          <w:sz w:val="24"/>
          <w:szCs w:val="24"/>
          <w:lang w:val="en-US"/>
        </w:rPr>
        <w:t>C</w:t>
      </w:r>
      <w:r w:rsidR="00AF1E75" w:rsidRPr="00AF1E75">
        <w:rPr>
          <w:rFonts w:asciiTheme="majorHAnsi" w:hAnsiTheme="majorHAnsi" w:cs="Calibri"/>
          <w:sz w:val="24"/>
          <w:szCs w:val="24"/>
          <w:lang w:val="en-US"/>
        </w:rPr>
        <w:t xml:space="preserve">hild </w:t>
      </w:r>
      <w:r w:rsidR="00AF1E75">
        <w:rPr>
          <w:rFonts w:asciiTheme="majorHAnsi" w:hAnsiTheme="majorHAnsi" w:cs="Calibri"/>
          <w:sz w:val="24"/>
          <w:szCs w:val="24"/>
          <w:lang w:val="en-US"/>
        </w:rPr>
        <w:t>P</w:t>
      </w:r>
      <w:r w:rsidR="00AF1E75" w:rsidRPr="00AF1E75">
        <w:rPr>
          <w:rFonts w:asciiTheme="majorHAnsi" w:hAnsiTheme="majorHAnsi" w:cs="Calibri"/>
          <w:sz w:val="24"/>
          <w:szCs w:val="24"/>
          <w:lang w:val="en-US"/>
        </w:rPr>
        <w:t xml:space="preserve">rotection </w:t>
      </w:r>
      <w:r w:rsidR="00AF1E75">
        <w:rPr>
          <w:rFonts w:asciiTheme="majorHAnsi" w:hAnsiTheme="majorHAnsi" w:cs="Calibri"/>
          <w:sz w:val="24"/>
          <w:szCs w:val="24"/>
          <w:lang w:val="en-US"/>
        </w:rPr>
        <w:t>H</w:t>
      </w:r>
      <w:r w:rsidR="00AF1E75" w:rsidRPr="00AF1E75">
        <w:rPr>
          <w:rFonts w:asciiTheme="majorHAnsi" w:hAnsiTheme="majorHAnsi" w:cs="Calibri"/>
          <w:sz w:val="24"/>
          <w:szCs w:val="24"/>
          <w:lang w:val="en-US"/>
        </w:rPr>
        <w:t>ub</w:t>
      </w:r>
      <w:r w:rsidR="00AF1E75">
        <w:rPr>
          <w:rFonts w:asciiTheme="majorHAnsi" w:hAnsiTheme="majorHAnsi" w:cs="Calibri"/>
          <w:sz w:val="24"/>
          <w:szCs w:val="24"/>
          <w:lang w:val="en-US"/>
        </w:rPr>
        <w:t xml:space="preserve">, </w:t>
      </w:r>
      <w:r w:rsidR="00131DA4" w:rsidRPr="00A2797E">
        <w:rPr>
          <w:rFonts w:asciiTheme="majorHAnsi" w:hAnsiTheme="majorHAnsi" w:cs="Calibri"/>
          <w:sz w:val="24"/>
          <w:szCs w:val="24"/>
          <w:lang w:val="en-US"/>
        </w:rPr>
        <w:t xml:space="preserve">Jumbunna Institute of Indigenous Education and Research, University of Technology </w:t>
      </w:r>
      <w:r w:rsidR="00C63609" w:rsidRPr="00A2797E">
        <w:rPr>
          <w:rFonts w:asciiTheme="majorHAnsi" w:hAnsiTheme="majorHAnsi" w:cs="Calibri"/>
          <w:sz w:val="24"/>
          <w:szCs w:val="24"/>
          <w:lang w:val="en-US"/>
        </w:rPr>
        <w:t>Sydney</w:t>
      </w:r>
    </w:p>
    <w:p w14:paraId="52482889" w14:textId="77777777" w:rsidR="00DD7841" w:rsidRPr="00A2797E" w:rsidRDefault="00DD7841" w:rsidP="00BE2E9E">
      <w:pPr>
        <w:pStyle w:val="ListParagraph"/>
        <w:numPr>
          <w:ilvl w:val="0"/>
          <w:numId w:val="22"/>
        </w:numPr>
        <w:spacing w:before="60" w:after="60" w:line="240" w:lineRule="auto"/>
        <w:ind w:left="714" w:hanging="357"/>
        <w:contextualSpacing w:val="0"/>
        <w:rPr>
          <w:rFonts w:asciiTheme="majorHAnsi" w:hAnsiTheme="majorHAnsi" w:cs="Calibri"/>
          <w:sz w:val="24"/>
          <w:szCs w:val="24"/>
        </w:rPr>
      </w:pPr>
      <w:r>
        <w:rPr>
          <w:rFonts w:asciiTheme="majorHAnsi" w:hAnsiTheme="majorHAnsi" w:cs="Calibri"/>
          <w:sz w:val="24"/>
          <w:szCs w:val="24"/>
          <w:lang w:val="en-US"/>
        </w:rPr>
        <w:t>Professor Daryl Higgins – Institute for Child Protection, Australian Catholic University</w:t>
      </w:r>
    </w:p>
    <w:p w14:paraId="68AEBEE3" w14:textId="06F108A4" w:rsidR="00C63609" w:rsidRPr="00A2797E" w:rsidRDefault="00C10B6B" w:rsidP="00BE2E9E">
      <w:pPr>
        <w:pStyle w:val="ListParagraph"/>
        <w:numPr>
          <w:ilvl w:val="0"/>
          <w:numId w:val="22"/>
        </w:numPr>
        <w:spacing w:before="60" w:after="60" w:line="240" w:lineRule="auto"/>
        <w:ind w:left="714" w:hanging="357"/>
        <w:contextualSpacing w:val="0"/>
        <w:rPr>
          <w:rFonts w:asciiTheme="majorHAnsi" w:hAnsiTheme="majorHAnsi" w:cs="Calibri"/>
          <w:sz w:val="24"/>
          <w:szCs w:val="24"/>
        </w:rPr>
      </w:pPr>
      <w:r w:rsidRPr="00A2797E">
        <w:rPr>
          <w:rFonts w:asciiTheme="majorHAnsi" w:hAnsiTheme="majorHAnsi" w:cs="Calibri"/>
          <w:sz w:val="24"/>
          <w:szCs w:val="24"/>
        </w:rPr>
        <w:t>Profe</w:t>
      </w:r>
      <w:r w:rsidR="00C372A9" w:rsidRPr="00A2797E">
        <w:rPr>
          <w:rFonts w:asciiTheme="majorHAnsi" w:hAnsiTheme="majorHAnsi" w:cs="Calibri"/>
          <w:sz w:val="24"/>
          <w:szCs w:val="24"/>
        </w:rPr>
        <w:t>ssor Raymond Lovett</w:t>
      </w:r>
      <w:r w:rsidR="006412BC" w:rsidRPr="00A2797E">
        <w:rPr>
          <w:rFonts w:asciiTheme="majorHAnsi" w:hAnsiTheme="majorHAnsi" w:cs="Calibri"/>
          <w:sz w:val="24"/>
          <w:szCs w:val="24"/>
        </w:rPr>
        <w:t xml:space="preserve"> – </w:t>
      </w:r>
      <w:r w:rsidR="00D5034C">
        <w:rPr>
          <w:rFonts w:asciiTheme="majorHAnsi" w:hAnsiTheme="majorHAnsi" w:cs="Calibri"/>
          <w:sz w:val="24"/>
          <w:szCs w:val="24"/>
        </w:rPr>
        <w:t xml:space="preserve">Yardhura Walani </w:t>
      </w:r>
      <w:r w:rsidR="00D5034C" w:rsidRPr="00D5034C">
        <w:rPr>
          <w:rFonts w:asciiTheme="majorHAnsi" w:hAnsiTheme="majorHAnsi" w:cs="Calibri"/>
          <w:sz w:val="24"/>
          <w:szCs w:val="24"/>
          <w:lang w:val="en-US"/>
        </w:rPr>
        <w:t>Centre for Aboriginal and Torres Strait Islander Wellbeing Research</w:t>
      </w:r>
      <w:r w:rsidR="00D5034C">
        <w:rPr>
          <w:rFonts w:asciiTheme="majorHAnsi" w:hAnsiTheme="majorHAnsi" w:cs="Calibri"/>
          <w:sz w:val="24"/>
          <w:szCs w:val="24"/>
          <w:lang w:val="en-US"/>
        </w:rPr>
        <w:t xml:space="preserve">, </w:t>
      </w:r>
      <w:r w:rsidR="006412BC" w:rsidRPr="00A2797E">
        <w:rPr>
          <w:rFonts w:asciiTheme="majorHAnsi" w:hAnsiTheme="majorHAnsi" w:cs="Calibri"/>
          <w:sz w:val="24"/>
          <w:szCs w:val="24"/>
        </w:rPr>
        <w:t>National Centre for Epidemiology and Population Health</w:t>
      </w:r>
      <w:r w:rsidR="005E3C3A" w:rsidRPr="00A2797E">
        <w:rPr>
          <w:rFonts w:asciiTheme="majorHAnsi" w:hAnsiTheme="majorHAnsi" w:cs="Calibri"/>
          <w:sz w:val="24"/>
          <w:szCs w:val="24"/>
        </w:rPr>
        <w:t>, Australian National University</w:t>
      </w:r>
    </w:p>
    <w:p w14:paraId="639FE1D1" w14:textId="46261D2A" w:rsidR="005E3C3A" w:rsidRPr="00A2797E" w:rsidRDefault="00831DD2" w:rsidP="00BE2E9E">
      <w:pPr>
        <w:pStyle w:val="ListParagraph"/>
        <w:numPr>
          <w:ilvl w:val="0"/>
          <w:numId w:val="22"/>
        </w:numPr>
        <w:spacing w:before="60" w:after="60" w:line="240" w:lineRule="auto"/>
        <w:ind w:left="714" w:hanging="357"/>
        <w:contextualSpacing w:val="0"/>
        <w:rPr>
          <w:rFonts w:asciiTheme="majorHAnsi" w:hAnsiTheme="majorHAnsi" w:cs="Calibri"/>
          <w:sz w:val="24"/>
          <w:szCs w:val="24"/>
        </w:rPr>
      </w:pPr>
      <w:r w:rsidRPr="00A2797E">
        <w:rPr>
          <w:rFonts w:asciiTheme="majorHAnsi" w:hAnsiTheme="majorHAnsi" w:cs="Calibri"/>
          <w:sz w:val="24"/>
          <w:szCs w:val="24"/>
        </w:rPr>
        <w:t>Garth Morgan</w:t>
      </w:r>
      <w:r w:rsidR="00CA08F8" w:rsidRPr="00A2797E">
        <w:rPr>
          <w:rFonts w:asciiTheme="majorHAnsi" w:hAnsiTheme="majorHAnsi" w:cs="Calibri"/>
          <w:sz w:val="24"/>
          <w:szCs w:val="24"/>
        </w:rPr>
        <w:t xml:space="preserve"> </w:t>
      </w:r>
      <w:r w:rsidR="005336E8">
        <w:rPr>
          <w:rFonts w:asciiTheme="majorHAnsi" w:hAnsiTheme="majorHAnsi" w:cs="Calibri"/>
          <w:sz w:val="24"/>
          <w:szCs w:val="24"/>
        </w:rPr>
        <w:t>–</w:t>
      </w:r>
      <w:r w:rsidR="00CA08F8" w:rsidRPr="00A2797E">
        <w:rPr>
          <w:rFonts w:asciiTheme="majorHAnsi" w:hAnsiTheme="majorHAnsi" w:cs="Calibri"/>
          <w:sz w:val="24"/>
          <w:szCs w:val="24"/>
        </w:rPr>
        <w:t xml:space="preserve"> </w:t>
      </w:r>
      <w:r w:rsidR="00DE18B4" w:rsidRPr="00A2797E">
        <w:rPr>
          <w:rFonts w:asciiTheme="majorHAnsi" w:hAnsiTheme="majorHAnsi" w:cs="Calibri"/>
          <w:sz w:val="24"/>
          <w:szCs w:val="24"/>
          <w:lang w:val="en-US"/>
        </w:rPr>
        <w:t>Queensland Aboriginal and Torres Strait Islander Child Protection Peak (QATSICPP)</w:t>
      </w:r>
    </w:p>
    <w:p w14:paraId="5DCB1CF3" w14:textId="79E82E71" w:rsidR="001B451C" w:rsidRPr="006A78AC" w:rsidRDefault="00E3454F" w:rsidP="00BE2E9E">
      <w:pPr>
        <w:rPr>
          <w:rFonts w:asciiTheme="majorHAnsi" w:hAnsiTheme="majorHAnsi" w:cs="Calibri"/>
        </w:rPr>
      </w:pPr>
      <w:r>
        <w:rPr>
          <w:rFonts w:asciiTheme="majorHAnsi" w:hAnsiTheme="majorHAnsi" w:cs="Calibri"/>
        </w:rPr>
        <w:br w:type="page"/>
      </w:r>
    </w:p>
    <w:p w14:paraId="2DEEDFFA" w14:textId="0F29EFA5" w:rsidR="009E56DB" w:rsidRPr="00A10F4F" w:rsidRDefault="006A4E97" w:rsidP="00540368">
      <w:pPr>
        <w:pStyle w:val="Heading2"/>
      </w:pPr>
      <w:bookmarkStart w:id="2" w:name="_Toc180484272"/>
      <w:r w:rsidRPr="00120AAB">
        <w:t>I</w:t>
      </w:r>
      <w:r w:rsidR="00FD4521" w:rsidRPr="00120AAB">
        <w:t>ntroduction</w:t>
      </w:r>
      <w:bookmarkEnd w:id="1"/>
      <w:bookmarkEnd w:id="2"/>
    </w:p>
    <w:p w14:paraId="48D92CC9" w14:textId="458453C5" w:rsidR="008C2F85" w:rsidRPr="00120AAB" w:rsidRDefault="4F85DF43" w:rsidP="00BE2E9E">
      <w:pPr>
        <w:spacing w:before="120" w:after="120"/>
        <w:rPr>
          <w:rFonts w:asciiTheme="majorHAnsi" w:hAnsiTheme="majorHAnsi" w:cs="Calibri"/>
        </w:rPr>
      </w:pPr>
      <w:r w:rsidRPr="00120AAB">
        <w:rPr>
          <w:rFonts w:asciiTheme="majorHAnsi" w:hAnsiTheme="majorHAnsi" w:cs="Calibri"/>
        </w:rPr>
        <w:t>The National Aboriginal and Torres Strait Islander Centre for Excellence in Child and Family Support (the Centre) will be an Aboriginal and Torres Strait Islander</w:t>
      </w:r>
      <w:r w:rsidR="00D57FD8" w:rsidRPr="00120AAB">
        <w:rPr>
          <w:rFonts w:asciiTheme="majorHAnsi" w:hAnsiTheme="majorHAnsi" w:cs="Calibri"/>
        </w:rPr>
        <w:t>-</w:t>
      </w:r>
      <w:r w:rsidRPr="00120AAB">
        <w:rPr>
          <w:rFonts w:asciiTheme="majorHAnsi" w:hAnsiTheme="majorHAnsi" w:cs="Calibri"/>
        </w:rPr>
        <w:t xml:space="preserve">led body to support evidence-based and outcomes-focused approaches to delivering support to Aboriginal and Torres Strait Islander children, young people and families. </w:t>
      </w:r>
    </w:p>
    <w:p w14:paraId="714D7060" w14:textId="45BC5B1F" w:rsidR="004B51CC" w:rsidRPr="00120AAB" w:rsidRDefault="008C2F85" w:rsidP="00BE2E9E">
      <w:pPr>
        <w:spacing w:before="120" w:after="120"/>
        <w:rPr>
          <w:rFonts w:asciiTheme="majorHAnsi" w:hAnsiTheme="majorHAnsi" w:cs="Calibri"/>
        </w:rPr>
      </w:pPr>
      <w:r w:rsidRPr="00120AAB">
        <w:rPr>
          <w:rFonts w:asciiTheme="majorHAnsi" w:hAnsiTheme="majorHAnsi" w:cs="Calibri"/>
        </w:rPr>
        <w:t>The Centre</w:t>
      </w:r>
      <w:r w:rsidR="0008514B" w:rsidRPr="00120AAB">
        <w:rPr>
          <w:rFonts w:asciiTheme="majorHAnsi" w:hAnsiTheme="majorHAnsi" w:cs="Calibri"/>
        </w:rPr>
        <w:t xml:space="preserve"> </w:t>
      </w:r>
      <w:r w:rsidRPr="00120AAB">
        <w:rPr>
          <w:rFonts w:asciiTheme="majorHAnsi" w:hAnsiTheme="majorHAnsi" w:cs="Calibri"/>
        </w:rPr>
        <w:t xml:space="preserve">will contribute to the implementation of Action 3 (Data Sovereignty) in the Aboriginal and Torres Strait Islander </w:t>
      </w:r>
      <w:r w:rsidR="001E5657" w:rsidRPr="00120AAB">
        <w:rPr>
          <w:rFonts w:asciiTheme="majorHAnsi" w:hAnsiTheme="majorHAnsi" w:cs="Calibri"/>
        </w:rPr>
        <w:t xml:space="preserve">First </w:t>
      </w:r>
      <w:r w:rsidRPr="00120AAB">
        <w:rPr>
          <w:rFonts w:asciiTheme="majorHAnsi" w:hAnsiTheme="majorHAnsi" w:cs="Calibri"/>
        </w:rPr>
        <w:t xml:space="preserve">Action Plan 2023–2026 (Action Plan) under </w:t>
      </w:r>
      <w:r w:rsidRPr="00120AAB">
        <w:rPr>
          <w:rFonts w:asciiTheme="majorHAnsi" w:hAnsiTheme="majorHAnsi" w:cs="Calibri"/>
          <w:i/>
          <w:iCs/>
        </w:rPr>
        <w:t>Safe and Supported: The National Framework for Protecting Australia’s Children 2021</w:t>
      </w:r>
      <w:r w:rsidR="00A16B33" w:rsidRPr="00120AAB">
        <w:rPr>
          <w:rFonts w:asciiTheme="majorHAnsi" w:hAnsiTheme="majorHAnsi" w:cs="Calibri"/>
          <w:i/>
          <w:iCs/>
        </w:rPr>
        <w:t>–</w:t>
      </w:r>
      <w:r w:rsidRPr="00120AAB">
        <w:rPr>
          <w:rFonts w:asciiTheme="majorHAnsi" w:hAnsiTheme="majorHAnsi" w:cs="Calibri"/>
          <w:i/>
          <w:iCs/>
        </w:rPr>
        <w:t>2031</w:t>
      </w:r>
      <w:r w:rsidRPr="00120AAB">
        <w:rPr>
          <w:rFonts w:asciiTheme="majorHAnsi" w:hAnsiTheme="majorHAnsi" w:cs="Calibri"/>
        </w:rPr>
        <w:t xml:space="preserve"> (Safe and Supported). Action 3 aims to ensure that Aboriginal and Torres Strait Islander people determine</w:t>
      </w:r>
      <w:r w:rsidR="005A71CB" w:rsidRPr="00120AAB">
        <w:rPr>
          <w:rFonts w:asciiTheme="majorHAnsi" w:hAnsiTheme="majorHAnsi" w:cs="Calibri"/>
        </w:rPr>
        <w:t xml:space="preserve"> </w:t>
      </w:r>
      <w:r w:rsidR="00A1038A" w:rsidRPr="00120AAB">
        <w:rPr>
          <w:rFonts w:asciiTheme="majorHAnsi" w:hAnsiTheme="majorHAnsi" w:cs="Calibri"/>
        </w:rPr>
        <w:t xml:space="preserve">the collection and </w:t>
      </w:r>
      <w:r w:rsidR="009F4480" w:rsidRPr="00120AAB">
        <w:rPr>
          <w:rFonts w:asciiTheme="majorHAnsi" w:hAnsiTheme="majorHAnsi" w:cs="Calibri"/>
        </w:rPr>
        <w:t xml:space="preserve">use of </w:t>
      </w:r>
      <w:r w:rsidR="00193339" w:rsidRPr="00120AAB">
        <w:rPr>
          <w:rFonts w:asciiTheme="majorHAnsi" w:hAnsiTheme="majorHAnsi" w:cs="Calibri"/>
        </w:rPr>
        <w:t xml:space="preserve">their own </w:t>
      </w:r>
      <w:r w:rsidR="009F4480" w:rsidRPr="00120AAB">
        <w:rPr>
          <w:rFonts w:asciiTheme="majorHAnsi" w:hAnsiTheme="majorHAnsi" w:cs="Calibri"/>
        </w:rPr>
        <w:t>data</w:t>
      </w:r>
      <w:r w:rsidR="003845E9" w:rsidRPr="00120AAB">
        <w:rPr>
          <w:rFonts w:asciiTheme="majorHAnsi" w:hAnsiTheme="majorHAnsi" w:cs="Calibri"/>
        </w:rPr>
        <w:t xml:space="preserve">, including </w:t>
      </w:r>
      <w:r w:rsidR="00123521" w:rsidRPr="00120AAB">
        <w:rPr>
          <w:rFonts w:asciiTheme="majorHAnsi" w:hAnsiTheme="majorHAnsi" w:cs="Calibri"/>
        </w:rPr>
        <w:t>leading</w:t>
      </w:r>
      <w:r w:rsidR="00834DA4" w:rsidRPr="00120AAB">
        <w:rPr>
          <w:rFonts w:asciiTheme="majorHAnsi" w:hAnsiTheme="majorHAnsi" w:cs="Calibri"/>
        </w:rPr>
        <w:t xml:space="preserve"> development of the evidence base that informs</w:t>
      </w:r>
      <w:r w:rsidR="00A52782">
        <w:rPr>
          <w:rFonts w:asciiTheme="majorHAnsi" w:hAnsiTheme="majorHAnsi" w:cs="Calibri"/>
        </w:rPr>
        <w:t xml:space="preserve"> child protection and family support</w:t>
      </w:r>
      <w:r w:rsidR="00834DA4" w:rsidRPr="00120AAB">
        <w:rPr>
          <w:rFonts w:asciiTheme="majorHAnsi" w:hAnsiTheme="majorHAnsi" w:cs="Calibri"/>
        </w:rPr>
        <w:t xml:space="preserve"> </w:t>
      </w:r>
      <w:r w:rsidR="00A52782">
        <w:rPr>
          <w:rFonts w:asciiTheme="majorHAnsi" w:hAnsiTheme="majorHAnsi" w:cs="Calibri"/>
        </w:rPr>
        <w:t xml:space="preserve">systems, </w:t>
      </w:r>
      <w:r w:rsidRPr="00120AAB">
        <w:rPr>
          <w:rFonts w:asciiTheme="majorHAnsi" w:hAnsiTheme="majorHAnsi" w:cs="Calibri"/>
        </w:rPr>
        <w:t>policies</w:t>
      </w:r>
      <w:r w:rsidR="00A52782">
        <w:rPr>
          <w:rFonts w:asciiTheme="majorHAnsi" w:hAnsiTheme="majorHAnsi" w:cs="Calibri"/>
        </w:rPr>
        <w:t>,</w:t>
      </w:r>
      <w:r w:rsidRPr="00120AAB">
        <w:rPr>
          <w:rFonts w:asciiTheme="majorHAnsi" w:hAnsiTheme="majorHAnsi" w:cs="Calibri"/>
        </w:rPr>
        <w:t xml:space="preserve"> programs</w:t>
      </w:r>
      <w:r w:rsidR="00A52782">
        <w:rPr>
          <w:rFonts w:asciiTheme="majorHAnsi" w:hAnsiTheme="majorHAnsi" w:cs="Calibri"/>
        </w:rPr>
        <w:t xml:space="preserve"> and services</w:t>
      </w:r>
      <w:r w:rsidR="00834DA4" w:rsidRPr="00120AAB">
        <w:rPr>
          <w:rFonts w:asciiTheme="majorHAnsi" w:hAnsiTheme="majorHAnsi" w:cs="Calibri"/>
        </w:rPr>
        <w:t xml:space="preserve"> relating to Aboriginal and Torres Strait Islander people.</w:t>
      </w:r>
      <w:r w:rsidR="008E751D" w:rsidRPr="00120AAB">
        <w:rPr>
          <w:rStyle w:val="FootnoteReference"/>
          <w:rFonts w:asciiTheme="majorHAnsi" w:hAnsiTheme="majorHAnsi"/>
        </w:rPr>
        <w:footnoteReference w:id="2"/>
      </w:r>
      <w:r w:rsidR="00885456" w:rsidRPr="00120AAB">
        <w:rPr>
          <w:rFonts w:asciiTheme="majorHAnsi" w:hAnsiTheme="majorHAnsi" w:cs="Calibri"/>
        </w:rPr>
        <w:t xml:space="preserve"> </w:t>
      </w:r>
    </w:p>
    <w:p w14:paraId="775F60B5" w14:textId="5EE06079" w:rsidR="008C2F85" w:rsidRPr="00120AAB" w:rsidRDefault="009C616B" w:rsidP="00BE2E9E">
      <w:pPr>
        <w:spacing w:before="120" w:after="120"/>
        <w:rPr>
          <w:rFonts w:asciiTheme="majorHAnsi" w:hAnsiTheme="majorHAnsi" w:cs="Calibri"/>
        </w:rPr>
      </w:pPr>
      <w:r>
        <w:rPr>
          <w:rFonts w:asciiTheme="majorHAnsi" w:hAnsiTheme="majorHAnsi" w:cs="Calibri"/>
        </w:rPr>
        <w:t xml:space="preserve">Research priorities </w:t>
      </w:r>
      <w:r w:rsidR="00023E51">
        <w:rPr>
          <w:rFonts w:asciiTheme="majorHAnsi" w:hAnsiTheme="majorHAnsi" w:cs="Calibri"/>
        </w:rPr>
        <w:t>and initia</w:t>
      </w:r>
      <w:r w:rsidR="00CB2760">
        <w:rPr>
          <w:rFonts w:asciiTheme="majorHAnsi" w:hAnsiTheme="majorHAnsi" w:cs="Calibri"/>
        </w:rPr>
        <w:t xml:space="preserve">tives </w:t>
      </w:r>
      <w:r>
        <w:rPr>
          <w:rFonts w:asciiTheme="majorHAnsi" w:hAnsiTheme="majorHAnsi" w:cs="Calibri"/>
        </w:rPr>
        <w:t>relating to Aboriginal and Torres</w:t>
      </w:r>
      <w:r w:rsidR="005472F1">
        <w:rPr>
          <w:rFonts w:asciiTheme="majorHAnsi" w:hAnsiTheme="majorHAnsi" w:cs="Calibri"/>
        </w:rPr>
        <w:t xml:space="preserve"> Strait Islander communities</w:t>
      </w:r>
      <w:r w:rsidR="005C44E9">
        <w:rPr>
          <w:rFonts w:asciiTheme="majorHAnsi" w:hAnsiTheme="majorHAnsi" w:cs="Calibri"/>
        </w:rPr>
        <w:t xml:space="preserve"> are</w:t>
      </w:r>
      <w:r w:rsidR="005472F1">
        <w:rPr>
          <w:rFonts w:asciiTheme="majorHAnsi" w:hAnsiTheme="majorHAnsi" w:cs="Calibri"/>
        </w:rPr>
        <w:t xml:space="preserve"> often </w:t>
      </w:r>
      <w:r w:rsidR="00BC0407">
        <w:rPr>
          <w:rFonts w:asciiTheme="majorHAnsi" w:hAnsiTheme="majorHAnsi" w:cs="Calibri"/>
        </w:rPr>
        <w:t>not determined by Aboriginal and Torres Strait Islander people. As such,</w:t>
      </w:r>
      <w:r w:rsidR="00256444">
        <w:rPr>
          <w:rFonts w:asciiTheme="majorHAnsi" w:hAnsiTheme="majorHAnsi" w:cs="Calibri"/>
        </w:rPr>
        <w:t xml:space="preserve"> </w:t>
      </w:r>
      <w:r w:rsidR="00BC0407">
        <w:rPr>
          <w:rFonts w:asciiTheme="majorHAnsi" w:hAnsiTheme="majorHAnsi" w:cs="Calibri"/>
        </w:rPr>
        <w:t>t</w:t>
      </w:r>
      <w:r w:rsidR="00F60C69" w:rsidRPr="00120AAB">
        <w:rPr>
          <w:rFonts w:asciiTheme="majorHAnsi" w:hAnsiTheme="majorHAnsi" w:cs="Calibri"/>
        </w:rPr>
        <w:t xml:space="preserve">he Centre will actively support </w:t>
      </w:r>
      <w:r w:rsidR="00F60C69">
        <w:rPr>
          <w:rFonts w:asciiTheme="majorHAnsi" w:hAnsiTheme="majorHAnsi" w:cs="Calibri"/>
        </w:rPr>
        <w:t xml:space="preserve">research and knowledge translation </w:t>
      </w:r>
      <w:r w:rsidR="00F60C69" w:rsidRPr="00120AAB">
        <w:rPr>
          <w:rFonts w:asciiTheme="majorHAnsi" w:hAnsiTheme="majorHAnsi" w:cs="Calibri"/>
        </w:rPr>
        <w:t>initiatives identified as priorities by Aboriginal and Torres Strait Islander children</w:t>
      </w:r>
      <w:r w:rsidR="00F60C69">
        <w:rPr>
          <w:rFonts w:asciiTheme="majorHAnsi" w:hAnsiTheme="majorHAnsi" w:cs="Calibri"/>
        </w:rPr>
        <w:t xml:space="preserve">, </w:t>
      </w:r>
      <w:r w:rsidR="00F60C69" w:rsidRPr="00120AAB">
        <w:rPr>
          <w:rFonts w:asciiTheme="majorHAnsi" w:hAnsiTheme="majorHAnsi" w:cs="Calibri"/>
        </w:rPr>
        <w:t>families,</w:t>
      </w:r>
      <w:r w:rsidR="00F60C69">
        <w:rPr>
          <w:rFonts w:asciiTheme="majorHAnsi" w:hAnsiTheme="majorHAnsi" w:cs="Calibri"/>
        </w:rPr>
        <w:t xml:space="preserve"> communities and sectors</w:t>
      </w:r>
      <w:r w:rsidR="00F60C69" w:rsidRPr="00120AAB">
        <w:rPr>
          <w:rFonts w:asciiTheme="majorHAnsi" w:hAnsiTheme="majorHAnsi" w:cs="Calibri"/>
        </w:rPr>
        <w:t>.</w:t>
      </w:r>
      <w:r w:rsidR="00F60C69" w:rsidRPr="00120AAB" w:rsidDel="00A853B7">
        <w:rPr>
          <w:rFonts w:asciiTheme="majorHAnsi" w:hAnsiTheme="majorHAnsi" w:cs="Calibri"/>
        </w:rPr>
        <w:t xml:space="preserve"> </w:t>
      </w:r>
      <w:r w:rsidR="007E31D6" w:rsidRPr="00120AAB">
        <w:rPr>
          <w:rFonts w:asciiTheme="majorHAnsi" w:hAnsiTheme="majorHAnsi" w:cs="Calibri"/>
        </w:rPr>
        <w:t>While</w:t>
      </w:r>
      <w:r w:rsidR="002C4802">
        <w:rPr>
          <w:rFonts w:asciiTheme="majorHAnsi" w:hAnsiTheme="majorHAnsi" w:cs="Calibri"/>
        </w:rPr>
        <w:t xml:space="preserve"> </w:t>
      </w:r>
      <w:r w:rsidR="00184084" w:rsidRPr="00120AAB">
        <w:rPr>
          <w:rFonts w:asciiTheme="majorHAnsi" w:hAnsiTheme="majorHAnsi" w:cs="Calibri"/>
        </w:rPr>
        <w:t xml:space="preserve">the Centre </w:t>
      </w:r>
      <w:r w:rsidR="0008592F" w:rsidRPr="00120AAB">
        <w:rPr>
          <w:rFonts w:asciiTheme="majorHAnsi" w:hAnsiTheme="majorHAnsi" w:cs="Calibri"/>
        </w:rPr>
        <w:t>originated</w:t>
      </w:r>
      <w:r w:rsidR="00184084" w:rsidRPr="00120AAB">
        <w:rPr>
          <w:rFonts w:asciiTheme="majorHAnsi" w:hAnsiTheme="majorHAnsi" w:cs="Calibri"/>
        </w:rPr>
        <w:t xml:space="preserve"> </w:t>
      </w:r>
      <w:r w:rsidR="009971F4" w:rsidRPr="00120AAB">
        <w:rPr>
          <w:rFonts w:asciiTheme="majorHAnsi" w:hAnsiTheme="majorHAnsi" w:cs="Calibri"/>
        </w:rPr>
        <w:t xml:space="preserve">from Safe and Supported commitments, its remit </w:t>
      </w:r>
      <w:r w:rsidR="002B0949" w:rsidRPr="00120AAB">
        <w:rPr>
          <w:rFonts w:asciiTheme="majorHAnsi" w:hAnsiTheme="majorHAnsi" w:cs="Calibri"/>
        </w:rPr>
        <w:t>will be</w:t>
      </w:r>
      <w:r w:rsidR="009971F4" w:rsidRPr="00120AAB">
        <w:rPr>
          <w:rFonts w:asciiTheme="majorHAnsi" w:hAnsiTheme="majorHAnsi" w:cs="Calibri"/>
        </w:rPr>
        <w:t xml:space="preserve"> </w:t>
      </w:r>
      <w:r w:rsidR="00BB2689" w:rsidRPr="00120AAB">
        <w:rPr>
          <w:rFonts w:asciiTheme="majorHAnsi" w:hAnsiTheme="majorHAnsi" w:cs="Calibri"/>
        </w:rPr>
        <w:t>far</w:t>
      </w:r>
      <w:r w:rsidR="009971F4" w:rsidRPr="00120AAB">
        <w:rPr>
          <w:rFonts w:asciiTheme="majorHAnsi" w:hAnsiTheme="majorHAnsi" w:cs="Calibri"/>
        </w:rPr>
        <w:t xml:space="preserve"> broader than child protection</w:t>
      </w:r>
      <w:r w:rsidR="002B0949" w:rsidRPr="00120AAB">
        <w:rPr>
          <w:rFonts w:asciiTheme="majorHAnsi" w:hAnsiTheme="majorHAnsi" w:cs="Calibri"/>
        </w:rPr>
        <w:t xml:space="preserve">, </w:t>
      </w:r>
      <w:r w:rsidR="00294ADA">
        <w:rPr>
          <w:rFonts w:asciiTheme="majorHAnsi" w:hAnsiTheme="majorHAnsi" w:cs="Calibri"/>
        </w:rPr>
        <w:t>encompassing</w:t>
      </w:r>
      <w:r w:rsidR="002B0949" w:rsidRPr="00120AAB">
        <w:rPr>
          <w:rFonts w:asciiTheme="majorHAnsi" w:hAnsiTheme="majorHAnsi" w:cs="Calibri"/>
        </w:rPr>
        <w:t xml:space="preserve"> the holistic needs of </w:t>
      </w:r>
      <w:r w:rsidR="004E4726" w:rsidRPr="00120AAB">
        <w:rPr>
          <w:rFonts w:asciiTheme="majorHAnsi" w:hAnsiTheme="majorHAnsi" w:cs="Calibri"/>
        </w:rPr>
        <w:t xml:space="preserve">Aboriginal and Torres Strait Islander </w:t>
      </w:r>
      <w:r w:rsidR="002B0949" w:rsidRPr="00120AAB">
        <w:rPr>
          <w:rFonts w:asciiTheme="majorHAnsi" w:hAnsiTheme="majorHAnsi" w:cs="Calibri"/>
        </w:rPr>
        <w:t>children and families</w:t>
      </w:r>
      <w:r w:rsidR="009971F4" w:rsidRPr="00120AAB">
        <w:rPr>
          <w:rFonts w:asciiTheme="majorHAnsi" w:hAnsiTheme="majorHAnsi" w:cs="Calibri"/>
        </w:rPr>
        <w:t>.</w:t>
      </w:r>
      <w:r w:rsidR="00CE71DD" w:rsidRPr="00120AAB">
        <w:rPr>
          <w:rFonts w:asciiTheme="majorHAnsi" w:hAnsiTheme="majorHAnsi" w:cs="Calibri"/>
        </w:rPr>
        <w:t xml:space="preserve"> </w:t>
      </w:r>
      <w:r w:rsidR="002B0949" w:rsidRPr="00120AAB">
        <w:rPr>
          <w:rFonts w:asciiTheme="majorHAnsi" w:hAnsiTheme="majorHAnsi" w:cs="Calibri"/>
        </w:rPr>
        <w:t>As such, t</w:t>
      </w:r>
      <w:r w:rsidR="00CE71DD" w:rsidRPr="00120AAB">
        <w:rPr>
          <w:rFonts w:asciiTheme="majorHAnsi" w:hAnsiTheme="majorHAnsi"/>
        </w:rPr>
        <w:t>he Centre will</w:t>
      </w:r>
      <w:r w:rsidR="00334DC1" w:rsidRPr="00120AAB">
        <w:rPr>
          <w:rFonts w:asciiTheme="majorHAnsi" w:hAnsiTheme="majorHAnsi"/>
        </w:rPr>
        <w:t xml:space="preserve"> </w:t>
      </w:r>
      <w:r w:rsidR="00F60964" w:rsidRPr="00120AAB">
        <w:rPr>
          <w:rFonts w:asciiTheme="majorHAnsi" w:hAnsiTheme="majorHAnsi"/>
        </w:rPr>
        <w:t>help</w:t>
      </w:r>
      <w:r w:rsidR="00CE71DD" w:rsidRPr="00120AAB">
        <w:rPr>
          <w:rFonts w:asciiTheme="majorHAnsi" w:hAnsiTheme="majorHAnsi"/>
        </w:rPr>
        <w:t xml:space="preserve"> </w:t>
      </w:r>
      <w:r w:rsidR="00C5761C" w:rsidRPr="00120AAB">
        <w:rPr>
          <w:rFonts w:asciiTheme="majorHAnsi" w:hAnsiTheme="majorHAnsi"/>
        </w:rPr>
        <w:t>to</w:t>
      </w:r>
      <w:r w:rsidR="00F60964" w:rsidRPr="00120AAB">
        <w:rPr>
          <w:rFonts w:asciiTheme="majorHAnsi" w:hAnsiTheme="majorHAnsi"/>
        </w:rPr>
        <w:t xml:space="preserve"> drive</w:t>
      </w:r>
      <w:r w:rsidR="00CE71DD" w:rsidRPr="00120AAB">
        <w:rPr>
          <w:rFonts w:asciiTheme="majorHAnsi" w:hAnsiTheme="majorHAnsi"/>
        </w:rPr>
        <w:t xml:space="preserve"> priorities</w:t>
      </w:r>
      <w:r w:rsidR="00C5761C" w:rsidRPr="00120AAB">
        <w:rPr>
          <w:rFonts w:asciiTheme="majorHAnsi" w:hAnsiTheme="majorHAnsi"/>
        </w:rPr>
        <w:t xml:space="preserve"> for </w:t>
      </w:r>
      <w:r w:rsidR="00FF74CF">
        <w:rPr>
          <w:rFonts w:asciiTheme="majorHAnsi" w:hAnsiTheme="majorHAnsi"/>
        </w:rPr>
        <w:t>child and family wellbeing across a range of sectors</w:t>
      </w:r>
      <w:r w:rsidR="00CE71DD" w:rsidRPr="00120AAB">
        <w:rPr>
          <w:rFonts w:asciiTheme="majorHAnsi" w:hAnsiTheme="majorHAnsi"/>
        </w:rPr>
        <w:t xml:space="preserve">. </w:t>
      </w:r>
    </w:p>
    <w:p w14:paraId="16712D5D" w14:textId="297A5A32" w:rsidR="0097772D" w:rsidRPr="00120AAB" w:rsidRDefault="4F85DF43" w:rsidP="00BE2E9E">
      <w:pPr>
        <w:spacing w:before="120" w:after="120"/>
        <w:rPr>
          <w:rFonts w:asciiTheme="majorHAnsi" w:hAnsiTheme="majorHAnsi" w:cs="Calibri"/>
        </w:rPr>
      </w:pPr>
      <w:r w:rsidRPr="00120AAB">
        <w:rPr>
          <w:rFonts w:asciiTheme="majorHAnsi" w:hAnsiTheme="majorHAnsi" w:cs="Calibri"/>
        </w:rPr>
        <w:t>The</w:t>
      </w:r>
      <w:r w:rsidRPr="00120AAB" w:rsidDel="00E25B19">
        <w:rPr>
          <w:rFonts w:asciiTheme="majorHAnsi" w:hAnsiTheme="majorHAnsi" w:cs="Calibri"/>
        </w:rPr>
        <w:t xml:space="preserve"> </w:t>
      </w:r>
      <w:r w:rsidR="00E25B19">
        <w:rPr>
          <w:rFonts w:asciiTheme="majorHAnsi" w:hAnsiTheme="majorHAnsi" w:cs="Calibri"/>
        </w:rPr>
        <w:t>Expert Advisory Group</w:t>
      </w:r>
      <w:r w:rsidR="00E25B19" w:rsidRPr="00120AAB">
        <w:rPr>
          <w:rFonts w:asciiTheme="majorHAnsi" w:hAnsiTheme="majorHAnsi" w:cs="Calibri"/>
        </w:rPr>
        <w:t xml:space="preserve"> </w:t>
      </w:r>
      <w:r w:rsidRPr="00120AAB">
        <w:rPr>
          <w:rFonts w:asciiTheme="majorHAnsi" w:hAnsiTheme="majorHAnsi" w:cs="Calibri"/>
        </w:rPr>
        <w:t xml:space="preserve">has informed the purpose, principles, and functions of the Centre, alongside the structural and operational elements that will be required to bring them to life. This process has focused on the design of a Centre that is effective to ensure self-determination and prioritise the social determinants of child safety and wellbeing in administering research and programs. The Expert Advisory Group has also considered how the Centre would establish Aboriginal and Torres Strait Islander data and research infrastructure nationally and jurisdictionally.    </w:t>
      </w:r>
    </w:p>
    <w:p w14:paraId="0E76F0F1" w14:textId="4925D0EF" w:rsidR="00B6747F" w:rsidRPr="00120AAB" w:rsidRDefault="4F85DF43" w:rsidP="00BE2E9E">
      <w:pPr>
        <w:spacing w:before="120" w:after="120"/>
        <w:rPr>
          <w:rFonts w:asciiTheme="majorHAnsi" w:hAnsiTheme="majorHAnsi" w:cs="Calibri"/>
          <w:lang w:val="en-AU"/>
        </w:rPr>
      </w:pPr>
      <w:r w:rsidRPr="00120AAB">
        <w:rPr>
          <w:rFonts w:asciiTheme="majorHAnsi" w:hAnsiTheme="majorHAnsi" w:cs="Calibri"/>
        </w:rPr>
        <w:t xml:space="preserve">In addition to the community-led design process, SNAICC has undertaken a targeted desktop scan reviewing existing models of similar </w:t>
      </w:r>
      <w:r w:rsidR="00293A33">
        <w:rPr>
          <w:rFonts w:asciiTheme="majorHAnsi" w:hAnsiTheme="majorHAnsi" w:cs="Calibri"/>
        </w:rPr>
        <w:t xml:space="preserve">research </w:t>
      </w:r>
      <w:r w:rsidRPr="00120AAB">
        <w:rPr>
          <w:rFonts w:asciiTheme="majorHAnsi" w:hAnsiTheme="majorHAnsi" w:cs="Calibri"/>
        </w:rPr>
        <w:t>centres and institutes</w:t>
      </w:r>
      <w:r w:rsidRPr="00120AAB">
        <w:rPr>
          <w:rFonts w:asciiTheme="majorHAnsi" w:hAnsiTheme="majorHAnsi" w:cs="Calibri"/>
          <w:lang w:val="en-AU"/>
        </w:rPr>
        <w:t xml:space="preserve"> </w:t>
      </w:r>
      <w:r w:rsidRPr="00120AAB">
        <w:rPr>
          <w:rFonts w:asciiTheme="majorHAnsi" w:hAnsiTheme="majorHAnsi" w:cs="Calibri"/>
        </w:rPr>
        <w:t>to further strengthen the evidence base underpinning the design.</w:t>
      </w:r>
      <w:r w:rsidR="007221BD" w:rsidRPr="00120AAB">
        <w:rPr>
          <w:rFonts w:asciiTheme="majorHAnsi" w:hAnsiTheme="majorHAnsi" w:cs="Calibri"/>
        </w:rPr>
        <w:t xml:space="preserve"> For example, </w:t>
      </w:r>
      <w:r w:rsidR="008938E4" w:rsidRPr="00120AAB">
        <w:rPr>
          <w:rFonts w:asciiTheme="majorHAnsi" w:hAnsiTheme="majorHAnsi" w:cs="Calibri"/>
        </w:rPr>
        <w:t xml:space="preserve">existing models that were reviewed </w:t>
      </w:r>
      <w:r w:rsidR="00417981" w:rsidRPr="00120AAB">
        <w:rPr>
          <w:rFonts w:asciiTheme="majorHAnsi" w:hAnsiTheme="majorHAnsi" w:cs="Calibri"/>
        </w:rPr>
        <w:t>include</w:t>
      </w:r>
      <w:r w:rsidR="007E22DF" w:rsidRPr="00120AAB">
        <w:rPr>
          <w:rFonts w:asciiTheme="majorHAnsi" w:hAnsiTheme="majorHAnsi" w:cs="Calibri"/>
        </w:rPr>
        <w:t>d (but were not limited to) the Queensland Aboriginal and Torres Strait Islander Child Protection Peak (QATSIC</w:t>
      </w:r>
      <w:r w:rsidR="00B318A6">
        <w:rPr>
          <w:rFonts w:asciiTheme="majorHAnsi" w:hAnsiTheme="majorHAnsi" w:cs="Calibri"/>
        </w:rPr>
        <w:t>P</w:t>
      </w:r>
      <w:r w:rsidR="007E22DF" w:rsidRPr="00120AAB">
        <w:rPr>
          <w:rFonts w:asciiTheme="majorHAnsi" w:hAnsiTheme="majorHAnsi" w:cs="Calibri"/>
        </w:rPr>
        <w:t xml:space="preserve">P) Centre of Excellence, </w:t>
      </w:r>
      <w:r w:rsidR="00596F27">
        <w:rPr>
          <w:rFonts w:asciiTheme="majorHAnsi" w:hAnsiTheme="majorHAnsi" w:cs="Calibri"/>
        </w:rPr>
        <w:t xml:space="preserve">the </w:t>
      </w:r>
      <w:r w:rsidR="007E22DF" w:rsidRPr="00120AAB">
        <w:rPr>
          <w:rFonts w:asciiTheme="majorHAnsi" w:hAnsiTheme="majorHAnsi" w:cs="Calibri"/>
        </w:rPr>
        <w:t>Balit Durn Durn Centre</w:t>
      </w:r>
      <w:r w:rsidR="00B92907">
        <w:rPr>
          <w:rFonts w:asciiTheme="majorHAnsi" w:hAnsiTheme="majorHAnsi" w:cs="Calibri"/>
        </w:rPr>
        <w:t xml:space="preserve"> </w:t>
      </w:r>
      <w:r w:rsidR="00B92907" w:rsidRPr="006E2A50">
        <w:rPr>
          <w:rFonts w:asciiTheme="majorHAnsi" w:hAnsiTheme="majorHAnsi" w:cs="Calibri"/>
        </w:rPr>
        <w:t>of Excellence for Aboriginal Social and Emotional Wellbeing</w:t>
      </w:r>
      <w:r w:rsidR="00B92907">
        <w:rPr>
          <w:rFonts w:asciiTheme="majorHAnsi" w:hAnsiTheme="majorHAnsi" w:cs="Calibri"/>
        </w:rPr>
        <w:t>,</w:t>
      </w:r>
      <w:r w:rsidR="00B92907" w:rsidRPr="00120AAB">
        <w:rPr>
          <w:rFonts w:asciiTheme="majorHAnsi" w:hAnsiTheme="majorHAnsi" w:cs="Calibri"/>
        </w:rPr>
        <w:t xml:space="preserve"> </w:t>
      </w:r>
      <w:r w:rsidR="007E22DF" w:rsidRPr="00120AAB">
        <w:rPr>
          <w:rFonts w:asciiTheme="majorHAnsi" w:hAnsiTheme="majorHAnsi" w:cs="Calibri"/>
        </w:rPr>
        <w:t xml:space="preserve">and </w:t>
      </w:r>
      <w:r w:rsidR="007E22DF" w:rsidRPr="00120AAB">
        <w:rPr>
          <w:rFonts w:asciiTheme="majorHAnsi" w:hAnsiTheme="majorHAnsi" w:cs="Calibri"/>
          <w:lang w:val="en-AU"/>
        </w:rPr>
        <w:t>Australia</w:t>
      </w:r>
      <w:r w:rsidR="0064582E">
        <w:rPr>
          <w:rFonts w:asciiTheme="majorHAnsi" w:hAnsiTheme="majorHAnsi" w:cs="Calibri"/>
          <w:lang w:val="en-AU"/>
        </w:rPr>
        <w:t>’s National</w:t>
      </w:r>
      <w:r w:rsidR="007E22DF" w:rsidRPr="00120AAB">
        <w:rPr>
          <w:rFonts w:asciiTheme="majorHAnsi" w:hAnsiTheme="majorHAnsi" w:cs="Calibri"/>
          <w:lang w:val="en-AU"/>
        </w:rPr>
        <w:t xml:space="preserve"> Research Organisation for Women’s Safety (ANROWS).</w:t>
      </w:r>
    </w:p>
    <w:p w14:paraId="074F92BA" w14:textId="05F24C83" w:rsidR="001D280C" w:rsidRPr="00120AAB" w:rsidRDefault="00B6747F" w:rsidP="009D2786">
      <w:pPr>
        <w:spacing w:before="120" w:after="120"/>
        <w:rPr>
          <w:rFonts w:asciiTheme="majorHAnsi" w:hAnsiTheme="majorHAnsi" w:cs="Calibri"/>
        </w:rPr>
      </w:pPr>
      <w:r w:rsidRPr="00120AAB">
        <w:rPr>
          <w:rFonts w:asciiTheme="majorHAnsi" w:hAnsiTheme="majorHAnsi" w:cs="Calibri"/>
        </w:rPr>
        <w:t xml:space="preserve">This report summarises the findings from </w:t>
      </w:r>
      <w:r w:rsidR="000802B6" w:rsidRPr="00120AAB">
        <w:rPr>
          <w:rFonts w:asciiTheme="majorHAnsi" w:hAnsiTheme="majorHAnsi" w:cs="Calibri"/>
        </w:rPr>
        <w:t>A</w:t>
      </w:r>
      <w:r w:rsidR="001E5657" w:rsidRPr="00120AAB">
        <w:rPr>
          <w:rFonts w:asciiTheme="majorHAnsi" w:hAnsiTheme="majorHAnsi" w:cs="Calibri"/>
        </w:rPr>
        <w:t>ctivity 3d) in the Aboriginal and Torres Strait Islander First Action Plan</w:t>
      </w:r>
      <w:r w:rsidR="009660D9" w:rsidRPr="00120AAB">
        <w:rPr>
          <w:rFonts w:asciiTheme="majorHAnsi" w:hAnsiTheme="majorHAnsi" w:cs="Calibri"/>
        </w:rPr>
        <w:t xml:space="preserve">, which </w:t>
      </w:r>
      <w:r w:rsidR="002C0463" w:rsidRPr="00120AAB">
        <w:rPr>
          <w:rFonts w:asciiTheme="majorHAnsi" w:hAnsiTheme="majorHAnsi" w:cs="Calibri"/>
        </w:rPr>
        <w:t xml:space="preserve">commits to delivering </w:t>
      </w:r>
      <w:r w:rsidR="00006964" w:rsidRPr="00120AAB">
        <w:rPr>
          <w:rFonts w:asciiTheme="majorHAnsi" w:hAnsiTheme="majorHAnsi" w:cs="Calibri"/>
        </w:rPr>
        <w:t xml:space="preserve">an </w:t>
      </w:r>
      <w:r w:rsidR="009660D9" w:rsidRPr="00120AAB">
        <w:rPr>
          <w:rFonts w:asciiTheme="majorHAnsi" w:hAnsiTheme="majorHAnsi" w:cs="Calibri"/>
        </w:rPr>
        <w:t>“</w:t>
      </w:r>
      <w:r w:rsidR="00006964" w:rsidRPr="00120AAB">
        <w:rPr>
          <w:rFonts w:asciiTheme="majorHAnsi" w:hAnsiTheme="majorHAnsi" w:cs="Calibri"/>
          <w:lang w:val="en-AU"/>
        </w:rPr>
        <w:t>Aboriginal and Torres Strait Islander-led scoping exercise on how an Aboriginal and Torres Strait Islander Centre for Excellence in Child and Family Support would operate, and how it would help establish Aboriginal and Torres Strait Islander data and research infrastructure nationally, including in each jurisdiction</w:t>
      </w:r>
      <w:r w:rsidR="009660D9" w:rsidRPr="00120AAB">
        <w:rPr>
          <w:rFonts w:asciiTheme="majorHAnsi" w:hAnsiTheme="majorHAnsi" w:cs="Calibri"/>
          <w:lang w:val="en-AU"/>
        </w:rPr>
        <w:t>”</w:t>
      </w:r>
      <w:r w:rsidR="00006964" w:rsidRPr="00120AAB">
        <w:rPr>
          <w:rFonts w:asciiTheme="majorHAnsi" w:hAnsiTheme="majorHAnsi" w:cs="Calibri"/>
          <w:lang w:val="en-AU"/>
        </w:rPr>
        <w:t>.</w:t>
      </w:r>
      <w:r w:rsidR="007B15FD" w:rsidRPr="00120AAB">
        <w:rPr>
          <w:rFonts w:asciiTheme="majorHAnsi" w:hAnsiTheme="majorHAnsi" w:cs="Calibri"/>
        </w:rPr>
        <w:t xml:space="preserve"> </w:t>
      </w:r>
      <w:r w:rsidR="009660D9" w:rsidRPr="00120AAB">
        <w:rPr>
          <w:rFonts w:asciiTheme="majorHAnsi" w:hAnsiTheme="majorHAnsi" w:cs="Calibri"/>
        </w:rPr>
        <w:t>This report</w:t>
      </w:r>
      <w:r w:rsidRPr="00120AAB">
        <w:rPr>
          <w:rFonts w:asciiTheme="majorHAnsi" w:hAnsiTheme="majorHAnsi" w:cs="Calibri"/>
        </w:rPr>
        <w:t xml:space="preserve"> will be used to inform the funding approach for the subsequent establishment </w:t>
      </w:r>
      <w:r w:rsidR="00672AEB" w:rsidRPr="00120AAB">
        <w:rPr>
          <w:rFonts w:asciiTheme="majorHAnsi" w:hAnsiTheme="majorHAnsi" w:cs="Calibri"/>
        </w:rPr>
        <w:t xml:space="preserve">and ongoing operation </w:t>
      </w:r>
      <w:r w:rsidRPr="00120AAB">
        <w:rPr>
          <w:rFonts w:asciiTheme="majorHAnsi" w:hAnsiTheme="majorHAnsi" w:cs="Calibri"/>
        </w:rPr>
        <w:t>of the Centre for Excellence.</w:t>
      </w:r>
      <w:r w:rsidR="000802B6" w:rsidRPr="00120AAB">
        <w:rPr>
          <w:rStyle w:val="FootnoteReference"/>
          <w:rFonts w:asciiTheme="majorHAnsi" w:hAnsiTheme="majorHAnsi"/>
        </w:rPr>
        <w:footnoteReference w:id="3"/>
      </w:r>
      <w:r w:rsidRPr="00120AAB">
        <w:rPr>
          <w:rFonts w:asciiTheme="majorHAnsi" w:hAnsiTheme="majorHAnsi" w:cs="Calibri"/>
        </w:rPr>
        <w:t xml:space="preserve"> </w:t>
      </w:r>
    </w:p>
    <w:p w14:paraId="785A9712" w14:textId="6B3ED5C7" w:rsidR="009E56DB" w:rsidRPr="00120AAB" w:rsidRDefault="00D23B8F" w:rsidP="00A10F4F">
      <w:pPr>
        <w:pStyle w:val="Heading2"/>
      </w:pPr>
      <w:bookmarkStart w:id="3" w:name="_Toc166861687"/>
      <w:bookmarkStart w:id="4" w:name="_Toc180484273"/>
      <w:r w:rsidRPr="00120AAB">
        <w:t>R</w:t>
      </w:r>
      <w:r w:rsidR="00FD4521" w:rsidRPr="00120AAB">
        <w:t>ecommendations</w:t>
      </w:r>
      <w:bookmarkEnd w:id="3"/>
      <w:bookmarkEnd w:id="4"/>
    </w:p>
    <w:p w14:paraId="7EC1B0D8" w14:textId="77777777" w:rsidR="007E3316" w:rsidRPr="00120AAB" w:rsidRDefault="4F85DF43" w:rsidP="00BE2E9E">
      <w:pPr>
        <w:spacing w:before="240" w:after="120"/>
        <w:rPr>
          <w:rFonts w:asciiTheme="majorHAnsi" w:hAnsiTheme="majorHAnsi" w:cs="Calibri"/>
        </w:rPr>
      </w:pPr>
      <w:r w:rsidRPr="00120AAB">
        <w:rPr>
          <w:rFonts w:asciiTheme="majorHAnsi" w:hAnsiTheme="majorHAnsi" w:cs="Calibri"/>
        </w:rPr>
        <w:t xml:space="preserve">The following is a list of recommendations made in this report. </w:t>
      </w:r>
    </w:p>
    <w:p w14:paraId="1189D8D9" w14:textId="1D0C5FBE" w:rsidR="0018553F" w:rsidRPr="00120AAB" w:rsidRDefault="4F85DF43" w:rsidP="00BE2E9E">
      <w:pPr>
        <w:spacing w:before="120" w:after="120"/>
        <w:rPr>
          <w:rFonts w:asciiTheme="majorHAnsi" w:hAnsiTheme="majorHAnsi" w:cs="Calibri"/>
        </w:rPr>
      </w:pPr>
      <w:r w:rsidRPr="00120AAB">
        <w:rPr>
          <w:rFonts w:asciiTheme="majorHAnsi" w:hAnsiTheme="majorHAnsi" w:cs="Calibri"/>
        </w:rPr>
        <w:t>Explanations and justifications for these recommendations are contained in the relevant sections throughout the report:</w:t>
      </w:r>
    </w:p>
    <w:p w14:paraId="63BF0A67" w14:textId="71A57779" w:rsidR="0018553F" w:rsidRPr="00120AAB" w:rsidRDefault="4F85DF43" w:rsidP="00BE2E9E">
      <w:pPr>
        <w:spacing w:before="160"/>
        <w:rPr>
          <w:rFonts w:asciiTheme="majorHAnsi" w:hAnsiTheme="majorHAnsi"/>
        </w:rPr>
      </w:pPr>
      <w:bookmarkStart w:id="5" w:name="_Toc180484274"/>
      <w:r w:rsidRPr="00A10F4F">
        <w:rPr>
          <w:rStyle w:val="Heading3Char"/>
        </w:rPr>
        <w:t>Recommendation 1:</w:t>
      </w:r>
      <w:bookmarkEnd w:id="5"/>
      <w:r w:rsidRPr="00120AAB">
        <w:rPr>
          <w:rFonts w:asciiTheme="majorHAnsi" w:hAnsiTheme="majorHAnsi"/>
        </w:rPr>
        <w:t xml:space="preserve"> </w:t>
      </w:r>
      <w:r w:rsidRPr="00120AAB">
        <w:rPr>
          <w:rFonts w:asciiTheme="majorHAnsi" w:hAnsiTheme="majorHAnsi" w:cs="Calibri"/>
        </w:rPr>
        <w:t>The Centre will be designed to address key gaps identified in this report and transform existing systems by supporting Aboriginal and Torres Strait Islander self-determined knowledge creation and dissemination.</w:t>
      </w:r>
    </w:p>
    <w:p w14:paraId="0F140D95" w14:textId="7DE1C9A0" w:rsidR="004E64C4" w:rsidRPr="00120AAB" w:rsidRDefault="4F85DF43" w:rsidP="00BE2E9E">
      <w:pPr>
        <w:spacing w:before="160"/>
        <w:rPr>
          <w:rFonts w:asciiTheme="majorHAnsi" w:hAnsiTheme="majorHAnsi"/>
          <w:sz w:val="22"/>
          <w:szCs w:val="22"/>
        </w:rPr>
      </w:pPr>
      <w:bookmarkStart w:id="6" w:name="_Toc180484275"/>
      <w:r w:rsidRPr="00A10F4F">
        <w:rPr>
          <w:rStyle w:val="Heading3Char"/>
        </w:rPr>
        <w:t>Recommendation 2</w:t>
      </w:r>
      <w:bookmarkEnd w:id="6"/>
      <w:r w:rsidRPr="00120AAB">
        <w:rPr>
          <w:rFonts w:asciiTheme="majorHAnsi" w:eastAsiaTheme="minorEastAsia" w:hAnsiTheme="majorHAnsi"/>
          <w:b/>
          <w:bCs/>
          <w:sz w:val="28"/>
          <w:szCs w:val="28"/>
        </w:rPr>
        <w:t>:</w:t>
      </w:r>
      <w:r w:rsidRPr="00120AAB">
        <w:rPr>
          <w:rFonts w:asciiTheme="majorHAnsi" w:hAnsiTheme="majorHAnsi"/>
        </w:rPr>
        <w:t xml:space="preserve"> </w:t>
      </w:r>
      <w:r w:rsidRPr="00120AAB">
        <w:rPr>
          <w:rFonts w:asciiTheme="majorHAnsi" w:hAnsiTheme="majorHAnsi" w:cs="Calibri"/>
        </w:rPr>
        <w:t>The Centre will serve a core purpose of</w:t>
      </w:r>
      <w:r w:rsidR="002C7187">
        <w:rPr>
          <w:rFonts w:asciiTheme="majorHAnsi" w:hAnsiTheme="majorHAnsi" w:cs="Calibri"/>
        </w:rPr>
        <w:t xml:space="preserve"> increasing Aboriginal and Torres Strait Islander led and owned research to</w:t>
      </w:r>
      <w:r w:rsidRPr="00120AAB">
        <w:rPr>
          <w:rFonts w:asciiTheme="majorHAnsi" w:hAnsiTheme="majorHAnsi" w:cs="Calibri"/>
        </w:rPr>
        <w:t xml:space="preserve"> build an evidence base that is centred on Aboriginal and Torres Strait Islander</w:t>
      </w:r>
      <w:r w:rsidR="00437DD4" w:rsidRPr="00120AAB">
        <w:rPr>
          <w:rFonts w:asciiTheme="majorHAnsi" w:hAnsiTheme="majorHAnsi" w:cs="Calibri"/>
        </w:rPr>
        <w:t xml:space="preserve"> </w:t>
      </w:r>
      <w:r w:rsidRPr="00120AAB">
        <w:rPr>
          <w:rFonts w:asciiTheme="majorHAnsi" w:hAnsiTheme="majorHAnsi" w:cs="Calibri"/>
        </w:rPr>
        <w:t>pedagogy, wisdom and knowledge</w:t>
      </w:r>
      <w:r w:rsidRPr="00120AAB" w:rsidDel="002C7187">
        <w:rPr>
          <w:rFonts w:asciiTheme="majorHAnsi" w:hAnsiTheme="majorHAnsi" w:cs="Calibri"/>
        </w:rPr>
        <w:t>.</w:t>
      </w:r>
      <w:r w:rsidRPr="00120AAB">
        <w:rPr>
          <w:rFonts w:asciiTheme="majorHAnsi" w:hAnsiTheme="majorHAnsi" w:cs="Calibri"/>
        </w:rPr>
        <w:t xml:space="preserve"> </w:t>
      </w:r>
    </w:p>
    <w:p w14:paraId="7F92EB25" w14:textId="44CEDB8E" w:rsidR="0081657E" w:rsidRPr="00120AAB" w:rsidRDefault="4F85DF43" w:rsidP="00BE2E9E">
      <w:pPr>
        <w:spacing w:before="160"/>
        <w:rPr>
          <w:rFonts w:asciiTheme="majorHAnsi" w:hAnsiTheme="majorHAnsi"/>
          <w:b/>
          <w:bCs/>
        </w:rPr>
      </w:pPr>
      <w:bookmarkStart w:id="7" w:name="_Toc180484276"/>
      <w:r w:rsidRPr="00A10F4F">
        <w:rPr>
          <w:rStyle w:val="Heading3Char"/>
        </w:rPr>
        <w:t>Recommendation 3:</w:t>
      </w:r>
      <w:bookmarkEnd w:id="7"/>
      <w:r w:rsidRPr="00120AAB">
        <w:rPr>
          <w:rFonts w:asciiTheme="majorHAnsi" w:hAnsiTheme="majorHAnsi"/>
        </w:rPr>
        <w:t xml:space="preserve"> The Centre will be designed and adequately resourced to provide core functions aligned to its principles, values and purpose, including:</w:t>
      </w:r>
    </w:p>
    <w:p w14:paraId="4253E865" w14:textId="2241A930" w:rsidR="0081657E"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Shaping an Aboriginal and Torres Strait Islander</w:t>
      </w:r>
      <w:r w:rsidR="00A731F6">
        <w:rPr>
          <w:rFonts w:asciiTheme="majorHAnsi" w:hAnsiTheme="majorHAnsi"/>
          <w:sz w:val="24"/>
          <w:szCs w:val="24"/>
        </w:rPr>
        <w:t>-</w:t>
      </w:r>
      <w:r w:rsidRPr="00120AAB">
        <w:rPr>
          <w:rFonts w:asciiTheme="majorHAnsi" w:hAnsiTheme="majorHAnsi"/>
          <w:sz w:val="24"/>
          <w:szCs w:val="24"/>
        </w:rPr>
        <w:t>led national research agenda for children and families</w:t>
      </w:r>
    </w:p>
    <w:p w14:paraId="28075192" w14:textId="77777777" w:rsidR="0081657E"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Undertaking, coordinating and collaborating on research to advance research priorities for children and families</w:t>
      </w:r>
    </w:p>
    <w:p w14:paraId="3BD11093" w14:textId="77777777" w:rsidR="0081657E"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Developing and implementing Indigenous Data Sovereignty infrastructure, policies and protocols</w:t>
      </w:r>
    </w:p>
    <w:p w14:paraId="5E75BCA1" w14:textId="5DEC5CB7" w:rsidR="0081657E"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Commissioning and administering research grants</w:t>
      </w:r>
      <w:r w:rsidR="0005769E">
        <w:rPr>
          <w:rFonts w:asciiTheme="majorHAnsi" w:hAnsiTheme="majorHAnsi"/>
          <w:sz w:val="24"/>
          <w:szCs w:val="24"/>
        </w:rPr>
        <w:t xml:space="preserve"> </w:t>
      </w:r>
    </w:p>
    <w:p w14:paraId="65D25589" w14:textId="77777777" w:rsidR="0081657E"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 xml:space="preserve">Knowledge translation and dissemination to transform systems and improve outcomes for Aboriginal and Torres Strait Islander communities  </w:t>
      </w:r>
    </w:p>
    <w:p w14:paraId="0DFA6CF5" w14:textId="77777777" w:rsidR="001E1E12"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Elevating the voices of Aboriginal and Torres Strait Islander children and families to influence decision-making</w:t>
      </w:r>
    </w:p>
    <w:p w14:paraId="1FC8075C" w14:textId="278CBD3F" w:rsidR="001E1E12"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Supporting and growing the Aboriginal and Torres Strait Islander research workforce and Aboriginal and Torres Strait Islander</w:t>
      </w:r>
      <w:r w:rsidR="00085F2F">
        <w:rPr>
          <w:rFonts w:asciiTheme="majorHAnsi" w:hAnsiTheme="majorHAnsi"/>
          <w:sz w:val="24"/>
          <w:szCs w:val="24"/>
        </w:rPr>
        <w:t>-</w:t>
      </w:r>
      <w:r w:rsidRPr="00120AAB">
        <w:rPr>
          <w:rFonts w:asciiTheme="majorHAnsi" w:hAnsiTheme="majorHAnsi"/>
          <w:sz w:val="24"/>
          <w:szCs w:val="24"/>
        </w:rPr>
        <w:t>led and governed research centres, networks and institutions</w:t>
      </w:r>
    </w:p>
    <w:p w14:paraId="236F5718" w14:textId="77777777" w:rsidR="00DA71AA"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Sharing and showcasing learning and best practice in supporting Aboriginal and Torres Strait Islander children and families</w:t>
      </w:r>
    </w:p>
    <w:p w14:paraId="73EA288B" w14:textId="28C0032D" w:rsidR="001E1E12" w:rsidRPr="00120AAB" w:rsidRDefault="4F85DF43" w:rsidP="00BE2E9E">
      <w:pPr>
        <w:pStyle w:val="ListParagraph"/>
        <w:numPr>
          <w:ilvl w:val="0"/>
          <w:numId w:val="8"/>
        </w:numPr>
        <w:spacing w:before="60" w:after="0" w:line="240" w:lineRule="auto"/>
        <w:contextualSpacing w:val="0"/>
        <w:rPr>
          <w:rFonts w:asciiTheme="majorHAnsi" w:hAnsiTheme="majorHAnsi"/>
          <w:sz w:val="24"/>
          <w:szCs w:val="24"/>
        </w:rPr>
      </w:pPr>
      <w:r w:rsidRPr="00120AAB">
        <w:rPr>
          <w:rFonts w:asciiTheme="majorHAnsi" w:hAnsiTheme="majorHAnsi"/>
          <w:sz w:val="24"/>
          <w:szCs w:val="24"/>
        </w:rPr>
        <w:t>Monitoring and evaluating key strategies that impact Aboriginal and Torres Strait Islander children and families</w:t>
      </w:r>
      <w:r w:rsidR="007C6201" w:rsidRPr="00120AAB">
        <w:rPr>
          <w:rFonts w:asciiTheme="majorHAnsi" w:hAnsiTheme="majorHAnsi"/>
          <w:sz w:val="24"/>
          <w:szCs w:val="24"/>
        </w:rPr>
        <w:t xml:space="preserve"> (requires significant additional</w:t>
      </w:r>
      <w:r w:rsidR="00204A5C" w:rsidRPr="00120AAB">
        <w:rPr>
          <w:rFonts w:asciiTheme="majorHAnsi" w:hAnsiTheme="majorHAnsi"/>
          <w:sz w:val="24"/>
          <w:szCs w:val="24"/>
        </w:rPr>
        <w:t xml:space="preserve"> and dedicated</w:t>
      </w:r>
      <w:r w:rsidR="007C6201" w:rsidRPr="00120AAB">
        <w:rPr>
          <w:rFonts w:asciiTheme="majorHAnsi" w:hAnsiTheme="majorHAnsi"/>
          <w:sz w:val="24"/>
          <w:szCs w:val="24"/>
        </w:rPr>
        <w:t xml:space="preserve"> </w:t>
      </w:r>
      <w:r w:rsidR="00204A5C" w:rsidRPr="00120AAB">
        <w:rPr>
          <w:rFonts w:asciiTheme="majorHAnsi" w:hAnsiTheme="majorHAnsi"/>
          <w:sz w:val="24"/>
          <w:szCs w:val="24"/>
        </w:rPr>
        <w:t>funding)</w:t>
      </w:r>
      <w:r w:rsidRPr="00120AAB">
        <w:rPr>
          <w:rFonts w:asciiTheme="majorHAnsi" w:hAnsiTheme="majorHAnsi"/>
          <w:sz w:val="24"/>
          <w:szCs w:val="24"/>
        </w:rPr>
        <w:t>.</w:t>
      </w:r>
    </w:p>
    <w:p w14:paraId="12A9C5CE" w14:textId="6EB8FF7C" w:rsidR="0018553F" w:rsidRPr="00120AAB" w:rsidRDefault="4F85DF43" w:rsidP="00BE2E9E">
      <w:pPr>
        <w:spacing w:before="160"/>
        <w:rPr>
          <w:rFonts w:asciiTheme="majorHAnsi" w:hAnsiTheme="majorHAnsi"/>
          <w:sz w:val="22"/>
          <w:szCs w:val="22"/>
        </w:rPr>
      </w:pPr>
      <w:bookmarkStart w:id="8" w:name="_Toc180484277"/>
      <w:r w:rsidRPr="00A10F4F">
        <w:rPr>
          <w:rStyle w:val="Heading3Char"/>
        </w:rPr>
        <w:t>Recommendation 4:</w:t>
      </w:r>
      <w:bookmarkEnd w:id="8"/>
      <w:r w:rsidRPr="00120AAB">
        <w:rPr>
          <w:rFonts w:asciiTheme="majorHAnsi" w:hAnsiTheme="majorHAnsi"/>
          <w:b/>
          <w:bCs/>
        </w:rPr>
        <w:t xml:space="preserve"> </w:t>
      </w:r>
      <w:r w:rsidRPr="00120AAB">
        <w:rPr>
          <w:rFonts w:asciiTheme="majorHAnsi" w:hAnsiTheme="majorHAnsi" w:cs="Calibri"/>
        </w:rPr>
        <w:t>The Centre’s governance will reflect Aboriginal and Torres Strait Islander leadership, authority, and community</w:t>
      </w:r>
      <w:r w:rsidR="00DC3F6F">
        <w:rPr>
          <w:rFonts w:asciiTheme="majorHAnsi" w:hAnsiTheme="majorHAnsi" w:cs="Calibri"/>
        </w:rPr>
        <w:t xml:space="preserve"> </w:t>
      </w:r>
      <w:r w:rsidRPr="00120AAB">
        <w:rPr>
          <w:rFonts w:asciiTheme="majorHAnsi" w:hAnsiTheme="majorHAnsi" w:cs="Calibri"/>
        </w:rPr>
        <w:t>control in core organisational governance</w:t>
      </w:r>
      <w:r w:rsidR="00055337">
        <w:rPr>
          <w:rFonts w:asciiTheme="majorHAnsi" w:hAnsiTheme="majorHAnsi" w:cs="Calibri"/>
        </w:rPr>
        <w:t>,</w:t>
      </w:r>
      <w:r w:rsidRPr="00120AAB">
        <w:rPr>
          <w:rFonts w:asciiTheme="majorHAnsi" w:hAnsiTheme="majorHAnsi" w:cs="Calibri"/>
        </w:rPr>
        <w:t xml:space="preserve"> through an ACCO host organisation and tailored governance bodies that bring in additional focused expertise, research leadership and community voice to drive and oversee the work of the Centre.</w:t>
      </w:r>
    </w:p>
    <w:p w14:paraId="09463D50" w14:textId="23FCD0B2" w:rsidR="0018553F" w:rsidRPr="00120AAB" w:rsidRDefault="4F85DF43" w:rsidP="00BE2E9E">
      <w:pPr>
        <w:spacing w:before="160"/>
        <w:rPr>
          <w:rFonts w:asciiTheme="majorHAnsi" w:hAnsiTheme="majorHAnsi"/>
        </w:rPr>
      </w:pPr>
      <w:bookmarkStart w:id="9" w:name="_Toc180484278"/>
      <w:r w:rsidRPr="00A10F4F">
        <w:rPr>
          <w:rStyle w:val="Heading3Char"/>
        </w:rPr>
        <w:t>Recommendation 5</w:t>
      </w:r>
      <w:bookmarkEnd w:id="9"/>
      <w:r w:rsidRPr="00120AAB">
        <w:rPr>
          <w:rFonts w:asciiTheme="majorHAnsi" w:eastAsiaTheme="minorEastAsia" w:hAnsiTheme="majorHAnsi"/>
          <w:b/>
          <w:bCs/>
          <w:sz w:val="28"/>
          <w:szCs w:val="28"/>
        </w:rPr>
        <w:t>:</w:t>
      </w:r>
      <w:r w:rsidRPr="00120AAB">
        <w:rPr>
          <w:rFonts w:asciiTheme="majorHAnsi" w:hAnsiTheme="majorHAnsi"/>
          <w:b/>
          <w:bCs/>
        </w:rPr>
        <w:t xml:space="preserve"> </w:t>
      </w:r>
      <w:r w:rsidRPr="00120AAB">
        <w:rPr>
          <w:rFonts w:asciiTheme="majorHAnsi" w:hAnsiTheme="majorHAnsi" w:cs="Calibri"/>
        </w:rPr>
        <w:t xml:space="preserve">The host organisation for the Centre will be a national Aboriginal and Torres Strait Islander community-controlled organisation that has the necessary children and families sector experience, relationships and cultural authority to lead and support the operations of the Centre. </w:t>
      </w:r>
    </w:p>
    <w:p w14:paraId="66AACA2D" w14:textId="455B75E8" w:rsidR="0018553F" w:rsidRPr="00120AAB" w:rsidRDefault="4F85DF43" w:rsidP="00BE2E9E">
      <w:pPr>
        <w:spacing w:before="160"/>
        <w:rPr>
          <w:rFonts w:asciiTheme="majorHAnsi" w:hAnsiTheme="majorHAnsi"/>
          <w:sz w:val="22"/>
          <w:szCs w:val="22"/>
        </w:rPr>
      </w:pPr>
      <w:bookmarkStart w:id="10" w:name="_Toc180484279"/>
      <w:r w:rsidRPr="00A10F4F">
        <w:rPr>
          <w:rStyle w:val="Heading3Char"/>
        </w:rPr>
        <w:t>Recommendation 6:</w:t>
      </w:r>
      <w:bookmarkEnd w:id="10"/>
      <w:r w:rsidRPr="00120AAB">
        <w:rPr>
          <w:rFonts w:asciiTheme="majorHAnsi" w:hAnsiTheme="majorHAnsi"/>
          <w:b/>
          <w:bCs/>
        </w:rPr>
        <w:t xml:space="preserve"> </w:t>
      </w:r>
      <w:r w:rsidRPr="00120AAB">
        <w:rPr>
          <w:rFonts w:asciiTheme="majorHAnsi" w:hAnsiTheme="majorHAnsi" w:cs="Calibri"/>
        </w:rPr>
        <w:t>The Centre’s operating model will align to its core purpose and functions, and include:</w:t>
      </w:r>
    </w:p>
    <w:p w14:paraId="411B0F51" w14:textId="77777777" w:rsidR="0018553F"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A physical hub housing core Centre staff with requisite expertise to perform the Centre’s functions and providing a meeting space and focal point for the Centre’s governance and operations</w:t>
      </w:r>
    </w:p>
    <w:p w14:paraId="721911BA" w14:textId="381C05B1" w:rsidR="0018553F" w:rsidRPr="00120AAB" w:rsidRDefault="4F85DF43" w:rsidP="00BE2E9E">
      <w:pPr>
        <w:pStyle w:val="ListParagraph"/>
        <w:numPr>
          <w:ilvl w:val="0"/>
          <w:numId w:val="8"/>
        </w:numPr>
        <w:spacing w:before="60" w:after="0" w:line="240" w:lineRule="auto"/>
        <w:ind w:left="714" w:hanging="357"/>
        <w:contextualSpacing w:val="0"/>
        <w:rPr>
          <w:rFonts w:asciiTheme="majorHAnsi" w:hAnsiTheme="majorHAnsi"/>
          <w:sz w:val="24"/>
          <w:szCs w:val="24"/>
        </w:rPr>
      </w:pPr>
      <w:r w:rsidRPr="00120AAB">
        <w:rPr>
          <w:rFonts w:asciiTheme="majorHAnsi" w:hAnsiTheme="majorHAnsi"/>
          <w:sz w:val="24"/>
          <w:szCs w:val="24"/>
        </w:rPr>
        <w:t>Virtual spokes comprised of research partnerships, online sharing and networks, communities of practice, and collaboration with Aboriginal and Torres Strait Islander</w:t>
      </w:r>
      <w:r w:rsidR="00085F2F">
        <w:rPr>
          <w:rFonts w:asciiTheme="majorHAnsi" w:hAnsiTheme="majorHAnsi"/>
          <w:sz w:val="24"/>
          <w:szCs w:val="24"/>
        </w:rPr>
        <w:t>-</w:t>
      </w:r>
      <w:r w:rsidRPr="00120AAB">
        <w:rPr>
          <w:rFonts w:asciiTheme="majorHAnsi" w:hAnsiTheme="majorHAnsi"/>
          <w:sz w:val="24"/>
          <w:szCs w:val="24"/>
        </w:rPr>
        <w:t xml:space="preserve">led and governed research centres, networks and institutions. </w:t>
      </w:r>
    </w:p>
    <w:p w14:paraId="273A861E" w14:textId="65600B6A" w:rsidR="003B0209" w:rsidRPr="00120AAB" w:rsidRDefault="4F85DF43" w:rsidP="00BE2E9E">
      <w:pPr>
        <w:spacing w:before="160"/>
        <w:rPr>
          <w:rFonts w:asciiTheme="majorHAnsi" w:hAnsiTheme="majorHAnsi"/>
          <w:sz w:val="22"/>
          <w:szCs w:val="22"/>
        </w:rPr>
      </w:pPr>
      <w:bookmarkStart w:id="11" w:name="_Toc180484280"/>
      <w:r w:rsidRPr="00A10F4F">
        <w:rPr>
          <w:rStyle w:val="Heading3Char"/>
        </w:rPr>
        <w:t>Recommendation 7:</w:t>
      </w:r>
      <w:bookmarkEnd w:id="11"/>
      <w:r w:rsidRPr="00120AAB">
        <w:rPr>
          <w:rFonts w:asciiTheme="majorHAnsi" w:hAnsiTheme="majorHAnsi"/>
          <w:b/>
          <w:bCs/>
        </w:rPr>
        <w:t xml:space="preserve"> </w:t>
      </w:r>
      <w:r w:rsidRPr="00120AAB">
        <w:rPr>
          <w:rFonts w:asciiTheme="majorHAnsi" w:hAnsiTheme="majorHAnsi" w:cs="Calibri"/>
        </w:rPr>
        <w:t>Long-term, ongoing funding for the Centre’s operations is required to ensure sustainable capacity for Aboriginal and Torres Strait Islander knowledge creation and dissemination in the children and families sector.</w:t>
      </w:r>
    </w:p>
    <w:p w14:paraId="4D311DF1" w14:textId="650AADAB" w:rsidR="0018553F" w:rsidRPr="00120AAB" w:rsidRDefault="4F85DF43" w:rsidP="00BE2E9E">
      <w:pPr>
        <w:spacing w:before="160"/>
        <w:rPr>
          <w:rFonts w:asciiTheme="majorHAnsi" w:hAnsiTheme="majorHAnsi"/>
          <w:sz w:val="22"/>
          <w:szCs w:val="22"/>
        </w:rPr>
      </w:pPr>
      <w:bookmarkStart w:id="12" w:name="_Toc180484281"/>
      <w:r w:rsidRPr="00A10F4F">
        <w:rPr>
          <w:rStyle w:val="Heading3Char"/>
        </w:rPr>
        <w:t>Recommendation 8:</w:t>
      </w:r>
      <w:bookmarkEnd w:id="12"/>
      <w:r w:rsidRPr="00120AAB">
        <w:rPr>
          <w:rFonts w:asciiTheme="majorHAnsi" w:hAnsiTheme="majorHAnsi"/>
          <w:b/>
          <w:bCs/>
        </w:rPr>
        <w:t xml:space="preserve"> </w:t>
      </w:r>
      <w:r w:rsidRPr="00120AAB">
        <w:rPr>
          <w:rFonts w:asciiTheme="majorHAnsi" w:hAnsiTheme="majorHAnsi"/>
        </w:rPr>
        <w:t>State and Territory</w:t>
      </w:r>
      <w:r w:rsidRPr="00120AAB">
        <w:rPr>
          <w:rFonts w:asciiTheme="majorHAnsi" w:hAnsiTheme="majorHAnsi"/>
          <w:b/>
          <w:bCs/>
        </w:rPr>
        <w:t xml:space="preserve"> </w:t>
      </w:r>
      <w:r w:rsidRPr="00120AAB">
        <w:rPr>
          <w:rFonts w:asciiTheme="majorHAnsi" w:hAnsiTheme="majorHAnsi" w:cs="Calibri"/>
        </w:rPr>
        <w:t>Governments should identify and provide resources for the development and operation of Aboriginal and Torres Strait Islander</w:t>
      </w:r>
      <w:r w:rsidR="00CA6FDA">
        <w:rPr>
          <w:rFonts w:asciiTheme="majorHAnsi" w:hAnsiTheme="majorHAnsi" w:cs="Calibri"/>
        </w:rPr>
        <w:t>-</w:t>
      </w:r>
      <w:r w:rsidRPr="00120AAB">
        <w:rPr>
          <w:rFonts w:asciiTheme="majorHAnsi" w:hAnsiTheme="majorHAnsi" w:cs="Calibri"/>
        </w:rPr>
        <w:t xml:space="preserve">led and governed research centres, networks and institutions in each </w:t>
      </w:r>
      <w:r w:rsidR="00141E25" w:rsidRPr="00120AAB">
        <w:rPr>
          <w:rFonts w:asciiTheme="majorHAnsi" w:hAnsiTheme="majorHAnsi" w:cs="Calibri"/>
        </w:rPr>
        <w:t xml:space="preserve">State </w:t>
      </w:r>
      <w:r w:rsidR="00141E25">
        <w:rPr>
          <w:rFonts w:asciiTheme="majorHAnsi" w:hAnsiTheme="majorHAnsi" w:cs="Calibri"/>
        </w:rPr>
        <w:t>a</w:t>
      </w:r>
      <w:r w:rsidR="00141E25" w:rsidRPr="00120AAB">
        <w:rPr>
          <w:rFonts w:asciiTheme="majorHAnsi" w:hAnsiTheme="majorHAnsi" w:cs="Calibri"/>
        </w:rPr>
        <w:t>nd Territory</w:t>
      </w:r>
      <w:r w:rsidR="00141E25">
        <w:rPr>
          <w:rFonts w:asciiTheme="majorHAnsi" w:hAnsiTheme="majorHAnsi" w:cs="Calibri"/>
        </w:rPr>
        <w:t>,</w:t>
      </w:r>
      <w:r w:rsidRPr="00120AAB">
        <w:rPr>
          <w:rFonts w:asciiTheme="majorHAnsi" w:hAnsiTheme="majorHAnsi" w:cs="Calibri"/>
        </w:rPr>
        <w:t xml:space="preserve"> and </w:t>
      </w:r>
      <w:r w:rsidR="00141E25">
        <w:rPr>
          <w:rFonts w:asciiTheme="majorHAnsi" w:hAnsiTheme="majorHAnsi" w:cs="Calibri"/>
        </w:rPr>
        <w:t xml:space="preserve">should </w:t>
      </w:r>
      <w:r w:rsidRPr="00120AAB">
        <w:rPr>
          <w:rFonts w:asciiTheme="majorHAnsi" w:hAnsiTheme="majorHAnsi" w:cs="Calibri"/>
        </w:rPr>
        <w:t>resource their collaboration with the National Centre.</w:t>
      </w:r>
    </w:p>
    <w:p w14:paraId="7268725F" w14:textId="517F9332" w:rsidR="00585057" w:rsidRPr="00120AAB" w:rsidRDefault="0018553F" w:rsidP="00BE2E9E">
      <w:pPr>
        <w:spacing w:before="160"/>
        <w:rPr>
          <w:rFonts w:asciiTheme="majorHAnsi" w:hAnsiTheme="majorHAnsi" w:cs="Calibri"/>
        </w:rPr>
      </w:pPr>
      <w:bookmarkStart w:id="13" w:name="_Toc180484282"/>
      <w:r w:rsidRPr="00A10F4F">
        <w:rPr>
          <w:rStyle w:val="Heading3Char"/>
        </w:rPr>
        <w:t>Recommendation 9:</w:t>
      </w:r>
      <w:bookmarkEnd w:id="13"/>
      <w:r w:rsidRPr="00120AAB">
        <w:rPr>
          <w:rFonts w:asciiTheme="majorHAnsi" w:hAnsiTheme="majorHAnsi"/>
          <w:b/>
          <w:bCs/>
        </w:rPr>
        <w:t xml:space="preserve"> </w:t>
      </w:r>
      <w:r w:rsidRPr="00120AAB">
        <w:rPr>
          <w:rFonts w:asciiTheme="majorHAnsi" w:hAnsiTheme="majorHAnsi" w:cs="Calibri"/>
        </w:rPr>
        <w:t>All decisions relating to the design, development</w:t>
      </w:r>
      <w:r w:rsidR="008B41C9">
        <w:rPr>
          <w:rFonts w:asciiTheme="majorHAnsi" w:hAnsiTheme="majorHAnsi" w:cs="Calibri"/>
        </w:rPr>
        <w:t>,</w:t>
      </w:r>
      <w:r w:rsidRPr="00120AAB">
        <w:rPr>
          <w:rFonts w:asciiTheme="majorHAnsi" w:hAnsiTheme="majorHAnsi" w:cs="Calibri"/>
        </w:rPr>
        <w:t xml:space="preserve"> implementation</w:t>
      </w:r>
      <w:r w:rsidR="008B41C9">
        <w:rPr>
          <w:rFonts w:asciiTheme="majorHAnsi" w:hAnsiTheme="majorHAnsi" w:cs="Calibri"/>
        </w:rPr>
        <w:t xml:space="preserve"> and evaluation</w:t>
      </w:r>
      <w:r w:rsidRPr="00120AAB">
        <w:rPr>
          <w:rFonts w:asciiTheme="majorHAnsi" w:hAnsiTheme="majorHAnsi" w:cs="Calibri"/>
        </w:rPr>
        <w:t xml:space="preserve"> </w:t>
      </w:r>
      <w:r w:rsidR="00FD51BB">
        <w:rPr>
          <w:rFonts w:asciiTheme="majorHAnsi" w:hAnsiTheme="majorHAnsi" w:cs="Calibri"/>
        </w:rPr>
        <w:t>of</w:t>
      </w:r>
      <w:r w:rsidR="00FD51BB" w:rsidRPr="00120AAB">
        <w:rPr>
          <w:rFonts w:asciiTheme="majorHAnsi" w:hAnsiTheme="majorHAnsi" w:cs="Calibri"/>
        </w:rPr>
        <w:t xml:space="preserve"> </w:t>
      </w:r>
      <w:r w:rsidRPr="00120AAB">
        <w:rPr>
          <w:rFonts w:asciiTheme="majorHAnsi" w:hAnsiTheme="majorHAnsi" w:cs="Calibri"/>
        </w:rPr>
        <w:t>the Centre will be made</w:t>
      </w:r>
      <w:r w:rsidR="00596F27">
        <w:rPr>
          <w:rFonts w:asciiTheme="majorHAnsi" w:hAnsiTheme="majorHAnsi" w:cs="Calibri"/>
        </w:rPr>
        <w:t xml:space="preserve"> </w:t>
      </w:r>
      <w:r w:rsidRPr="00120AAB">
        <w:rPr>
          <w:rFonts w:asciiTheme="majorHAnsi" w:hAnsiTheme="majorHAnsi" w:cs="Calibri"/>
        </w:rPr>
        <w:t>in line with the principles of shared decision</w:t>
      </w:r>
      <w:r w:rsidR="0041510D" w:rsidRPr="00120AAB">
        <w:rPr>
          <w:rFonts w:asciiTheme="majorHAnsi" w:hAnsiTheme="majorHAnsi" w:cs="Calibri"/>
        </w:rPr>
        <w:t>-</w:t>
      </w:r>
      <w:r w:rsidRPr="00120AAB">
        <w:rPr>
          <w:rFonts w:asciiTheme="majorHAnsi" w:hAnsiTheme="majorHAnsi" w:cs="Calibri"/>
        </w:rPr>
        <w:t>making, as agreed in the National Agreement on Closing the Gap</w:t>
      </w:r>
      <w:r w:rsidR="00F03DFE" w:rsidRPr="00120AAB">
        <w:rPr>
          <w:rFonts w:asciiTheme="majorHAnsi" w:hAnsiTheme="majorHAnsi" w:cs="Calibri"/>
        </w:rPr>
        <w:t>.</w:t>
      </w:r>
      <w:r w:rsidR="00D0678B" w:rsidRPr="00120AAB">
        <w:rPr>
          <w:rStyle w:val="FootnoteReference"/>
          <w:rFonts w:asciiTheme="majorHAnsi" w:hAnsiTheme="majorHAnsi"/>
        </w:rPr>
        <w:footnoteReference w:id="4"/>
      </w:r>
    </w:p>
    <w:p w14:paraId="4287A3A5" w14:textId="0987602D" w:rsidR="00DC4D0B" w:rsidRDefault="00DC4D0B" w:rsidP="00EF6BB7">
      <w:pPr>
        <w:spacing w:before="180" w:line="252" w:lineRule="auto"/>
        <w:rPr>
          <w:rFonts w:asciiTheme="majorHAnsi" w:hAnsiTheme="majorHAnsi" w:cs="Calibri"/>
        </w:rPr>
      </w:pPr>
      <w:r>
        <w:rPr>
          <w:rFonts w:asciiTheme="majorHAnsi" w:hAnsiTheme="majorHAnsi" w:cs="Calibri"/>
        </w:rPr>
        <w:br w:type="page"/>
      </w:r>
    </w:p>
    <w:p w14:paraId="0A0B93F7" w14:textId="654AED45" w:rsidR="00C70E45" w:rsidRPr="00A10F4F" w:rsidRDefault="00C112FF" w:rsidP="00540368">
      <w:pPr>
        <w:pStyle w:val="Heading2"/>
      </w:pPr>
      <w:bookmarkStart w:id="14" w:name="_Toc166861688"/>
      <w:bookmarkStart w:id="15" w:name="_Toc180484283"/>
      <w:r w:rsidRPr="00A10F4F">
        <w:t>Wh</w:t>
      </w:r>
      <w:r w:rsidR="00F07FF2" w:rsidRPr="00A10F4F">
        <w:t xml:space="preserve">y do we need </w:t>
      </w:r>
      <w:r w:rsidR="00A77DB4" w:rsidRPr="00A10F4F">
        <w:t>a National Centre</w:t>
      </w:r>
      <w:r w:rsidR="00B5004F" w:rsidRPr="00A10F4F">
        <w:t xml:space="preserve"> for </w:t>
      </w:r>
      <w:r w:rsidR="00F04D25" w:rsidRPr="00A10F4F">
        <w:t>Excellence</w:t>
      </w:r>
      <w:r w:rsidR="0035469F" w:rsidRPr="00A10F4F">
        <w:t>?</w:t>
      </w:r>
      <w:bookmarkEnd w:id="14"/>
      <w:bookmarkEnd w:id="15"/>
    </w:p>
    <w:p w14:paraId="087B8722" w14:textId="43326683" w:rsidR="000D3F8E" w:rsidRPr="00120AAB" w:rsidRDefault="4F85DF43" w:rsidP="00EF6BB7">
      <w:pPr>
        <w:spacing w:before="120" w:after="120" w:line="252" w:lineRule="auto"/>
        <w:rPr>
          <w:rFonts w:asciiTheme="majorHAnsi" w:hAnsiTheme="majorHAnsi" w:cs="Calibri"/>
        </w:rPr>
      </w:pPr>
      <w:r w:rsidRPr="00120AAB">
        <w:rPr>
          <w:rFonts w:asciiTheme="majorHAnsi" w:hAnsiTheme="majorHAnsi" w:cs="Calibri"/>
        </w:rPr>
        <w:t xml:space="preserve">There is a clear need for a National Centre for Excellence to improve outcomes for Aboriginal and Torres Strait Islander children and families and to transform existing systems through </w:t>
      </w:r>
      <w:r w:rsidR="0071314C" w:rsidRPr="00120AAB">
        <w:rPr>
          <w:rFonts w:asciiTheme="majorHAnsi" w:hAnsiTheme="majorHAnsi" w:cs="Calibri"/>
        </w:rPr>
        <w:t xml:space="preserve">self-determined </w:t>
      </w:r>
      <w:r w:rsidRPr="00120AAB">
        <w:rPr>
          <w:rFonts w:asciiTheme="majorHAnsi" w:hAnsiTheme="majorHAnsi" w:cs="Calibri"/>
        </w:rPr>
        <w:t>Aboriginal and Torres Strait Islander knowledge creation. The current research landscape often fails to embed Aboriginal and Torres Strait Islander perspectives on child and family wellbeing at the heart of research, perpetuating a cycle of inadequate responses.</w:t>
      </w:r>
      <w:r w:rsidR="0071314C">
        <w:rPr>
          <w:rFonts w:asciiTheme="majorHAnsi" w:hAnsiTheme="majorHAnsi" w:cs="Calibri"/>
        </w:rPr>
        <w:t xml:space="preserve"> </w:t>
      </w:r>
    </w:p>
    <w:p w14:paraId="0BEC7345" w14:textId="77CCD7B1" w:rsidR="00507824"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The Centre will play a pivotal role in shaping a national research agenda that is grounded in Aboriginal and Torres Strait Islander pedagogy, wisdom, and knowledge, as well as producing and commissioning innovative research initiatives that are designed and led by Aboriginal and Torres Strait Islander people.</w:t>
      </w:r>
    </w:p>
    <w:p w14:paraId="4E8E2C86" w14:textId="7FAF8CBB" w:rsidR="00B95782" w:rsidRPr="00A10F4F" w:rsidRDefault="4F85DF43" w:rsidP="00004AD9">
      <w:pPr>
        <w:pStyle w:val="Heading3"/>
      </w:pPr>
      <w:bookmarkStart w:id="16" w:name="_Toc180484284"/>
      <w:r w:rsidRPr="00A10F4F">
        <w:rPr>
          <w:lang w:val="en-AU"/>
        </w:rPr>
        <w:t>The need for a coordinated Aboriginal and Torres Strait Islander-led research agenda in relation to children, young people and families</w:t>
      </w:r>
      <w:bookmarkEnd w:id="16"/>
    </w:p>
    <w:p w14:paraId="04B3D2A8" w14:textId="45C09B3E" w:rsidR="005B54B4"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current absence of a centralised mechanism for Aboriginal and Torres Strait Islander peoples to identify </w:t>
      </w:r>
      <w:r w:rsidR="003F3638">
        <w:rPr>
          <w:rFonts w:asciiTheme="majorHAnsi" w:hAnsiTheme="majorHAnsi" w:cs="Calibri"/>
        </w:rPr>
        <w:t xml:space="preserve">child and family wellbeing-related </w:t>
      </w:r>
      <w:r w:rsidRPr="00120AAB">
        <w:rPr>
          <w:rFonts w:asciiTheme="majorHAnsi" w:hAnsiTheme="majorHAnsi" w:cs="Calibri"/>
        </w:rPr>
        <w:t>research needs and priorities risks the fragmentation of efforts at both national and jurisdictional levels, reducing their collective benefit. There is a need to provide national connectivity to ensure that jurisdictional initiatives are complementary and achieve maximum impact for Aboriginal and Torres Strait Islander communities. The Centre will serve as a national mechanism to align research initiatives and focus areas</w:t>
      </w:r>
      <w:r w:rsidR="00315616">
        <w:rPr>
          <w:rFonts w:asciiTheme="majorHAnsi" w:hAnsiTheme="majorHAnsi" w:cs="Calibri"/>
        </w:rPr>
        <w:t>,</w:t>
      </w:r>
      <w:r w:rsidRPr="00120AAB">
        <w:rPr>
          <w:rFonts w:asciiTheme="majorHAnsi" w:hAnsiTheme="majorHAnsi" w:cs="Calibri"/>
        </w:rPr>
        <w:t xml:space="preserve"> at </w:t>
      </w:r>
      <w:r w:rsidR="00315616">
        <w:rPr>
          <w:rFonts w:asciiTheme="majorHAnsi" w:hAnsiTheme="majorHAnsi" w:cs="Calibri"/>
        </w:rPr>
        <w:t xml:space="preserve">both </w:t>
      </w:r>
      <w:r w:rsidRPr="00120AAB">
        <w:rPr>
          <w:rFonts w:asciiTheme="majorHAnsi" w:hAnsiTheme="majorHAnsi" w:cs="Calibri"/>
        </w:rPr>
        <w:t>national and jurisdictional levels, with the needs and priorities of Aboriginal and Torres Strait Islander children, young people and families. The Centre will serve as a conduit between jurisdictional efforts, community-led research and evidence</w:t>
      </w:r>
      <w:r w:rsidR="00315616">
        <w:rPr>
          <w:rFonts w:asciiTheme="majorHAnsi" w:hAnsiTheme="majorHAnsi" w:cs="Calibri"/>
        </w:rPr>
        <w:t>-</w:t>
      </w:r>
      <w:r w:rsidRPr="00120AAB">
        <w:rPr>
          <w:rFonts w:asciiTheme="majorHAnsi" w:hAnsiTheme="majorHAnsi" w:cs="Calibri"/>
        </w:rPr>
        <w:t>building infrastructure, and national efforts, acting as a mechanism for coordinating research at all levels. It will facilitate the sharing of</w:t>
      </w:r>
      <w:r w:rsidR="0055496D" w:rsidRPr="00120AAB">
        <w:rPr>
          <w:rFonts w:asciiTheme="majorHAnsi" w:hAnsiTheme="majorHAnsi" w:cs="Calibri"/>
        </w:rPr>
        <w:t xml:space="preserve"> national and global</w:t>
      </w:r>
      <w:r w:rsidRPr="00120AAB">
        <w:rPr>
          <w:rFonts w:asciiTheme="majorHAnsi" w:hAnsiTheme="majorHAnsi" w:cs="Calibri"/>
        </w:rPr>
        <w:t xml:space="preserve"> best practices</w:t>
      </w:r>
      <w:r w:rsidR="005938AE">
        <w:rPr>
          <w:rFonts w:asciiTheme="majorHAnsi" w:hAnsiTheme="majorHAnsi" w:cs="Calibri"/>
        </w:rPr>
        <w:t xml:space="preserve"> </w:t>
      </w:r>
      <w:r w:rsidRPr="00120AAB">
        <w:rPr>
          <w:rFonts w:asciiTheme="majorHAnsi" w:hAnsiTheme="majorHAnsi" w:cs="Calibri"/>
        </w:rPr>
        <w:t>and showcase learnings to foster collaboration and innovation across jurisdictions.</w:t>
      </w:r>
    </w:p>
    <w:p w14:paraId="02F6D690" w14:textId="71F9EDA2" w:rsidR="00E626A6" w:rsidRPr="00004AD9" w:rsidRDefault="4F85DF43" w:rsidP="00004AD9">
      <w:pPr>
        <w:pStyle w:val="Heading3"/>
        <w:rPr>
          <w:lang w:val="en-AU"/>
        </w:rPr>
      </w:pPr>
      <w:bookmarkStart w:id="17" w:name="_Toc180484285"/>
      <w:r w:rsidRPr="00004AD9">
        <w:rPr>
          <w:lang w:val="en-AU"/>
        </w:rPr>
        <w:t>The need to resource and undertake more Aboriginal and Torres Strait Islander-led research</w:t>
      </w:r>
      <w:bookmarkEnd w:id="17"/>
    </w:p>
    <w:p w14:paraId="5850B165" w14:textId="5CFD38E6" w:rsidR="002769F4"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There is a significant gap in the amount of, and resources provided for, Aboriginal and Torres Strait Islander</w:t>
      </w:r>
      <w:r w:rsidR="00315616">
        <w:rPr>
          <w:rFonts w:asciiTheme="majorHAnsi" w:hAnsiTheme="majorHAnsi" w:cs="Calibri"/>
        </w:rPr>
        <w:t>-</w:t>
      </w:r>
      <w:r w:rsidRPr="00120AAB">
        <w:rPr>
          <w:rFonts w:asciiTheme="majorHAnsi" w:hAnsiTheme="majorHAnsi" w:cs="Calibri"/>
        </w:rPr>
        <w:t xml:space="preserve">led research on what is required to address the needs </w:t>
      </w:r>
      <w:r w:rsidR="00A91A46" w:rsidRPr="00120AAB">
        <w:rPr>
          <w:rFonts w:asciiTheme="majorHAnsi" w:hAnsiTheme="majorHAnsi" w:cs="Calibri"/>
        </w:rPr>
        <w:t xml:space="preserve">and priorities </w:t>
      </w:r>
      <w:r w:rsidRPr="00120AAB">
        <w:rPr>
          <w:rFonts w:asciiTheme="majorHAnsi" w:hAnsiTheme="majorHAnsi" w:cs="Calibri"/>
        </w:rPr>
        <w:t>of children, young people and families. This gap often sees policymakers and program designers drawing on international and non-Indigenous evidence-based programs</w:t>
      </w:r>
      <w:r w:rsidR="00147D15">
        <w:rPr>
          <w:rFonts w:asciiTheme="majorHAnsi" w:hAnsiTheme="majorHAnsi" w:cs="Calibri"/>
        </w:rPr>
        <w:t>,</w:t>
      </w:r>
      <w:r w:rsidRPr="00120AAB">
        <w:rPr>
          <w:rFonts w:asciiTheme="majorHAnsi" w:hAnsiTheme="majorHAnsi" w:cs="Calibri"/>
        </w:rPr>
        <w:t xml:space="preserve"> seeking to apply them out</w:t>
      </w:r>
      <w:r w:rsidR="00147D15">
        <w:rPr>
          <w:rFonts w:asciiTheme="majorHAnsi" w:hAnsiTheme="majorHAnsi" w:cs="Calibri"/>
        </w:rPr>
        <w:t xml:space="preserve"> </w:t>
      </w:r>
      <w:r w:rsidRPr="00120AAB">
        <w:rPr>
          <w:rFonts w:asciiTheme="majorHAnsi" w:hAnsiTheme="majorHAnsi" w:cs="Calibri"/>
        </w:rPr>
        <w:t>of</w:t>
      </w:r>
      <w:r w:rsidR="00147D15">
        <w:rPr>
          <w:rFonts w:asciiTheme="majorHAnsi" w:hAnsiTheme="majorHAnsi" w:cs="Calibri"/>
        </w:rPr>
        <w:t xml:space="preserve"> </w:t>
      </w:r>
      <w:r w:rsidRPr="00120AAB">
        <w:rPr>
          <w:rFonts w:asciiTheme="majorHAnsi" w:hAnsiTheme="majorHAnsi" w:cs="Calibri"/>
        </w:rPr>
        <w:t xml:space="preserve">context to Aboriginal and Torres Strait Islander families, </w:t>
      </w:r>
      <w:r w:rsidR="00E72792">
        <w:rPr>
          <w:rFonts w:asciiTheme="majorHAnsi" w:hAnsiTheme="majorHAnsi" w:cs="Calibri"/>
        </w:rPr>
        <w:t>with the result that they have</w:t>
      </w:r>
      <w:r w:rsidRPr="00120AAB">
        <w:rPr>
          <w:rFonts w:asciiTheme="majorHAnsi" w:hAnsiTheme="majorHAnsi" w:cs="Calibri"/>
        </w:rPr>
        <w:t xml:space="preserve"> limited effect or </w:t>
      </w:r>
      <w:r w:rsidR="00E72792">
        <w:rPr>
          <w:rFonts w:asciiTheme="majorHAnsi" w:hAnsiTheme="majorHAnsi" w:cs="Calibri"/>
        </w:rPr>
        <w:t xml:space="preserve">act </w:t>
      </w:r>
      <w:r w:rsidRPr="00120AAB">
        <w:rPr>
          <w:rFonts w:asciiTheme="majorHAnsi" w:hAnsiTheme="majorHAnsi" w:cs="Calibri"/>
        </w:rPr>
        <w:t>to the detriment of families and communities. In research that is done by non-Indigenous researchers about Aboriginal and Torres Strait Islander people</w:t>
      </w:r>
      <w:r w:rsidR="00E72792">
        <w:rPr>
          <w:rFonts w:asciiTheme="majorHAnsi" w:hAnsiTheme="majorHAnsi" w:cs="Calibri"/>
        </w:rPr>
        <w:t>s,</w:t>
      </w:r>
      <w:r w:rsidRPr="00120AAB">
        <w:rPr>
          <w:rFonts w:asciiTheme="majorHAnsi" w:hAnsiTheme="majorHAnsi" w:cs="Calibri"/>
        </w:rPr>
        <w:t xml:space="preserve"> there are also clear gaps in ethical practice and oversight by Aboriginal and Torres Strait Islander people of research ethics. </w:t>
      </w:r>
    </w:p>
    <w:p w14:paraId="5F457C69" w14:textId="1ED8952D" w:rsidR="002769F4"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reliance upon and use of non-Indigenous research is a colonising process of displacing Aboriginal and Torres Strait Islander knowledge and practice. This process limits funding opportunities for communities and organisations that don’t conform to </w:t>
      </w:r>
      <w:r w:rsidR="00BD0BF0">
        <w:rPr>
          <w:rFonts w:asciiTheme="majorHAnsi" w:hAnsiTheme="majorHAnsi" w:cs="Calibri"/>
        </w:rPr>
        <w:t>W</w:t>
      </w:r>
      <w:r w:rsidRPr="00120AAB">
        <w:rPr>
          <w:rFonts w:asciiTheme="majorHAnsi" w:hAnsiTheme="majorHAnsi" w:cs="Calibri"/>
        </w:rPr>
        <w:t xml:space="preserve">estern practice models. In this context, ACCOs that deliver culturally designed and driven programs lack resources and opportunity to monitor, evaluate and build </w:t>
      </w:r>
      <w:r w:rsidR="00BD0BF0">
        <w:rPr>
          <w:rFonts w:asciiTheme="majorHAnsi" w:hAnsiTheme="majorHAnsi" w:cs="Calibri"/>
        </w:rPr>
        <w:t xml:space="preserve">the </w:t>
      </w:r>
      <w:r w:rsidR="00BD0BF0" w:rsidRPr="00120AAB">
        <w:rPr>
          <w:rFonts w:asciiTheme="majorHAnsi" w:hAnsiTheme="majorHAnsi" w:cs="Calibri"/>
        </w:rPr>
        <w:t>evidence</w:t>
      </w:r>
      <w:r w:rsidRPr="00120AAB">
        <w:rPr>
          <w:rFonts w:asciiTheme="majorHAnsi" w:hAnsiTheme="majorHAnsi" w:cs="Calibri"/>
        </w:rPr>
        <w:t xml:space="preserve"> </w:t>
      </w:r>
      <w:r w:rsidR="00BD0BF0">
        <w:rPr>
          <w:rFonts w:asciiTheme="majorHAnsi" w:hAnsiTheme="majorHAnsi" w:cs="Calibri"/>
        </w:rPr>
        <w:t>base demonstrating</w:t>
      </w:r>
      <w:r w:rsidRPr="00120AAB">
        <w:rPr>
          <w:rFonts w:asciiTheme="majorHAnsi" w:hAnsiTheme="majorHAnsi" w:cs="Calibri"/>
        </w:rPr>
        <w:t xml:space="preserve"> how they are </w:t>
      </w:r>
      <w:r w:rsidR="00B93BF4">
        <w:rPr>
          <w:rFonts w:asciiTheme="majorHAnsi" w:hAnsiTheme="majorHAnsi" w:cs="Calibri"/>
        </w:rPr>
        <w:t>driving improved</w:t>
      </w:r>
      <w:r w:rsidRPr="00120AAB">
        <w:rPr>
          <w:rFonts w:asciiTheme="majorHAnsi" w:hAnsiTheme="majorHAnsi" w:cs="Calibri"/>
        </w:rPr>
        <w:t xml:space="preserve"> outcomes for families. </w:t>
      </w:r>
    </w:p>
    <w:p w14:paraId="61F66AC9" w14:textId="1EB14793" w:rsidR="007F29BF"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The Centre will play a critical role in defining and focusing a national agenda for investment in Aboriginal and Torres Strait Islander-led research, including playing a key role in advocating and partnering with governments and other funders. This includes better integrating Aboriginal and Torres Strait Islander</w:t>
      </w:r>
      <w:r w:rsidR="00B93BF4">
        <w:rPr>
          <w:rFonts w:asciiTheme="majorHAnsi" w:hAnsiTheme="majorHAnsi" w:cs="Calibri"/>
        </w:rPr>
        <w:t>-</w:t>
      </w:r>
      <w:r w:rsidRPr="00120AAB">
        <w:rPr>
          <w:rFonts w:asciiTheme="majorHAnsi" w:hAnsiTheme="majorHAnsi" w:cs="Calibri"/>
        </w:rPr>
        <w:t>led and governed research and evidence into existing colonial systems.</w:t>
      </w:r>
    </w:p>
    <w:p w14:paraId="66387802" w14:textId="5876B88C" w:rsidR="00262086" w:rsidRPr="00004AD9" w:rsidRDefault="4F85DF43" w:rsidP="00004AD9">
      <w:pPr>
        <w:pStyle w:val="Heading3"/>
      </w:pPr>
      <w:bookmarkStart w:id="18" w:name="_Toc180484286"/>
      <w:r w:rsidRPr="00004AD9">
        <w:t>The need for Aboriginal and Torres Strait Islander</w:t>
      </w:r>
      <w:r w:rsidR="00C571E5" w:rsidRPr="00004AD9">
        <w:t>-</w:t>
      </w:r>
      <w:r w:rsidRPr="00004AD9">
        <w:t>led knowledge translation</w:t>
      </w:r>
      <w:bookmarkEnd w:id="18"/>
    </w:p>
    <w:p w14:paraId="3C4C02F4" w14:textId="70A8C914" w:rsidR="0055700E"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There remains a significant gap between the creation of knowledge and its translation into practical solutions and policy design and implementation. Bridging this divide is essential for ensuring that research and evidence effectively inform decision-making processes at all levels. It is essential that </w:t>
      </w:r>
      <w:r w:rsidR="00C571E5">
        <w:rPr>
          <w:rFonts w:asciiTheme="majorHAnsi" w:hAnsiTheme="majorHAnsi" w:cs="Calibri"/>
        </w:rPr>
        <w:t>knowledge</w:t>
      </w:r>
      <w:r w:rsidRPr="00120AAB">
        <w:rPr>
          <w:rFonts w:asciiTheme="majorHAnsi" w:hAnsiTheme="majorHAnsi" w:cs="Calibri"/>
        </w:rPr>
        <w:t xml:space="preserve"> translation is led by Aboriginal and Torres Strait Islander peoples, applying their unique frameworks, knowledge and perspectives to determine what knowledge is useful and how it applies to solutions. The Centre will bridge the gap between research and practice by supporting jurisdictional efforts and ACCOs, and </w:t>
      </w:r>
      <w:r w:rsidR="00C571E5">
        <w:rPr>
          <w:rFonts w:asciiTheme="majorHAnsi" w:hAnsiTheme="majorHAnsi" w:cs="Calibri"/>
        </w:rPr>
        <w:t xml:space="preserve">by </w:t>
      </w:r>
      <w:r w:rsidRPr="00120AAB">
        <w:rPr>
          <w:rFonts w:asciiTheme="majorHAnsi" w:hAnsiTheme="majorHAnsi" w:cs="Calibri"/>
        </w:rPr>
        <w:t>disseminating findings and practical insights to inform policy and community decision-making.</w:t>
      </w:r>
    </w:p>
    <w:p w14:paraId="74ABAA7E" w14:textId="61E8B11C" w:rsidR="007C5130" w:rsidRPr="00004AD9" w:rsidRDefault="4F85DF43" w:rsidP="00004AD9">
      <w:pPr>
        <w:pStyle w:val="Heading3"/>
      </w:pPr>
      <w:bookmarkStart w:id="19" w:name="_Toc180484287"/>
      <w:r w:rsidRPr="00004AD9">
        <w:t>The need to support, nurture and grow the Aboriginal and Torres Strait Islander-led research workforce, and value the contributions of ACCOs and their staff to research</w:t>
      </w:r>
      <w:bookmarkEnd w:id="19"/>
    </w:p>
    <w:p w14:paraId="7139E330" w14:textId="77F61290" w:rsidR="0044144E"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Aboriginal and Torres Strait Islander researchers face significant barriers within the current academic system. These can include</w:t>
      </w:r>
      <w:r w:rsidR="00C571E5">
        <w:rPr>
          <w:rFonts w:asciiTheme="majorHAnsi" w:hAnsiTheme="majorHAnsi" w:cs="Calibri"/>
        </w:rPr>
        <w:t>,</w:t>
      </w:r>
      <w:r w:rsidRPr="00120AAB">
        <w:rPr>
          <w:rFonts w:asciiTheme="majorHAnsi" w:hAnsiTheme="majorHAnsi" w:cs="Calibri"/>
        </w:rPr>
        <w:t xml:space="preserve"> but are not limited to</w:t>
      </w:r>
      <w:r w:rsidR="00C571E5">
        <w:rPr>
          <w:rFonts w:asciiTheme="majorHAnsi" w:hAnsiTheme="majorHAnsi" w:cs="Calibri"/>
        </w:rPr>
        <w:t>,</w:t>
      </w:r>
      <w:r w:rsidRPr="00120AAB">
        <w:rPr>
          <w:rFonts w:asciiTheme="majorHAnsi" w:hAnsiTheme="majorHAnsi" w:cs="Calibri"/>
        </w:rPr>
        <w:t xml:space="preserve"> </w:t>
      </w:r>
      <w:r w:rsidR="00C571E5" w:rsidRPr="00120AAB">
        <w:rPr>
          <w:rFonts w:asciiTheme="majorHAnsi" w:hAnsiTheme="majorHAnsi" w:cs="Calibri"/>
        </w:rPr>
        <w:t>restricted</w:t>
      </w:r>
      <w:r w:rsidRPr="00120AAB">
        <w:rPr>
          <w:rFonts w:asciiTheme="majorHAnsi" w:hAnsiTheme="majorHAnsi" w:cs="Calibri"/>
        </w:rPr>
        <w:t xml:space="preserve"> pathways for career advancement</w:t>
      </w:r>
      <w:r w:rsidR="00C571E5">
        <w:rPr>
          <w:rFonts w:asciiTheme="majorHAnsi" w:hAnsiTheme="majorHAnsi" w:cs="Calibri"/>
        </w:rPr>
        <w:t>;</w:t>
      </w:r>
      <w:r w:rsidRPr="00120AAB">
        <w:rPr>
          <w:rFonts w:asciiTheme="majorHAnsi" w:hAnsiTheme="majorHAnsi" w:cs="Calibri"/>
        </w:rPr>
        <w:t xml:space="preserve"> inadequate support systems</w:t>
      </w:r>
      <w:r w:rsidR="00C571E5">
        <w:rPr>
          <w:rFonts w:asciiTheme="majorHAnsi" w:hAnsiTheme="majorHAnsi" w:cs="Calibri"/>
        </w:rPr>
        <w:t>;</w:t>
      </w:r>
      <w:r w:rsidRPr="00120AAB">
        <w:rPr>
          <w:rFonts w:asciiTheme="majorHAnsi" w:hAnsiTheme="majorHAnsi" w:cs="Calibri"/>
        </w:rPr>
        <w:t xml:space="preserve"> a lack of cultural safety</w:t>
      </w:r>
      <w:r w:rsidR="00C14049">
        <w:rPr>
          <w:rFonts w:asciiTheme="majorHAnsi" w:hAnsiTheme="majorHAnsi" w:cs="Calibri"/>
        </w:rPr>
        <w:t>;</w:t>
      </w:r>
      <w:r w:rsidRPr="00120AAB">
        <w:rPr>
          <w:rFonts w:asciiTheme="majorHAnsi" w:hAnsiTheme="majorHAnsi" w:cs="Calibri"/>
        </w:rPr>
        <w:t xml:space="preserve"> and at times may include institutionalised racism. This inhibits the growth and development of a diverse Aboriginal and Torres Strait Islander research workforce essential for driving meaningful change. Supporting and strengthening the Aboriginal and Torres Strait Islander research workforce is critical in ensuring community voices are amplified in research about </w:t>
      </w:r>
      <w:r w:rsidR="007A3EB6">
        <w:rPr>
          <w:rFonts w:asciiTheme="majorHAnsi" w:hAnsiTheme="majorHAnsi" w:cs="Calibri"/>
        </w:rPr>
        <w:t>our peoples</w:t>
      </w:r>
      <w:r w:rsidRPr="00120AAB">
        <w:rPr>
          <w:rFonts w:asciiTheme="majorHAnsi" w:hAnsiTheme="majorHAnsi" w:cs="Calibri"/>
        </w:rPr>
        <w:t xml:space="preserve">. </w:t>
      </w:r>
    </w:p>
    <w:p w14:paraId="3AB3AA76" w14:textId="36332110" w:rsidR="00D95EE8"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provide guidance and support to emerging Aboriginal and Torres Strait Islander researchers and grow the number of researchers by providing access to research networks and pathways to support training and career development. There is also a role for the Centre to support ACCOs to participate in research, including non-Indigenous research, and to ensure contributions from ACCOs and Aboriginal and Torres Strait Islander staff are properly valued.  The Centre will increase opportunities for Aboriginal and Torres Strait Islander academics and researchers to thrive and achieve success, and advocate for the value and recognition of their achievements within non-Indigenous processes and systems.  </w:t>
      </w:r>
    </w:p>
    <w:p w14:paraId="322746B9" w14:textId="53692BDD" w:rsidR="00DE7D85" w:rsidRPr="00004AD9" w:rsidRDefault="4F85DF43" w:rsidP="00004AD9">
      <w:pPr>
        <w:pStyle w:val="Heading3"/>
      </w:pPr>
      <w:bookmarkStart w:id="20" w:name="_Toc180484288"/>
      <w:r w:rsidRPr="00004AD9">
        <w:t>The need to put Indigenous Data Sovereignty into practice</w:t>
      </w:r>
      <w:bookmarkEnd w:id="20"/>
    </w:p>
    <w:p w14:paraId="2162B487" w14:textId="4582DD4D" w:rsidR="00ED274C"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Genuine recognition and implementation of Indigenous Data Sovereignty persists as a gap in the way that research data collection</w:t>
      </w:r>
      <w:r w:rsidR="00A971A6">
        <w:rPr>
          <w:rFonts w:asciiTheme="majorHAnsi" w:hAnsiTheme="majorHAnsi" w:cs="Calibri"/>
        </w:rPr>
        <w:t xml:space="preserve"> and analysis</w:t>
      </w:r>
      <w:r w:rsidRPr="00120AAB">
        <w:rPr>
          <w:rFonts w:asciiTheme="majorHAnsi" w:hAnsiTheme="majorHAnsi" w:cs="Calibri"/>
        </w:rPr>
        <w:t xml:space="preserve"> </w:t>
      </w:r>
      <w:r w:rsidR="00A971A6">
        <w:rPr>
          <w:rFonts w:asciiTheme="majorHAnsi" w:hAnsiTheme="majorHAnsi" w:cs="Calibri"/>
        </w:rPr>
        <w:t>are</w:t>
      </w:r>
      <w:r w:rsidRPr="00120AAB">
        <w:rPr>
          <w:rFonts w:asciiTheme="majorHAnsi" w:hAnsiTheme="majorHAnsi" w:cs="Calibri"/>
        </w:rPr>
        <w:t xml:space="preserve"> undertaken. There is a pressing need to establish data collection and management frameworks nationally that implement and uphold Indigenous Data Sovereignty principles, to protect intellectual property and embed Aboriginal and Torres Strait Islander cultural intellectual property protocols. The Centre’s design and operation will give effect to the principles of Indigenous Data Sovereignty and demonstrate best practice in upholding the sovereignty of Aboriginal and Torres Strait Islander data in the research environment. This includes ensuring consent for the collection, use, acknowledgment and sharing of this knowledge and its benefit for the community. </w:t>
      </w:r>
    </w:p>
    <w:p w14:paraId="4A85763C" w14:textId="07F7107A" w:rsidR="00CA63C1" w:rsidRPr="00004AD9" w:rsidRDefault="4F85DF43" w:rsidP="00004AD9">
      <w:pPr>
        <w:pStyle w:val="Heading3"/>
      </w:pPr>
      <w:bookmarkStart w:id="21" w:name="_Toc180484289"/>
      <w:r w:rsidRPr="00004AD9">
        <w:t>The need to support the role of ACCOs in delivering evidence-based supports to their communities</w:t>
      </w:r>
      <w:bookmarkEnd w:id="21"/>
    </w:p>
    <w:p w14:paraId="5241FF6A" w14:textId="77777777" w:rsidR="000D3F8E"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ACCOs often lack adequate resources, networking infrastructure, and support to deliver evidence-driven support to Aboriginal and Torres Strait Islander communities, or to capture and describe the evidence of their impact. It is critical that ACCOs have access to the resources they need to help Aboriginal and Torres Strait Islander children and families thrive, and that the needs of ACCOs are understood and communicated through community-driven advocacy and advice. </w:t>
      </w:r>
    </w:p>
    <w:p w14:paraId="6B7B8BA7" w14:textId="243CF9A5" w:rsidR="00D65C27" w:rsidRPr="00120AAB" w:rsidRDefault="4F85DF43" w:rsidP="00EF6BB7">
      <w:pPr>
        <w:spacing w:before="40" w:after="240" w:line="252" w:lineRule="auto"/>
        <w:rPr>
          <w:rFonts w:asciiTheme="majorHAnsi" w:hAnsiTheme="majorHAnsi" w:cs="Calibri"/>
        </w:rPr>
      </w:pPr>
      <w:r w:rsidRPr="00120AAB">
        <w:rPr>
          <w:rFonts w:asciiTheme="majorHAnsi" w:hAnsiTheme="majorHAnsi" w:cs="Calibri"/>
        </w:rPr>
        <w:t xml:space="preserve">In addition to providing the evidence and practical guidance that ACCOs need to deliver innovative supports to Aboriginal and Torres Strait Islander children and families, the Centre will advocate for the needs of ACCOs at the national level. </w:t>
      </w:r>
    </w:p>
    <w:tbl>
      <w:tblPr>
        <w:tblStyle w:val="TableGrid"/>
        <w:tblW w:w="0" w:type="auto"/>
        <w:shd w:val="clear" w:color="auto" w:fill="FFC000"/>
        <w:tblLook w:val="04A0" w:firstRow="1" w:lastRow="0" w:firstColumn="1" w:lastColumn="0" w:noHBand="0" w:noVBand="1"/>
      </w:tblPr>
      <w:tblGrid>
        <w:gridCol w:w="9622"/>
      </w:tblGrid>
      <w:tr w:rsidR="00D65C27" w:rsidRPr="00120AAB" w14:paraId="1D88A084" w14:textId="77777777" w:rsidTr="4F85DF43">
        <w:tc>
          <w:tcPr>
            <w:tcW w:w="9622" w:type="dxa"/>
            <w:shd w:val="clear" w:color="auto" w:fill="FFC000"/>
          </w:tcPr>
          <w:p w14:paraId="6248CA60" w14:textId="271DFAA8" w:rsidR="005A024D" w:rsidRPr="00120AAB" w:rsidRDefault="4F85DF43" w:rsidP="00C71979">
            <w:pPr>
              <w:spacing w:before="60" w:after="60"/>
              <w:rPr>
                <w:rFonts w:asciiTheme="majorHAnsi" w:hAnsiTheme="majorHAnsi"/>
              </w:rPr>
            </w:pPr>
            <w:r w:rsidRPr="00120AAB">
              <w:rPr>
                <w:rFonts w:asciiTheme="majorHAnsi" w:hAnsiTheme="majorHAnsi"/>
                <w:b/>
                <w:bCs/>
              </w:rPr>
              <w:t>Recommendation 1:</w:t>
            </w:r>
            <w:r w:rsidRPr="00120AAB">
              <w:rPr>
                <w:rFonts w:asciiTheme="majorHAnsi" w:hAnsiTheme="majorHAnsi"/>
              </w:rPr>
              <w:t xml:space="preserve"> The Centre will be designed to address key gaps identified in this report and transform existing systems by supporting Aboriginal and Torres Strait Islander self-determined knowledge creation and dissemination.</w:t>
            </w:r>
          </w:p>
        </w:tc>
      </w:tr>
    </w:tbl>
    <w:p w14:paraId="56BC64E6" w14:textId="77777777" w:rsidR="002C3E9C" w:rsidRPr="00120AAB" w:rsidRDefault="002C3E9C" w:rsidP="003D732B">
      <w:pPr>
        <w:rPr>
          <w:rFonts w:asciiTheme="majorHAnsi" w:hAnsiTheme="majorHAnsi" w:cs="Calibri"/>
          <w:sz w:val="22"/>
          <w:szCs w:val="22"/>
        </w:rPr>
      </w:pPr>
    </w:p>
    <w:p w14:paraId="06046D35" w14:textId="17A5BFF9" w:rsidR="00DC4D0B" w:rsidRDefault="00DC4D0B" w:rsidP="003D732B">
      <w:pPr>
        <w:rPr>
          <w:rFonts w:asciiTheme="majorHAnsi" w:hAnsiTheme="majorHAnsi" w:cs="Calibri"/>
          <w:sz w:val="22"/>
          <w:szCs w:val="22"/>
        </w:rPr>
      </w:pPr>
      <w:r>
        <w:rPr>
          <w:rFonts w:asciiTheme="majorHAnsi" w:hAnsiTheme="majorHAnsi" w:cs="Calibri"/>
          <w:sz w:val="22"/>
          <w:szCs w:val="22"/>
        </w:rPr>
        <w:br w:type="page"/>
      </w:r>
    </w:p>
    <w:p w14:paraId="34A408B3" w14:textId="024EBE08" w:rsidR="00CE25FC" w:rsidRPr="00004AD9" w:rsidRDefault="009C1D32" w:rsidP="00540368">
      <w:pPr>
        <w:pStyle w:val="Heading2"/>
      </w:pPr>
      <w:bookmarkStart w:id="22" w:name="_Toc166861689"/>
      <w:bookmarkStart w:id="23" w:name="_Toc180484290"/>
      <w:r w:rsidRPr="00004AD9">
        <w:t>D</w:t>
      </w:r>
      <w:r w:rsidR="005F7FDD" w:rsidRPr="00004AD9">
        <w:t>esign summary</w:t>
      </w:r>
      <w:bookmarkEnd w:id="22"/>
      <w:bookmarkEnd w:id="23"/>
      <w:r w:rsidR="005F7FDD" w:rsidRPr="00004AD9">
        <w:t xml:space="preserve"> </w:t>
      </w:r>
    </w:p>
    <w:p w14:paraId="35EE477F" w14:textId="6FA52FD8" w:rsidR="001D280C"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following section summarises findings and outcomes developed with the Expert Advisory Group through the design process. </w:t>
      </w:r>
    </w:p>
    <w:p w14:paraId="15E50E1B" w14:textId="43B386E3" w:rsidR="009E56DB" w:rsidRPr="00004AD9" w:rsidRDefault="002C1116" w:rsidP="00540368">
      <w:pPr>
        <w:pStyle w:val="Heading3"/>
      </w:pPr>
      <w:bookmarkStart w:id="24" w:name="_Toc166861691"/>
      <w:bookmarkStart w:id="25" w:name="_Toc180484291"/>
      <w:r w:rsidRPr="00004AD9">
        <w:t>Principles and values</w:t>
      </w:r>
      <w:bookmarkEnd w:id="24"/>
      <w:bookmarkEnd w:id="25"/>
    </w:p>
    <w:p w14:paraId="191C17E1" w14:textId="4162BC3D" w:rsidR="0016558A"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The Centre must reflect, in both its approaches and structure, the principles that are central to Aboriginal and Torres Strait Islander wellbeing, including self-determination, connection to culture and reciprocity through the authority and obligations of community</w:t>
      </w:r>
      <w:r w:rsidR="00966B7A">
        <w:rPr>
          <w:rFonts w:asciiTheme="majorHAnsi" w:hAnsiTheme="majorHAnsi" w:cs="Calibri"/>
        </w:rPr>
        <w:t xml:space="preserve"> </w:t>
      </w:r>
      <w:r w:rsidRPr="00120AAB">
        <w:rPr>
          <w:rFonts w:asciiTheme="majorHAnsi" w:hAnsiTheme="majorHAnsi" w:cs="Calibri"/>
        </w:rPr>
        <w:t xml:space="preserve">control. </w:t>
      </w:r>
    </w:p>
    <w:p w14:paraId="65CCD7AC" w14:textId="2D2D7AA9" w:rsidR="0016558A"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Developing detailed guiding principles and values to govern the ongoing operation of the Centre will be completed by the Centre’s governing bodies when it is established.  Embodying the principles will be an obligation not only for the Centre, but also any partner organisations.  Following the principles being agreed, the Centre will identify processes for applying them.  </w:t>
      </w:r>
    </w:p>
    <w:p w14:paraId="04490EEC" w14:textId="2BDD6A63" w:rsidR="009E56DB" w:rsidRPr="00004AD9" w:rsidRDefault="0016558A" w:rsidP="00540368">
      <w:pPr>
        <w:pStyle w:val="Heading3"/>
      </w:pPr>
      <w:bookmarkStart w:id="26" w:name="_Toc166861692"/>
      <w:bookmarkStart w:id="27" w:name="_Toc180484292"/>
      <w:r w:rsidRPr="00004AD9">
        <w:t>Purpose and priorities</w:t>
      </w:r>
      <w:bookmarkEnd w:id="26"/>
      <w:bookmarkEnd w:id="27"/>
    </w:p>
    <w:p w14:paraId="070BC48E" w14:textId="22C26AC3" w:rsidR="00604E8D"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Centre’s overarching purpose is to build an evidence base that is centred on reasserting Aboriginal and Torres Strait Islander pedagogy, wisdom and knowledge, and increase research that is led and owned by Aboriginal and Torres Strait Islander people. </w:t>
      </w:r>
    </w:p>
    <w:p w14:paraId="4DF23537" w14:textId="5A00ECE5" w:rsidR="000D4547"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This will include increasing research that is of benefit to communities, enabling a shift in how evidence is directed and governed, showcasing outcomes focused approaches and driving community-</w:t>
      </w:r>
      <w:r w:rsidR="00B850CD">
        <w:rPr>
          <w:rFonts w:asciiTheme="majorHAnsi" w:hAnsiTheme="majorHAnsi" w:cs="Calibri"/>
        </w:rPr>
        <w:t xml:space="preserve">led </w:t>
      </w:r>
      <w:r w:rsidRPr="00120AAB">
        <w:rPr>
          <w:rFonts w:asciiTheme="majorHAnsi" w:hAnsiTheme="majorHAnsi" w:cs="Calibri"/>
        </w:rPr>
        <w:t>research. Ultimately, this work will seek to drive transformation of the systems and services that impact Aboriginal and Torres Strait Islander children and families. To achieve this purpose, the Centre will pursue the following key priorities:</w:t>
      </w:r>
    </w:p>
    <w:p w14:paraId="5FF050F3" w14:textId="77777777" w:rsidR="000D4547" w:rsidRPr="00004AD9" w:rsidRDefault="4F85DF43" w:rsidP="00540368">
      <w:pPr>
        <w:pStyle w:val="Heading4"/>
      </w:pPr>
      <w:bookmarkStart w:id="28" w:name="_Toc180484293"/>
      <w:r w:rsidRPr="00004AD9">
        <w:t>Lead Aboriginal and Torres Strait Islander pedagogy, wisdom and knowledge</w:t>
      </w:r>
      <w:bookmarkEnd w:id="28"/>
    </w:p>
    <w:p w14:paraId="215E6F8B" w14:textId="4D680BC6" w:rsidR="000D4547"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In shaping approaches to supporting Aboriginal</w:t>
      </w:r>
      <w:r w:rsidR="00D56B80">
        <w:rPr>
          <w:rFonts w:asciiTheme="majorHAnsi" w:hAnsiTheme="majorHAnsi" w:cs="Calibri"/>
        </w:rPr>
        <w:t xml:space="preserve"> and Torres Strait Islander</w:t>
      </w:r>
      <w:r w:rsidRPr="00120AAB">
        <w:rPr>
          <w:rFonts w:asciiTheme="majorHAnsi" w:hAnsiTheme="majorHAnsi" w:cs="Calibri"/>
        </w:rPr>
        <w:t xml:space="preserve"> children and families, the Centre will build </w:t>
      </w:r>
      <w:r w:rsidR="00A31217" w:rsidRPr="00120AAB">
        <w:rPr>
          <w:rFonts w:asciiTheme="majorHAnsi" w:hAnsiTheme="majorHAnsi" w:cs="Calibri"/>
        </w:rPr>
        <w:t xml:space="preserve">and </w:t>
      </w:r>
      <w:r w:rsidR="00097151" w:rsidRPr="00120AAB">
        <w:rPr>
          <w:rFonts w:asciiTheme="majorHAnsi" w:hAnsiTheme="majorHAnsi" w:cs="Calibri"/>
        </w:rPr>
        <w:t xml:space="preserve">disseminate </w:t>
      </w:r>
      <w:r w:rsidRPr="00120AAB">
        <w:rPr>
          <w:rFonts w:asciiTheme="majorHAnsi" w:hAnsiTheme="majorHAnsi" w:cs="Calibri"/>
        </w:rPr>
        <w:t>an evidence base that is centred on Aboriginal and Torres Strait Islander pedagogy, wisdom and knowledge. This includes defining child and family wellbeing from an Aboriginal and Torres Strait Islander perspective, and centering research on Aboriginal and Torres Strait Islander world views.</w:t>
      </w:r>
    </w:p>
    <w:p w14:paraId="3EE9E53D" w14:textId="77777777" w:rsidR="000D4547" w:rsidRPr="00004AD9" w:rsidRDefault="4F85DF43" w:rsidP="00540368">
      <w:pPr>
        <w:pStyle w:val="Heading4"/>
      </w:pPr>
      <w:bookmarkStart w:id="29" w:name="_Toc180484294"/>
      <w:r w:rsidRPr="00004AD9">
        <w:t>Reassert Aboriginal and Torres Strait Islander ways of knowing, being and doing</w:t>
      </w:r>
      <w:bookmarkEnd w:id="29"/>
    </w:p>
    <w:p w14:paraId="2E0C226A" w14:textId="48F18F9D" w:rsidR="000D4547"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seek to reassert Aboriginal and Torres Strait Islander ways of knowing, being and doing, to inform culturally safe approaches to supporting Aboriginal communities. This objective acknowledges the intentional systems which have supported children and families to thrive since before colonisation and seeks to de-colonise mainstream research. </w:t>
      </w:r>
    </w:p>
    <w:p w14:paraId="2290FA67" w14:textId="231891D0" w:rsidR="000D4547" w:rsidRPr="00004AD9" w:rsidRDefault="4F85DF43" w:rsidP="00540368">
      <w:pPr>
        <w:pStyle w:val="Heading4"/>
      </w:pPr>
      <w:bookmarkStart w:id="30" w:name="_Toc180484295"/>
      <w:r w:rsidRPr="00004AD9">
        <w:t>Support existing expertise and grow the Aboriginal and Torres Strait Islander research network</w:t>
      </w:r>
      <w:bookmarkEnd w:id="30"/>
    </w:p>
    <w:p w14:paraId="69A4EF9F" w14:textId="5413BD7C" w:rsidR="001D280C"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work to support, provide networking opportunities for and showcase the existing expertise of Aboriginal and Torres Strait Islander researchers. The Centre will also seek to grow the number of Aboriginal and Torres Strait Islander researchers by providing pathways and opportunities for researchers to develop skills, qualification and experience, and pursue their research goals, acknowledging the lack of suitable supports and development pathways provided within the current academic environment. </w:t>
      </w:r>
    </w:p>
    <w:p w14:paraId="540D8489" w14:textId="708CEB13" w:rsidR="000D4547" w:rsidRPr="00004AD9" w:rsidRDefault="4F85DF43" w:rsidP="00540368">
      <w:pPr>
        <w:pStyle w:val="Heading4"/>
      </w:pPr>
      <w:bookmarkStart w:id="31" w:name="_Toc180484296"/>
      <w:r w:rsidRPr="00004AD9">
        <w:t>Strengthen organisational capacity and support community-</w:t>
      </w:r>
      <w:r w:rsidR="009A1CDA" w:rsidRPr="00004AD9">
        <w:t xml:space="preserve">led </w:t>
      </w:r>
      <w:r w:rsidRPr="00004AD9">
        <w:t>research</w:t>
      </w:r>
      <w:bookmarkEnd w:id="31"/>
      <w:r w:rsidRPr="00004AD9">
        <w:t xml:space="preserve"> </w:t>
      </w:r>
    </w:p>
    <w:p w14:paraId="25A257B5" w14:textId="14913F9C" w:rsidR="000D4547" w:rsidRPr="00120AAB" w:rsidRDefault="4F85DF43" w:rsidP="00EF6BB7">
      <w:pPr>
        <w:spacing w:before="120" w:after="120" w:line="252" w:lineRule="auto"/>
        <w:rPr>
          <w:rFonts w:asciiTheme="majorHAnsi" w:hAnsiTheme="majorHAnsi" w:cs="Calibri"/>
        </w:rPr>
      </w:pPr>
      <w:r w:rsidRPr="00120AAB">
        <w:rPr>
          <w:rFonts w:asciiTheme="majorHAnsi" w:hAnsiTheme="majorHAnsi" w:cs="Calibri"/>
        </w:rPr>
        <w:t>The Centre will support ACCOs to deliver evidence-driven support for Aboriginal and Torres Strait Islander children and families, and to engage in research and evaluation that captures the story of their unique</w:t>
      </w:r>
      <w:r w:rsidR="001B684C">
        <w:rPr>
          <w:rFonts w:asciiTheme="majorHAnsi" w:hAnsiTheme="majorHAnsi" w:cs="Calibri"/>
        </w:rPr>
        <w:t>,</w:t>
      </w:r>
      <w:r w:rsidRPr="00120AAB">
        <w:rPr>
          <w:rFonts w:asciiTheme="majorHAnsi" w:hAnsiTheme="majorHAnsi" w:cs="Calibri"/>
        </w:rPr>
        <w:t xml:space="preserve"> </w:t>
      </w:r>
      <w:r w:rsidR="001B684C" w:rsidRPr="00120AAB">
        <w:rPr>
          <w:rFonts w:asciiTheme="majorHAnsi" w:hAnsiTheme="majorHAnsi" w:cs="Calibri"/>
        </w:rPr>
        <w:t xml:space="preserve">culturally </w:t>
      </w:r>
      <w:r w:rsidR="001B684C">
        <w:rPr>
          <w:rFonts w:asciiTheme="majorHAnsi" w:hAnsiTheme="majorHAnsi" w:cs="Calibri"/>
        </w:rPr>
        <w:t>grounded</w:t>
      </w:r>
      <w:r w:rsidRPr="00120AAB">
        <w:rPr>
          <w:rFonts w:asciiTheme="majorHAnsi" w:hAnsiTheme="majorHAnsi" w:cs="Calibri"/>
        </w:rPr>
        <w:t xml:space="preserve"> programs and services for children and families. This includes</w:t>
      </w:r>
      <w:r w:rsidR="003C5198">
        <w:rPr>
          <w:rFonts w:asciiTheme="majorHAnsi" w:hAnsiTheme="majorHAnsi" w:cs="Calibri"/>
        </w:rPr>
        <w:t xml:space="preserve"> a s</w:t>
      </w:r>
      <w:r w:rsidR="0076538B">
        <w:rPr>
          <w:rFonts w:asciiTheme="majorHAnsi" w:hAnsiTheme="majorHAnsi" w:cs="Calibri"/>
        </w:rPr>
        <w:t>trong</w:t>
      </w:r>
      <w:r w:rsidR="003C5198">
        <w:rPr>
          <w:rFonts w:asciiTheme="majorHAnsi" w:hAnsiTheme="majorHAnsi" w:cs="Calibri"/>
        </w:rPr>
        <w:t xml:space="preserve"> focus on knowledge translation,</w:t>
      </w:r>
      <w:r w:rsidRPr="00120AAB">
        <w:rPr>
          <w:rFonts w:asciiTheme="majorHAnsi" w:hAnsiTheme="majorHAnsi" w:cs="Calibri"/>
        </w:rPr>
        <w:t xml:space="preserve"> providing access to resources, demonstrating best</w:t>
      </w:r>
      <w:r w:rsidR="001B684C">
        <w:rPr>
          <w:rFonts w:asciiTheme="majorHAnsi" w:hAnsiTheme="majorHAnsi" w:cs="Calibri"/>
        </w:rPr>
        <w:t xml:space="preserve"> </w:t>
      </w:r>
      <w:r w:rsidRPr="00120AAB">
        <w:rPr>
          <w:rFonts w:asciiTheme="majorHAnsi" w:hAnsiTheme="majorHAnsi" w:cs="Calibri"/>
        </w:rPr>
        <w:t xml:space="preserve">practice, and creating a network of researchers that can be accessed by communities for their research priorities. </w:t>
      </w:r>
    </w:p>
    <w:p w14:paraId="600B8FB9" w14:textId="4B3DEADF" w:rsidR="000D4547" w:rsidRPr="00004AD9" w:rsidRDefault="4F85DF43" w:rsidP="00540368">
      <w:pPr>
        <w:pStyle w:val="Heading4"/>
      </w:pPr>
      <w:bookmarkStart w:id="32" w:name="_Toc180484297"/>
      <w:r w:rsidRPr="00004AD9">
        <w:t>Serve as a national platform to drive transformation of systems and services</w:t>
      </w:r>
      <w:bookmarkEnd w:id="32"/>
      <w:r w:rsidRPr="00004AD9">
        <w:t xml:space="preserve"> </w:t>
      </w:r>
    </w:p>
    <w:p w14:paraId="5E6E4C3C" w14:textId="14D2337D" w:rsidR="00C41F0F" w:rsidRPr="00120AAB" w:rsidRDefault="000D4547" w:rsidP="00EF6BB7">
      <w:pPr>
        <w:spacing w:before="120" w:after="240" w:line="252" w:lineRule="auto"/>
        <w:rPr>
          <w:rFonts w:asciiTheme="majorHAnsi" w:hAnsiTheme="majorHAnsi" w:cs="Calibri"/>
        </w:rPr>
      </w:pPr>
      <w:r w:rsidRPr="00120AAB">
        <w:rPr>
          <w:rFonts w:asciiTheme="majorHAnsi" w:hAnsiTheme="majorHAnsi" w:cs="Calibri"/>
        </w:rPr>
        <w:t xml:space="preserve">The Centre </w:t>
      </w:r>
      <w:r w:rsidR="00FC7041" w:rsidRPr="00120AAB">
        <w:rPr>
          <w:rFonts w:asciiTheme="majorHAnsi" w:hAnsiTheme="majorHAnsi" w:cs="Calibri"/>
        </w:rPr>
        <w:t>will uphold and</w:t>
      </w:r>
      <w:r w:rsidRPr="00120AAB">
        <w:rPr>
          <w:rFonts w:asciiTheme="majorHAnsi" w:hAnsiTheme="majorHAnsi" w:cs="Calibri"/>
        </w:rPr>
        <w:t xml:space="preserve"> represent the priorities of Aboriginal and Torres Strait Islander communities and organisations, including jurisdictional centres and similar organisations. This includes articulating and advocating for the needs of</w:t>
      </w:r>
      <w:r w:rsidR="008114B6" w:rsidRPr="00120AAB">
        <w:rPr>
          <w:rFonts w:asciiTheme="majorHAnsi" w:hAnsiTheme="majorHAnsi" w:cs="Calibri"/>
        </w:rPr>
        <w:t xml:space="preserve"> children, families, and</w:t>
      </w:r>
      <w:r w:rsidRPr="00120AAB">
        <w:rPr>
          <w:rFonts w:asciiTheme="majorHAnsi" w:hAnsiTheme="majorHAnsi" w:cs="Calibri"/>
        </w:rPr>
        <w:t xml:space="preserve"> the ACCO sector.</w:t>
      </w:r>
      <w:bookmarkStart w:id="33" w:name="_Toc166861693"/>
    </w:p>
    <w:tbl>
      <w:tblPr>
        <w:tblStyle w:val="TableGrid"/>
        <w:tblW w:w="0" w:type="auto"/>
        <w:shd w:val="clear" w:color="auto" w:fill="FFC000"/>
        <w:tblLook w:val="04A0" w:firstRow="1" w:lastRow="0" w:firstColumn="1" w:lastColumn="0" w:noHBand="0" w:noVBand="1"/>
      </w:tblPr>
      <w:tblGrid>
        <w:gridCol w:w="9622"/>
      </w:tblGrid>
      <w:tr w:rsidR="00C41F0F" w:rsidRPr="00120AAB" w14:paraId="784953A6" w14:textId="77777777" w:rsidTr="4F85DF43">
        <w:tc>
          <w:tcPr>
            <w:tcW w:w="9622" w:type="dxa"/>
            <w:shd w:val="clear" w:color="auto" w:fill="FFC000"/>
          </w:tcPr>
          <w:p w14:paraId="486F7E33" w14:textId="1B1CE9B5" w:rsidR="002C0103" w:rsidRPr="00120AAB" w:rsidRDefault="4F85DF43" w:rsidP="00C71979">
            <w:pPr>
              <w:spacing w:before="60" w:after="60"/>
              <w:rPr>
                <w:rFonts w:asciiTheme="majorHAnsi" w:hAnsiTheme="majorHAnsi"/>
              </w:rPr>
            </w:pPr>
            <w:r w:rsidRPr="00120AAB">
              <w:rPr>
                <w:rFonts w:asciiTheme="majorHAnsi" w:hAnsiTheme="majorHAnsi"/>
                <w:b/>
                <w:bCs/>
              </w:rPr>
              <w:t>Recommendation 2:</w:t>
            </w:r>
            <w:r w:rsidRPr="00120AAB">
              <w:rPr>
                <w:rFonts w:asciiTheme="majorHAnsi" w:hAnsiTheme="majorHAnsi"/>
              </w:rPr>
              <w:t xml:space="preserve"> The Centre will serve a core purpose of </w:t>
            </w:r>
            <w:r w:rsidR="006C7558">
              <w:rPr>
                <w:rFonts w:asciiTheme="majorHAnsi" w:hAnsiTheme="majorHAnsi"/>
              </w:rPr>
              <w:t>increas</w:t>
            </w:r>
            <w:r w:rsidR="00A33FC0">
              <w:rPr>
                <w:rFonts w:asciiTheme="majorHAnsi" w:hAnsiTheme="majorHAnsi"/>
              </w:rPr>
              <w:t xml:space="preserve">ing Aboriginal and Torres Strait Islander led and owned research </w:t>
            </w:r>
            <w:r w:rsidR="002C7187">
              <w:rPr>
                <w:rFonts w:asciiTheme="majorHAnsi" w:hAnsiTheme="majorHAnsi"/>
              </w:rPr>
              <w:t xml:space="preserve">to </w:t>
            </w:r>
            <w:r w:rsidRPr="00120AAB">
              <w:rPr>
                <w:rFonts w:asciiTheme="majorHAnsi" w:hAnsiTheme="majorHAnsi"/>
              </w:rPr>
              <w:t>build an evidence base that is centred on Aboriginal and Torres Strait Islander pedagogy, wisdom and knowledge</w:t>
            </w:r>
            <w:r w:rsidDel="002C7187">
              <w:rPr>
                <w:rFonts w:asciiTheme="majorHAnsi" w:hAnsiTheme="majorHAnsi"/>
              </w:rPr>
              <w:t>.</w:t>
            </w:r>
          </w:p>
        </w:tc>
      </w:tr>
    </w:tbl>
    <w:p w14:paraId="31198A7B" w14:textId="77777777" w:rsidR="006B2632" w:rsidRPr="00130DF2" w:rsidRDefault="006B2632" w:rsidP="00130DF2"/>
    <w:p w14:paraId="2F59706C" w14:textId="690B613D" w:rsidR="009E56DB" w:rsidRPr="00004AD9" w:rsidRDefault="000D4547" w:rsidP="00540368">
      <w:pPr>
        <w:pStyle w:val="Heading3"/>
      </w:pPr>
      <w:bookmarkStart w:id="34" w:name="_Toc180484298"/>
      <w:r w:rsidRPr="00004AD9">
        <w:t>Functions</w:t>
      </w:r>
      <w:bookmarkEnd w:id="33"/>
      <w:bookmarkEnd w:id="34"/>
    </w:p>
    <w:p w14:paraId="1300F05D" w14:textId="77777777" w:rsidR="005333B3" w:rsidRPr="00120AAB" w:rsidRDefault="4F85DF43" w:rsidP="00EF6BB7">
      <w:pPr>
        <w:spacing w:before="120" w:after="120" w:line="252" w:lineRule="auto"/>
        <w:rPr>
          <w:rFonts w:asciiTheme="majorHAnsi" w:hAnsiTheme="majorHAnsi" w:cs="Calibri"/>
        </w:rPr>
      </w:pPr>
      <w:r w:rsidRPr="00120AAB">
        <w:rPr>
          <w:rFonts w:asciiTheme="majorHAnsi" w:hAnsiTheme="majorHAnsi" w:cs="Calibri"/>
        </w:rPr>
        <w:t>The Centre’s functions are convergent with its overarching purposes and priorities outlined above. In practice, undertaking these functions will help to operationalise the Centre’s purpose and priorities.</w:t>
      </w:r>
    </w:p>
    <w:p w14:paraId="2611D8E2" w14:textId="0D9D4EC4" w:rsidR="005333B3" w:rsidRPr="00004AD9" w:rsidRDefault="4F85DF43" w:rsidP="00540368">
      <w:pPr>
        <w:pStyle w:val="Heading4"/>
      </w:pPr>
      <w:bookmarkStart w:id="35" w:name="_Toc180484299"/>
      <w:r w:rsidRPr="00004AD9">
        <w:t>Shaping the national research agenda in relation to children, young people and families</w:t>
      </w:r>
      <w:bookmarkEnd w:id="35"/>
    </w:p>
    <w:p w14:paraId="7D4113E7" w14:textId="636FD9DB" w:rsidR="000D3F8E"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produce an Aboriginal and Torres Strait Islander-led national research agenda, including a suite of research priorities and focus areas based on the identified needs and priorities of Aboriginal and Torres Strait Islander children and families, and gaps in the evidence base informed by a review of existing research and evidence. The agenda will also focus on alignment and coordination with planned and existing research being undertaken across various research institutions and jurisdictions. </w:t>
      </w:r>
    </w:p>
    <w:p w14:paraId="15BA1951" w14:textId="2185B496" w:rsidR="005333B3"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A national research agenda will provide a framework for the Centre to focus and prioritise its work in building partnerships and collaborations and providing support to researchers to progress aligned research opportunities. It will also provide a platform to promote government and philanthropic investment in the children</w:t>
      </w:r>
      <w:r w:rsidR="001E4958">
        <w:rPr>
          <w:rFonts w:asciiTheme="majorHAnsi" w:hAnsiTheme="majorHAnsi" w:cs="Calibri"/>
        </w:rPr>
        <w:t>-</w:t>
      </w:r>
      <w:r w:rsidRPr="00120AAB">
        <w:rPr>
          <w:rFonts w:asciiTheme="majorHAnsi" w:hAnsiTheme="majorHAnsi" w:cs="Calibri"/>
        </w:rPr>
        <w:t xml:space="preserve"> and </w:t>
      </w:r>
      <w:r w:rsidR="001E4958">
        <w:rPr>
          <w:rFonts w:asciiTheme="majorHAnsi" w:hAnsiTheme="majorHAnsi" w:cs="Calibri"/>
        </w:rPr>
        <w:t>family-focused</w:t>
      </w:r>
      <w:r w:rsidRPr="00120AAB">
        <w:rPr>
          <w:rFonts w:asciiTheme="majorHAnsi" w:hAnsiTheme="majorHAnsi" w:cs="Calibri"/>
        </w:rPr>
        <w:t xml:space="preserve"> research priorities of Aboriginal and Torres Strait Islander peoples. </w:t>
      </w:r>
    </w:p>
    <w:p w14:paraId="1F69E948" w14:textId="45DFA2C7" w:rsidR="005333B3" w:rsidRPr="00004AD9" w:rsidRDefault="4F85DF43" w:rsidP="00540368">
      <w:pPr>
        <w:pStyle w:val="Heading4"/>
      </w:pPr>
      <w:bookmarkStart w:id="36" w:name="_Toc180484300"/>
      <w:r w:rsidRPr="00004AD9">
        <w:t>Research and knowledge creation</w:t>
      </w:r>
      <w:bookmarkEnd w:id="36"/>
    </w:p>
    <w:p w14:paraId="4FE720D8" w14:textId="77777777" w:rsidR="00FE4DED"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undertake and coordinate research to build an evidence base that informs innovative and effective approaches to supporting the wellbeing of Aboriginal and Torres Strait Islander children and families. It will work to increase research practice that reflects Aboriginal and Torres Strait Islander research standards and methodologies. This will involve initiating and leading research at times, and/or working collaboratively with other centres and research bodies on joint research initiatives. </w:t>
      </w:r>
    </w:p>
    <w:p w14:paraId="70060B96" w14:textId="4FE2EE91" w:rsidR="00E4633D"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need to manage relationships in a way that ensures research centres community knowledge and reflects self-determination. At its heart, this will mean ensuring that all research it undertakes, supports and collaborates on is led by Aboriginal and Torres Strait Islander people and driven by community priorities. For example, research partners will be required to embody aligned principles when working in collaboration with the Centre and connected Aboriginal and Torres Strait Islander communities, organisations and researchers. </w:t>
      </w:r>
    </w:p>
    <w:p w14:paraId="5AF8689D" w14:textId="08AA70FF" w:rsidR="000D3F8E"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be highly collaborative and partnership-based in its approach to research and knowledge creation, working to establish partnerships with jurisdictional </w:t>
      </w:r>
      <w:r w:rsidR="0024503E" w:rsidRPr="00120AAB">
        <w:rPr>
          <w:rFonts w:asciiTheme="majorHAnsi" w:hAnsiTheme="majorHAnsi" w:cs="Calibri"/>
        </w:rPr>
        <w:t>bodies</w:t>
      </w:r>
      <w:r w:rsidRPr="00120AAB">
        <w:rPr>
          <w:rFonts w:asciiTheme="majorHAnsi" w:hAnsiTheme="majorHAnsi" w:cs="Calibri"/>
        </w:rPr>
        <w:t>, academic institutes, ACCOs, peak bodies, communities and individual researchers through informal and formal agreements such as Memorand</w:t>
      </w:r>
      <w:r w:rsidR="009B6E7D">
        <w:rPr>
          <w:rFonts w:asciiTheme="majorHAnsi" w:hAnsiTheme="majorHAnsi" w:cs="Calibri"/>
        </w:rPr>
        <w:t>a</w:t>
      </w:r>
      <w:r w:rsidRPr="00120AAB">
        <w:rPr>
          <w:rFonts w:asciiTheme="majorHAnsi" w:hAnsiTheme="majorHAnsi" w:cs="Calibri"/>
        </w:rPr>
        <w:t xml:space="preserve"> of Understanding or sub-contracting arrangements. </w:t>
      </w:r>
    </w:p>
    <w:p w14:paraId="6C9A9217" w14:textId="5E78CA5E" w:rsidR="0040210D"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These partnerships will provide multiple benefits for community, researchers and the Centre, including building the amount and scope of Aboriginal and Torres Strait Islander-led research, improving research coordination and collaboration, and enabling access to key research infrastructure that sits in existing non-Indigenous research institutions. This could include access to existing Commonwealth research grants schemes such as the Australian Research Council, National Health and Medical Research Council, and Medical Research Future Fund grants. Over time the Centre may seek its own accreditation to access these research schemes directly.  </w:t>
      </w:r>
    </w:p>
    <w:p w14:paraId="74AD57D9" w14:textId="1DD2A29E" w:rsidR="00B11A54" w:rsidRPr="00004AD9" w:rsidRDefault="4F85DF43" w:rsidP="00540368">
      <w:pPr>
        <w:pStyle w:val="Heading4"/>
      </w:pPr>
      <w:bookmarkStart w:id="37" w:name="_Toc180484301"/>
      <w:r w:rsidRPr="00004AD9">
        <w:t>Aboriginal and Torres Strait Islander data development, management, and sovereignty</w:t>
      </w:r>
      <w:bookmarkEnd w:id="37"/>
      <w:r w:rsidRPr="00004AD9">
        <w:t xml:space="preserve"> </w:t>
      </w:r>
    </w:p>
    <w:p w14:paraId="3FF10199" w14:textId="5390FCB2" w:rsidR="00745836" w:rsidRPr="00120AAB" w:rsidRDefault="006871AB" w:rsidP="00EF6BB7">
      <w:pPr>
        <w:spacing w:before="120" w:after="120" w:line="252" w:lineRule="auto"/>
        <w:rPr>
          <w:rFonts w:asciiTheme="majorHAnsi" w:hAnsiTheme="majorHAnsi" w:cs="Calibri"/>
        </w:rPr>
      </w:pPr>
      <w:r w:rsidRPr="00120AAB">
        <w:rPr>
          <w:rFonts w:asciiTheme="majorHAnsi" w:hAnsiTheme="majorHAnsi" w:cs="Calibri"/>
        </w:rPr>
        <w:t>Indigenous</w:t>
      </w:r>
      <w:r w:rsidR="00B86912" w:rsidRPr="00120AAB">
        <w:rPr>
          <w:rFonts w:asciiTheme="majorHAnsi" w:hAnsiTheme="majorHAnsi" w:cs="Calibri"/>
        </w:rPr>
        <w:t xml:space="preserve"> </w:t>
      </w:r>
      <w:r w:rsidRPr="00120AAB">
        <w:rPr>
          <w:rFonts w:asciiTheme="majorHAnsi" w:hAnsiTheme="majorHAnsi" w:cs="Calibri"/>
        </w:rPr>
        <w:t>D</w:t>
      </w:r>
      <w:r w:rsidR="00B86912" w:rsidRPr="00120AAB">
        <w:rPr>
          <w:rFonts w:asciiTheme="majorHAnsi" w:hAnsiTheme="majorHAnsi" w:cs="Calibri"/>
        </w:rPr>
        <w:t xml:space="preserve">ata </w:t>
      </w:r>
      <w:r w:rsidR="00590F3B" w:rsidRPr="00120AAB">
        <w:rPr>
          <w:rFonts w:asciiTheme="majorHAnsi" w:hAnsiTheme="majorHAnsi" w:cs="Calibri"/>
        </w:rPr>
        <w:t>S</w:t>
      </w:r>
      <w:r w:rsidR="00B86912" w:rsidRPr="00120AAB">
        <w:rPr>
          <w:rFonts w:asciiTheme="majorHAnsi" w:hAnsiTheme="majorHAnsi" w:cs="Calibri"/>
        </w:rPr>
        <w:t xml:space="preserve">overeignty is operationalised through the dual mechanisms of Indigenous Data for </w:t>
      </w:r>
      <w:r w:rsidR="00590F3B" w:rsidRPr="00120AAB">
        <w:rPr>
          <w:rFonts w:asciiTheme="majorHAnsi" w:hAnsiTheme="majorHAnsi" w:cs="Calibri"/>
        </w:rPr>
        <w:t>G</w:t>
      </w:r>
      <w:r w:rsidR="00B86912" w:rsidRPr="00120AAB">
        <w:rPr>
          <w:rFonts w:asciiTheme="majorHAnsi" w:hAnsiTheme="majorHAnsi" w:cs="Calibri"/>
        </w:rPr>
        <w:t xml:space="preserve">overnance and Indigenous Governance of </w:t>
      </w:r>
      <w:r w:rsidR="00590F3B" w:rsidRPr="00120AAB">
        <w:rPr>
          <w:rFonts w:asciiTheme="majorHAnsi" w:hAnsiTheme="majorHAnsi" w:cs="Calibri"/>
        </w:rPr>
        <w:t>D</w:t>
      </w:r>
      <w:r w:rsidR="00B86912" w:rsidRPr="00120AAB">
        <w:rPr>
          <w:rFonts w:asciiTheme="majorHAnsi" w:hAnsiTheme="majorHAnsi" w:cs="Calibri"/>
        </w:rPr>
        <w:t>ata</w:t>
      </w:r>
      <w:bookmarkStart w:id="38" w:name="_Ref167371805"/>
      <w:r w:rsidR="001955AC" w:rsidRPr="00120AAB">
        <w:rPr>
          <w:rFonts w:asciiTheme="majorHAnsi" w:hAnsiTheme="majorHAnsi" w:cs="Calibri"/>
        </w:rPr>
        <w:t>.</w:t>
      </w:r>
      <w:r w:rsidR="00935C9C" w:rsidRPr="00120AAB">
        <w:rPr>
          <w:rStyle w:val="FootnoteReference"/>
          <w:rFonts w:asciiTheme="majorHAnsi" w:hAnsiTheme="majorHAnsi"/>
        </w:rPr>
        <w:footnoteReference w:id="5"/>
      </w:r>
      <w:bookmarkEnd w:id="38"/>
      <w:r w:rsidR="00B86912" w:rsidRPr="00120AAB">
        <w:rPr>
          <w:rFonts w:asciiTheme="majorHAnsi" w:hAnsiTheme="majorHAnsi" w:cs="Calibri"/>
        </w:rPr>
        <w:t xml:space="preserve"> </w:t>
      </w:r>
      <w:bookmarkStart w:id="39" w:name="_Hlk167371716"/>
      <w:r w:rsidR="00177D26" w:rsidRPr="00120AAB">
        <w:rPr>
          <w:rFonts w:asciiTheme="majorHAnsi" w:hAnsiTheme="majorHAnsi"/>
        </w:rPr>
        <w:t>Indigenous Data Governance is the right of Indigenous peoples to autonomously decide what, how and why Indigenous data are collected, accessed and used.</w:t>
      </w:r>
      <w:r w:rsidR="00B9051F" w:rsidRPr="00120AAB">
        <w:rPr>
          <w:rStyle w:val="FootnoteReference"/>
          <w:rFonts w:asciiTheme="majorHAnsi" w:hAnsiTheme="majorHAnsi"/>
        </w:rPr>
        <w:footnoteReference w:id="6"/>
      </w:r>
      <w:r w:rsidR="00177D26" w:rsidRPr="00120AAB">
        <w:rPr>
          <w:rFonts w:asciiTheme="majorHAnsi" w:hAnsiTheme="majorHAnsi"/>
        </w:rPr>
        <w:t xml:space="preserve"> </w:t>
      </w:r>
      <w:bookmarkEnd w:id="39"/>
      <w:r w:rsidR="00745836" w:rsidRPr="00120AAB">
        <w:rPr>
          <w:rFonts w:asciiTheme="majorHAnsi" w:hAnsiTheme="majorHAnsi"/>
        </w:rPr>
        <w:t xml:space="preserve">Governance of </w:t>
      </w:r>
      <w:r w:rsidR="00B46DB2" w:rsidRPr="00120AAB">
        <w:rPr>
          <w:rFonts w:asciiTheme="majorHAnsi" w:hAnsiTheme="majorHAnsi"/>
        </w:rPr>
        <w:t>D</w:t>
      </w:r>
      <w:r w:rsidR="00745836" w:rsidRPr="00120AAB">
        <w:rPr>
          <w:rFonts w:asciiTheme="majorHAnsi" w:hAnsiTheme="majorHAnsi"/>
        </w:rPr>
        <w:t>ata means Indigenous people decide what rules and processes apply to Indigenous data throughout the data lifecycle</w:t>
      </w:r>
      <w:r w:rsidR="00AA555F" w:rsidRPr="00120AAB">
        <w:rPr>
          <w:rFonts w:asciiTheme="majorHAnsi" w:hAnsiTheme="majorHAnsi"/>
        </w:rPr>
        <w:t>.</w:t>
      </w:r>
      <w:r w:rsidR="00EB0C9A" w:rsidRPr="00120AAB">
        <w:rPr>
          <w:rStyle w:val="FootnoteReference"/>
          <w:rFonts w:asciiTheme="majorHAnsi" w:hAnsiTheme="majorHAnsi"/>
        </w:rPr>
        <w:footnoteReference w:id="7"/>
      </w:r>
      <w:r w:rsidR="00745836" w:rsidRPr="00120AAB">
        <w:rPr>
          <w:rFonts w:asciiTheme="majorHAnsi" w:hAnsiTheme="majorHAnsi"/>
        </w:rPr>
        <w:t xml:space="preserve">  </w:t>
      </w:r>
      <w:r w:rsidR="00745836" w:rsidRPr="00120AAB">
        <w:rPr>
          <w:rFonts w:asciiTheme="majorHAnsi" w:hAnsiTheme="majorHAnsi"/>
          <w:sz w:val="16"/>
          <w:szCs w:val="16"/>
        </w:rPr>
        <w:t xml:space="preserve"> </w:t>
      </w:r>
    </w:p>
    <w:p w14:paraId="7D79AEA3" w14:textId="6B3C408F" w:rsidR="00857CE9" w:rsidRPr="00120AAB" w:rsidRDefault="001577E3" w:rsidP="00EF6BB7">
      <w:pPr>
        <w:spacing w:before="120" w:after="120" w:line="252" w:lineRule="auto"/>
        <w:rPr>
          <w:rFonts w:asciiTheme="majorHAnsi" w:hAnsiTheme="majorHAnsi"/>
        </w:rPr>
      </w:pPr>
      <w:r w:rsidRPr="00120AAB">
        <w:rPr>
          <w:rFonts w:asciiTheme="majorHAnsi" w:hAnsiTheme="majorHAnsi" w:cs="Calibri"/>
        </w:rPr>
        <w:t>The Centre’s design and operation</w:t>
      </w:r>
      <w:r w:rsidR="001C4942" w:rsidRPr="00120AAB">
        <w:rPr>
          <w:rFonts w:asciiTheme="majorHAnsi" w:hAnsiTheme="majorHAnsi" w:cs="Calibri"/>
        </w:rPr>
        <w:t>,</w:t>
      </w:r>
      <w:r w:rsidRPr="00120AAB">
        <w:rPr>
          <w:rFonts w:asciiTheme="majorHAnsi" w:hAnsiTheme="majorHAnsi" w:cs="Calibri"/>
        </w:rPr>
        <w:t xml:space="preserve"> including</w:t>
      </w:r>
      <w:r w:rsidR="001C4942" w:rsidRPr="00120AAB">
        <w:rPr>
          <w:rFonts w:asciiTheme="majorHAnsi" w:hAnsiTheme="majorHAnsi" w:cs="Calibri"/>
        </w:rPr>
        <w:t xml:space="preserve"> t</w:t>
      </w:r>
      <w:r w:rsidR="00841CDE" w:rsidRPr="00120AAB">
        <w:rPr>
          <w:rFonts w:asciiTheme="majorHAnsi" w:hAnsiTheme="majorHAnsi" w:cs="Calibri"/>
        </w:rPr>
        <w:t>he</w:t>
      </w:r>
      <w:r w:rsidR="004F4351" w:rsidRPr="00120AAB">
        <w:rPr>
          <w:rFonts w:asciiTheme="majorHAnsi" w:hAnsiTheme="majorHAnsi" w:cs="Calibri"/>
        </w:rPr>
        <w:t xml:space="preserve"> development of the</w:t>
      </w:r>
      <w:r w:rsidR="00841CDE" w:rsidRPr="00120AAB">
        <w:rPr>
          <w:rFonts w:asciiTheme="majorHAnsi" w:hAnsiTheme="majorHAnsi" w:cs="Calibri"/>
        </w:rPr>
        <w:t xml:space="preserve"> </w:t>
      </w:r>
      <w:r w:rsidR="001C4942" w:rsidRPr="00120AAB">
        <w:rPr>
          <w:rFonts w:asciiTheme="majorHAnsi" w:hAnsiTheme="majorHAnsi" w:cs="Calibri"/>
        </w:rPr>
        <w:t>n</w:t>
      </w:r>
      <w:r w:rsidR="00841CDE" w:rsidRPr="00120AAB">
        <w:rPr>
          <w:rFonts w:asciiTheme="majorHAnsi" w:hAnsiTheme="majorHAnsi" w:cs="Calibri"/>
        </w:rPr>
        <w:t xml:space="preserve">ational </w:t>
      </w:r>
      <w:r w:rsidR="001C4942" w:rsidRPr="00120AAB">
        <w:rPr>
          <w:rFonts w:asciiTheme="majorHAnsi" w:hAnsiTheme="majorHAnsi" w:cs="Calibri"/>
        </w:rPr>
        <w:t>r</w:t>
      </w:r>
      <w:r w:rsidR="00841CDE" w:rsidRPr="00120AAB">
        <w:rPr>
          <w:rFonts w:asciiTheme="majorHAnsi" w:hAnsiTheme="majorHAnsi" w:cs="Calibri"/>
        </w:rPr>
        <w:t>esearch agenda</w:t>
      </w:r>
      <w:r w:rsidR="001C4942" w:rsidRPr="00120AAB">
        <w:rPr>
          <w:rFonts w:asciiTheme="majorHAnsi" w:hAnsiTheme="majorHAnsi" w:cs="Calibri"/>
        </w:rPr>
        <w:t xml:space="preserve">, </w:t>
      </w:r>
      <w:r w:rsidR="00841CDE" w:rsidRPr="00120AAB">
        <w:rPr>
          <w:rFonts w:asciiTheme="majorHAnsi" w:hAnsiTheme="majorHAnsi" w:cs="Calibri"/>
        </w:rPr>
        <w:t xml:space="preserve">subsequent research priorities, and the related data required for decision making, will be identified and determined in accordance with the principles of </w:t>
      </w:r>
      <w:r w:rsidR="008A514B" w:rsidRPr="00120AAB">
        <w:rPr>
          <w:rFonts w:asciiTheme="majorHAnsi" w:hAnsiTheme="majorHAnsi"/>
        </w:rPr>
        <w:t>Indigenous Data Sovereignty</w:t>
      </w:r>
      <w:r w:rsidR="00800CD0">
        <w:rPr>
          <w:rFonts w:asciiTheme="majorHAnsi" w:hAnsiTheme="majorHAnsi"/>
        </w:rPr>
        <w:t xml:space="preserve"> as specified for the Australian context by the Maiam nayri Wingara Indigenous Data Sovereignty </w:t>
      </w:r>
      <w:r w:rsidR="002B7BDF">
        <w:rPr>
          <w:rFonts w:asciiTheme="majorHAnsi" w:hAnsiTheme="majorHAnsi"/>
        </w:rPr>
        <w:t>Collective</w:t>
      </w:r>
      <w:r w:rsidR="00D624D3" w:rsidRPr="00120AAB">
        <w:rPr>
          <w:rFonts w:asciiTheme="majorHAnsi" w:hAnsiTheme="majorHAnsi"/>
        </w:rPr>
        <w:t xml:space="preserve"> (</w:t>
      </w:r>
      <w:r w:rsidR="002B7BDF">
        <w:rPr>
          <w:rFonts w:asciiTheme="majorHAnsi" w:hAnsiTheme="majorHAnsi"/>
        </w:rPr>
        <w:t>‘</w:t>
      </w:r>
      <w:r w:rsidR="00D624D3" w:rsidRPr="00120AAB">
        <w:rPr>
          <w:rFonts w:asciiTheme="majorHAnsi" w:hAnsiTheme="majorHAnsi"/>
        </w:rPr>
        <w:t>Maiam nayri Wingara principles</w:t>
      </w:r>
      <w:r w:rsidR="002B7BDF">
        <w:rPr>
          <w:rFonts w:asciiTheme="majorHAnsi" w:hAnsiTheme="majorHAnsi"/>
        </w:rPr>
        <w:t>’</w:t>
      </w:r>
      <w:r w:rsidR="00EB0C9A" w:rsidRPr="00120AAB">
        <w:rPr>
          <w:rFonts w:asciiTheme="majorHAnsi" w:hAnsiTheme="majorHAnsi"/>
        </w:rPr>
        <w:t>).</w:t>
      </w:r>
      <w:r w:rsidR="00E436A3" w:rsidRPr="00120AAB">
        <w:rPr>
          <w:rFonts w:asciiTheme="majorHAnsi" w:hAnsiTheme="majorHAnsi" w:cs="Calibri"/>
          <w:vertAlign w:val="superscript"/>
        </w:rPr>
        <w:footnoteReference w:id="8"/>
      </w:r>
    </w:p>
    <w:p w14:paraId="1D73E9C4" w14:textId="4809A581" w:rsidR="00857CE9" w:rsidRPr="00120AAB" w:rsidRDefault="00857CE9" w:rsidP="00EF6BB7">
      <w:pPr>
        <w:spacing w:before="120" w:after="120" w:line="252" w:lineRule="auto"/>
        <w:rPr>
          <w:rFonts w:asciiTheme="majorHAnsi" w:hAnsiTheme="majorHAnsi"/>
        </w:rPr>
      </w:pPr>
      <w:r w:rsidRPr="00120AAB">
        <w:rPr>
          <w:rFonts w:asciiTheme="majorHAnsi" w:hAnsiTheme="majorHAnsi"/>
        </w:rPr>
        <w:t>The Centre will also align its practices with the protocols of intellectual property and Indigenous Cultural Intellectual Property (ICIP) to ensure</w:t>
      </w:r>
      <w:r w:rsidR="004D277A" w:rsidRPr="00120AAB">
        <w:rPr>
          <w:rFonts w:asciiTheme="majorHAnsi" w:hAnsiTheme="majorHAnsi"/>
        </w:rPr>
        <w:t xml:space="preserve"> that collected </w:t>
      </w:r>
      <w:r w:rsidR="00415D21" w:rsidRPr="00120AAB">
        <w:rPr>
          <w:rFonts w:asciiTheme="majorHAnsi" w:hAnsiTheme="majorHAnsi"/>
        </w:rPr>
        <w:t xml:space="preserve">knowledge is only shared and </w:t>
      </w:r>
      <w:r w:rsidR="00B34041" w:rsidRPr="00120AAB">
        <w:rPr>
          <w:rFonts w:asciiTheme="majorHAnsi" w:hAnsiTheme="majorHAnsi"/>
        </w:rPr>
        <w:t xml:space="preserve">attributed </w:t>
      </w:r>
      <w:r w:rsidR="00415D21" w:rsidRPr="00120AAB">
        <w:rPr>
          <w:rFonts w:asciiTheme="majorHAnsi" w:hAnsiTheme="majorHAnsi"/>
        </w:rPr>
        <w:t xml:space="preserve">in a way that benefits </w:t>
      </w:r>
      <w:r w:rsidR="00030494">
        <w:rPr>
          <w:rFonts w:asciiTheme="majorHAnsi" w:hAnsiTheme="majorHAnsi"/>
        </w:rPr>
        <w:t>Aboriginal and Torres Strait Islander</w:t>
      </w:r>
      <w:r w:rsidRPr="00120AAB">
        <w:rPr>
          <w:rFonts w:asciiTheme="majorHAnsi" w:hAnsiTheme="majorHAnsi"/>
        </w:rPr>
        <w:t xml:space="preserve"> communit</w:t>
      </w:r>
      <w:r w:rsidR="00030494">
        <w:rPr>
          <w:rFonts w:asciiTheme="majorHAnsi" w:hAnsiTheme="majorHAnsi"/>
        </w:rPr>
        <w:t>ies</w:t>
      </w:r>
      <w:r w:rsidRPr="00120AAB">
        <w:rPr>
          <w:rFonts w:asciiTheme="majorHAnsi" w:hAnsiTheme="majorHAnsi"/>
        </w:rPr>
        <w:t>. ICIP refers to the rights that Aboriginal and Torres Strait Islander Peoples have, and want to have, to protect their cultural heritage</w:t>
      </w:r>
      <w:r w:rsidR="00AA555F" w:rsidRPr="00120AAB">
        <w:rPr>
          <w:rFonts w:asciiTheme="majorHAnsi" w:hAnsiTheme="majorHAnsi"/>
        </w:rPr>
        <w:t>.</w:t>
      </w:r>
      <w:r w:rsidRPr="00120AAB">
        <w:rPr>
          <w:rStyle w:val="FootnoteReference"/>
          <w:rFonts w:asciiTheme="majorHAnsi" w:hAnsiTheme="majorHAnsi"/>
        </w:rPr>
        <w:footnoteReference w:id="9"/>
      </w:r>
    </w:p>
    <w:p w14:paraId="4C5569F6" w14:textId="3D1E19F8" w:rsidR="00857CE9" w:rsidRPr="00120AAB" w:rsidRDefault="4F85DF43" w:rsidP="00EF6BB7">
      <w:pPr>
        <w:spacing w:before="120" w:after="120" w:line="252" w:lineRule="auto"/>
        <w:rPr>
          <w:rFonts w:asciiTheme="majorHAnsi" w:hAnsiTheme="majorHAnsi"/>
        </w:rPr>
      </w:pPr>
      <w:r w:rsidRPr="00120AAB">
        <w:rPr>
          <w:rFonts w:asciiTheme="majorHAnsi" w:hAnsiTheme="majorHAnsi"/>
        </w:rPr>
        <w:t xml:space="preserve">The Centre will appropriately store, protect and manage access to any research data collected by the activities of the Centre, and enter any required data sharing arrangements with Centre partners. This requires the design and building of data infrastructure within the host organisation for the Centre and development of policies and protocols to ensure that data is appropriately managed, stored and used. </w:t>
      </w:r>
    </w:p>
    <w:p w14:paraId="1BD6DBF5" w14:textId="5B1163EC" w:rsidR="00D624D3" w:rsidRPr="00120AAB" w:rsidRDefault="004664AF" w:rsidP="00EF6BB7">
      <w:pPr>
        <w:suppressAutoHyphens/>
        <w:spacing w:before="40" w:after="120" w:line="252" w:lineRule="auto"/>
        <w:rPr>
          <w:rFonts w:asciiTheme="majorHAnsi" w:hAnsiTheme="majorHAnsi"/>
        </w:rPr>
      </w:pPr>
      <w:r w:rsidRPr="00120AAB">
        <w:rPr>
          <w:rFonts w:asciiTheme="majorHAnsi" w:hAnsiTheme="majorHAnsi"/>
        </w:rPr>
        <w:t>Reflecting Priority Reform 4 under the National Agreement</w:t>
      </w:r>
      <w:r w:rsidR="0047235B" w:rsidRPr="00120AAB">
        <w:rPr>
          <w:rFonts w:asciiTheme="majorHAnsi" w:hAnsiTheme="majorHAnsi"/>
        </w:rPr>
        <w:t xml:space="preserve"> on Closing the Gap (National Agreement</w:t>
      </w:r>
      <w:r w:rsidR="00EB0C9A" w:rsidRPr="00120AAB">
        <w:rPr>
          <w:rFonts w:asciiTheme="majorHAnsi" w:hAnsiTheme="majorHAnsi"/>
        </w:rPr>
        <w:t>)</w:t>
      </w:r>
      <w:r w:rsidR="000C66F8" w:rsidRPr="00120AAB">
        <w:rPr>
          <w:rStyle w:val="FootnoteReference"/>
          <w:rFonts w:asciiTheme="majorHAnsi" w:hAnsiTheme="majorHAnsi"/>
        </w:rPr>
        <w:footnoteReference w:id="10"/>
      </w:r>
      <w:r w:rsidRPr="00120AAB">
        <w:rPr>
          <w:rFonts w:asciiTheme="majorHAnsi" w:hAnsiTheme="majorHAnsi"/>
        </w:rPr>
        <w:t xml:space="preserve">, </w:t>
      </w:r>
      <w:r w:rsidR="009F49B2" w:rsidRPr="00120AAB">
        <w:rPr>
          <w:rFonts w:asciiTheme="majorHAnsi" w:hAnsiTheme="majorHAnsi"/>
        </w:rPr>
        <w:t>k</w:t>
      </w:r>
      <w:r w:rsidR="31411529" w:rsidRPr="00120AAB">
        <w:rPr>
          <w:rFonts w:asciiTheme="majorHAnsi" w:hAnsiTheme="majorHAnsi"/>
        </w:rPr>
        <w:t xml:space="preserve">ey </w:t>
      </w:r>
      <w:r w:rsidR="4BA39695" w:rsidRPr="00120AAB">
        <w:rPr>
          <w:rFonts w:asciiTheme="majorHAnsi" w:hAnsiTheme="majorHAnsi"/>
        </w:rPr>
        <w:t>features</w:t>
      </w:r>
      <w:r w:rsidR="31411529" w:rsidRPr="00120AAB">
        <w:rPr>
          <w:rFonts w:asciiTheme="majorHAnsi" w:hAnsiTheme="majorHAnsi"/>
        </w:rPr>
        <w:t xml:space="preserve"> </w:t>
      </w:r>
      <w:r w:rsidR="52BBC176" w:rsidRPr="00120AAB">
        <w:rPr>
          <w:rFonts w:asciiTheme="majorHAnsi" w:hAnsiTheme="majorHAnsi"/>
        </w:rPr>
        <w:t xml:space="preserve">of this </w:t>
      </w:r>
      <w:r w:rsidR="31411529" w:rsidRPr="00120AAB">
        <w:rPr>
          <w:rFonts w:asciiTheme="majorHAnsi" w:hAnsiTheme="majorHAnsi"/>
        </w:rPr>
        <w:t xml:space="preserve">infrastructure </w:t>
      </w:r>
      <w:r w:rsidR="009F49B2" w:rsidRPr="00120AAB">
        <w:rPr>
          <w:rFonts w:asciiTheme="majorHAnsi" w:hAnsiTheme="majorHAnsi"/>
        </w:rPr>
        <w:t>could</w:t>
      </w:r>
      <w:r w:rsidR="31411529" w:rsidRPr="00120AAB">
        <w:rPr>
          <w:rFonts w:asciiTheme="majorHAnsi" w:hAnsiTheme="majorHAnsi"/>
        </w:rPr>
        <w:t xml:space="preserve"> include</w:t>
      </w:r>
      <w:r w:rsidR="005E2B83" w:rsidRPr="00120AAB">
        <w:rPr>
          <w:rFonts w:asciiTheme="majorHAnsi" w:hAnsiTheme="majorHAnsi"/>
        </w:rPr>
        <w:t>,</w:t>
      </w:r>
      <w:r w:rsidR="31411529" w:rsidRPr="00120AAB">
        <w:rPr>
          <w:rFonts w:asciiTheme="majorHAnsi" w:hAnsiTheme="majorHAnsi"/>
        </w:rPr>
        <w:t xml:space="preserve"> but</w:t>
      </w:r>
      <w:r w:rsidR="005E2B83" w:rsidRPr="00120AAB">
        <w:rPr>
          <w:rFonts w:asciiTheme="majorHAnsi" w:hAnsiTheme="majorHAnsi"/>
        </w:rPr>
        <w:t xml:space="preserve"> </w:t>
      </w:r>
      <w:r w:rsidR="00777C04" w:rsidRPr="00120AAB">
        <w:rPr>
          <w:rFonts w:asciiTheme="majorHAnsi" w:hAnsiTheme="majorHAnsi"/>
        </w:rPr>
        <w:t>are not</w:t>
      </w:r>
      <w:r w:rsidR="31411529" w:rsidRPr="00120AAB">
        <w:rPr>
          <w:rFonts w:asciiTheme="majorHAnsi" w:hAnsiTheme="majorHAnsi"/>
        </w:rPr>
        <w:t xml:space="preserve"> lim</w:t>
      </w:r>
      <w:r w:rsidR="60FFB7ED" w:rsidRPr="00120AAB">
        <w:rPr>
          <w:rFonts w:asciiTheme="majorHAnsi" w:hAnsiTheme="majorHAnsi"/>
        </w:rPr>
        <w:t xml:space="preserve">ited to: </w:t>
      </w:r>
    </w:p>
    <w:p w14:paraId="2177EDA1" w14:textId="31E405F2" w:rsidR="00D624D3" w:rsidRPr="00030494" w:rsidRDefault="4F85DF43" w:rsidP="00540368">
      <w:pPr>
        <w:pStyle w:val="Heading3"/>
        <w:rPr>
          <w:rStyle w:val="normaltextrun"/>
          <w:rFonts w:cs="Calibri"/>
          <w:b/>
          <w:bCs/>
        </w:rPr>
      </w:pPr>
      <w:bookmarkStart w:id="40" w:name="_Toc180484302"/>
      <w:r w:rsidRPr="00030494">
        <w:rPr>
          <w:rStyle w:val="normaltextrun"/>
          <w:rFonts w:cs="Calibri"/>
        </w:rPr>
        <w:t>Infrastructure/ software requirements:</w:t>
      </w:r>
      <w:bookmarkEnd w:id="40"/>
    </w:p>
    <w:p w14:paraId="0A78A073" w14:textId="277FA1AE" w:rsidR="00D624D3"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Data storage system (data warehouse / lake) that houses all research data generated by the Centre</w:t>
      </w:r>
    </w:p>
    <w:p w14:paraId="442EE62C" w14:textId="3430558A" w:rsidR="00D624D3"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Data access platform that enables access and analysis of data for researchers, organisations and communities </w:t>
      </w:r>
    </w:p>
    <w:p w14:paraId="2EE672A2" w14:textId="0A19B61D" w:rsidR="00D624D3"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Data analysis software to perform analysis of qualitative and quantitative data </w:t>
      </w:r>
    </w:p>
    <w:p w14:paraId="7F00EB2F" w14:textId="49E49A86" w:rsidR="00D624D3" w:rsidRPr="00030494" w:rsidRDefault="4F85DF43" w:rsidP="00540368">
      <w:pPr>
        <w:pStyle w:val="Heading3"/>
        <w:rPr>
          <w:rStyle w:val="normaltextrun"/>
          <w:rFonts w:cs="Calibri"/>
          <w:b/>
          <w:bCs/>
        </w:rPr>
      </w:pPr>
      <w:bookmarkStart w:id="41" w:name="_Toc180484303"/>
      <w:r w:rsidRPr="00030494">
        <w:rPr>
          <w:rStyle w:val="normaltextrun"/>
          <w:rFonts w:cs="Calibri"/>
        </w:rPr>
        <w:t>Policy / protocol requirements:</w:t>
      </w:r>
      <w:bookmarkEnd w:id="41"/>
    </w:p>
    <w:p w14:paraId="5B6935E6" w14:textId="57623B3C" w:rsidR="00D624D3"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Indigenous Data Sovereignty policy and protocols that set out how governance bodies will oversee access to the data. Including but not limited to: </w:t>
      </w:r>
    </w:p>
    <w:p w14:paraId="4BDEBD97" w14:textId="1AA438B0" w:rsidR="566978B1" w:rsidRPr="00120AAB" w:rsidRDefault="4F85DF43" w:rsidP="00F00A08">
      <w:pPr>
        <w:pStyle w:val="ListParagraph"/>
        <w:numPr>
          <w:ilvl w:val="1"/>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Assessing applications to access or use any data collected by the Centre </w:t>
      </w:r>
    </w:p>
    <w:p w14:paraId="0D209AD7" w14:textId="2392AD48" w:rsidR="566978B1" w:rsidRPr="00120AAB" w:rsidRDefault="4F85DF43" w:rsidP="00F00A08">
      <w:pPr>
        <w:pStyle w:val="ListParagraph"/>
        <w:numPr>
          <w:ilvl w:val="1"/>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Prioritising and supporting access to the data for communities and ACCOs </w:t>
      </w:r>
    </w:p>
    <w:p w14:paraId="133E35ED" w14:textId="72D6F2F9" w:rsidR="566978B1" w:rsidRPr="00120AAB" w:rsidRDefault="4F85DF43" w:rsidP="00F00A08">
      <w:pPr>
        <w:pStyle w:val="ListParagraph"/>
        <w:numPr>
          <w:ilvl w:val="1"/>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Restricting the use of data by non-Indigenous researchers or governments to circumstances where Governance bodies are satisfied that the standards for ethical research with Aboriginal and Torres Strait Islander Peoples have been met and the request for access aligns with the priorities of communities and the Centre.</w:t>
      </w:r>
    </w:p>
    <w:p w14:paraId="724C2CD1" w14:textId="0EA3D31E" w:rsidR="005A72FE" w:rsidRPr="00120AAB" w:rsidRDefault="005A72FE"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Intellectual property and </w:t>
      </w:r>
      <w:r w:rsidR="00B87DF6" w:rsidRPr="00120AAB">
        <w:rPr>
          <w:rStyle w:val="normaltextrun"/>
          <w:rFonts w:asciiTheme="majorHAnsi" w:eastAsiaTheme="majorEastAsia" w:hAnsiTheme="majorHAnsi" w:cs="Calibri"/>
          <w:sz w:val="24"/>
          <w:szCs w:val="24"/>
        </w:rPr>
        <w:t>ICIP</w:t>
      </w:r>
      <w:r w:rsidRPr="00120AAB">
        <w:rPr>
          <w:rStyle w:val="normaltextrun"/>
          <w:rFonts w:asciiTheme="majorHAnsi" w:eastAsiaTheme="majorEastAsia" w:hAnsiTheme="majorHAnsi" w:cs="Calibri"/>
          <w:sz w:val="24"/>
          <w:szCs w:val="24"/>
        </w:rPr>
        <w:t xml:space="preserve"> </w:t>
      </w:r>
      <w:r w:rsidR="007325FC" w:rsidRPr="00120AAB">
        <w:rPr>
          <w:rStyle w:val="normaltextrun"/>
          <w:rFonts w:asciiTheme="majorHAnsi" w:eastAsiaTheme="majorEastAsia" w:hAnsiTheme="majorHAnsi" w:cs="Calibri"/>
          <w:sz w:val="24"/>
          <w:szCs w:val="24"/>
        </w:rPr>
        <w:t>protocols</w:t>
      </w:r>
      <w:r w:rsidRPr="00120AAB">
        <w:rPr>
          <w:rStyle w:val="normaltextrun"/>
          <w:rFonts w:asciiTheme="majorHAnsi" w:eastAsiaTheme="majorEastAsia" w:hAnsiTheme="majorHAnsi" w:cs="Calibri"/>
          <w:sz w:val="24"/>
          <w:szCs w:val="24"/>
        </w:rPr>
        <w:t xml:space="preserve"> </w:t>
      </w:r>
      <w:r w:rsidR="00330F28" w:rsidRPr="00120AAB">
        <w:rPr>
          <w:rFonts w:asciiTheme="majorHAnsi" w:hAnsiTheme="majorHAnsi"/>
          <w:sz w:val="24"/>
          <w:szCs w:val="24"/>
        </w:rPr>
        <w:t>applied in the partnership, design and planning stages of a</w:t>
      </w:r>
      <w:r w:rsidR="000A79A8" w:rsidRPr="00120AAB">
        <w:rPr>
          <w:rFonts w:asciiTheme="majorHAnsi" w:hAnsiTheme="majorHAnsi"/>
          <w:sz w:val="24"/>
          <w:szCs w:val="24"/>
        </w:rPr>
        <w:t xml:space="preserve">ny </w:t>
      </w:r>
      <w:r w:rsidR="00182C42" w:rsidRPr="00120AAB">
        <w:rPr>
          <w:rFonts w:asciiTheme="majorHAnsi" w:hAnsiTheme="majorHAnsi"/>
          <w:sz w:val="24"/>
          <w:szCs w:val="24"/>
        </w:rPr>
        <w:t>research</w:t>
      </w:r>
      <w:r w:rsidR="00857CE9" w:rsidRPr="00120AAB">
        <w:rPr>
          <w:rFonts w:asciiTheme="majorHAnsi" w:hAnsiTheme="majorHAnsi"/>
          <w:sz w:val="24"/>
          <w:szCs w:val="24"/>
        </w:rPr>
        <w:t xml:space="preserve"> to</w:t>
      </w:r>
      <w:r w:rsidR="004A5206" w:rsidRPr="00120AAB">
        <w:rPr>
          <w:rStyle w:val="normaltextrun"/>
          <w:rFonts w:asciiTheme="majorHAnsi" w:eastAsiaTheme="majorEastAsia" w:hAnsiTheme="majorHAnsi" w:cs="Calibri"/>
          <w:sz w:val="24"/>
          <w:szCs w:val="24"/>
        </w:rPr>
        <w:t xml:space="preserve"> promote ethical practices, collaboration, and recognition of the significant contributions Aboriginal and Torres Strait Islander people make to research</w:t>
      </w:r>
      <w:r w:rsidR="000562AE" w:rsidRPr="00120AAB">
        <w:rPr>
          <w:rStyle w:val="normaltextrun"/>
          <w:rFonts w:asciiTheme="majorHAnsi" w:eastAsiaTheme="majorEastAsia" w:hAnsiTheme="majorHAnsi" w:cs="Calibri"/>
          <w:sz w:val="24"/>
          <w:szCs w:val="24"/>
        </w:rPr>
        <w:t>,</w:t>
      </w:r>
      <w:r w:rsidR="004A5206" w:rsidRPr="00120AAB">
        <w:rPr>
          <w:rStyle w:val="normaltextrun"/>
          <w:rFonts w:asciiTheme="majorHAnsi" w:eastAsiaTheme="majorEastAsia" w:hAnsiTheme="majorHAnsi" w:cs="Calibri"/>
          <w:sz w:val="24"/>
          <w:szCs w:val="24"/>
        </w:rPr>
        <w:t xml:space="preserve"> through the sharing of cultural heritage and collective rights</w:t>
      </w:r>
      <w:r w:rsidR="00C11C51" w:rsidRPr="00120AAB">
        <w:rPr>
          <w:rStyle w:val="FootnoteReference"/>
          <w:rFonts w:asciiTheme="majorHAnsi" w:eastAsiaTheme="majorEastAsia" w:hAnsiTheme="majorHAnsi"/>
          <w:sz w:val="24"/>
          <w:szCs w:val="24"/>
        </w:rPr>
        <w:footnoteReference w:id="11"/>
      </w:r>
    </w:p>
    <w:p w14:paraId="3178142D" w14:textId="1E45AEB6" w:rsidR="00D624D3"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Data access policy and associated protocol to protect access to data and prevent data breaches </w:t>
      </w:r>
    </w:p>
    <w:p w14:paraId="1E9708CF" w14:textId="6DD2642E" w:rsidR="6EF4519F"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Data training protocol to ensure staff using data or supporting access to data are appropriately trained and have required skills and expertise </w:t>
      </w:r>
    </w:p>
    <w:p w14:paraId="76B54D19" w14:textId="47D54678" w:rsidR="5CEE8893"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Managing data breaches and near</w:t>
      </w:r>
      <w:r w:rsidR="00030494">
        <w:rPr>
          <w:rStyle w:val="normaltextrun"/>
          <w:rFonts w:asciiTheme="majorHAnsi" w:eastAsiaTheme="majorEastAsia" w:hAnsiTheme="majorHAnsi" w:cs="Calibri"/>
          <w:sz w:val="24"/>
          <w:szCs w:val="24"/>
        </w:rPr>
        <w:t>-</w:t>
      </w:r>
      <w:r w:rsidRPr="00120AAB">
        <w:rPr>
          <w:rStyle w:val="normaltextrun"/>
          <w:rFonts w:asciiTheme="majorHAnsi" w:eastAsiaTheme="majorEastAsia" w:hAnsiTheme="majorHAnsi" w:cs="Calibri"/>
          <w:sz w:val="24"/>
          <w:szCs w:val="24"/>
        </w:rPr>
        <w:t>misses policy and protocols to prevent and respond to data breaches or near</w:t>
      </w:r>
      <w:r w:rsidR="00030494">
        <w:rPr>
          <w:rStyle w:val="normaltextrun"/>
          <w:rFonts w:asciiTheme="majorHAnsi" w:eastAsiaTheme="majorEastAsia" w:hAnsiTheme="majorHAnsi" w:cs="Calibri"/>
          <w:sz w:val="24"/>
          <w:szCs w:val="24"/>
        </w:rPr>
        <w:t>-</w:t>
      </w:r>
      <w:r w:rsidRPr="00120AAB">
        <w:rPr>
          <w:rStyle w:val="normaltextrun"/>
          <w:rFonts w:asciiTheme="majorHAnsi" w:eastAsiaTheme="majorEastAsia" w:hAnsiTheme="majorHAnsi" w:cs="Calibri"/>
          <w:sz w:val="24"/>
          <w:szCs w:val="24"/>
        </w:rPr>
        <w:t xml:space="preserve">misses </w:t>
      </w:r>
    </w:p>
    <w:p w14:paraId="43A171E1" w14:textId="54159152" w:rsidR="7165C468" w:rsidRPr="00120AAB" w:rsidRDefault="4F85DF43" w:rsidP="00F00A08">
      <w:pPr>
        <w:pStyle w:val="ListParagraph"/>
        <w:numPr>
          <w:ilvl w:val="0"/>
          <w:numId w:val="5"/>
        </w:numPr>
        <w:spacing w:before="60" w:after="60" w:line="252" w:lineRule="auto"/>
        <w:contextualSpacing w:val="0"/>
        <w:rPr>
          <w:rStyle w:val="normaltextrun"/>
          <w:rFonts w:asciiTheme="majorHAnsi" w:eastAsiaTheme="majorEastAsia" w:hAnsiTheme="majorHAnsi" w:cs="Calibri"/>
          <w:sz w:val="24"/>
          <w:szCs w:val="24"/>
        </w:rPr>
      </w:pPr>
      <w:r w:rsidRPr="00120AAB">
        <w:rPr>
          <w:rStyle w:val="normaltextrun"/>
          <w:rFonts w:asciiTheme="majorHAnsi" w:eastAsiaTheme="majorEastAsia" w:hAnsiTheme="majorHAnsi" w:cs="Calibri"/>
          <w:sz w:val="24"/>
          <w:szCs w:val="24"/>
        </w:rPr>
        <w:t xml:space="preserve">Participant consent policy and protocols to ensure transparency for participants in research about how data will be stored, protected, used, managed and their rights as data owners. </w:t>
      </w:r>
    </w:p>
    <w:p w14:paraId="1FD06CC2" w14:textId="34D79C79" w:rsidR="004A5206" w:rsidRPr="00120AAB" w:rsidRDefault="4F85DF43" w:rsidP="00EF6BB7">
      <w:pPr>
        <w:spacing w:before="120" w:after="120" w:line="252" w:lineRule="auto"/>
        <w:rPr>
          <w:rStyle w:val="normaltextrun"/>
          <w:rFonts w:asciiTheme="majorHAnsi" w:hAnsiTheme="majorHAnsi" w:cs="Open Sans"/>
        </w:rPr>
      </w:pPr>
      <w:r w:rsidRPr="00120AAB">
        <w:rPr>
          <w:rFonts w:asciiTheme="majorHAnsi" w:hAnsiTheme="majorHAnsi"/>
        </w:rPr>
        <w:t xml:space="preserve">Embedding these principles and protocols into the Centre’s governance and operations will enable best practice standards in research and engagement. </w:t>
      </w:r>
    </w:p>
    <w:p w14:paraId="371202CB" w14:textId="4ECC6DA7" w:rsidR="00011D67" w:rsidRPr="00004AD9" w:rsidRDefault="4F85DF43" w:rsidP="00540368">
      <w:pPr>
        <w:pStyle w:val="Heading4"/>
      </w:pPr>
      <w:bookmarkStart w:id="42" w:name="_Toc180484304"/>
      <w:r w:rsidRPr="00004AD9">
        <w:t>Commissioning and administration of research grants</w:t>
      </w:r>
      <w:bookmarkEnd w:id="42"/>
      <w:r w:rsidRPr="00004AD9">
        <w:t xml:space="preserve">  </w:t>
      </w:r>
    </w:p>
    <w:p w14:paraId="642B18AF" w14:textId="4A3CB925" w:rsidR="00DA2D25"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The Centre will have the ability and infrastructure to commission research and administer research grants. This will support efforts to directly progress identified priorities in the Centre’s Aboriginal and Torres Strait Islander</w:t>
      </w:r>
      <w:r w:rsidR="00085F2F">
        <w:rPr>
          <w:rFonts w:asciiTheme="majorHAnsi" w:hAnsiTheme="majorHAnsi" w:cs="Calibri"/>
        </w:rPr>
        <w:t>-</w:t>
      </w:r>
      <w:r w:rsidRPr="00120AAB">
        <w:rPr>
          <w:rFonts w:asciiTheme="majorHAnsi" w:hAnsiTheme="majorHAnsi" w:cs="Calibri"/>
        </w:rPr>
        <w:t xml:space="preserve">led research agenda.  </w:t>
      </w:r>
    </w:p>
    <w:p w14:paraId="745813AB" w14:textId="1DEE4C8D" w:rsidR="004025C2" w:rsidRPr="00120AAB" w:rsidRDefault="4F85DF43" w:rsidP="00C523FE">
      <w:pPr>
        <w:keepNext/>
        <w:spacing w:before="40" w:after="120" w:line="252" w:lineRule="auto"/>
        <w:rPr>
          <w:rFonts w:asciiTheme="majorHAnsi" w:hAnsiTheme="majorHAnsi" w:cs="Calibri"/>
        </w:rPr>
      </w:pPr>
      <w:r w:rsidRPr="00120AAB">
        <w:rPr>
          <w:rFonts w:asciiTheme="majorHAnsi" w:hAnsiTheme="majorHAnsi" w:cs="Calibri"/>
        </w:rPr>
        <w:t>Embedding Aboriginal and Torres Strait Islander</w:t>
      </w:r>
      <w:r w:rsidR="00030494">
        <w:rPr>
          <w:rFonts w:asciiTheme="majorHAnsi" w:hAnsiTheme="majorHAnsi" w:cs="Calibri"/>
        </w:rPr>
        <w:t>-</w:t>
      </w:r>
      <w:r w:rsidRPr="00120AAB">
        <w:rPr>
          <w:rFonts w:asciiTheme="majorHAnsi" w:hAnsiTheme="majorHAnsi" w:cs="Calibri"/>
        </w:rPr>
        <w:t>led commissioning processes in the Centre will support community voice and self-determination in the allocation and administration of research funding. This will require the Centre to establish a range of commissioning policies and processes that enable it to support and administer research grants effectively, including:</w:t>
      </w:r>
    </w:p>
    <w:p w14:paraId="350F9AE3" w14:textId="1F727CBF" w:rsidR="00E33D5E" w:rsidRPr="00120AAB" w:rsidRDefault="4F85DF43" w:rsidP="00F00A08">
      <w:pPr>
        <w:pStyle w:val="ListParagraph"/>
        <w:numPr>
          <w:ilvl w:val="0"/>
          <w:numId w:val="1"/>
        </w:numPr>
        <w:spacing w:before="60" w:after="60" w:line="252" w:lineRule="auto"/>
        <w:ind w:left="714" w:hanging="357"/>
        <w:contextualSpacing w:val="0"/>
        <w:rPr>
          <w:rFonts w:asciiTheme="majorHAnsi" w:hAnsiTheme="majorHAnsi"/>
          <w:sz w:val="24"/>
          <w:szCs w:val="24"/>
          <w:lang w:val="en-US"/>
        </w:rPr>
      </w:pPr>
      <w:r w:rsidRPr="00120AAB">
        <w:rPr>
          <w:rFonts w:asciiTheme="majorHAnsi" w:hAnsiTheme="majorHAnsi"/>
          <w:sz w:val="24"/>
          <w:szCs w:val="24"/>
          <w:lang w:val="en-US"/>
        </w:rPr>
        <w:t xml:space="preserve">Commissioning governance and decision-making that centres Aboriginal and Torres Strait Islander community voice and leadership in funding design and decision-making </w:t>
      </w:r>
    </w:p>
    <w:p w14:paraId="17946A0C" w14:textId="572F939F" w:rsidR="00F9516F" w:rsidRPr="00120AAB" w:rsidRDefault="4F85DF43" w:rsidP="00F00A08">
      <w:pPr>
        <w:pStyle w:val="ListParagraph"/>
        <w:numPr>
          <w:ilvl w:val="0"/>
          <w:numId w:val="1"/>
        </w:numPr>
        <w:spacing w:before="60" w:after="60" w:line="252" w:lineRule="auto"/>
        <w:ind w:left="714" w:hanging="357"/>
        <w:contextualSpacing w:val="0"/>
        <w:rPr>
          <w:rFonts w:asciiTheme="majorHAnsi" w:hAnsiTheme="majorHAnsi"/>
          <w:sz w:val="24"/>
          <w:szCs w:val="24"/>
          <w:lang w:val="en-US"/>
        </w:rPr>
      </w:pPr>
      <w:r w:rsidRPr="00120AAB">
        <w:rPr>
          <w:rFonts w:asciiTheme="majorHAnsi" w:hAnsiTheme="majorHAnsi"/>
          <w:sz w:val="24"/>
          <w:szCs w:val="24"/>
          <w:lang w:val="en-US"/>
        </w:rPr>
        <w:t>Probity frameworks that embed Aboriginal and Torres Strait Islander understanding of ethical decision-making in funding allocation</w:t>
      </w:r>
    </w:p>
    <w:p w14:paraId="4771961D" w14:textId="77777777" w:rsidR="000915EF" w:rsidRPr="00120AAB" w:rsidRDefault="4F85DF43" w:rsidP="00F00A08">
      <w:pPr>
        <w:pStyle w:val="ListParagraph"/>
        <w:numPr>
          <w:ilvl w:val="0"/>
          <w:numId w:val="1"/>
        </w:numPr>
        <w:spacing w:before="60" w:after="60" w:line="252" w:lineRule="auto"/>
        <w:ind w:left="714" w:hanging="357"/>
        <w:contextualSpacing w:val="0"/>
        <w:rPr>
          <w:rFonts w:asciiTheme="majorHAnsi" w:hAnsiTheme="majorHAnsi"/>
          <w:sz w:val="24"/>
          <w:szCs w:val="24"/>
          <w:lang w:val="en-US"/>
        </w:rPr>
      </w:pPr>
      <w:r w:rsidRPr="00120AAB">
        <w:rPr>
          <w:rFonts w:asciiTheme="majorHAnsi" w:hAnsiTheme="majorHAnsi"/>
          <w:sz w:val="24"/>
          <w:szCs w:val="24"/>
          <w:lang w:val="en-US"/>
        </w:rPr>
        <w:t>Contract and grant administration functions that focus on supporting Aboriginal and Torres Strait Islander organisations to succeed and deliver on their research priorities</w:t>
      </w:r>
    </w:p>
    <w:p w14:paraId="4E199B8F" w14:textId="5C68B9C1" w:rsidR="000915EF" w:rsidRPr="00120AAB" w:rsidRDefault="4F85DF43" w:rsidP="00F00A08">
      <w:pPr>
        <w:pStyle w:val="ListParagraph"/>
        <w:numPr>
          <w:ilvl w:val="0"/>
          <w:numId w:val="1"/>
        </w:numPr>
        <w:spacing w:before="60" w:after="60" w:line="252" w:lineRule="auto"/>
        <w:ind w:left="714" w:hanging="357"/>
        <w:contextualSpacing w:val="0"/>
        <w:rPr>
          <w:rFonts w:asciiTheme="majorHAnsi" w:hAnsiTheme="majorHAnsi"/>
          <w:sz w:val="24"/>
          <w:szCs w:val="24"/>
          <w:lang w:val="en-US"/>
        </w:rPr>
      </w:pPr>
      <w:r w:rsidRPr="00120AAB">
        <w:rPr>
          <w:rFonts w:asciiTheme="majorHAnsi" w:hAnsiTheme="majorHAnsi"/>
          <w:sz w:val="24"/>
          <w:szCs w:val="24"/>
          <w:lang w:val="en-US"/>
        </w:rPr>
        <w:t>Agreements and protocols with governments that ensure that where the Centre is administering government funding, there is both the ability to satisfy government funding administration and probity requirements, while ensuring an Aboriginal and Torres Strait Islander</w:t>
      </w:r>
      <w:r w:rsidR="00030494">
        <w:rPr>
          <w:rFonts w:asciiTheme="majorHAnsi" w:hAnsiTheme="majorHAnsi"/>
          <w:sz w:val="24"/>
          <w:szCs w:val="24"/>
          <w:lang w:val="en-US"/>
        </w:rPr>
        <w:t>-</w:t>
      </w:r>
      <w:r w:rsidRPr="00120AAB">
        <w:rPr>
          <w:rFonts w:asciiTheme="majorHAnsi" w:hAnsiTheme="majorHAnsi"/>
          <w:sz w:val="24"/>
          <w:szCs w:val="24"/>
          <w:lang w:val="en-US"/>
        </w:rPr>
        <w:t>led approach to funding administration</w:t>
      </w:r>
      <w:r w:rsidR="00C57C01">
        <w:rPr>
          <w:rFonts w:asciiTheme="majorHAnsi" w:hAnsiTheme="majorHAnsi"/>
          <w:sz w:val="24"/>
          <w:szCs w:val="24"/>
          <w:lang w:val="en-US"/>
        </w:rPr>
        <w:t>.</w:t>
      </w:r>
    </w:p>
    <w:p w14:paraId="1F523B95" w14:textId="00705E66" w:rsidR="007E1E35" w:rsidRPr="00120AAB" w:rsidRDefault="4F85DF43" w:rsidP="00EF6BB7">
      <w:pPr>
        <w:spacing w:line="252" w:lineRule="auto"/>
        <w:rPr>
          <w:rFonts w:asciiTheme="majorHAnsi" w:hAnsiTheme="majorHAnsi"/>
        </w:rPr>
      </w:pPr>
      <w:r w:rsidRPr="00120AAB">
        <w:rPr>
          <w:rFonts w:asciiTheme="majorHAnsi" w:hAnsiTheme="majorHAnsi" w:cs="Calibri"/>
        </w:rPr>
        <w:t>It is noted that to effectively implement a research commissioning function, the Centre would need to access substantial additional research funding streams outside of the current Commonwealth funding allocation for the Centre’s operation. The Centre would initially focus on undertaking grant-funded research, with the aim of scaling up to fulfil a grants commissioning role over time.</w:t>
      </w:r>
    </w:p>
    <w:p w14:paraId="03815805" w14:textId="77777777" w:rsidR="005333B3" w:rsidRPr="00004AD9" w:rsidRDefault="4F85DF43" w:rsidP="00540368">
      <w:pPr>
        <w:pStyle w:val="Heading4"/>
      </w:pPr>
      <w:bookmarkStart w:id="43" w:name="_Toc180484305"/>
      <w:r w:rsidRPr="00004AD9">
        <w:t>Knowledge translation and dissemination</w:t>
      </w:r>
      <w:bookmarkEnd w:id="43"/>
      <w:r w:rsidRPr="00004AD9">
        <w:t xml:space="preserve"> </w:t>
      </w:r>
    </w:p>
    <w:p w14:paraId="4714B980" w14:textId="5F5A1622" w:rsidR="00D3579A" w:rsidRPr="00120AAB" w:rsidRDefault="4F85DF43" w:rsidP="00EF6BB7">
      <w:pPr>
        <w:spacing w:before="120" w:after="120" w:line="252" w:lineRule="auto"/>
        <w:rPr>
          <w:rFonts w:asciiTheme="majorHAnsi" w:hAnsiTheme="majorHAnsi" w:cs="Calibri"/>
        </w:rPr>
      </w:pPr>
      <w:r w:rsidRPr="00120AAB">
        <w:rPr>
          <w:rFonts w:asciiTheme="majorHAnsi" w:hAnsiTheme="majorHAnsi" w:cs="Calibri"/>
        </w:rPr>
        <w:t>There is a critical role for the Centre in bridging the gap between research and practice, by ensuring that research is accessible and meaningful to funding bodies, policymakers and practitioners, and can inform community-led decision-making at local and regional levels. This will involve drawing practical conclusions from research and reflecting research findings through the development of practical tools and resources</w:t>
      </w:r>
      <w:r w:rsidR="005A22A6" w:rsidRPr="00120AAB">
        <w:rPr>
          <w:rFonts w:asciiTheme="majorHAnsi" w:hAnsiTheme="majorHAnsi" w:cs="Calibri"/>
        </w:rPr>
        <w:t>,</w:t>
      </w:r>
      <w:r w:rsidR="00FC3375" w:rsidRPr="00120AAB">
        <w:rPr>
          <w:rFonts w:asciiTheme="majorHAnsi" w:hAnsiTheme="majorHAnsi" w:cs="Calibri"/>
        </w:rPr>
        <w:t xml:space="preserve"> and</w:t>
      </w:r>
      <w:r w:rsidR="005A22A6" w:rsidRPr="00120AAB">
        <w:rPr>
          <w:rFonts w:asciiTheme="majorHAnsi" w:hAnsiTheme="majorHAnsi" w:cs="Calibri"/>
        </w:rPr>
        <w:t xml:space="preserve"> </w:t>
      </w:r>
      <w:r w:rsidR="001E4160" w:rsidRPr="00120AAB">
        <w:rPr>
          <w:rFonts w:asciiTheme="majorHAnsi" w:hAnsiTheme="majorHAnsi" w:cs="Calibri"/>
        </w:rPr>
        <w:t xml:space="preserve">hosting </w:t>
      </w:r>
      <w:r w:rsidR="00896AC8" w:rsidRPr="00120AAB">
        <w:rPr>
          <w:rFonts w:asciiTheme="majorHAnsi" w:hAnsiTheme="majorHAnsi" w:cs="Calibri"/>
        </w:rPr>
        <w:t xml:space="preserve">training, </w:t>
      </w:r>
      <w:r w:rsidR="00A110E4" w:rsidRPr="00120AAB">
        <w:rPr>
          <w:rFonts w:asciiTheme="majorHAnsi" w:hAnsiTheme="majorHAnsi" w:cs="Calibri"/>
        </w:rPr>
        <w:t>seminars</w:t>
      </w:r>
      <w:r w:rsidR="00896AC8" w:rsidRPr="00120AAB">
        <w:rPr>
          <w:rFonts w:asciiTheme="majorHAnsi" w:hAnsiTheme="majorHAnsi" w:cs="Calibri"/>
        </w:rPr>
        <w:t xml:space="preserve"> and </w:t>
      </w:r>
      <w:r w:rsidR="00F705C0" w:rsidRPr="00120AAB">
        <w:rPr>
          <w:rFonts w:asciiTheme="majorHAnsi" w:hAnsiTheme="majorHAnsi" w:cs="Calibri"/>
        </w:rPr>
        <w:t>forums</w:t>
      </w:r>
      <w:r w:rsidR="001E4160" w:rsidRPr="00120AAB">
        <w:rPr>
          <w:rFonts w:asciiTheme="majorHAnsi" w:hAnsiTheme="majorHAnsi" w:cs="Calibri"/>
        </w:rPr>
        <w:t>,</w:t>
      </w:r>
      <w:r w:rsidRPr="00120AAB">
        <w:rPr>
          <w:rFonts w:asciiTheme="majorHAnsi" w:hAnsiTheme="majorHAnsi" w:cs="Calibri"/>
        </w:rPr>
        <w:t xml:space="preserve"> to support effective, evidence-informed policy, program, and practice development and implementation. Knowledge translation will recognise unique jurisdictional, regional and local contexts, with outputs tailored accordingly. </w:t>
      </w:r>
    </w:p>
    <w:p w14:paraId="3AA55DBD" w14:textId="7BD0AF67" w:rsidR="001D280C" w:rsidRPr="00120AAB" w:rsidRDefault="00DE30AF" w:rsidP="00EF6BB7">
      <w:pPr>
        <w:spacing w:before="120" w:after="120" w:line="252" w:lineRule="auto"/>
        <w:rPr>
          <w:rFonts w:asciiTheme="majorHAnsi" w:hAnsiTheme="majorHAnsi" w:cs="Calibri"/>
        </w:rPr>
      </w:pPr>
      <w:r w:rsidRPr="00120AAB">
        <w:rPr>
          <w:rFonts w:asciiTheme="majorHAnsi" w:hAnsiTheme="majorHAnsi" w:cs="Calibri"/>
        </w:rPr>
        <w:t xml:space="preserve">While the </w:t>
      </w:r>
      <w:r w:rsidR="00A43DF3" w:rsidRPr="00120AAB">
        <w:rPr>
          <w:rFonts w:asciiTheme="majorHAnsi" w:hAnsiTheme="majorHAnsi" w:cs="Calibri"/>
        </w:rPr>
        <w:t>C</w:t>
      </w:r>
      <w:r w:rsidRPr="00120AAB">
        <w:rPr>
          <w:rFonts w:asciiTheme="majorHAnsi" w:hAnsiTheme="majorHAnsi" w:cs="Calibri"/>
        </w:rPr>
        <w:t>entre will priorit</w:t>
      </w:r>
      <w:r w:rsidR="00A43DF3" w:rsidRPr="00120AAB">
        <w:rPr>
          <w:rFonts w:asciiTheme="majorHAnsi" w:hAnsiTheme="majorHAnsi" w:cs="Calibri"/>
        </w:rPr>
        <w:t>ise</w:t>
      </w:r>
      <w:r w:rsidRPr="00120AAB">
        <w:rPr>
          <w:rFonts w:asciiTheme="majorHAnsi" w:hAnsiTheme="majorHAnsi" w:cs="Calibri"/>
        </w:rPr>
        <w:t xml:space="preserve"> </w:t>
      </w:r>
      <w:r w:rsidR="00A43DF3" w:rsidRPr="00120AAB">
        <w:rPr>
          <w:rFonts w:asciiTheme="majorHAnsi" w:hAnsiTheme="majorHAnsi" w:cs="Calibri"/>
        </w:rPr>
        <w:t>knowledge translation</w:t>
      </w:r>
      <w:r w:rsidR="00C50E11" w:rsidRPr="00120AAB">
        <w:rPr>
          <w:rFonts w:asciiTheme="majorHAnsi" w:hAnsiTheme="majorHAnsi" w:cs="Calibri"/>
        </w:rPr>
        <w:t xml:space="preserve"> activities</w:t>
      </w:r>
      <w:r w:rsidR="00A43DF3" w:rsidRPr="00120AAB">
        <w:rPr>
          <w:rFonts w:asciiTheme="majorHAnsi" w:hAnsiTheme="majorHAnsi" w:cs="Calibri"/>
        </w:rPr>
        <w:t xml:space="preserve"> t</w:t>
      </w:r>
      <w:r w:rsidR="00C50E11" w:rsidRPr="00120AAB">
        <w:rPr>
          <w:rFonts w:asciiTheme="majorHAnsi" w:hAnsiTheme="majorHAnsi" w:cs="Calibri"/>
        </w:rPr>
        <w:t>hat</w:t>
      </w:r>
      <w:r w:rsidR="00A43DF3" w:rsidRPr="00120AAB">
        <w:rPr>
          <w:rFonts w:asciiTheme="majorHAnsi" w:hAnsiTheme="majorHAnsi" w:cs="Calibri"/>
        </w:rPr>
        <w:t xml:space="preserve"> support Aboriginal and Torres Strait Islander communities and organisations</w:t>
      </w:r>
      <w:r w:rsidR="00C50E11" w:rsidRPr="00120AAB">
        <w:rPr>
          <w:rFonts w:asciiTheme="majorHAnsi" w:hAnsiTheme="majorHAnsi" w:cs="Calibri"/>
        </w:rPr>
        <w:t xml:space="preserve"> directly</w:t>
      </w:r>
      <w:r w:rsidR="00A43DF3" w:rsidRPr="00120AAB">
        <w:rPr>
          <w:rFonts w:asciiTheme="majorHAnsi" w:hAnsiTheme="majorHAnsi" w:cs="Calibri"/>
        </w:rPr>
        <w:t>, t</w:t>
      </w:r>
      <w:r w:rsidR="000427C6" w:rsidRPr="00120AAB">
        <w:rPr>
          <w:rFonts w:asciiTheme="majorHAnsi" w:hAnsiTheme="majorHAnsi" w:cs="Calibri"/>
        </w:rPr>
        <w:t xml:space="preserve">his work </w:t>
      </w:r>
      <w:r w:rsidR="00B2315C" w:rsidRPr="00120AAB">
        <w:rPr>
          <w:rFonts w:asciiTheme="majorHAnsi" w:hAnsiTheme="majorHAnsi" w:cs="Calibri"/>
        </w:rPr>
        <w:t>will</w:t>
      </w:r>
      <w:r w:rsidR="00A43DF3" w:rsidRPr="00120AAB">
        <w:rPr>
          <w:rFonts w:asciiTheme="majorHAnsi" w:hAnsiTheme="majorHAnsi" w:cs="Calibri"/>
        </w:rPr>
        <w:t xml:space="preserve"> also</w:t>
      </w:r>
      <w:r w:rsidR="00B2315C" w:rsidRPr="00120AAB">
        <w:rPr>
          <w:rFonts w:asciiTheme="majorHAnsi" w:hAnsiTheme="majorHAnsi" w:cs="Calibri"/>
        </w:rPr>
        <w:t xml:space="preserve"> contribute to the achievement of Priority Reform 3 (Transforming Government Organisations) under the National Agreement</w:t>
      </w:r>
      <w:r w:rsidR="00981345" w:rsidRPr="00120AAB">
        <w:rPr>
          <w:rFonts w:asciiTheme="majorHAnsi" w:hAnsiTheme="majorHAnsi" w:cs="Calibri"/>
        </w:rPr>
        <w:t>.</w:t>
      </w:r>
      <w:r w:rsidR="00C30765" w:rsidRPr="00120AAB">
        <w:rPr>
          <w:rStyle w:val="FootnoteReference"/>
          <w:rFonts w:asciiTheme="majorHAnsi" w:hAnsiTheme="majorHAnsi"/>
        </w:rPr>
        <w:footnoteReference w:id="12"/>
      </w:r>
      <w:r w:rsidR="0047235B" w:rsidRPr="00120AAB">
        <w:rPr>
          <w:rFonts w:asciiTheme="majorHAnsi" w:hAnsiTheme="majorHAnsi" w:cs="Calibri"/>
        </w:rPr>
        <w:t xml:space="preserve"> </w:t>
      </w:r>
      <w:r w:rsidR="005967DA" w:rsidRPr="00120AAB">
        <w:rPr>
          <w:rFonts w:asciiTheme="majorHAnsi" w:hAnsiTheme="majorHAnsi" w:cs="Calibri"/>
        </w:rPr>
        <w:t>Brid</w:t>
      </w:r>
      <w:r w:rsidR="00A14735" w:rsidRPr="00120AAB">
        <w:rPr>
          <w:rFonts w:asciiTheme="majorHAnsi" w:hAnsiTheme="majorHAnsi" w:cs="Calibri"/>
        </w:rPr>
        <w:t>ging the gap between research and practice will help governments</w:t>
      </w:r>
      <w:r w:rsidRPr="00120AAB">
        <w:rPr>
          <w:rFonts w:asciiTheme="majorHAnsi" w:hAnsiTheme="majorHAnsi" w:cs="Calibri"/>
        </w:rPr>
        <w:t xml:space="preserve"> and non-Indigenous organisations</w:t>
      </w:r>
      <w:r w:rsidR="00A14735" w:rsidRPr="00120AAB">
        <w:rPr>
          <w:rFonts w:asciiTheme="majorHAnsi" w:hAnsiTheme="majorHAnsi" w:cs="Calibri"/>
        </w:rPr>
        <w:t xml:space="preserve"> to improve engagement with Aboriginal and Torres Strait Islander people</w:t>
      </w:r>
      <w:r w:rsidR="00552C39" w:rsidRPr="00120AAB">
        <w:rPr>
          <w:rFonts w:asciiTheme="majorHAnsi" w:hAnsiTheme="majorHAnsi" w:cs="Calibri"/>
        </w:rPr>
        <w:t xml:space="preserve"> </w:t>
      </w:r>
      <w:r w:rsidR="00A14735" w:rsidRPr="00120AAB">
        <w:rPr>
          <w:rFonts w:asciiTheme="majorHAnsi" w:hAnsiTheme="majorHAnsi" w:cs="Calibri"/>
        </w:rPr>
        <w:t>and</w:t>
      </w:r>
      <w:r w:rsidR="00A43DF3" w:rsidRPr="00120AAB">
        <w:rPr>
          <w:rFonts w:asciiTheme="majorHAnsi" w:hAnsiTheme="majorHAnsi" w:cs="Calibri"/>
        </w:rPr>
        <w:t xml:space="preserve"> work towards</w:t>
      </w:r>
      <w:r w:rsidR="00A14735" w:rsidRPr="00120AAB">
        <w:rPr>
          <w:rFonts w:asciiTheme="majorHAnsi" w:hAnsiTheme="majorHAnsi" w:cs="Calibri"/>
        </w:rPr>
        <w:t xml:space="preserve"> deliver</w:t>
      </w:r>
      <w:r w:rsidR="00A43DF3" w:rsidRPr="00120AAB">
        <w:rPr>
          <w:rFonts w:asciiTheme="majorHAnsi" w:hAnsiTheme="majorHAnsi" w:cs="Calibri"/>
        </w:rPr>
        <w:t>ing</w:t>
      </w:r>
      <w:r w:rsidR="00A14735" w:rsidRPr="00120AAB">
        <w:rPr>
          <w:rFonts w:asciiTheme="majorHAnsi" w:hAnsiTheme="majorHAnsi" w:cs="Calibri"/>
        </w:rPr>
        <w:t xml:space="preserve"> culturally safe services in partnership with community.</w:t>
      </w:r>
      <w:r w:rsidR="00913A40" w:rsidRPr="00120AAB">
        <w:rPr>
          <w:rFonts w:asciiTheme="majorHAnsi" w:hAnsiTheme="majorHAnsi" w:cs="Calibri"/>
        </w:rPr>
        <w:t xml:space="preserve"> </w:t>
      </w:r>
    </w:p>
    <w:p w14:paraId="53AFD822" w14:textId="77777777" w:rsidR="005333B3" w:rsidRPr="00004AD9" w:rsidRDefault="4F85DF43" w:rsidP="00540368">
      <w:pPr>
        <w:pStyle w:val="Heading4"/>
      </w:pPr>
      <w:bookmarkStart w:id="44" w:name="_Toc180484306"/>
      <w:r w:rsidRPr="00004AD9">
        <w:t>Advocacy and advice</w:t>
      </w:r>
      <w:bookmarkEnd w:id="44"/>
    </w:p>
    <w:p w14:paraId="466BAEF9" w14:textId="77777777" w:rsidR="00961667"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provide a trusted voice on matters related to Aboriginal and Torres Strait </w:t>
      </w:r>
      <w:r w:rsidR="001346DA" w:rsidRPr="00120AAB">
        <w:rPr>
          <w:rFonts w:asciiTheme="majorHAnsi" w:hAnsiTheme="majorHAnsi" w:cs="Calibri"/>
        </w:rPr>
        <w:t>I</w:t>
      </w:r>
      <w:r w:rsidRPr="00120AAB">
        <w:rPr>
          <w:rFonts w:asciiTheme="majorHAnsi" w:hAnsiTheme="majorHAnsi" w:cs="Calibri"/>
        </w:rPr>
        <w:t>slander children, young people and families. The ability to provide evidence-informed advocacy for the community and advice to government is a crucial role for the Centre. The Centre will work alongside ACCOs, peaks, and community leadership to enable the voice, needs and priorities of Aboriginal and Torres Strait Islander peoples to directly influence decision-making at the</w:t>
      </w:r>
      <w:r w:rsidR="00F3603B" w:rsidRPr="00120AAB">
        <w:rPr>
          <w:rFonts w:asciiTheme="majorHAnsi" w:hAnsiTheme="majorHAnsi" w:cs="Calibri"/>
        </w:rPr>
        <w:t xml:space="preserve"> local</w:t>
      </w:r>
      <w:r w:rsidR="003D43B0" w:rsidRPr="00120AAB">
        <w:rPr>
          <w:rFonts w:asciiTheme="majorHAnsi" w:hAnsiTheme="majorHAnsi" w:cs="Calibri"/>
        </w:rPr>
        <w:t>, jurisdictional and</w:t>
      </w:r>
      <w:r w:rsidRPr="00120AAB">
        <w:rPr>
          <w:rFonts w:asciiTheme="majorHAnsi" w:hAnsiTheme="majorHAnsi" w:cs="Calibri"/>
        </w:rPr>
        <w:t xml:space="preserve"> national level</w:t>
      </w:r>
      <w:r w:rsidR="003D43B0" w:rsidRPr="00120AAB">
        <w:rPr>
          <w:rFonts w:asciiTheme="majorHAnsi" w:hAnsiTheme="majorHAnsi" w:cs="Calibri"/>
        </w:rPr>
        <w:t>s</w:t>
      </w:r>
      <w:r w:rsidRPr="00120AAB">
        <w:rPr>
          <w:rFonts w:asciiTheme="majorHAnsi" w:hAnsiTheme="majorHAnsi" w:cs="Calibri"/>
        </w:rPr>
        <w:t xml:space="preserve">. This will include producing evidence and research to inform the development of policy and programs. </w:t>
      </w:r>
    </w:p>
    <w:p w14:paraId="0C121AAD" w14:textId="209670A2" w:rsidR="00E96EDC"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This evidence base and research can be shared across governments and non-Indigenous NGOs to be used in position papers, submissions and funding applications for program design and delivery. The Centre will also create a space for conversation, through activities such as hosting roundtable discussions and regular in-person gatherings for sharing knowledge and best practice. </w:t>
      </w:r>
    </w:p>
    <w:p w14:paraId="5F0FA301" w14:textId="3158E1E5" w:rsidR="009403A8"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will provide support and guidance for ACCOs to self-advocate in relation to research and evidence, as well as provide an avenue for ACCOs to escalate concerns regarding their involvement in research that may not align with ethical standards of Aboriginal and Torres Strait Islander research. </w:t>
      </w:r>
    </w:p>
    <w:p w14:paraId="4CC82C0C" w14:textId="765BB863" w:rsidR="005333B3" w:rsidRPr="00004AD9" w:rsidRDefault="4F85DF43" w:rsidP="00540368">
      <w:pPr>
        <w:pStyle w:val="Heading4"/>
      </w:pPr>
      <w:bookmarkStart w:id="45" w:name="_Toc180484307"/>
      <w:r w:rsidRPr="00004AD9">
        <w:t>Supporting and growing the Aboriginal and Torres Strait Islander research workforce and the participation of ACCOs in research and evidence building</w:t>
      </w:r>
      <w:bookmarkEnd w:id="45"/>
    </w:p>
    <w:p w14:paraId="54D0BE5D" w14:textId="362C0E4C" w:rsidR="00720CFF"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There is a clear need to provide effective support to Aboriginal and Torres Strait Islander researchers, who experience a lack of cultural safety and respect for Aboriginal and Torres Strait Islander leadership within the academic sector. The Centre can offer support to emerging Aboriginal and Torres Strait Islander researchers and post-graduate students, such as scholarships, career guidance, training and connection to national and international research networks. </w:t>
      </w:r>
    </w:p>
    <w:p w14:paraId="364E9DC7" w14:textId="0DF6D724" w:rsidR="005333B3"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can grow the number of Aboriginal and Torres Strait Islander researchers by providing suitable pathways to training, as current mainstream pathways do not account for factors such as community commitment, financial pressures, and cultural load. Practical supports provided by the Centre could include: </w:t>
      </w:r>
    </w:p>
    <w:p w14:paraId="0107B7D5" w14:textId="77777777" w:rsidR="005333B3" w:rsidRPr="00120AAB" w:rsidRDefault="4F85DF43" w:rsidP="00EF6BB7">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creating a national network of Aboriginal and Torres Strait Islander researchers</w:t>
      </w:r>
    </w:p>
    <w:p w14:paraId="2024265F" w14:textId="06579F98" w:rsidR="005333B3" w:rsidRPr="00120AAB" w:rsidRDefault="4F85DF43" w:rsidP="00EF6BB7">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providing training and mentoring services to strengthen career pathways for emerging Aboriginal and Torres Strait Islander researchers, and</w:t>
      </w:r>
    </w:p>
    <w:p w14:paraId="25E0C2A3" w14:textId="735103C0" w:rsidR="005333B3" w:rsidRPr="00120AAB" w:rsidRDefault="4F85DF43" w:rsidP="00EF6BB7">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hosting secondments, to provide emerging researchers with sustainable opportunities to gain experience and form connections across the research sector</w:t>
      </w:r>
    </w:p>
    <w:p w14:paraId="1A747EE1" w14:textId="4E4A7A80" w:rsidR="0042744F" w:rsidRPr="00120AAB" w:rsidRDefault="4F85DF43" w:rsidP="00EF6BB7">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facilitating research collaborations between established and emerging Aboriginal and Torres Strait Islander researchers.</w:t>
      </w:r>
    </w:p>
    <w:p w14:paraId="46C1453A" w14:textId="75A0D744" w:rsidR="0007005B" w:rsidRPr="00120AAB" w:rsidRDefault="00F11005" w:rsidP="00EF6BB7">
      <w:pPr>
        <w:spacing w:before="40" w:after="120" w:line="252" w:lineRule="auto"/>
        <w:rPr>
          <w:rFonts w:asciiTheme="majorHAnsi" w:hAnsiTheme="majorHAnsi" w:cs="Calibri"/>
        </w:rPr>
      </w:pPr>
      <w:r w:rsidRPr="00120AAB">
        <w:rPr>
          <w:rFonts w:asciiTheme="majorHAnsi" w:hAnsiTheme="majorHAnsi" w:cs="Calibri"/>
        </w:rPr>
        <w:t xml:space="preserve">The exact nature of these initiatives, including </w:t>
      </w:r>
      <w:r w:rsidR="00D65FF1" w:rsidRPr="00120AAB">
        <w:rPr>
          <w:rFonts w:asciiTheme="majorHAnsi" w:hAnsiTheme="majorHAnsi" w:cs="Calibri"/>
        </w:rPr>
        <w:t xml:space="preserve">the scale, implementation and </w:t>
      </w:r>
      <w:r w:rsidR="00AB5B12" w:rsidRPr="00120AAB">
        <w:rPr>
          <w:rFonts w:asciiTheme="majorHAnsi" w:hAnsiTheme="majorHAnsi" w:cs="Calibri"/>
        </w:rPr>
        <w:t xml:space="preserve">any </w:t>
      </w:r>
      <w:r w:rsidR="00C9018C" w:rsidRPr="00120AAB">
        <w:rPr>
          <w:rFonts w:asciiTheme="majorHAnsi" w:hAnsiTheme="majorHAnsi" w:cs="Calibri"/>
        </w:rPr>
        <w:t xml:space="preserve">additional </w:t>
      </w:r>
      <w:r w:rsidR="00FF6A05" w:rsidRPr="00120AAB">
        <w:rPr>
          <w:rFonts w:asciiTheme="majorHAnsi" w:hAnsiTheme="majorHAnsi" w:cs="Calibri"/>
        </w:rPr>
        <w:t xml:space="preserve">dedicated resourcing requirements will be </w:t>
      </w:r>
      <w:r w:rsidR="00C9018C" w:rsidRPr="00120AAB">
        <w:rPr>
          <w:rFonts w:asciiTheme="majorHAnsi" w:hAnsiTheme="majorHAnsi" w:cs="Calibri"/>
        </w:rPr>
        <w:t>determined</w:t>
      </w:r>
      <w:r w:rsidR="003B53BF" w:rsidRPr="00120AAB">
        <w:rPr>
          <w:rFonts w:asciiTheme="majorHAnsi" w:hAnsiTheme="majorHAnsi" w:cs="Calibri"/>
        </w:rPr>
        <w:t xml:space="preserve"> with guidance of the core governing bodies and in the design of strategic and operational plans </w:t>
      </w:r>
      <w:r w:rsidR="002C55E2" w:rsidRPr="00120AAB">
        <w:rPr>
          <w:rFonts w:asciiTheme="majorHAnsi" w:hAnsiTheme="majorHAnsi" w:cs="Calibri"/>
        </w:rPr>
        <w:t>as part of the Centre</w:t>
      </w:r>
      <w:r w:rsidR="00317290" w:rsidRPr="00120AAB">
        <w:rPr>
          <w:rFonts w:asciiTheme="majorHAnsi" w:hAnsiTheme="majorHAnsi" w:cs="Calibri"/>
        </w:rPr>
        <w:t>’s establishment.</w:t>
      </w:r>
    </w:p>
    <w:p w14:paraId="79EB0D5A" w14:textId="63546B00" w:rsidR="003F274A" w:rsidRPr="00120AAB" w:rsidRDefault="00EE513C" w:rsidP="00EF6BB7">
      <w:pPr>
        <w:spacing w:before="40" w:after="120" w:line="252" w:lineRule="auto"/>
        <w:rPr>
          <w:rFonts w:asciiTheme="majorHAnsi" w:hAnsiTheme="majorHAnsi" w:cs="Calibri"/>
        </w:rPr>
      </w:pPr>
      <w:r w:rsidRPr="00120AAB">
        <w:rPr>
          <w:rFonts w:asciiTheme="majorHAnsi" w:hAnsiTheme="majorHAnsi" w:cs="Calibri"/>
        </w:rPr>
        <w:t xml:space="preserve">The Centre can provide support to jurisdictional </w:t>
      </w:r>
      <w:r w:rsidR="004F7F93" w:rsidRPr="00120AAB">
        <w:rPr>
          <w:rFonts w:asciiTheme="majorHAnsi" w:hAnsiTheme="majorHAnsi" w:cs="Calibri"/>
        </w:rPr>
        <w:t xml:space="preserve">Centres and networks </w:t>
      </w:r>
      <w:r w:rsidR="00FF26CF" w:rsidRPr="00120AAB">
        <w:rPr>
          <w:rFonts w:asciiTheme="majorHAnsi" w:hAnsiTheme="majorHAnsi" w:cs="Calibri"/>
        </w:rPr>
        <w:t>that</w:t>
      </w:r>
      <w:r w:rsidR="0027751E" w:rsidRPr="00120AAB">
        <w:rPr>
          <w:rFonts w:asciiTheme="majorHAnsi" w:hAnsiTheme="majorHAnsi" w:cs="Calibri"/>
        </w:rPr>
        <w:t xml:space="preserve"> are providing local capacity building and support functions in research and evidence building. </w:t>
      </w:r>
      <w:r w:rsidR="0027751E" w:rsidRPr="00120AAB">
        <w:rPr>
          <w:rFonts w:asciiTheme="majorHAnsi" w:hAnsiTheme="majorHAnsi" w:cs="Adobe Clean DC"/>
          <w:kern w:val="0"/>
          <w:sz w:val="20"/>
          <w:szCs w:val="20"/>
          <w:lang w:val="en-AU"/>
        </w:rPr>
        <w:t xml:space="preserve"> </w:t>
      </w:r>
      <w:r w:rsidR="002E210A" w:rsidRPr="00120AAB">
        <w:rPr>
          <w:rFonts w:asciiTheme="majorHAnsi" w:hAnsiTheme="majorHAnsi" w:cs="Calibri"/>
        </w:rPr>
        <w:t>For example,</w:t>
      </w:r>
      <w:r w:rsidR="004F7F93" w:rsidRPr="00120AAB">
        <w:rPr>
          <w:rFonts w:asciiTheme="majorHAnsi" w:hAnsiTheme="majorHAnsi" w:cs="Calibri"/>
        </w:rPr>
        <w:t xml:space="preserve"> </w:t>
      </w:r>
      <w:r w:rsidR="00A9089C" w:rsidRPr="00120AAB">
        <w:rPr>
          <w:rFonts w:asciiTheme="majorHAnsi" w:hAnsiTheme="majorHAnsi" w:cs="Calibri"/>
        </w:rPr>
        <w:t xml:space="preserve">if </w:t>
      </w:r>
      <w:r w:rsidR="00FF26CF" w:rsidRPr="00120AAB">
        <w:rPr>
          <w:rFonts w:asciiTheme="majorHAnsi" w:hAnsiTheme="majorHAnsi" w:cs="Calibri"/>
        </w:rPr>
        <w:t>j</w:t>
      </w:r>
      <w:r w:rsidR="001642D8" w:rsidRPr="00120AAB">
        <w:rPr>
          <w:rFonts w:asciiTheme="majorHAnsi" w:hAnsiTheme="majorHAnsi" w:cs="Calibri"/>
        </w:rPr>
        <w:t>urisdictional initiatives</w:t>
      </w:r>
      <w:r w:rsidR="00A9089C" w:rsidRPr="00120AAB">
        <w:rPr>
          <w:rFonts w:asciiTheme="majorHAnsi" w:hAnsiTheme="majorHAnsi" w:cs="Calibri"/>
        </w:rPr>
        <w:t xml:space="preserve"> are</w:t>
      </w:r>
      <w:r w:rsidR="001642D8" w:rsidRPr="00120AAB">
        <w:rPr>
          <w:rFonts w:asciiTheme="majorHAnsi" w:hAnsiTheme="majorHAnsi" w:cs="Calibri"/>
        </w:rPr>
        <w:t xml:space="preserve"> </w:t>
      </w:r>
      <w:r w:rsidR="004F7F93" w:rsidRPr="00120AAB">
        <w:rPr>
          <w:rFonts w:asciiTheme="majorHAnsi" w:hAnsiTheme="majorHAnsi" w:cs="Calibri"/>
        </w:rPr>
        <w:t>support</w:t>
      </w:r>
      <w:r w:rsidR="00A9089C" w:rsidRPr="00120AAB">
        <w:rPr>
          <w:rFonts w:asciiTheme="majorHAnsi" w:hAnsiTheme="majorHAnsi" w:cs="Calibri"/>
        </w:rPr>
        <w:t>ing</w:t>
      </w:r>
      <w:r w:rsidR="004F7F93" w:rsidRPr="00120AAB">
        <w:rPr>
          <w:rFonts w:asciiTheme="majorHAnsi" w:hAnsiTheme="majorHAnsi" w:cs="Calibri"/>
        </w:rPr>
        <w:t xml:space="preserve"> ACCOs and their workforce to participate and lead research projects</w:t>
      </w:r>
      <w:r w:rsidR="00556025" w:rsidRPr="00120AAB">
        <w:rPr>
          <w:rFonts w:asciiTheme="majorHAnsi" w:hAnsiTheme="majorHAnsi" w:cs="Calibri"/>
        </w:rPr>
        <w:t xml:space="preserve"> and</w:t>
      </w:r>
      <w:r w:rsidR="008A514B" w:rsidRPr="00120AAB">
        <w:rPr>
          <w:rFonts w:asciiTheme="majorHAnsi" w:hAnsiTheme="majorHAnsi" w:cs="Calibri"/>
        </w:rPr>
        <w:t xml:space="preserve"> </w:t>
      </w:r>
      <w:r w:rsidR="004F7F93" w:rsidRPr="00120AAB">
        <w:rPr>
          <w:rFonts w:asciiTheme="majorHAnsi" w:hAnsiTheme="majorHAnsi" w:cs="Calibri"/>
        </w:rPr>
        <w:t>use research in practice</w:t>
      </w:r>
      <w:r w:rsidR="00556025" w:rsidRPr="00120AAB">
        <w:rPr>
          <w:rFonts w:asciiTheme="majorHAnsi" w:hAnsiTheme="majorHAnsi" w:cs="Calibri"/>
        </w:rPr>
        <w:t>,</w:t>
      </w:r>
      <w:r w:rsidR="00A9089C" w:rsidRPr="00120AAB">
        <w:rPr>
          <w:rFonts w:asciiTheme="majorHAnsi" w:hAnsiTheme="majorHAnsi" w:cs="Calibri"/>
        </w:rPr>
        <w:t xml:space="preserve"> </w:t>
      </w:r>
      <w:r w:rsidR="004F7F93" w:rsidRPr="00120AAB">
        <w:rPr>
          <w:rFonts w:asciiTheme="majorHAnsi" w:hAnsiTheme="majorHAnsi" w:cs="Calibri"/>
        </w:rPr>
        <w:t>the National Centre c</w:t>
      </w:r>
      <w:r w:rsidR="00204A69" w:rsidRPr="00120AAB">
        <w:rPr>
          <w:rFonts w:asciiTheme="majorHAnsi" w:hAnsiTheme="majorHAnsi" w:cs="Calibri"/>
        </w:rPr>
        <w:t>ould</w:t>
      </w:r>
      <w:r w:rsidR="004F7F93" w:rsidRPr="00120AAB">
        <w:rPr>
          <w:rFonts w:asciiTheme="majorHAnsi" w:hAnsiTheme="majorHAnsi" w:cs="Calibri"/>
        </w:rPr>
        <w:t xml:space="preserve"> support this work by providing national infrastructure, framework</w:t>
      </w:r>
      <w:r w:rsidR="00BE0F1C" w:rsidRPr="00120AAB">
        <w:rPr>
          <w:rFonts w:asciiTheme="majorHAnsi" w:hAnsiTheme="majorHAnsi" w:cs="Calibri"/>
        </w:rPr>
        <w:t>s</w:t>
      </w:r>
      <w:r w:rsidR="004F7F93" w:rsidRPr="00120AAB">
        <w:rPr>
          <w:rFonts w:asciiTheme="majorHAnsi" w:hAnsiTheme="majorHAnsi" w:cs="Calibri"/>
        </w:rPr>
        <w:t xml:space="preserve"> and guidance</w:t>
      </w:r>
      <w:r w:rsidR="00A9089C" w:rsidRPr="00120AAB">
        <w:rPr>
          <w:rFonts w:asciiTheme="majorHAnsi" w:hAnsiTheme="majorHAnsi" w:cs="Calibri"/>
        </w:rPr>
        <w:t xml:space="preserve">. </w:t>
      </w:r>
      <w:r w:rsidR="001642D8" w:rsidRPr="00120AAB">
        <w:rPr>
          <w:rFonts w:asciiTheme="majorHAnsi" w:hAnsiTheme="majorHAnsi" w:cs="Calibri"/>
        </w:rPr>
        <w:t xml:space="preserve">This could include </w:t>
      </w:r>
      <w:r w:rsidR="003F274A" w:rsidRPr="00120AAB">
        <w:rPr>
          <w:rFonts w:asciiTheme="majorHAnsi" w:hAnsiTheme="majorHAnsi" w:cs="Calibri"/>
        </w:rPr>
        <w:t xml:space="preserve">providing </w:t>
      </w:r>
      <w:r w:rsidRPr="00120AAB">
        <w:rPr>
          <w:rFonts w:asciiTheme="majorHAnsi" w:hAnsiTheme="majorHAnsi" w:cs="Calibri"/>
        </w:rPr>
        <w:t xml:space="preserve">overarching and consistent </w:t>
      </w:r>
      <w:r w:rsidR="003F274A" w:rsidRPr="00120AAB">
        <w:rPr>
          <w:rFonts w:asciiTheme="majorHAnsi" w:hAnsiTheme="majorHAnsi" w:cs="Calibri"/>
        </w:rPr>
        <w:t xml:space="preserve">support and advice on establishing partnerships, draft agreement templates or service agreements relating to </w:t>
      </w:r>
      <w:r w:rsidR="00A66645" w:rsidRPr="00120AAB">
        <w:rPr>
          <w:rFonts w:asciiTheme="majorHAnsi" w:hAnsiTheme="majorHAnsi" w:cs="Calibri"/>
        </w:rPr>
        <w:t xml:space="preserve">things such as </w:t>
      </w:r>
      <w:r w:rsidR="003F274A" w:rsidRPr="00120AAB">
        <w:rPr>
          <w:rFonts w:asciiTheme="majorHAnsi" w:hAnsiTheme="majorHAnsi" w:cs="Calibri"/>
        </w:rPr>
        <w:t>intellectual property</w:t>
      </w:r>
      <w:r w:rsidR="00BE0F1C" w:rsidRPr="00120AAB">
        <w:rPr>
          <w:rFonts w:asciiTheme="majorHAnsi" w:hAnsiTheme="majorHAnsi" w:cs="Calibri"/>
        </w:rPr>
        <w:t xml:space="preserve"> protocols</w:t>
      </w:r>
      <w:r w:rsidR="00175F95" w:rsidRPr="00120AAB">
        <w:rPr>
          <w:rFonts w:asciiTheme="majorHAnsi" w:hAnsiTheme="majorHAnsi" w:cs="Calibri"/>
        </w:rPr>
        <w:t xml:space="preserve">. </w:t>
      </w:r>
    </w:p>
    <w:p w14:paraId="0C848CEA" w14:textId="5393385D" w:rsidR="001D280C" w:rsidRPr="00120AAB" w:rsidRDefault="4F85DF43" w:rsidP="00EF6BB7">
      <w:pPr>
        <w:spacing w:before="40" w:after="120" w:line="252" w:lineRule="auto"/>
        <w:rPr>
          <w:rFonts w:asciiTheme="majorHAnsi" w:hAnsiTheme="majorHAnsi" w:cs="Calibri"/>
        </w:rPr>
      </w:pPr>
      <w:r w:rsidRPr="00120AAB">
        <w:rPr>
          <w:rFonts w:asciiTheme="majorHAnsi" w:hAnsiTheme="majorHAnsi" w:cs="Calibri"/>
        </w:rPr>
        <w:t xml:space="preserve">The Centre could also provide guidance to academic institutions on addressing systemic challenges faced by Aboriginal and Torres Strait Islander students, including advising on strategies and approaches to increase cultural safety and respect for Aboriginal and Torres Strait Islander knowledge systems and cultural load.  </w:t>
      </w:r>
    </w:p>
    <w:p w14:paraId="671762E3" w14:textId="61947199" w:rsidR="005333B3" w:rsidRPr="00004AD9" w:rsidRDefault="4F85DF43" w:rsidP="00540368">
      <w:pPr>
        <w:pStyle w:val="Heading4"/>
      </w:pPr>
      <w:bookmarkStart w:id="46" w:name="_Toc180484308"/>
      <w:r w:rsidRPr="00004AD9">
        <w:t>Facilitate sharing and showcasing of learnings and best practice</w:t>
      </w:r>
      <w:bookmarkEnd w:id="46"/>
    </w:p>
    <w:p w14:paraId="004D9264" w14:textId="0EF4F9D0" w:rsidR="00B346FB" w:rsidRPr="00120AAB" w:rsidRDefault="4F85DF43" w:rsidP="00EF6BB7">
      <w:pPr>
        <w:spacing w:before="120" w:after="120" w:line="252" w:lineRule="auto"/>
        <w:rPr>
          <w:rFonts w:asciiTheme="majorHAnsi" w:hAnsiTheme="majorHAnsi" w:cs="Calibri"/>
        </w:rPr>
      </w:pPr>
      <w:r w:rsidRPr="00120AAB">
        <w:rPr>
          <w:rFonts w:asciiTheme="majorHAnsi" w:hAnsiTheme="majorHAnsi" w:cs="Calibri"/>
        </w:rPr>
        <w:t>The Centre can act as a national facilitator for sharing learnings and best practice initiatives emerging from jurisdictions, for other jurisdictions to adapt and learn from. As jurisdictions specialise in their own agendas and priorities, they can test innovation, trial different approaches and explore what success looks like in that jurisdiction. The Centre could provide a space to share learnings, identify gaps and highlight the common elements of success.</w:t>
      </w:r>
    </w:p>
    <w:p w14:paraId="21984BA8" w14:textId="314B5181" w:rsidR="005D1506" w:rsidRPr="00004AD9" w:rsidRDefault="4F85DF43" w:rsidP="00540368">
      <w:pPr>
        <w:pStyle w:val="Heading4"/>
      </w:pPr>
      <w:bookmarkStart w:id="47" w:name="_Toc180484309"/>
      <w:r w:rsidRPr="00004AD9">
        <w:t>Monitoring and evaluating key strategies that impact Aboriginal and Torres Strait Islander children and families</w:t>
      </w:r>
      <w:bookmarkEnd w:id="47"/>
    </w:p>
    <w:p w14:paraId="60F82DB4" w14:textId="77777777" w:rsidR="00C71979" w:rsidRDefault="4F85DF43" w:rsidP="00031CFE">
      <w:pPr>
        <w:spacing w:before="120" w:after="120" w:line="252" w:lineRule="auto"/>
        <w:rPr>
          <w:rFonts w:asciiTheme="majorHAnsi" w:hAnsiTheme="majorHAnsi" w:cs="Calibri"/>
        </w:rPr>
      </w:pPr>
      <w:r w:rsidRPr="00120AAB">
        <w:rPr>
          <w:rFonts w:asciiTheme="majorHAnsi" w:hAnsiTheme="majorHAnsi" w:cs="Calibri"/>
        </w:rPr>
        <w:t xml:space="preserve">There may also be an opportunity for the Centre to undertake or support monitoring and evaluation of key national frameworks, strategies and plans impacting on Aboriginal and Torres Strait Islander children and families. </w:t>
      </w:r>
    </w:p>
    <w:p w14:paraId="01C6AEC5" w14:textId="72FFF8C9" w:rsidR="00031CFE" w:rsidRDefault="00AF6522" w:rsidP="00031CFE">
      <w:pPr>
        <w:spacing w:before="120" w:after="120" w:line="252" w:lineRule="auto"/>
        <w:rPr>
          <w:rFonts w:asciiTheme="majorHAnsi" w:hAnsiTheme="majorHAnsi" w:cs="Calibri"/>
          <w:lang w:val="en-AU"/>
        </w:rPr>
      </w:pPr>
      <w:r w:rsidRPr="00120AAB">
        <w:rPr>
          <w:rFonts w:asciiTheme="majorHAnsi" w:hAnsiTheme="majorHAnsi" w:cs="Calibri"/>
        </w:rPr>
        <w:t>Specifically, the Centre could play</w:t>
      </w:r>
      <w:r w:rsidR="4F85DF43" w:rsidRPr="00120AAB">
        <w:rPr>
          <w:rFonts w:asciiTheme="majorHAnsi" w:hAnsiTheme="majorHAnsi" w:cs="Calibri"/>
        </w:rPr>
        <w:t xml:space="preserve"> a role in implementing the Monitoring and Evaluation Strategies (MES) for </w:t>
      </w:r>
      <w:r w:rsidR="004B7C70">
        <w:rPr>
          <w:rFonts w:asciiTheme="majorHAnsi" w:hAnsiTheme="majorHAnsi" w:cs="Calibri"/>
        </w:rPr>
        <w:t>Safe and Supported and its</w:t>
      </w:r>
      <w:r w:rsidR="004B7C70" w:rsidRPr="00120AAB">
        <w:rPr>
          <w:rFonts w:asciiTheme="majorHAnsi" w:hAnsiTheme="majorHAnsi" w:cs="Calibri"/>
        </w:rPr>
        <w:t xml:space="preserve"> </w:t>
      </w:r>
      <w:r w:rsidR="4F85DF43" w:rsidRPr="00120AAB">
        <w:rPr>
          <w:rFonts w:asciiTheme="majorHAnsi" w:hAnsiTheme="majorHAnsi" w:cs="Calibri"/>
        </w:rPr>
        <w:t xml:space="preserve">Action Plans. </w:t>
      </w:r>
      <w:r w:rsidR="4F85DF43" w:rsidRPr="00B83001">
        <w:rPr>
          <w:rFonts w:asciiTheme="majorHAnsi" w:hAnsiTheme="majorHAnsi" w:cs="Calibri"/>
          <w:lang w:val="en-AU"/>
        </w:rPr>
        <w:t>SNAICC is currently working with the Aboriginal and Torres Strait Islander Leadership Group and governments to develop the MES and the Aboriginal and Torres Strait Islander MES</w:t>
      </w:r>
      <w:r w:rsidR="00FB3F5A" w:rsidRPr="00B83001">
        <w:rPr>
          <w:rFonts w:asciiTheme="majorHAnsi" w:hAnsiTheme="majorHAnsi" w:cs="Calibri"/>
          <w:lang w:val="en-AU"/>
        </w:rPr>
        <w:t xml:space="preserve">. </w:t>
      </w:r>
      <w:r w:rsidR="00863764" w:rsidRPr="00B83001">
        <w:rPr>
          <w:rFonts w:asciiTheme="majorHAnsi" w:hAnsiTheme="majorHAnsi" w:cs="Calibri"/>
          <w:lang w:val="en-AU"/>
        </w:rPr>
        <w:t xml:space="preserve">Both strategies </w:t>
      </w:r>
      <w:r w:rsidR="4F85DF43" w:rsidRPr="00B83001">
        <w:rPr>
          <w:rFonts w:asciiTheme="majorHAnsi" w:hAnsiTheme="majorHAnsi" w:cs="Calibri"/>
          <w:lang w:val="en-AU"/>
        </w:rPr>
        <w:t xml:space="preserve">will bring together diverse sources of data </w:t>
      </w:r>
      <w:r w:rsidR="0007254B" w:rsidRPr="00B83001">
        <w:rPr>
          <w:rFonts w:asciiTheme="majorHAnsi" w:hAnsiTheme="majorHAnsi" w:cs="Calibri"/>
          <w:lang w:val="en-AU"/>
        </w:rPr>
        <w:t xml:space="preserve">to evaluate the </w:t>
      </w:r>
      <w:r w:rsidR="00695A56" w:rsidRPr="00B83001">
        <w:rPr>
          <w:rFonts w:asciiTheme="majorHAnsi" w:hAnsiTheme="majorHAnsi" w:cs="Calibri"/>
          <w:lang w:val="en-AU"/>
        </w:rPr>
        <w:t>implementation of</w:t>
      </w:r>
      <w:r w:rsidR="4F85DF43" w:rsidRPr="00B83001">
        <w:rPr>
          <w:rFonts w:asciiTheme="majorHAnsi" w:hAnsiTheme="majorHAnsi" w:cs="Calibri"/>
          <w:lang w:val="en-AU"/>
        </w:rPr>
        <w:t xml:space="preserve"> Safe and Supported, </w:t>
      </w:r>
      <w:r w:rsidR="00A8326F" w:rsidRPr="00B83001">
        <w:rPr>
          <w:rFonts w:asciiTheme="majorHAnsi" w:hAnsiTheme="majorHAnsi" w:cs="Calibri"/>
          <w:lang w:val="en-AU"/>
        </w:rPr>
        <w:t xml:space="preserve">including </w:t>
      </w:r>
      <w:r w:rsidR="006C03F3" w:rsidRPr="00B83001">
        <w:rPr>
          <w:rFonts w:asciiTheme="majorHAnsi" w:hAnsiTheme="majorHAnsi" w:cs="Calibri"/>
          <w:lang w:val="en-AU"/>
        </w:rPr>
        <w:t xml:space="preserve">how </w:t>
      </w:r>
      <w:r w:rsidR="006213E4" w:rsidRPr="00B83001">
        <w:rPr>
          <w:rFonts w:asciiTheme="majorHAnsi" w:hAnsiTheme="majorHAnsi" w:cs="Calibri"/>
          <w:lang w:val="en-AU"/>
        </w:rPr>
        <w:t>effectively</w:t>
      </w:r>
      <w:r w:rsidR="006C03F3" w:rsidRPr="00B83001">
        <w:rPr>
          <w:rFonts w:asciiTheme="majorHAnsi" w:hAnsiTheme="majorHAnsi" w:cs="Calibri"/>
          <w:lang w:val="en-AU"/>
        </w:rPr>
        <w:t xml:space="preserve"> it </w:t>
      </w:r>
      <w:r w:rsidR="006213E4" w:rsidRPr="00B83001">
        <w:rPr>
          <w:rFonts w:asciiTheme="majorHAnsi" w:hAnsiTheme="majorHAnsi" w:cs="Calibri"/>
          <w:lang w:val="en-AU"/>
        </w:rPr>
        <w:t xml:space="preserve">is delivering </w:t>
      </w:r>
      <w:r w:rsidR="4F85DF43" w:rsidRPr="00B83001">
        <w:rPr>
          <w:rFonts w:asciiTheme="majorHAnsi" w:hAnsiTheme="majorHAnsi" w:cs="Calibri"/>
          <w:lang w:val="en-AU"/>
        </w:rPr>
        <w:t xml:space="preserve">outcomes </w:t>
      </w:r>
      <w:r w:rsidR="006213E4" w:rsidRPr="00B83001">
        <w:rPr>
          <w:rFonts w:asciiTheme="majorHAnsi" w:hAnsiTheme="majorHAnsi" w:cs="Calibri"/>
          <w:lang w:val="en-AU"/>
        </w:rPr>
        <w:t xml:space="preserve">and positive </w:t>
      </w:r>
      <w:r w:rsidR="4F85DF43" w:rsidRPr="00B83001">
        <w:rPr>
          <w:rFonts w:asciiTheme="majorHAnsi" w:hAnsiTheme="majorHAnsi" w:cs="Calibri"/>
          <w:lang w:val="en-AU"/>
        </w:rPr>
        <w:t xml:space="preserve">changes </w:t>
      </w:r>
      <w:r w:rsidR="006213E4" w:rsidRPr="00B83001">
        <w:rPr>
          <w:rFonts w:asciiTheme="majorHAnsi" w:hAnsiTheme="majorHAnsi" w:cs="Calibri"/>
          <w:lang w:val="en-AU"/>
        </w:rPr>
        <w:t xml:space="preserve">to </w:t>
      </w:r>
      <w:r w:rsidR="00031CFE">
        <w:rPr>
          <w:rFonts w:asciiTheme="majorHAnsi" w:hAnsiTheme="majorHAnsi" w:cs="Calibri"/>
          <w:lang w:val="en-AU"/>
        </w:rPr>
        <w:t>the</w:t>
      </w:r>
      <w:r w:rsidR="4F85DF43" w:rsidRPr="00B83001">
        <w:rPr>
          <w:rFonts w:asciiTheme="majorHAnsi" w:hAnsiTheme="majorHAnsi" w:cs="Calibri"/>
          <w:lang w:val="en-AU"/>
        </w:rPr>
        <w:t xml:space="preserve"> lives</w:t>
      </w:r>
      <w:r w:rsidR="00031CFE">
        <w:rPr>
          <w:rFonts w:asciiTheme="majorHAnsi" w:hAnsiTheme="majorHAnsi" w:cs="Calibri"/>
          <w:lang w:val="en-AU"/>
        </w:rPr>
        <w:t xml:space="preserve"> of children, families and communities</w:t>
      </w:r>
      <w:r w:rsidR="4F85DF43" w:rsidRPr="00120AAB">
        <w:rPr>
          <w:rFonts w:asciiTheme="majorHAnsi" w:hAnsiTheme="majorHAnsi" w:cs="Calibri"/>
          <w:lang w:val="en-AU"/>
        </w:rPr>
        <w:t>.</w:t>
      </w:r>
      <w:r w:rsidR="00AF3440" w:rsidRPr="00120AAB">
        <w:rPr>
          <w:rFonts w:asciiTheme="majorHAnsi" w:hAnsiTheme="majorHAnsi" w:cs="Calibri"/>
          <w:lang w:val="en-AU"/>
        </w:rPr>
        <w:t xml:space="preserve"> </w:t>
      </w:r>
    </w:p>
    <w:p w14:paraId="35DC34D6" w14:textId="012EF702" w:rsidR="005D0FE6" w:rsidRPr="00120AAB" w:rsidRDefault="00B57EE9" w:rsidP="00EF6BB7">
      <w:pPr>
        <w:spacing w:before="120" w:after="240" w:line="252" w:lineRule="auto"/>
        <w:rPr>
          <w:rFonts w:asciiTheme="majorHAnsi" w:hAnsiTheme="majorHAnsi" w:cs="Calibri"/>
        </w:rPr>
      </w:pPr>
      <w:r w:rsidRPr="00120AAB">
        <w:rPr>
          <w:rFonts w:asciiTheme="majorHAnsi" w:hAnsiTheme="majorHAnsi" w:cs="Calibri"/>
          <w:lang w:val="en-AU"/>
        </w:rPr>
        <w:t>Given th</w:t>
      </w:r>
      <w:r w:rsidR="00085B16" w:rsidRPr="00120AAB">
        <w:rPr>
          <w:rFonts w:asciiTheme="majorHAnsi" w:hAnsiTheme="majorHAnsi" w:cs="Calibri"/>
          <w:lang w:val="en-AU"/>
        </w:rPr>
        <w:t>e ongoing development of the MES, d</w:t>
      </w:r>
      <w:r w:rsidR="4F85DF43" w:rsidRPr="00120AAB">
        <w:rPr>
          <w:rFonts w:asciiTheme="majorHAnsi" w:hAnsiTheme="majorHAnsi" w:cs="Calibri"/>
          <w:lang w:val="en-AU"/>
        </w:rPr>
        <w:t>etailed exploration of</w:t>
      </w:r>
      <w:r w:rsidR="004C2E4F">
        <w:rPr>
          <w:rFonts w:asciiTheme="majorHAnsi" w:hAnsiTheme="majorHAnsi" w:cs="Calibri"/>
          <w:lang w:val="en-AU"/>
        </w:rPr>
        <w:t xml:space="preserve"> </w:t>
      </w:r>
      <w:r w:rsidR="4F85DF43" w:rsidRPr="00120AAB">
        <w:rPr>
          <w:rFonts w:asciiTheme="majorHAnsi" w:hAnsiTheme="majorHAnsi" w:cs="Calibri"/>
          <w:lang w:val="en-AU"/>
        </w:rPr>
        <w:t>the Centre</w:t>
      </w:r>
      <w:r w:rsidR="00AF3440" w:rsidRPr="00120AAB">
        <w:rPr>
          <w:rFonts w:asciiTheme="majorHAnsi" w:hAnsiTheme="majorHAnsi" w:cs="Calibri"/>
          <w:lang w:val="en-AU"/>
        </w:rPr>
        <w:t>’s potential in</w:t>
      </w:r>
      <w:r w:rsidRPr="00120AAB">
        <w:rPr>
          <w:rFonts w:asciiTheme="majorHAnsi" w:hAnsiTheme="majorHAnsi" w:cs="Calibri"/>
          <w:lang w:val="en-AU"/>
        </w:rPr>
        <w:t>volvement</w:t>
      </w:r>
      <w:r w:rsidR="4F85DF43" w:rsidRPr="00120AAB">
        <w:rPr>
          <w:rFonts w:asciiTheme="majorHAnsi" w:hAnsiTheme="majorHAnsi" w:cs="Calibri"/>
          <w:lang w:val="en-AU"/>
        </w:rPr>
        <w:t xml:space="preserve"> in </w:t>
      </w:r>
      <w:r w:rsidR="00085B16" w:rsidRPr="00120AAB">
        <w:rPr>
          <w:rFonts w:asciiTheme="majorHAnsi" w:hAnsiTheme="majorHAnsi" w:cs="Calibri"/>
          <w:lang w:val="en-AU"/>
        </w:rPr>
        <w:t xml:space="preserve">implementing </w:t>
      </w:r>
      <w:r w:rsidR="4F85DF43" w:rsidRPr="00120AAB">
        <w:rPr>
          <w:rFonts w:asciiTheme="majorHAnsi" w:hAnsiTheme="majorHAnsi" w:cs="Calibri"/>
          <w:lang w:val="en-AU"/>
        </w:rPr>
        <w:t>th</w:t>
      </w:r>
      <w:r w:rsidR="001842A0" w:rsidRPr="00120AAB">
        <w:rPr>
          <w:rFonts w:asciiTheme="majorHAnsi" w:hAnsiTheme="majorHAnsi" w:cs="Calibri"/>
          <w:lang w:val="en-AU"/>
        </w:rPr>
        <w:t xml:space="preserve">e strategies </w:t>
      </w:r>
      <w:r w:rsidRPr="00120AAB">
        <w:rPr>
          <w:rFonts w:asciiTheme="majorHAnsi" w:hAnsiTheme="majorHAnsi" w:cs="Calibri"/>
          <w:lang w:val="en-AU"/>
        </w:rPr>
        <w:t>can be conducted</w:t>
      </w:r>
      <w:r w:rsidR="001842A0" w:rsidRPr="00120AAB">
        <w:rPr>
          <w:rFonts w:asciiTheme="majorHAnsi" w:hAnsiTheme="majorHAnsi" w:cs="Calibri"/>
          <w:lang w:val="en-AU"/>
        </w:rPr>
        <w:t xml:space="preserve"> during the establishment phase</w:t>
      </w:r>
      <w:r w:rsidR="4F85DF43" w:rsidRPr="00120AAB">
        <w:rPr>
          <w:rFonts w:asciiTheme="majorHAnsi" w:hAnsiTheme="majorHAnsi" w:cs="Calibri"/>
          <w:lang w:val="en-AU"/>
        </w:rPr>
        <w:t xml:space="preserve">, including </w:t>
      </w:r>
      <w:r w:rsidR="001842A0" w:rsidRPr="00120AAB">
        <w:rPr>
          <w:rFonts w:asciiTheme="majorHAnsi" w:hAnsiTheme="majorHAnsi" w:cs="Calibri"/>
          <w:lang w:val="en-AU"/>
        </w:rPr>
        <w:t xml:space="preserve">an assessment of </w:t>
      </w:r>
      <w:r w:rsidR="4F85DF43" w:rsidRPr="00120AAB">
        <w:rPr>
          <w:rFonts w:asciiTheme="majorHAnsi" w:hAnsiTheme="majorHAnsi" w:cs="Calibri"/>
          <w:lang w:val="en-AU"/>
        </w:rPr>
        <w:t>additional resource requirements</w:t>
      </w:r>
      <w:r w:rsidR="00FC7F93" w:rsidRPr="00120AAB">
        <w:rPr>
          <w:rFonts w:asciiTheme="majorHAnsi" w:hAnsiTheme="majorHAnsi" w:cs="Calibri"/>
          <w:lang w:val="en-AU"/>
        </w:rPr>
        <w:t>.</w:t>
      </w:r>
      <w:r w:rsidR="4F85DF43" w:rsidRPr="00120AAB">
        <w:rPr>
          <w:rFonts w:asciiTheme="majorHAnsi" w:hAnsiTheme="majorHAnsi" w:cs="Calibri"/>
          <w:lang w:val="en-AU"/>
        </w:rPr>
        <w:t xml:space="preserve"> </w:t>
      </w:r>
    </w:p>
    <w:tbl>
      <w:tblPr>
        <w:tblStyle w:val="TableGrid"/>
        <w:tblW w:w="0" w:type="auto"/>
        <w:shd w:val="clear" w:color="auto" w:fill="FFC000"/>
        <w:tblLook w:val="04A0" w:firstRow="1" w:lastRow="0" w:firstColumn="1" w:lastColumn="0" w:noHBand="0" w:noVBand="1"/>
      </w:tblPr>
      <w:tblGrid>
        <w:gridCol w:w="9622"/>
      </w:tblGrid>
      <w:tr w:rsidR="008E757B" w:rsidRPr="00120AAB" w14:paraId="2A7ABF94" w14:textId="77777777" w:rsidTr="4F85DF43">
        <w:tc>
          <w:tcPr>
            <w:tcW w:w="9622" w:type="dxa"/>
            <w:shd w:val="clear" w:color="auto" w:fill="FFC000"/>
          </w:tcPr>
          <w:p w14:paraId="6A22FC91" w14:textId="77777777" w:rsidR="00BD7BCF" w:rsidRPr="003F6742" w:rsidRDefault="4F85DF43" w:rsidP="00C523FE">
            <w:pPr>
              <w:spacing w:before="60"/>
              <w:rPr>
                <w:rFonts w:asciiTheme="majorHAnsi" w:hAnsiTheme="majorHAnsi"/>
                <w:b/>
                <w:spacing w:val="-2"/>
              </w:rPr>
            </w:pPr>
            <w:r w:rsidRPr="003F6742">
              <w:rPr>
                <w:rFonts w:asciiTheme="majorHAnsi" w:hAnsiTheme="majorHAnsi"/>
                <w:b/>
                <w:spacing w:val="-2"/>
              </w:rPr>
              <w:t>Recommendation 3:</w:t>
            </w:r>
            <w:r w:rsidRPr="003F6742">
              <w:rPr>
                <w:rFonts w:asciiTheme="majorHAnsi" w:hAnsiTheme="majorHAnsi"/>
                <w:spacing w:val="-2"/>
              </w:rPr>
              <w:t xml:space="preserve"> The Centre will be designed and adequately resourced to provide core functions aligned to its principles, values and purpose, including:</w:t>
            </w:r>
          </w:p>
          <w:p w14:paraId="5B4033C5" w14:textId="23FFC3E4" w:rsidR="00BD7BCF"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spacing w:val="-2"/>
                <w:sz w:val="24"/>
                <w:szCs w:val="24"/>
              </w:rPr>
              <w:t>Shaping an Aboriginal and Torres Strait Islander</w:t>
            </w:r>
            <w:r w:rsidR="00030494" w:rsidRPr="003F6742">
              <w:rPr>
                <w:rFonts w:asciiTheme="majorHAnsi" w:hAnsiTheme="majorHAnsi"/>
                <w:spacing w:val="-2"/>
                <w:sz w:val="24"/>
                <w:szCs w:val="24"/>
              </w:rPr>
              <w:t>-</w:t>
            </w:r>
            <w:r w:rsidRPr="003F6742">
              <w:rPr>
                <w:rFonts w:asciiTheme="majorHAnsi" w:hAnsiTheme="majorHAnsi"/>
                <w:spacing w:val="-2"/>
                <w:sz w:val="24"/>
                <w:szCs w:val="24"/>
              </w:rPr>
              <w:t>led national research agenda for children and families</w:t>
            </w:r>
          </w:p>
          <w:p w14:paraId="490EF863" w14:textId="77777777" w:rsidR="00BD7BCF"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spacing w:val="-2"/>
                <w:sz w:val="24"/>
                <w:szCs w:val="24"/>
              </w:rPr>
              <w:t>Undertaking, coordinating and collaborating on research to advance research priorities for children and families</w:t>
            </w:r>
          </w:p>
          <w:p w14:paraId="5E5BD66A" w14:textId="77777777" w:rsidR="00BD7BCF"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spacing w:val="-2"/>
                <w:sz w:val="24"/>
                <w:szCs w:val="24"/>
              </w:rPr>
              <w:t>Developing and implementing Indigenous Data Sovereignty infrastructure, policies and protocols</w:t>
            </w:r>
          </w:p>
          <w:p w14:paraId="043D824B" w14:textId="58B29564" w:rsidR="00BD7BCF"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spacing w:val="-2"/>
                <w:sz w:val="24"/>
                <w:szCs w:val="24"/>
              </w:rPr>
              <w:t>Commissioning and administering research grants (requires significant additional and dedicated funding)</w:t>
            </w:r>
          </w:p>
          <w:p w14:paraId="46BC2C4C" w14:textId="1D7BB8A8" w:rsidR="00BD7BCF"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cs="Calibri"/>
                <w:spacing w:val="-2"/>
                <w:sz w:val="24"/>
                <w:szCs w:val="24"/>
                <w:lang w:val="en-US"/>
              </w:rPr>
              <w:t xml:space="preserve">Knowledge translation and dissemination to transform systems and improve outcomes for Aboriginal and Torres Strait Islander communities  </w:t>
            </w:r>
          </w:p>
          <w:p w14:paraId="3BFC2A2A" w14:textId="77777777" w:rsidR="00BD7BCF"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spacing w:val="-2"/>
                <w:sz w:val="24"/>
                <w:szCs w:val="24"/>
              </w:rPr>
              <w:t>Elevating the voices of Aboriginal and Torres Strait Islander children and families to influence decision-making</w:t>
            </w:r>
          </w:p>
          <w:p w14:paraId="53EA5CD5" w14:textId="02411CAA" w:rsidR="00BD7BCF"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spacing w:val="-2"/>
                <w:sz w:val="24"/>
                <w:szCs w:val="24"/>
              </w:rPr>
              <w:t>Supporting and growing the Aboriginal and Torres Strait Islander research workforce and Aboriginal and Torres Strait Islander</w:t>
            </w:r>
            <w:r w:rsidR="00030494" w:rsidRPr="003F6742">
              <w:rPr>
                <w:rFonts w:asciiTheme="majorHAnsi" w:hAnsiTheme="majorHAnsi"/>
                <w:spacing w:val="-2"/>
                <w:sz w:val="24"/>
                <w:szCs w:val="24"/>
              </w:rPr>
              <w:t>-</w:t>
            </w:r>
            <w:r w:rsidRPr="003F6742">
              <w:rPr>
                <w:rFonts w:asciiTheme="majorHAnsi" w:hAnsiTheme="majorHAnsi"/>
                <w:spacing w:val="-2"/>
                <w:sz w:val="24"/>
                <w:szCs w:val="24"/>
              </w:rPr>
              <w:t>led and governed research centres, networks and institutions</w:t>
            </w:r>
          </w:p>
          <w:p w14:paraId="10252CA2" w14:textId="22DCA823" w:rsidR="00513304" w:rsidRPr="003F6742" w:rsidRDefault="4F85DF43" w:rsidP="00827C05">
            <w:pPr>
              <w:pStyle w:val="ListParagraph"/>
              <w:numPr>
                <w:ilvl w:val="0"/>
                <w:numId w:val="8"/>
              </w:numPr>
              <w:spacing w:before="60" w:after="60" w:line="240" w:lineRule="auto"/>
              <w:ind w:left="454" w:hanging="284"/>
              <w:contextualSpacing w:val="0"/>
              <w:rPr>
                <w:rFonts w:asciiTheme="majorHAnsi" w:hAnsiTheme="majorHAnsi"/>
                <w:spacing w:val="-2"/>
                <w:sz w:val="24"/>
                <w:szCs w:val="24"/>
              </w:rPr>
            </w:pPr>
            <w:r w:rsidRPr="003F6742">
              <w:rPr>
                <w:rFonts w:asciiTheme="majorHAnsi" w:hAnsiTheme="majorHAnsi"/>
                <w:spacing w:val="-2"/>
                <w:sz w:val="24"/>
                <w:szCs w:val="24"/>
              </w:rPr>
              <w:t>Sharing and showcasing learning and best practice in supporting Aboriginal and Torres Strait Islander children and families</w:t>
            </w:r>
          </w:p>
          <w:p w14:paraId="43A19FC2" w14:textId="5FEAEB1E" w:rsidR="006228FD" w:rsidRPr="00120AAB" w:rsidRDefault="4F85DF43" w:rsidP="00827C05">
            <w:pPr>
              <w:pStyle w:val="ListParagraph"/>
              <w:numPr>
                <w:ilvl w:val="0"/>
                <w:numId w:val="8"/>
              </w:numPr>
              <w:spacing w:before="60" w:after="60" w:line="240" w:lineRule="auto"/>
              <w:ind w:left="454" w:hanging="284"/>
              <w:contextualSpacing w:val="0"/>
              <w:rPr>
                <w:rFonts w:asciiTheme="majorHAnsi" w:hAnsiTheme="majorHAnsi"/>
                <w:sz w:val="24"/>
                <w:szCs w:val="24"/>
              </w:rPr>
            </w:pPr>
            <w:r w:rsidRPr="003F6742">
              <w:rPr>
                <w:rFonts w:asciiTheme="majorHAnsi" w:hAnsiTheme="majorHAnsi"/>
                <w:spacing w:val="-2"/>
                <w:sz w:val="24"/>
                <w:szCs w:val="24"/>
              </w:rPr>
              <w:t>Monitoring and evaluating key strategies that impact Aboriginal and Torres Strait Islander children and families (requires significant additional and dedicated funding)</w:t>
            </w:r>
            <w:r w:rsidR="00CF3499" w:rsidRPr="003F6742">
              <w:rPr>
                <w:rFonts w:asciiTheme="majorHAnsi" w:hAnsiTheme="majorHAnsi"/>
                <w:spacing w:val="-2"/>
                <w:sz w:val="24"/>
                <w:szCs w:val="24"/>
              </w:rPr>
              <w:t>.</w:t>
            </w:r>
          </w:p>
        </w:tc>
      </w:tr>
    </w:tbl>
    <w:p w14:paraId="235323E1" w14:textId="77777777" w:rsidR="00004AD9" w:rsidRDefault="00004AD9" w:rsidP="00004AD9">
      <w:pPr>
        <w:pStyle w:val="Heading1"/>
      </w:pPr>
      <w:bookmarkStart w:id="48" w:name="_Toc166861694"/>
    </w:p>
    <w:p w14:paraId="5609EBDF" w14:textId="4B3DF7AA" w:rsidR="00F047BD" w:rsidRPr="00004AD9" w:rsidRDefault="0042605A" w:rsidP="00540368">
      <w:pPr>
        <w:pStyle w:val="Heading2"/>
      </w:pPr>
      <w:bookmarkStart w:id="49" w:name="_Toc180484310"/>
      <w:r w:rsidRPr="00004AD9">
        <w:t>G</w:t>
      </w:r>
      <w:r w:rsidR="007D4336" w:rsidRPr="00004AD9">
        <w:t>overnance</w:t>
      </w:r>
      <w:bookmarkStart w:id="50" w:name="_Toc166861696"/>
      <w:bookmarkEnd w:id="48"/>
      <w:bookmarkEnd w:id="49"/>
      <w:bookmarkEnd w:id="50"/>
    </w:p>
    <w:p w14:paraId="24A7A2D2" w14:textId="35D0BE58" w:rsidR="00733DB0" w:rsidRPr="00120AAB" w:rsidRDefault="00230DBF" w:rsidP="00C57C01">
      <w:pPr>
        <w:spacing w:before="120" w:after="120" w:line="252" w:lineRule="auto"/>
        <w:rPr>
          <w:rFonts w:asciiTheme="majorHAnsi" w:hAnsiTheme="majorHAnsi"/>
        </w:rPr>
      </w:pPr>
      <w:r w:rsidRPr="00120AAB">
        <w:rPr>
          <w:rFonts w:asciiTheme="majorHAnsi" w:hAnsiTheme="majorHAnsi"/>
        </w:rPr>
        <w:t>The governance of the Centre will be primarily designed to reflect Aboriginal and Torres Strait Islander leadership, authority and community voice</w:t>
      </w:r>
      <w:r w:rsidR="00A75A06" w:rsidRPr="00120AAB">
        <w:rPr>
          <w:rFonts w:asciiTheme="majorHAnsi" w:hAnsiTheme="majorHAnsi"/>
        </w:rPr>
        <w:t xml:space="preserve"> in driving and overseeing the</w:t>
      </w:r>
      <w:r w:rsidR="00C97526" w:rsidRPr="00120AAB">
        <w:rPr>
          <w:rFonts w:asciiTheme="majorHAnsi" w:hAnsiTheme="majorHAnsi"/>
        </w:rPr>
        <w:t xml:space="preserve"> work</w:t>
      </w:r>
      <w:r w:rsidR="00A75A06" w:rsidRPr="00120AAB">
        <w:rPr>
          <w:rFonts w:asciiTheme="majorHAnsi" w:hAnsiTheme="majorHAnsi"/>
        </w:rPr>
        <w:t xml:space="preserve"> of the Centre</w:t>
      </w:r>
      <w:r w:rsidRPr="00120AAB">
        <w:rPr>
          <w:rFonts w:asciiTheme="majorHAnsi" w:hAnsiTheme="majorHAnsi"/>
        </w:rPr>
        <w:t>. As recognised in the Nat</w:t>
      </w:r>
      <w:r w:rsidR="004B2A4B" w:rsidRPr="00120AAB">
        <w:rPr>
          <w:rFonts w:asciiTheme="majorHAnsi" w:hAnsiTheme="majorHAnsi"/>
        </w:rPr>
        <w:t>i</w:t>
      </w:r>
      <w:r w:rsidRPr="00120AAB">
        <w:rPr>
          <w:rFonts w:asciiTheme="majorHAnsi" w:hAnsiTheme="majorHAnsi"/>
        </w:rPr>
        <w:t>onal Agre</w:t>
      </w:r>
      <w:r w:rsidR="004B2A4B" w:rsidRPr="00120AAB">
        <w:rPr>
          <w:rFonts w:asciiTheme="majorHAnsi" w:hAnsiTheme="majorHAnsi"/>
        </w:rPr>
        <w:t>e</w:t>
      </w:r>
      <w:r w:rsidRPr="00120AAB">
        <w:rPr>
          <w:rFonts w:asciiTheme="majorHAnsi" w:hAnsiTheme="majorHAnsi"/>
        </w:rPr>
        <w:t>ment, Aboriginal and Torres Strait Islander community</w:t>
      </w:r>
      <w:r w:rsidR="00B2349A">
        <w:rPr>
          <w:rFonts w:asciiTheme="majorHAnsi" w:hAnsiTheme="majorHAnsi"/>
        </w:rPr>
        <w:t xml:space="preserve"> </w:t>
      </w:r>
      <w:r w:rsidRPr="00120AAB">
        <w:rPr>
          <w:rFonts w:asciiTheme="majorHAnsi" w:hAnsiTheme="majorHAnsi"/>
        </w:rPr>
        <w:t>control is an act of self-determination</w:t>
      </w:r>
      <w:r w:rsidR="005E10FB" w:rsidRPr="00120AAB">
        <w:rPr>
          <w:rFonts w:asciiTheme="majorHAnsi" w:hAnsiTheme="majorHAnsi"/>
        </w:rPr>
        <w:t>,</w:t>
      </w:r>
      <w:r w:rsidRPr="00120AAB">
        <w:rPr>
          <w:rFonts w:asciiTheme="majorHAnsi" w:hAnsiTheme="majorHAnsi"/>
        </w:rPr>
        <w:t xml:space="preserve"> and Aboriginal and Torres Strait Islander community-controlled organisations are</w:t>
      </w:r>
      <w:r w:rsidR="000B3E08" w:rsidRPr="00120AAB">
        <w:rPr>
          <w:rFonts w:asciiTheme="majorHAnsi" w:hAnsiTheme="majorHAnsi"/>
        </w:rPr>
        <w:t xml:space="preserve"> best placed </w:t>
      </w:r>
      <w:r w:rsidR="007A5A11" w:rsidRPr="00120AAB">
        <w:rPr>
          <w:rFonts w:asciiTheme="majorHAnsi" w:hAnsiTheme="majorHAnsi"/>
        </w:rPr>
        <w:t xml:space="preserve">to </w:t>
      </w:r>
      <w:r w:rsidR="00DB4AED" w:rsidRPr="00120AAB">
        <w:rPr>
          <w:rFonts w:asciiTheme="majorHAnsi" w:hAnsiTheme="majorHAnsi"/>
        </w:rPr>
        <w:t xml:space="preserve">drive improved outcomes for </w:t>
      </w:r>
      <w:r w:rsidR="0019055C" w:rsidRPr="00120AAB">
        <w:rPr>
          <w:rFonts w:asciiTheme="majorHAnsi" w:hAnsiTheme="majorHAnsi"/>
        </w:rPr>
        <w:t>their children, families and communitie</w:t>
      </w:r>
      <w:r w:rsidR="003C4F29" w:rsidRPr="00120AAB">
        <w:rPr>
          <w:rFonts w:asciiTheme="majorHAnsi" w:hAnsiTheme="majorHAnsi"/>
        </w:rPr>
        <w:t>s.</w:t>
      </w:r>
      <w:bookmarkStart w:id="51" w:name="_Ref167372271"/>
      <w:r w:rsidR="000C0FD1" w:rsidRPr="00120AAB">
        <w:rPr>
          <w:rStyle w:val="FootnoteReference"/>
          <w:rFonts w:asciiTheme="majorHAnsi" w:hAnsiTheme="majorHAnsi"/>
        </w:rPr>
        <w:footnoteReference w:id="13"/>
      </w:r>
      <w:bookmarkEnd w:id="51"/>
      <w:r w:rsidR="00D6457F" w:rsidRPr="00120AAB">
        <w:rPr>
          <w:rFonts w:asciiTheme="majorHAnsi" w:hAnsiTheme="majorHAnsi"/>
        </w:rPr>
        <w:t xml:space="preserve"> </w:t>
      </w:r>
    </w:p>
    <w:p w14:paraId="54AC45C6" w14:textId="6C28B7A6" w:rsidR="003C4F29" w:rsidRPr="00120AAB" w:rsidRDefault="4F85DF43" w:rsidP="00C57C01">
      <w:pPr>
        <w:spacing w:line="252" w:lineRule="auto"/>
        <w:rPr>
          <w:rFonts w:asciiTheme="majorHAnsi" w:hAnsiTheme="majorHAnsi"/>
        </w:rPr>
      </w:pPr>
      <w:r w:rsidRPr="00120AAB">
        <w:rPr>
          <w:rFonts w:asciiTheme="majorHAnsi" w:hAnsiTheme="majorHAnsi"/>
        </w:rPr>
        <w:t>Aligned with the definition of community</w:t>
      </w:r>
      <w:r w:rsidR="00B2349A">
        <w:rPr>
          <w:rFonts w:asciiTheme="majorHAnsi" w:hAnsiTheme="majorHAnsi"/>
        </w:rPr>
        <w:t xml:space="preserve"> </w:t>
      </w:r>
      <w:r w:rsidRPr="00120AAB">
        <w:rPr>
          <w:rFonts w:asciiTheme="majorHAnsi" w:hAnsiTheme="majorHAnsi"/>
        </w:rPr>
        <w:t>control as reflected in the National Agreement, the Centre will be:</w:t>
      </w:r>
    </w:p>
    <w:p w14:paraId="3119DCE8" w14:textId="04BAC969" w:rsidR="00EF6BB7" w:rsidRPr="00EF6BB7" w:rsidRDefault="4F85DF43" w:rsidP="00C57C01">
      <w:pPr>
        <w:pStyle w:val="ListParagraph"/>
        <w:numPr>
          <w:ilvl w:val="0"/>
          <w:numId w:val="23"/>
        </w:numPr>
        <w:spacing w:before="60" w:after="60" w:line="252" w:lineRule="auto"/>
        <w:ind w:left="697" w:hanging="357"/>
        <w:contextualSpacing w:val="0"/>
        <w:rPr>
          <w:rFonts w:asciiTheme="majorHAnsi" w:hAnsiTheme="majorHAnsi"/>
          <w:sz w:val="24"/>
          <w:szCs w:val="24"/>
        </w:rPr>
      </w:pPr>
      <w:r w:rsidRPr="00EF6BB7">
        <w:rPr>
          <w:rFonts w:asciiTheme="majorHAnsi" w:hAnsiTheme="majorHAnsi"/>
          <w:sz w:val="24"/>
          <w:szCs w:val="24"/>
        </w:rPr>
        <w:t xml:space="preserve">incorporated under relevant legislation and not-for-profit (with incorporation being through a host ACCO) </w:t>
      </w:r>
    </w:p>
    <w:p w14:paraId="42860D20" w14:textId="6DD669D7" w:rsidR="00EF6BB7" w:rsidRPr="00EF6BB7" w:rsidRDefault="4F85DF43" w:rsidP="00C57C01">
      <w:pPr>
        <w:pStyle w:val="ListParagraph"/>
        <w:numPr>
          <w:ilvl w:val="0"/>
          <w:numId w:val="23"/>
        </w:numPr>
        <w:spacing w:before="60" w:after="60" w:line="252" w:lineRule="auto"/>
        <w:ind w:left="697" w:hanging="357"/>
        <w:contextualSpacing w:val="0"/>
        <w:rPr>
          <w:rFonts w:asciiTheme="majorHAnsi" w:hAnsiTheme="majorHAnsi"/>
          <w:sz w:val="24"/>
          <w:szCs w:val="24"/>
        </w:rPr>
      </w:pPr>
      <w:r w:rsidRPr="00EF6BB7">
        <w:rPr>
          <w:rFonts w:asciiTheme="majorHAnsi" w:hAnsiTheme="majorHAnsi"/>
          <w:sz w:val="24"/>
          <w:szCs w:val="24"/>
        </w:rPr>
        <w:t xml:space="preserve">controlled and operated by Aboriginal and/or Torres Strait Islander people </w:t>
      </w:r>
    </w:p>
    <w:p w14:paraId="682E8016" w14:textId="5737D6AF" w:rsidR="00EF6BB7" w:rsidRPr="00EF6BB7" w:rsidRDefault="4F85DF43" w:rsidP="00C57C01">
      <w:pPr>
        <w:pStyle w:val="ListParagraph"/>
        <w:numPr>
          <w:ilvl w:val="0"/>
          <w:numId w:val="23"/>
        </w:numPr>
        <w:spacing w:before="60" w:after="60" w:line="252" w:lineRule="auto"/>
        <w:ind w:left="697" w:hanging="357"/>
        <w:contextualSpacing w:val="0"/>
        <w:rPr>
          <w:rFonts w:asciiTheme="majorHAnsi" w:hAnsiTheme="majorHAnsi"/>
          <w:sz w:val="24"/>
          <w:szCs w:val="24"/>
        </w:rPr>
      </w:pPr>
      <w:r w:rsidRPr="00EF6BB7">
        <w:rPr>
          <w:rFonts w:asciiTheme="majorHAnsi" w:hAnsiTheme="majorHAnsi"/>
          <w:sz w:val="24"/>
          <w:szCs w:val="24"/>
        </w:rPr>
        <w:t xml:space="preserve">connected to the community, or communities, in which it operates </w:t>
      </w:r>
    </w:p>
    <w:p w14:paraId="33BCBB7E" w14:textId="1811CB2C" w:rsidR="003678BD" w:rsidRPr="00EF6BB7" w:rsidRDefault="00FC0137" w:rsidP="00C57C01">
      <w:pPr>
        <w:pStyle w:val="ListParagraph"/>
        <w:numPr>
          <w:ilvl w:val="0"/>
          <w:numId w:val="23"/>
        </w:numPr>
        <w:spacing w:before="60" w:after="60" w:line="252" w:lineRule="auto"/>
        <w:ind w:left="697" w:hanging="357"/>
        <w:contextualSpacing w:val="0"/>
        <w:rPr>
          <w:rFonts w:asciiTheme="majorHAnsi" w:hAnsiTheme="majorHAnsi"/>
          <w:sz w:val="24"/>
          <w:szCs w:val="24"/>
        </w:rPr>
      </w:pPr>
      <w:r w:rsidRPr="00EF6BB7">
        <w:rPr>
          <w:rFonts w:asciiTheme="majorHAnsi" w:hAnsiTheme="majorHAnsi"/>
          <w:sz w:val="24"/>
          <w:szCs w:val="24"/>
        </w:rPr>
        <w:t>governed by a majority Aboriginal and/or Torres Strait Islander governing body</w:t>
      </w:r>
      <w:r w:rsidR="00EF6BB7" w:rsidRPr="00EF6BB7">
        <w:rPr>
          <w:rFonts w:asciiTheme="majorHAnsi" w:hAnsiTheme="majorHAnsi"/>
          <w:sz w:val="24"/>
          <w:szCs w:val="24"/>
        </w:rPr>
        <w:t>.</w:t>
      </w:r>
      <w:r w:rsidR="000C0FD1" w:rsidRPr="00EF6BB7">
        <w:rPr>
          <w:rStyle w:val="FootnoteReference"/>
          <w:rFonts w:asciiTheme="majorHAnsi" w:hAnsiTheme="majorHAnsi"/>
          <w:sz w:val="24"/>
          <w:szCs w:val="24"/>
        </w:rPr>
        <w:footnoteReference w:id="14"/>
      </w:r>
    </w:p>
    <w:p w14:paraId="2B92D809" w14:textId="0F07B470" w:rsidR="00D64694"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The governance will have two parallel and intersecting components as outlined below:</w:t>
      </w:r>
    </w:p>
    <w:p w14:paraId="0583A75C" w14:textId="7A7797A8" w:rsidR="00C24582" w:rsidRPr="00120AAB" w:rsidRDefault="4F85DF43" w:rsidP="00C57C01">
      <w:pPr>
        <w:pStyle w:val="ListParagraph"/>
        <w:numPr>
          <w:ilvl w:val="0"/>
          <w:numId w:val="1"/>
        </w:numPr>
        <w:spacing w:before="40" w:after="120" w:line="252" w:lineRule="auto"/>
        <w:ind w:left="680" w:hanging="340"/>
        <w:contextualSpacing w:val="0"/>
        <w:rPr>
          <w:rFonts w:asciiTheme="majorHAnsi" w:hAnsiTheme="majorHAnsi" w:cs="Calibri"/>
          <w:sz w:val="24"/>
          <w:szCs w:val="24"/>
          <w:lang w:val="en-US"/>
        </w:rPr>
      </w:pPr>
      <w:r w:rsidRPr="00120AAB">
        <w:rPr>
          <w:rFonts w:asciiTheme="majorHAnsi" w:hAnsiTheme="majorHAnsi" w:cs="Calibri"/>
          <w:sz w:val="24"/>
          <w:szCs w:val="24"/>
          <w:lang w:val="en-US"/>
        </w:rPr>
        <w:t>A core Aboriginal and Torres Strait Islander community-controlled governing body provided through an existing host ACCO with the appropriate national authority, relationships and expertise to host the Centre</w:t>
      </w:r>
    </w:p>
    <w:p w14:paraId="5B972BD8" w14:textId="63D123CC" w:rsidR="00DA17CA" w:rsidRDefault="4F85DF43" w:rsidP="00C57C01">
      <w:pPr>
        <w:pStyle w:val="ListParagraph"/>
        <w:numPr>
          <w:ilvl w:val="0"/>
          <w:numId w:val="1"/>
        </w:numPr>
        <w:spacing w:before="40" w:after="120" w:line="252" w:lineRule="auto"/>
        <w:ind w:left="680" w:hanging="340"/>
        <w:contextualSpacing w:val="0"/>
        <w:rPr>
          <w:rFonts w:asciiTheme="majorHAnsi" w:hAnsiTheme="majorHAnsi" w:cs="Calibri"/>
          <w:sz w:val="24"/>
          <w:szCs w:val="24"/>
          <w:lang w:val="en-US"/>
        </w:rPr>
      </w:pPr>
      <w:r w:rsidRPr="00120AAB">
        <w:rPr>
          <w:rFonts w:asciiTheme="majorHAnsi" w:hAnsiTheme="majorHAnsi" w:cs="Calibri"/>
          <w:sz w:val="24"/>
          <w:szCs w:val="24"/>
          <w:lang w:val="en-US"/>
        </w:rPr>
        <w:t>Tailored governance bodies through which the host organisation devolves and shares governance responsibility for the Centre with a broader range of key stakeholders that bring focused expertise to drive its strategic focus and priorities.</w:t>
      </w:r>
    </w:p>
    <w:p w14:paraId="0298186E" w14:textId="77777777" w:rsidR="009D2786" w:rsidRDefault="009D2786" w:rsidP="009D2786">
      <w:pPr>
        <w:spacing w:before="40" w:after="120" w:line="252" w:lineRule="auto"/>
        <w:rPr>
          <w:rFonts w:asciiTheme="majorHAnsi" w:hAnsiTheme="majorHAnsi" w:cs="Calibri"/>
        </w:rPr>
      </w:pPr>
    </w:p>
    <w:p w14:paraId="7448BD8C" w14:textId="77777777" w:rsidR="009D2786" w:rsidRPr="009D2786" w:rsidRDefault="009D2786" w:rsidP="009D2786">
      <w:pPr>
        <w:spacing w:before="40" w:after="120" w:line="252" w:lineRule="auto"/>
        <w:rPr>
          <w:rFonts w:asciiTheme="majorHAnsi" w:hAnsiTheme="majorHAnsi" w:cs="Calibri"/>
        </w:rPr>
      </w:pPr>
    </w:p>
    <w:p w14:paraId="39BE3595" w14:textId="6F67B63B" w:rsidR="00230DBF" w:rsidRPr="00004AD9" w:rsidRDefault="00230DBF" w:rsidP="00540368">
      <w:pPr>
        <w:pStyle w:val="Heading3"/>
      </w:pPr>
      <w:bookmarkStart w:id="52" w:name="_Toc166861697"/>
      <w:bookmarkStart w:id="53" w:name="_Toc180484311"/>
      <w:r w:rsidRPr="00004AD9">
        <w:t>Organisational governance</w:t>
      </w:r>
      <w:r w:rsidR="004E3A11" w:rsidRPr="00004AD9">
        <w:t xml:space="preserve"> through a host organisation</w:t>
      </w:r>
      <w:bookmarkEnd w:id="52"/>
      <w:bookmarkEnd w:id="53"/>
    </w:p>
    <w:p w14:paraId="6118A147" w14:textId="6F95B22A" w:rsidR="00486F0D" w:rsidRPr="00120AAB" w:rsidRDefault="00BF1824" w:rsidP="00C57C01">
      <w:pPr>
        <w:spacing w:before="120" w:after="120" w:line="252" w:lineRule="auto"/>
        <w:rPr>
          <w:rFonts w:asciiTheme="majorHAnsi" w:hAnsiTheme="majorHAnsi" w:cs="Calibri"/>
        </w:rPr>
      </w:pPr>
      <w:r w:rsidRPr="00120AAB">
        <w:rPr>
          <w:rFonts w:asciiTheme="majorHAnsi" w:hAnsiTheme="majorHAnsi" w:cs="Calibri"/>
        </w:rPr>
        <w:t xml:space="preserve">Positioning the Centre within a host national </w:t>
      </w:r>
      <w:r w:rsidR="008A34AD" w:rsidRPr="00120AAB">
        <w:rPr>
          <w:rFonts w:asciiTheme="majorHAnsi" w:hAnsiTheme="majorHAnsi" w:cs="Calibri"/>
        </w:rPr>
        <w:t xml:space="preserve">ACCO </w:t>
      </w:r>
      <w:r w:rsidRPr="00120AAB">
        <w:rPr>
          <w:rFonts w:asciiTheme="majorHAnsi" w:hAnsiTheme="majorHAnsi" w:cs="Calibri"/>
        </w:rPr>
        <w:t xml:space="preserve">will be essential to its </w:t>
      </w:r>
      <w:r w:rsidR="00677479" w:rsidRPr="00120AAB">
        <w:rPr>
          <w:rFonts w:asciiTheme="majorHAnsi" w:hAnsiTheme="majorHAnsi" w:cs="Calibri"/>
        </w:rPr>
        <w:t xml:space="preserve">ability to deliver on </w:t>
      </w:r>
      <w:r w:rsidRPr="00120AAB">
        <w:rPr>
          <w:rFonts w:asciiTheme="majorHAnsi" w:hAnsiTheme="majorHAnsi" w:cs="Calibri"/>
        </w:rPr>
        <w:t>its core purpose and functions</w:t>
      </w:r>
      <w:r w:rsidR="007B3A8C" w:rsidRPr="00120AAB">
        <w:rPr>
          <w:rFonts w:asciiTheme="majorHAnsi" w:hAnsiTheme="majorHAnsi" w:cs="Calibri"/>
        </w:rPr>
        <w:t xml:space="preserve">, and </w:t>
      </w:r>
      <w:r w:rsidR="00EA7FF7">
        <w:rPr>
          <w:rFonts w:asciiTheme="majorHAnsi" w:hAnsiTheme="majorHAnsi" w:cs="Calibri"/>
        </w:rPr>
        <w:t>to</w:t>
      </w:r>
      <w:r w:rsidR="007B3A8C" w:rsidRPr="00120AAB">
        <w:rPr>
          <w:rFonts w:asciiTheme="majorHAnsi" w:hAnsiTheme="majorHAnsi" w:cs="Calibri"/>
        </w:rPr>
        <w:t xml:space="preserve"> </w:t>
      </w:r>
      <w:r w:rsidR="00B86783" w:rsidRPr="00120AAB">
        <w:rPr>
          <w:rFonts w:asciiTheme="majorHAnsi" w:hAnsiTheme="majorHAnsi" w:cs="Calibri"/>
        </w:rPr>
        <w:t xml:space="preserve">ensure </w:t>
      </w:r>
      <w:r w:rsidR="007B3A8C" w:rsidRPr="00120AAB">
        <w:rPr>
          <w:rFonts w:asciiTheme="majorHAnsi" w:hAnsiTheme="majorHAnsi" w:cs="Calibri"/>
        </w:rPr>
        <w:t xml:space="preserve">its accountability to </w:t>
      </w:r>
      <w:r w:rsidR="00B86783" w:rsidRPr="00120AAB">
        <w:rPr>
          <w:rFonts w:asciiTheme="majorHAnsi" w:hAnsiTheme="majorHAnsi" w:cs="Calibri"/>
        </w:rPr>
        <w:t>Aboriginal and Torres Strait Islander communities and broader stakeholders.</w:t>
      </w:r>
      <w:r w:rsidRPr="00120AAB">
        <w:rPr>
          <w:rFonts w:asciiTheme="majorHAnsi" w:hAnsiTheme="majorHAnsi" w:cs="Calibri"/>
        </w:rPr>
        <w:t xml:space="preserve"> </w:t>
      </w:r>
      <w:r w:rsidR="00B86783" w:rsidRPr="00120AAB">
        <w:rPr>
          <w:rFonts w:asciiTheme="majorHAnsi" w:hAnsiTheme="majorHAnsi" w:cs="Calibri"/>
        </w:rPr>
        <w:t>In alignment</w:t>
      </w:r>
      <w:r w:rsidR="00F047BD" w:rsidRPr="00120AAB">
        <w:rPr>
          <w:rFonts w:asciiTheme="majorHAnsi" w:hAnsiTheme="majorHAnsi" w:cs="Calibri"/>
        </w:rPr>
        <w:t xml:space="preserve"> with principles of self-determination and the Priority Reforms under the National Agreement</w:t>
      </w:r>
      <w:r w:rsidR="00733DB0" w:rsidRPr="00120AAB">
        <w:rPr>
          <w:rFonts w:asciiTheme="majorHAnsi" w:hAnsiTheme="majorHAnsi" w:cs="Calibri"/>
        </w:rPr>
        <w:t>,</w:t>
      </w:r>
      <w:r w:rsidR="00F047BD" w:rsidRPr="00120AAB">
        <w:rPr>
          <w:rFonts w:asciiTheme="majorHAnsi" w:hAnsiTheme="majorHAnsi" w:cs="Calibri"/>
        </w:rPr>
        <w:t xml:space="preserve"> the host organisation must hold the authority, governance, and leadership to shape and implement </w:t>
      </w:r>
      <w:r w:rsidR="000719CD" w:rsidRPr="00120AAB">
        <w:rPr>
          <w:rFonts w:asciiTheme="majorHAnsi" w:hAnsiTheme="majorHAnsi" w:cs="Calibri"/>
        </w:rPr>
        <w:t xml:space="preserve">the </w:t>
      </w:r>
      <w:r w:rsidR="00F047BD" w:rsidRPr="00120AAB">
        <w:rPr>
          <w:rFonts w:asciiTheme="majorHAnsi" w:hAnsiTheme="majorHAnsi" w:cs="Calibri"/>
        </w:rPr>
        <w:t xml:space="preserve">Centre’s program of work in line with Aboriginal and Torres Strait Islander community priorities and expectations. </w:t>
      </w:r>
    </w:p>
    <w:p w14:paraId="40AB41DF" w14:textId="165F7BC6" w:rsidR="00D30390" w:rsidRPr="00120AAB" w:rsidRDefault="00C9070B" w:rsidP="00C57C01">
      <w:pPr>
        <w:spacing w:before="120" w:after="120" w:line="252" w:lineRule="auto"/>
        <w:rPr>
          <w:rFonts w:asciiTheme="majorHAnsi" w:hAnsiTheme="majorHAnsi" w:cs="Calibri"/>
        </w:rPr>
      </w:pPr>
      <w:r w:rsidRPr="00120AAB">
        <w:rPr>
          <w:rFonts w:asciiTheme="majorHAnsi" w:hAnsiTheme="majorHAnsi" w:cs="Calibri"/>
        </w:rPr>
        <w:t>In line with these requirements,</w:t>
      </w:r>
      <w:r w:rsidR="4F85DF43" w:rsidRPr="00120AAB">
        <w:rPr>
          <w:rFonts w:asciiTheme="majorHAnsi" w:hAnsiTheme="majorHAnsi" w:cs="Calibri"/>
        </w:rPr>
        <w:t xml:space="preserve"> a national ACCO with the necessary children and families sector experience, relationships and cultural authority to lead and support the operations of the Centre</w:t>
      </w:r>
      <w:r w:rsidRPr="00120AAB">
        <w:rPr>
          <w:rFonts w:asciiTheme="majorHAnsi" w:hAnsiTheme="majorHAnsi" w:cs="Calibri"/>
        </w:rPr>
        <w:t xml:space="preserve"> would be well positioned to host the Centre</w:t>
      </w:r>
      <w:r w:rsidR="4F85DF43" w:rsidRPr="00120AAB">
        <w:rPr>
          <w:rFonts w:asciiTheme="majorHAnsi" w:hAnsiTheme="majorHAnsi" w:cs="Calibri"/>
        </w:rPr>
        <w:t xml:space="preserve">. The Centre host will need to have the standing and influence to provide effective evidence-informed advocacy for the community and sector and advice to government and policy makers. </w:t>
      </w:r>
    </w:p>
    <w:p w14:paraId="468461FF" w14:textId="7648CE64" w:rsidR="00220400"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The host organisation’s operation of the Centre would not displace the necessity of resourcing the operation of Aboriginal and Torres Strait Islander</w:t>
      </w:r>
      <w:r w:rsidR="00030494">
        <w:rPr>
          <w:rFonts w:asciiTheme="majorHAnsi" w:hAnsiTheme="majorHAnsi" w:cs="Calibri"/>
        </w:rPr>
        <w:t>-</w:t>
      </w:r>
      <w:r w:rsidRPr="00120AAB">
        <w:rPr>
          <w:rFonts w:asciiTheme="majorHAnsi" w:hAnsiTheme="majorHAnsi" w:cs="Calibri"/>
        </w:rPr>
        <w:t xml:space="preserve">led and governed research centres, networks and institutions in the field of child and family services in states and territories. In fact, as this proposal recognises, the national leadership and coordination functions intended for the Centre would be strengthened and facilitated through the resourcing of jurisdictional </w:t>
      </w:r>
      <w:r w:rsidR="0024503E" w:rsidRPr="00120AAB">
        <w:rPr>
          <w:rFonts w:asciiTheme="majorHAnsi" w:hAnsiTheme="majorHAnsi" w:cs="Calibri"/>
        </w:rPr>
        <w:t xml:space="preserve">bodies </w:t>
      </w:r>
      <w:r w:rsidRPr="00120AAB">
        <w:rPr>
          <w:rFonts w:asciiTheme="majorHAnsi" w:hAnsiTheme="majorHAnsi" w:cs="Calibri"/>
        </w:rPr>
        <w:t xml:space="preserve">with the ability to collaborate at the national level. </w:t>
      </w:r>
    </w:p>
    <w:p w14:paraId="2EF048D1" w14:textId="20D00EEE" w:rsidR="002106E0"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The coordination function of the Centre requires a national body that is able to serve as a conduit between jurisdictional efforts, community-led research and evidence building bodies, and national efforts, in order to coordinate research at all levels. This can be done through facilitating the sharing of best practices nationally and showcasing learnings to foster collaboration and innovation across jurisdictions.</w:t>
      </w:r>
      <w:r w:rsidR="00205CDA" w:rsidRPr="00120AAB">
        <w:rPr>
          <w:rFonts w:asciiTheme="majorHAnsi" w:hAnsiTheme="majorHAnsi" w:cs="Calibri"/>
        </w:rPr>
        <w:t xml:space="preserve"> Increased </w:t>
      </w:r>
      <w:r w:rsidR="00B56115" w:rsidRPr="00120AAB">
        <w:rPr>
          <w:rFonts w:asciiTheme="majorHAnsi" w:hAnsiTheme="majorHAnsi" w:cs="Calibri"/>
        </w:rPr>
        <w:t>investment to support ACCOs to develop</w:t>
      </w:r>
      <w:r w:rsidRPr="00120AAB">
        <w:rPr>
          <w:rFonts w:asciiTheme="majorHAnsi" w:hAnsiTheme="majorHAnsi" w:cs="Calibri"/>
        </w:rPr>
        <w:t xml:space="preserve"> their capacity and infrastructure </w:t>
      </w:r>
      <w:r w:rsidR="00B06997" w:rsidRPr="00120AAB">
        <w:rPr>
          <w:rFonts w:asciiTheme="majorHAnsi" w:hAnsiTheme="majorHAnsi" w:cs="Calibri"/>
        </w:rPr>
        <w:t>to</w:t>
      </w:r>
      <w:r w:rsidRPr="00120AAB">
        <w:rPr>
          <w:rFonts w:asciiTheme="majorHAnsi" w:hAnsiTheme="majorHAnsi" w:cs="Calibri"/>
        </w:rPr>
        <w:t xml:space="preserve"> lead the development of the Aboriginal and Torres Strait Islander evidence base in each jurisdiction</w:t>
      </w:r>
      <w:r w:rsidR="00B06997" w:rsidRPr="00120AAB">
        <w:rPr>
          <w:rFonts w:asciiTheme="majorHAnsi" w:hAnsiTheme="majorHAnsi" w:cs="Calibri"/>
        </w:rPr>
        <w:t xml:space="preserve"> is recommended</w:t>
      </w:r>
      <w:r w:rsidRPr="00120AAB">
        <w:rPr>
          <w:rFonts w:asciiTheme="majorHAnsi" w:hAnsiTheme="majorHAnsi" w:cs="Calibri"/>
        </w:rPr>
        <w:t xml:space="preserve">.  </w:t>
      </w:r>
    </w:p>
    <w:p w14:paraId="3DBE50C8" w14:textId="37D12F39" w:rsidR="00A02BAE"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The following section outlines additional </w:t>
      </w:r>
      <w:r w:rsidR="00046947" w:rsidRPr="00120AAB">
        <w:rPr>
          <w:rFonts w:asciiTheme="majorHAnsi" w:hAnsiTheme="majorHAnsi" w:cs="Calibri"/>
        </w:rPr>
        <w:t>criteria</w:t>
      </w:r>
      <w:r w:rsidRPr="00120AAB">
        <w:rPr>
          <w:rFonts w:asciiTheme="majorHAnsi" w:hAnsiTheme="majorHAnsi" w:cs="Calibri"/>
        </w:rPr>
        <w:t xml:space="preserve"> the host organisation </w:t>
      </w:r>
      <w:r w:rsidR="00116BAB" w:rsidRPr="00120AAB">
        <w:rPr>
          <w:rFonts w:asciiTheme="majorHAnsi" w:hAnsiTheme="majorHAnsi" w:cs="Calibri"/>
        </w:rPr>
        <w:t xml:space="preserve">should meet to ensure </w:t>
      </w:r>
      <w:r w:rsidRPr="00120AAB">
        <w:rPr>
          <w:rFonts w:asciiTheme="majorHAnsi" w:hAnsiTheme="majorHAnsi" w:cs="Calibri"/>
        </w:rPr>
        <w:t>success of the Centre. These features span both governance and operations and highlight how the role of the host organisation will intersect with the Centre to support its purpose.</w:t>
      </w:r>
      <w:r w:rsidR="004E12F9">
        <w:rPr>
          <w:rFonts w:asciiTheme="majorHAnsi" w:hAnsiTheme="majorHAnsi" w:cs="Calibri"/>
        </w:rPr>
        <w:t xml:space="preserve"> </w:t>
      </w:r>
    </w:p>
    <w:p w14:paraId="6BF72BD1" w14:textId="3CFA9E71" w:rsidR="003D4479" w:rsidRPr="00004AD9" w:rsidRDefault="4F85DF43" w:rsidP="00540368">
      <w:pPr>
        <w:pStyle w:val="Heading4"/>
      </w:pPr>
      <w:bookmarkStart w:id="54" w:name="_Toc180484312"/>
      <w:r w:rsidRPr="00004AD9">
        <w:t>Leveraging existing partnerships and relationship</w:t>
      </w:r>
      <w:r w:rsidR="004E12F9" w:rsidRPr="00004AD9">
        <w:t>s</w:t>
      </w:r>
      <w:bookmarkEnd w:id="54"/>
      <w:r w:rsidRPr="00004AD9">
        <w:t xml:space="preserve"> </w:t>
      </w:r>
    </w:p>
    <w:p w14:paraId="775A81ED" w14:textId="1C98942B" w:rsidR="00F047BD"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 xml:space="preserve">The host organisation requires a vast nationwide network across a range of sectors relating to the wellbeing of Aboriginal and Torres Strait Islander children and families. The Centre can leverage these multidisciplinary and cross-sector networks to convene leading academics, researchers, jurisdictional peak bodies and service providers in collective governance and decision-making. </w:t>
      </w:r>
    </w:p>
    <w:p w14:paraId="6637663E" w14:textId="29173913" w:rsidR="00F047BD"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There is an opportunity for the Centre to leverage the existing governance mechanisms and collective expertise of an ACCO host</w:t>
      </w:r>
      <w:r w:rsidRPr="00120AAB">
        <w:rPr>
          <w:rFonts w:asciiTheme="majorHAnsi" w:hAnsiTheme="majorHAnsi"/>
        </w:rPr>
        <w:t xml:space="preserve">. This will avoid duplication of governance functions and reduce the administrative burden on the Centre. </w:t>
      </w:r>
      <w:r w:rsidRPr="00120AAB">
        <w:rPr>
          <w:rFonts w:asciiTheme="majorHAnsi" w:hAnsiTheme="majorHAnsi" w:cs="Calibri"/>
        </w:rPr>
        <w:t xml:space="preserve">A host ACCO with a strong national presence will bring together national ACCO sector leaders and experts from every state and territory to support connectivity, partnership and collaboration. </w:t>
      </w:r>
    </w:p>
    <w:p w14:paraId="765A502E" w14:textId="6222C7F7" w:rsidR="00F047BD"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The host organisation’s existing relationships across the sector can support </w:t>
      </w:r>
      <w:r w:rsidRPr="00120AAB">
        <w:rPr>
          <w:rFonts w:asciiTheme="majorHAnsi" w:hAnsiTheme="majorHAnsi"/>
        </w:rPr>
        <w:t xml:space="preserve">joint appointments, partnerships and collaboration with jurisdictional </w:t>
      </w:r>
      <w:r w:rsidR="0024503E" w:rsidRPr="00120AAB">
        <w:rPr>
          <w:rFonts w:asciiTheme="majorHAnsi" w:hAnsiTheme="majorHAnsi"/>
        </w:rPr>
        <w:t xml:space="preserve">bodies </w:t>
      </w:r>
      <w:r w:rsidRPr="00120AAB">
        <w:rPr>
          <w:rFonts w:asciiTheme="majorHAnsi" w:hAnsiTheme="majorHAnsi"/>
        </w:rPr>
        <w:t xml:space="preserve">and non-Indigenous research and academic institutes </w:t>
      </w:r>
      <w:r w:rsidRPr="00120AAB">
        <w:rPr>
          <w:rFonts w:asciiTheme="majorHAnsi" w:hAnsiTheme="majorHAnsi" w:cs="Calibri"/>
        </w:rPr>
        <w:t>for activities such as:</w:t>
      </w:r>
    </w:p>
    <w:p w14:paraId="01244A74" w14:textId="6B5E2F76" w:rsidR="00CF6C34" w:rsidRPr="00120AAB" w:rsidRDefault="4F85DF43" w:rsidP="00C57C01">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partnering on specific research activities, in line with the National Research Agenda and locally identified priorities, to ensure community-controlled processes are included and considered in commissioned work</w:t>
      </w:r>
    </w:p>
    <w:p w14:paraId="1424E4EA" w14:textId="174FAED1" w:rsidR="000A1C4A" w:rsidRPr="00120AAB" w:rsidRDefault="4F85DF43" w:rsidP="00C57C01">
      <w:pPr>
        <w:pStyle w:val="ListParagraph"/>
        <w:numPr>
          <w:ilvl w:val="0"/>
          <w:numId w:val="1"/>
        </w:numPr>
        <w:spacing w:before="40" w:after="120" w:line="252" w:lineRule="auto"/>
        <w:ind w:left="714" w:hanging="357"/>
        <w:contextualSpacing w:val="0"/>
        <w:rPr>
          <w:rFonts w:asciiTheme="majorHAnsi" w:hAnsiTheme="majorHAnsi" w:cs="Calibri"/>
          <w:sz w:val="24"/>
          <w:szCs w:val="24"/>
        </w:rPr>
      </w:pPr>
      <w:r w:rsidRPr="00120AAB">
        <w:rPr>
          <w:rFonts w:asciiTheme="majorHAnsi" w:hAnsiTheme="majorHAnsi" w:cs="Calibri"/>
          <w:sz w:val="24"/>
          <w:szCs w:val="24"/>
          <w:lang w:val="en-US"/>
        </w:rPr>
        <w:t>providing access to research infrastructure and resources (e.g. library resources and literature)</w:t>
      </w:r>
      <w:r w:rsidR="00A531C5" w:rsidRPr="00120AAB">
        <w:rPr>
          <w:rFonts w:asciiTheme="majorHAnsi" w:hAnsiTheme="majorHAnsi" w:cs="Calibri"/>
          <w:sz w:val="24"/>
          <w:szCs w:val="24"/>
          <w:lang w:val="en-US"/>
        </w:rPr>
        <w:t>;</w:t>
      </w:r>
      <w:r w:rsidRPr="00120AAB">
        <w:rPr>
          <w:rFonts w:asciiTheme="majorHAnsi" w:hAnsiTheme="majorHAnsi" w:cs="Calibri"/>
          <w:sz w:val="24"/>
          <w:szCs w:val="24"/>
          <w:lang w:val="en-US"/>
        </w:rPr>
        <w:t xml:space="preserve"> and</w:t>
      </w:r>
    </w:p>
    <w:p w14:paraId="711A3AB5" w14:textId="719169B2" w:rsidR="000A1C4A" w:rsidRPr="00120AAB" w:rsidRDefault="4F85DF43" w:rsidP="00C57C01">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supporting ACCOs and Aboriginal and Torres Strait Islander research and evidence bodies to participate in the work of the National Centre and strengthen existing research and evidence capabilities.</w:t>
      </w:r>
    </w:p>
    <w:p w14:paraId="1C94901F" w14:textId="22FEC440" w:rsidR="00F047BD" w:rsidRPr="00120AAB" w:rsidRDefault="4F85DF43" w:rsidP="00C57C01">
      <w:pPr>
        <w:suppressAutoHyphens/>
        <w:spacing w:before="40" w:after="120" w:line="252" w:lineRule="auto"/>
        <w:rPr>
          <w:rFonts w:asciiTheme="majorHAnsi" w:hAnsiTheme="majorHAnsi" w:cs="Calibri"/>
        </w:rPr>
      </w:pPr>
      <w:r w:rsidRPr="00120AAB">
        <w:rPr>
          <w:rFonts w:asciiTheme="majorHAnsi" w:hAnsiTheme="majorHAnsi" w:cs="Calibri"/>
        </w:rPr>
        <w:t>The host organisation should have deep connections to Aboriginal and Torres Strait Islander communities. Established pathways to a broad range of communities will be critical to support the Centre’s ability to undertake research that is grounded in the interests and priorities of Aboriginal and Torres Strait Islander communities.</w:t>
      </w:r>
    </w:p>
    <w:p w14:paraId="0A69C37E" w14:textId="77777777" w:rsidR="00F047BD" w:rsidRPr="00004AD9" w:rsidRDefault="4F85DF43" w:rsidP="00540368">
      <w:pPr>
        <w:pStyle w:val="Heading4"/>
      </w:pPr>
      <w:bookmarkStart w:id="55" w:name="_Toc180484313"/>
      <w:r w:rsidRPr="00004AD9">
        <w:t>Alignment with the Centre’s purpose scope, functions, roles and responsibilities</w:t>
      </w:r>
      <w:bookmarkEnd w:id="55"/>
    </w:p>
    <w:p w14:paraId="2AE7CD10" w14:textId="77777777" w:rsidR="009451B2"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 xml:space="preserve">There is a need for clear alignment between the host organisation and the intended purpose, functions and responsibilities of the Centre. This alignment will provide an opportunity for the Centre to leverage the experience, expertise and infrastructure of the host organisation, and ensure the work of the Centre complements other initiatives. </w:t>
      </w:r>
    </w:p>
    <w:p w14:paraId="167D5E2A" w14:textId="6537DB60" w:rsidR="00F047BD"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For example, an existing involvement in research and evaluation across the country, including relating to Indigenous Data Sovereignty, would reduce the risk of duplicating or overriding the work and decision-making power of jurisdictional peaks and local Aboriginal and Torres Strait Islander people and organisations. This connection is critical to ensuring the Centre’s work is well-coordinated and complementary to existing or planned initiatives at the jurisdictional level.</w:t>
      </w:r>
    </w:p>
    <w:p w14:paraId="62923D3C" w14:textId="77777777" w:rsidR="00F047BD" w:rsidRPr="00120AAB" w:rsidRDefault="4F85DF43" w:rsidP="00540368">
      <w:pPr>
        <w:pStyle w:val="Heading4"/>
      </w:pPr>
      <w:bookmarkStart w:id="56" w:name="_Toc180484314"/>
      <w:r w:rsidRPr="00120AAB">
        <w:t>Experience working with governments and key governance structures to improve outcomes for children and families</w:t>
      </w:r>
      <w:bookmarkEnd w:id="56"/>
      <w:r w:rsidRPr="00120AAB">
        <w:t xml:space="preserve">  </w:t>
      </w:r>
    </w:p>
    <w:p w14:paraId="1F4407AE" w14:textId="1E554140" w:rsidR="00F047BD" w:rsidRPr="00120AAB" w:rsidRDefault="4F85DF43" w:rsidP="00C57C01">
      <w:pPr>
        <w:spacing w:before="40" w:after="120" w:line="252" w:lineRule="auto"/>
        <w:rPr>
          <w:rFonts w:asciiTheme="majorHAnsi" w:hAnsiTheme="majorHAnsi" w:cs="Calibri"/>
        </w:rPr>
      </w:pPr>
      <w:r w:rsidRPr="00120AAB">
        <w:rPr>
          <w:rStyle w:val="normaltextrun"/>
          <w:rFonts w:asciiTheme="majorHAnsi" w:eastAsiaTheme="majorEastAsia" w:hAnsiTheme="majorHAnsi"/>
        </w:rPr>
        <w:t>It is important that the host organisation has extensive experience working within the landscape of commonwealth, state and territory government reform on behalf of Aboriginal and Torres Strait Islander children, young people and families. This includes a deep understanding and experience working through existing governance structures for the strategies, plans and frameworks that impact Aboriginal and Torres Strait Islander children</w:t>
      </w:r>
      <w:r w:rsidRPr="00120AAB">
        <w:rPr>
          <w:rFonts w:asciiTheme="majorHAnsi" w:hAnsiTheme="majorHAnsi" w:cs="Calibri"/>
        </w:rPr>
        <w:t xml:space="preserve">. This will provide an opportunity for the </w:t>
      </w:r>
      <w:r w:rsidR="00416BBD" w:rsidRPr="00120AAB">
        <w:rPr>
          <w:rFonts w:asciiTheme="majorHAnsi" w:hAnsiTheme="majorHAnsi" w:cs="Calibri"/>
        </w:rPr>
        <w:t>Centre</w:t>
      </w:r>
      <w:r w:rsidRPr="00120AAB">
        <w:rPr>
          <w:rFonts w:asciiTheme="majorHAnsi" w:hAnsiTheme="majorHAnsi" w:cs="Calibri"/>
        </w:rPr>
        <w:t xml:space="preserve"> to leverage host mechanisms for working with governments to implement evidence-based reform agendas, including under Safe and Supported. </w:t>
      </w:r>
    </w:p>
    <w:p w14:paraId="0FE772BC" w14:textId="7EDF41D9" w:rsidR="00F047BD" w:rsidRPr="00120AAB" w:rsidRDefault="4F85DF43" w:rsidP="00540368">
      <w:pPr>
        <w:pStyle w:val="Heading4"/>
      </w:pPr>
      <w:bookmarkStart w:id="57" w:name="_Toc180484315"/>
      <w:r w:rsidRPr="00120AAB">
        <w:t>A commitment to community-led and culturally</w:t>
      </w:r>
      <w:r w:rsidR="00CE5CD7" w:rsidRPr="00120AAB">
        <w:t xml:space="preserve"> </w:t>
      </w:r>
      <w:r w:rsidRPr="00120AAB">
        <w:t>centred research to support Aboriginal and Torres Strait Islander communities</w:t>
      </w:r>
      <w:bookmarkEnd w:id="57"/>
    </w:p>
    <w:p w14:paraId="3D294594" w14:textId="261C115F" w:rsidR="00F047BD"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The host organisation must be able to demonstrate a commitment to community-led research and the application of Aboriginal and Torres Strait Islander ways of knowing, being and doing to inform research, policy and advocacy. This will help to ensure the host can adequately support the Centre to drive research that is led by the community and centred on Aboriginal and Torres Strait Islander culture. Furthermore, the host organisation must be able to demonstrate its commitment to addressing the Priority Reforms under the National Agreement.</w:t>
      </w:r>
    </w:p>
    <w:p w14:paraId="735F09D7" w14:textId="77777777" w:rsidR="00F047BD" w:rsidRPr="00120AAB" w:rsidRDefault="4F85DF43" w:rsidP="00540368">
      <w:pPr>
        <w:pStyle w:val="Heading4"/>
      </w:pPr>
      <w:bookmarkStart w:id="58" w:name="_Toc180484316"/>
      <w:r w:rsidRPr="00120AAB">
        <w:t>Additional requirements</w:t>
      </w:r>
      <w:bookmarkEnd w:id="58"/>
    </w:p>
    <w:p w14:paraId="20097D76" w14:textId="77777777" w:rsidR="00F047BD" w:rsidRPr="00120AAB" w:rsidRDefault="4F85DF43" w:rsidP="00C57C01">
      <w:pPr>
        <w:spacing w:before="40" w:after="120" w:line="252" w:lineRule="auto"/>
        <w:rPr>
          <w:rFonts w:asciiTheme="majorHAnsi" w:hAnsiTheme="majorHAnsi" w:cs="Calibri"/>
          <w:lang w:val="en-AU"/>
        </w:rPr>
      </w:pPr>
      <w:r w:rsidRPr="00120AAB">
        <w:rPr>
          <w:rFonts w:asciiTheme="majorHAnsi" w:hAnsiTheme="majorHAnsi" w:cs="Calibri"/>
        </w:rPr>
        <w:t xml:space="preserve">In addition, </w:t>
      </w:r>
      <w:r w:rsidRPr="00120AAB">
        <w:rPr>
          <w:rFonts w:asciiTheme="majorHAnsi" w:hAnsiTheme="majorHAnsi" w:cs="Calibri"/>
          <w:lang w:val="en-AU"/>
        </w:rPr>
        <w:t>the host ACCO must also be equipped to lead:</w:t>
      </w:r>
    </w:p>
    <w:p w14:paraId="271ED130" w14:textId="1BC5511C" w:rsidR="00F047BD" w:rsidRPr="00120AAB" w:rsidRDefault="4F85DF43" w:rsidP="00C57C01">
      <w:pPr>
        <w:pStyle w:val="ListParagraph"/>
        <w:numPr>
          <w:ilvl w:val="0"/>
          <w:numId w:val="4"/>
        </w:numPr>
        <w:suppressAutoHyphens/>
        <w:spacing w:before="40" w:after="120" w:line="252" w:lineRule="auto"/>
        <w:ind w:left="714" w:hanging="357"/>
        <w:contextualSpacing w:val="0"/>
        <w:rPr>
          <w:rStyle w:val="normaltextrun"/>
          <w:rFonts w:asciiTheme="majorHAnsi" w:eastAsiaTheme="majorEastAsia" w:hAnsiTheme="majorHAnsi"/>
          <w:sz w:val="24"/>
          <w:szCs w:val="24"/>
        </w:rPr>
      </w:pPr>
      <w:r w:rsidRPr="00120AAB">
        <w:rPr>
          <w:rStyle w:val="normaltextrun"/>
          <w:rFonts w:asciiTheme="majorHAnsi" w:eastAsiaTheme="majorEastAsia" w:hAnsiTheme="majorHAnsi"/>
          <w:i/>
          <w:iCs/>
          <w:sz w:val="24"/>
          <w:szCs w:val="24"/>
        </w:rPr>
        <w:t xml:space="preserve">The design of research and </w:t>
      </w:r>
      <w:r w:rsidRPr="00120AAB">
        <w:rPr>
          <w:rStyle w:val="normaltextrun"/>
          <w:rFonts w:asciiTheme="majorHAnsi" w:eastAsiaTheme="majorEastAsia" w:hAnsiTheme="majorHAnsi" w:cs="Calibri"/>
          <w:i/>
          <w:iCs/>
          <w:sz w:val="24"/>
          <w:szCs w:val="24"/>
        </w:rPr>
        <w:t>Indigenous Data Governance</w:t>
      </w:r>
      <w:r w:rsidRPr="00120AAB">
        <w:rPr>
          <w:rStyle w:val="normaltextrun"/>
          <w:rFonts w:asciiTheme="majorHAnsi" w:eastAsiaTheme="majorEastAsia" w:hAnsiTheme="majorHAnsi" w:cs="Calibri"/>
          <w:sz w:val="24"/>
          <w:szCs w:val="24"/>
        </w:rPr>
        <w:t xml:space="preserve"> – a core requirement for the Centre’s establishment will be the design of research and Aboriginal and Torres Strait Islander data governance, including to ensure the Centre’s operations </w:t>
      </w:r>
      <w:r w:rsidRPr="00120AAB">
        <w:rPr>
          <w:rStyle w:val="normaltextrun"/>
          <w:rFonts w:asciiTheme="majorHAnsi" w:hAnsiTheme="majorHAnsi" w:cs="Calibri"/>
          <w:sz w:val="24"/>
          <w:szCs w:val="24"/>
        </w:rPr>
        <w:t>give effect to the principles of Indigenous Data Sovereignty. It is important that the host organisation can facilitate the design and implementation of these governance arrangements, including by leveraging host governance mechanisms where possible.</w:t>
      </w:r>
    </w:p>
    <w:p w14:paraId="66515552" w14:textId="7AF55F0C" w:rsidR="00F66E03" w:rsidRPr="00120AAB" w:rsidRDefault="4F85DF43" w:rsidP="00C57C01">
      <w:pPr>
        <w:pStyle w:val="ListParagraph"/>
        <w:numPr>
          <w:ilvl w:val="0"/>
          <w:numId w:val="4"/>
        </w:numPr>
        <w:suppressAutoHyphens/>
        <w:spacing w:before="40" w:after="120" w:line="252" w:lineRule="auto"/>
        <w:ind w:left="714" w:hanging="357"/>
        <w:contextualSpacing w:val="0"/>
        <w:rPr>
          <w:rFonts w:asciiTheme="majorHAnsi" w:eastAsiaTheme="majorEastAsia" w:hAnsiTheme="majorHAnsi"/>
          <w:sz w:val="24"/>
          <w:szCs w:val="24"/>
        </w:rPr>
      </w:pPr>
      <w:r w:rsidRPr="00120AAB">
        <w:rPr>
          <w:rStyle w:val="normaltextrun"/>
          <w:rFonts w:asciiTheme="majorHAnsi" w:eastAsiaTheme="majorEastAsia" w:hAnsiTheme="majorHAnsi"/>
          <w:i/>
          <w:iCs/>
          <w:sz w:val="24"/>
          <w:szCs w:val="24"/>
        </w:rPr>
        <w:t>Integration with existing governance models</w:t>
      </w:r>
      <w:r w:rsidRPr="00120AAB">
        <w:rPr>
          <w:rStyle w:val="normaltextrun"/>
          <w:rFonts w:asciiTheme="majorHAnsi" w:eastAsiaTheme="majorEastAsia" w:hAnsiTheme="majorHAnsi" w:cs="Calibri"/>
          <w:sz w:val="24"/>
          <w:szCs w:val="24"/>
        </w:rPr>
        <w:t xml:space="preserve"> – as described above, the host organisation should have extensive experience working across broader governance structures relating to Aboriginal and Torres Strait Islander child and family wellbeing. It is critical that, as part of the Centre’s establishment, </w:t>
      </w:r>
      <w:r w:rsidRPr="00120AAB">
        <w:rPr>
          <w:rFonts w:asciiTheme="majorHAnsi" w:eastAsiaTheme="majorEastAsia" w:hAnsiTheme="majorHAnsi" w:cs="Calibri"/>
          <w:sz w:val="24"/>
          <w:szCs w:val="24"/>
          <w:lang w:val="en-US"/>
        </w:rPr>
        <w:t>the host organisation can lead the Centre’s integration with existing Aboriginal and Torres Strait Islander governance</w:t>
      </w:r>
      <w:r w:rsidR="009F1D63" w:rsidRPr="00120AAB">
        <w:rPr>
          <w:rFonts w:asciiTheme="majorHAnsi" w:eastAsiaTheme="majorEastAsia" w:hAnsiTheme="majorHAnsi" w:cs="Calibri"/>
          <w:sz w:val="24"/>
          <w:szCs w:val="24"/>
          <w:lang w:val="en-US"/>
        </w:rPr>
        <w:t xml:space="preserve">, to ensure its accountability to </w:t>
      </w:r>
      <w:r w:rsidR="005E2D1D" w:rsidRPr="00120AAB">
        <w:rPr>
          <w:rFonts w:asciiTheme="majorHAnsi" w:eastAsiaTheme="majorEastAsia" w:hAnsiTheme="majorHAnsi" w:cs="Calibri"/>
          <w:sz w:val="24"/>
          <w:szCs w:val="24"/>
          <w:lang w:val="en-US"/>
        </w:rPr>
        <w:t>relevant communities and stakeholders</w:t>
      </w:r>
    </w:p>
    <w:p w14:paraId="0D5A0D10" w14:textId="79C5B79E" w:rsidR="002538AC" w:rsidRPr="00120AAB" w:rsidRDefault="00F047BD" w:rsidP="00C57C01">
      <w:pPr>
        <w:pStyle w:val="ListParagraph"/>
        <w:numPr>
          <w:ilvl w:val="0"/>
          <w:numId w:val="4"/>
        </w:numPr>
        <w:suppressAutoHyphens/>
        <w:spacing w:before="40" w:after="120" w:line="252" w:lineRule="auto"/>
        <w:ind w:left="714" w:hanging="357"/>
        <w:contextualSpacing w:val="0"/>
        <w:rPr>
          <w:rStyle w:val="normaltextrun"/>
          <w:rFonts w:asciiTheme="majorHAnsi" w:eastAsiaTheme="majorEastAsia" w:hAnsiTheme="majorHAnsi"/>
          <w:sz w:val="24"/>
          <w:szCs w:val="24"/>
        </w:rPr>
      </w:pPr>
      <w:r w:rsidRPr="00120AAB">
        <w:rPr>
          <w:rStyle w:val="normaltextrun"/>
          <w:rFonts w:asciiTheme="majorHAnsi" w:eastAsiaTheme="majorEastAsia" w:hAnsiTheme="majorHAnsi"/>
          <w:i/>
          <w:iCs/>
          <w:sz w:val="24"/>
          <w:szCs w:val="24"/>
        </w:rPr>
        <w:t>Ongoing establishment –</w:t>
      </w:r>
      <w:r w:rsidRPr="00120AAB">
        <w:rPr>
          <w:rStyle w:val="normaltextrun"/>
          <w:rFonts w:asciiTheme="majorHAnsi" w:eastAsiaTheme="majorEastAsia" w:hAnsiTheme="majorHAnsi" w:cs="Calibri"/>
          <w:sz w:val="24"/>
          <w:szCs w:val="24"/>
        </w:rPr>
        <w:t xml:space="preserve"> there are a range of considerations for the Centre’s ongoing establishment, such as establishing the required physical and virtual infrastructure to support the Centre’s operational needs. The host organisation must be able to lead the ongoing establishment of the Centre.</w:t>
      </w:r>
      <w:bookmarkStart w:id="59" w:name="_Toc166861698"/>
    </w:p>
    <w:p w14:paraId="52372EC0" w14:textId="48AFF5A2" w:rsidR="00B93515" w:rsidRPr="00004AD9" w:rsidRDefault="00B93515" w:rsidP="00540368">
      <w:pPr>
        <w:pStyle w:val="Heading3"/>
      </w:pPr>
      <w:bookmarkStart w:id="60" w:name="_Toc180484317"/>
      <w:r w:rsidRPr="00004AD9">
        <w:t>Other options considered</w:t>
      </w:r>
      <w:bookmarkEnd w:id="60"/>
    </w:p>
    <w:p w14:paraId="23C91131" w14:textId="233E2A1C" w:rsidR="00B93515" w:rsidRPr="00825296" w:rsidRDefault="007F258B" w:rsidP="00C57C01">
      <w:pPr>
        <w:spacing w:before="120" w:after="120" w:line="252" w:lineRule="auto"/>
        <w:rPr>
          <w:rFonts w:asciiTheme="majorHAnsi" w:hAnsiTheme="majorHAnsi" w:cs="Calibri"/>
        </w:rPr>
      </w:pPr>
      <w:r w:rsidRPr="00825296">
        <w:rPr>
          <w:rFonts w:asciiTheme="majorHAnsi" w:hAnsiTheme="majorHAnsi" w:cs="Calibri"/>
        </w:rPr>
        <w:t xml:space="preserve">A number </w:t>
      </w:r>
      <w:r w:rsidR="008132AA" w:rsidRPr="00825296">
        <w:rPr>
          <w:rFonts w:asciiTheme="majorHAnsi" w:hAnsiTheme="majorHAnsi" w:cs="Calibri"/>
        </w:rPr>
        <w:t>of o</w:t>
      </w:r>
      <w:r w:rsidR="00535F99" w:rsidRPr="00825296">
        <w:rPr>
          <w:rFonts w:asciiTheme="majorHAnsi" w:hAnsiTheme="majorHAnsi" w:cs="Calibri"/>
        </w:rPr>
        <w:t xml:space="preserve">ther governance </w:t>
      </w:r>
      <w:r w:rsidR="00993848" w:rsidRPr="00825296">
        <w:rPr>
          <w:rFonts w:asciiTheme="majorHAnsi" w:hAnsiTheme="majorHAnsi" w:cs="Calibri"/>
        </w:rPr>
        <w:t>options</w:t>
      </w:r>
      <w:r w:rsidR="00535F99" w:rsidRPr="00825296">
        <w:rPr>
          <w:rFonts w:asciiTheme="majorHAnsi" w:hAnsiTheme="majorHAnsi" w:cs="Calibri"/>
        </w:rPr>
        <w:t xml:space="preserve"> were considered through the design process, including a standalone governance model</w:t>
      </w:r>
      <w:r w:rsidR="00B10D47" w:rsidRPr="00825296">
        <w:rPr>
          <w:rFonts w:asciiTheme="majorHAnsi" w:hAnsiTheme="majorHAnsi" w:cs="Calibri"/>
        </w:rPr>
        <w:t xml:space="preserve"> and</w:t>
      </w:r>
      <w:r w:rsidR="00993848" w:rsidRPr="00825296">
        <w:rPr>
          <w:rFonts w:asciiTheme="majorHAnsi" w:hAnsiTheme="majorHAnsi" w:cs="Calibri"/>
        </w:rPr>
        <w:t xml:space="preserve"> </w:t>
      </w:r>
      <w:r w:rsidR="00DC1827" w:rsidRPr="00825296">
        <w:rPr>
          <w:rFonts w:asciiTheme="majorHAnsi" w:hAnsiTheme="majorHAnsi" w:cs="Calibri"/>
        </w:rPr>
        <w:t>establishing the Centre through formal partnership with an academic institution</w:t>
      </w:r>
      <w:r w:rsidR="00535F99" w:rsidRPr="00825296">
        <w:rPr>
          <w:rFonts w:asciiTheme="majorHAnsi" w:hAnsiTheme="majorHAnsi" w:cs="Calibri"/>
        </w:rPr>
        <w:t>.</w:t>
      </w:r>
      <w:r w:rsidR="009424CC" w:rsidRPr="00825296">
        <w:rPr>
          <w:rFonts w:asciiTheme="majorHAnsi" w:hAnsiTheme="majorHAnsi" w:cs="Calibri"/>
        </w:rPr>
        <w:t xml:space="preserve"> </w:t>
      </w:r>
      <w:r w:rsidR="00B93515" w:rsidRPr="00825296">
        <w:rPr>
          <w:rFonts w:asciiTheme="majorHAnsi" w:hAnsiTheme="majorHAnsi" w:cs="Calibri"/>
        </w:rPr>
        <w:t>These options were deemed un</w:t>
      </w:r>
      <w:r w:rsidR="00E448C8" w:rsidRPr="00825296">
        <w:rPr>
          <w:rFonts w:asciiTheme="majorHAnsi" w:hAnsiTheme="majorHAnsi" w:cs="Calibri"/>
        </w:rPr>
        <w:t>feasible</w:t>
      </w:r>
      <w:r w:rsidR="00B93515" w:rsidRPr="00825296">
        <w:rPr>
          <w:rFonts w:asciiTheme="majorHAnsi" w:hAnsiTheme="majorHAnsi" w:cs="Calibri"/>
        </w:rPr>
        <w:t xml:space="preserve"> and are not recommended</w:t>
      </w:r>
      <w:r w:rsidR="008132AA" w:rsidRPr="00825296">
        <w:rPr>
          <w:rFonts w:asciiTheme="majorHAnsi" w:hAnsiTheme="majorHAnsi" w:cs="Calibri"/>
        </w:rPr>
        <w:t xml:space="preserve"> as outlined below</w:t>
      </w:r>
      <w:r w:rsidR="00B93515" w:rsidRPr="00825296">
        <w:rPr>
          <w:rFonts w:asciiTheme="majorHAnsi" w:hAnsiTheme="majorHAnsi" w:cs="Calibri"/>
        </w:rPr>
        <w:t>.</w:t>
      </w:r>
    </w:p>
    <w:p w14:paraId="6FC69458" w14:textId="3E1A89DA" w:rsidR="003C2776" w:rsidRPr="00825296" w:rsidRDefault="003C2776" w:rsidP="00540368">
      <w:pPr>
        <w:pStyle w:val="Heading4"/>
      </w:pPr>
      <w:bookmarkStart w:id="61" w:name="_Toc180484318"/>
      <w:r w:rsidRPr="00825296">
        <w:t>Standalone model</w:t>
      </w:r>
      <w:bookmarkEnd w:id="61"/>
    </w:p>
    <w:p w14:paraId="0F4AB830" w14:textId="355BFF55" w:rsidR="0095066B" w:rsidRPr="00825296" w:rsidRDefault="00EB1486" w:rsidP="00C57C01">
      <w:pPr>
        <w:spacing w:before="120" w:after="120" w:line="252" w:lineRule="auto"/>
        <w:rPr>
          <w:rFonts w:asciiTheme="majorHAnsi" w:hAnsiTheme="majorHAnsi" w:cs="Calibri"/>
        </w:rPr>
      </w:pPr>
      <w:r w:rsidRPr="00825296">
        <w:rPr>
          <w:rFonts w:asciiTheme="majorHAnsi" w:hAnsiTheme="majorHAnsi" w:cs="Calibri"/>
        </w:rPr>
        <w:t>Establishing the Centre</w:t>
      </w:r>
      <w:r w:rsidR="00D87292" w:rsidRPr="00825296">
        <w:rPr>
          <w:rFonts w:asciiTheme="majorHAnsi" w:hAnsiTheme="majorHAnsi" w:cs="Calibri"/>
        </w:rPr>
        <w:t xml:space="preserve"> independently of an ACCO host organisation</w:t>
      </w:r>
      <w:r w:rsidR="00665F7B" w:rsidRPr="00825296">
        <w:rPr>
          <w:rFonts w:asciiTheme="majorHAnsi" w:hAnsiTheme="majorHAnsi" w:cs="Calibri"/>
        </w:rPr>
        <w:t xml:space="preserve"> </w:t>
      </w:r>
      <w:r w:rsidR="001111E2" w:rsidRPr="00825296">
        <w:rPr>
          <w:rFonts w:asciiTheme="majorHAnsi" w:hAnsiTheme="majorHAnsi" w:cs="Calibri"/>
        </w:rPr>
        <w:t xml:space="preserve">would </w:t>
      </w:r>
      <w:r w:rsidR="001A5FED" w:rsidRPr="00825296">
        <w:rPr>
          <w:rFonts w:asciiTheme="majorHAnsi" w:hAnsiTheme="majorHAnsi" w:cs="Calibri"/>
        </w:rPr>
        <w:t xml:space="preserve">result in </w:t>
      </w:r>
      <w:r w:rsidR="00665F7B" w:rsidRPr="00825296">
        <w:rPr>
          <w:rFonts w:asciiTheme="majorHAnsi" w:hAnsiTheme="majorHAnsi" w:cs="Calibri"/>
        </w:rPr>
        <w:t xml:space="preserve">a missed opportunity </w:t>
      </w:r>
      <w:r w:rsidR="00DD67F3" w:rsidRPr="00825296">
        <w:rPr>
          <w:rFonts w:asciiTheme="majorHAnsi" w:hAnsiTheme="majorHAnsi" w:cs="Calibri"/>
        </w:rPr>
        <w:t xml:space="preserve">to </w:t>
      </w:r>
      <w:r w:rsidR="00B511F4" w:rsidRPr="00825296">
        <w:rPr>
          <w:rFonts w:asciiTheme="majorHAnsi" w:hAnsiTheme="majorHAnsi" w:cs="Calibri"/>
        </w:rPr>
        <w:t>provide</w:t>
      </w:r>
      <w:r w:rsidR="00160927" w:rsidRPr="00825296">
        <w:rPr>
          <w:rFonts w:asciiTheme="majorHAnsi" w:hAnsiTheme="majorHAnsi" w:cs="Calibri"/>
        </w:rPr>
        <w:t xml:space="preserve"> the Centre with the</w:t>
      </w:r>
      <w:r w:rsidR="00273E11" w:rsidRPr="00825296">
        <w:rPr>
          <w:rFonts w:asciiTheme="majorHAnsi" w:hAnsiTheme="majorHAnsi" w:cs="Calibri"/>
        </w:rPr>
        <w:t xml:space="preserve"> critical </w:t>
      </w:r>
      <w:r w:rsidR="00B93515" w:rsidRPr="00825296">
        <w:rPr>
          <w:rFonts w:asciiTheme="majorHAnsi" w:hAnsiTheme="majorHAnsi" w:cs="Calibri"/>
        </w:rPr>
        <w:t>foundation</w:t>
      </w:r>
      <w:r w:rsidR="00273E11" w:rsidRPr="00825296">
        <w:rPr>
          <w:rFonts w:asciiTheme="majorHAnsi" w:hAnsiTheme="majorHAnsi" w:cs="Calibri"/>
        </w:rPr>
        <w:t xml:space="preserve"> it requires to successfully </w:t>
      </w:r>
      <w:r w:rsidR="0091359B" w:rsidRPr="00825296">
        <w:rPr>
          <w:rFonts w:asciiTheme="majorHAnsi" w:hAnsiTheme="majorHAnsi" w:cs="Calibri"/>
        </w:rPr>
        <w:t>fulfil</w:t>
      </w:r>
      <w:r w:rsidR="00273E11" w:rsidRPr="00825296">
        <w:rPr>
          <w:rFonts w:asciiTheme="majorHAnsi" w:hAnsiTheme="majorHAnsi" w:cs="Calibri"/>
        </w:rPr>
        <w:t xml:space="preserve"> its </w:t>
      </w:r>
      <w:r w:rsidR="00BB3CE3" w:rsidRPr="00825296">
        <w:rPr>
          <w:rFonts w:asciiTheme="majorHAnsi" w:hAnsiTheme="majorHAnsi" w:cs="Calibri"/>
        </w:rPr>
        <w:t>core</w:t>
      </w:r>
      <w:r w:rsidR="00273E11" w:rsidRPr="00825296">
        <w:rPr>
          <w:rFonts w:asciiTheme="majorHAnsi" w:hAnsiTheme="majorHAnsi" w:cs="Calibri"/>
        </w:rPr>
        <w:t xml:space="preserve"> </w:t>
      </w:r>
      <w:r w:rsidR="00B23106" w:rsidRPr="00825296">
        <w:rPr>
          <w:rFonts w:asciiTheme="majorHAnsi" w:hAnsiTheme="majorHAnsi" w:cs="Calibri"/>
        </w:rPr>
        <w:t xml:space="preserve">purpose and functions. </w:t>
      </w:r>
      <w:r w:rsidR="008D6397" w:rsidRPr="00825296">
        <w:rPr>
          <w:rFonts w:asciiTheme="majorHAnsi" w:hAnsiTheme="majorHAnsi" w:cs="Calibri"/>
        </w:rPr>
        <w:t>A standalone</w:t>
      </w:r>
      <w:r w:rsidR="00A84BE5" w:rsidRPr="00825296">
        <w:rPr>
          <w:rFonts w:asciiTheme="majorHAnsi" w:hAnsiTheme="majorHAnsi" w:cs="Calibri"/>
        </w:rPr>
        <w:t xml:space="preserve"> model would </w:t>
      </w:r>
      <w:r w:rsidR="008D6397" w:rsidRPr="00825296">
        <w:rPr>
          <w:rFonts w:asciiTheme="majorHAnsi" w:hAnsiTheme="majorHAnsi" w:cs="Calibri"/>
        </w:rPr>
        <w:t>hinder</w:t>
      </w:r>
      <w:r w:rsidR="00A84BE5" w:rsidRPr="00825296">
        <w:rPr>
          <w:rFonts w:asciiTheme="majorHAnsi" w:hAnsiTheme="majorHAnsi" w:cs="Calibri"/>
        </w:rPr>
        <w:t xml:space="preserve"> the Centre’s </w:t>
      </w:r>
      <w:r w:rsidR="009C2C29" w:rsidRPr="00825296">
        <w:rPr>
          <w:rFonts w:asciiTheme="majorHAnsi" w:hAnsiTheme="majorHAnsi" w:cs="Calibri"/>
        </w:rPr>
        <w:t>ability to leverage dee</w:t>
      </w:r>
      <w:r w:rsidR="00D60E6E" w:rsidRPr="00825296">
        <w:rPr>
          <w:rFonts w:asciiTheme="majorHAnsi" w:hAnsiTheme="majorHAnsi" w:cs="Calibri"/>
        </w:rPr>
        <w:t>p</w:t>
      </w:r>
      <w:r w:rsidR="009C2C29" w:rsidRPr="00825296">
        <w:rPr>
          <w:rFonts w:asciiTheme="majorHAnsi" w:hAnsiTheme="majorHAnsi" w:cs="Calibri"/>
        </w:rPr>
        <w:t xml:space="preserve"> connections to Aboriginal and Torres Strait </w:t>
      </w:r>
      <w:r w:rsidR="000D0967" w:rsidRPr="00825296">
        <w:rPr>
          <w:rFonts w:asciiTheme="majorHAnsi" w:hAnsiTheme="majorHAnsi" w:cs="Calibri"/>
        </w:rPr>
        <w:t>Islander communities</w:t>
      </w:r>
      <w:r w:rsidR="0015556A" w:rsidRPr="00825296">
        <w:rPr>
          <w:rFonts w:asciiTheme="majorHAnsi" w:hAnsiTheme="majorHAnsi" w:cs="Calibri"/>
        </w:rPr>
        <w:t xml:space="preserve"> </w:t>
      </w:r>
      <w:r w:rsidR="00FA6460" w:rsidRPr="00825296">
        <w:rPr>
          <w:rFonts w:asciiTheme="majorHAnsi" w:hAnsiTheme="majorHAnsi" w:cs="Calibri"/>
        </w:rPr>
        <w:t xml:space="preserve">and cross-sector networks across </w:t>
      </w:r>
      <w:r w:rsidR="00300E63" w:rsidRPr="00825296">
        <w:rPr>
          <w:rFonts w:asciiTheme="majorHAnsi" w:hAnsiTheme="majorHAnsi" w:cs="Calibri"/>
        </w:rPr>
        <w:t>all jurisdictions</w:t>
      </w:r>
      <w:r w:rsidR="000D0967" w:rsidRPr="00825296">
        <w:rPr>
          <w:rFonts w:asciiTheme="majorHAnsi" w:hAnsiTheme="majorHAnsi" w:cs="Calibri"/>
        </w:rPr>
        <w:t xml:space="preserve">, </w:t>
      </w:r>
      <w:r w:rsidR="00811F01" w:rsidRPr="00825296">
        <w:rPr>
          <w:rFonts w:asciiTheme="majorHAnsi" w:hAnsiTheme="majorHAnsi" w:cs="Calibri"/>
        </w:rPr>
        <w:t xml:space="preserve">and </w:t>
      </w:r>
      <w:r w:rsidR="008132AA" w:rsidRPr="00825296">
        <w:rPr>
          <w:rFonts w:asciiTheme="majorHAnsi" w:hAnsiTheme="majorHAnsi" w:cs="Calibri"/>
        </w:rPr>
        <w:t xml:space="preserve">to </w:t>
      </w:r>
      <w:r w:rsidR="00811F01" w:rsidRPr="00825296">
        <w:rPr>
          <w:rFonts w:asciiTheme="majorHAnsi" w:hAnsiTheme="majorHAnsi" w:cs="Calibri"/>
        </w:rPr>
        <w:t xml:space="preserve">operate </w:t>
      </w:r>
      <w:r w:rsidR="0022101F" w:rsidRPr="00825296">
        <w:rPr>
          <w:rFonts w:asciiTheme="majorHAnsi" w:hAnsiTheme="majorHAnsi" w:cs="Calibri"/>
        </w:rPr>
        <w:t xml:space="preserve">in a way that is </w:t>
      </w:r>
      <w:r w:rsidR="009213EC" w:rsidRPr="00825296">
        <w:rPr>
          <w:rFonts w:asciiTheme="majorHAnsi" w:hAnsiTheme="majorHAnsi" w:cs="Calibri"/>
        </w:rPr>
        <w:t xml:space="preserve">directly </w:t>
      </w:r>
      <w:r w:rsidR="0022101F" w:rsidRPr="00825296">
        <w:rPr>
          <w:rFonts w:asciiTheme="majorHAnsi" w:hAnsiTheme="majorHAnsi" w:cs="Calibri"/>
        </w:rPr>
        <w:t>accountable to Aboriginal and Torres Strait Islander people</w:t>
      </w:r>
      <w:r w:rsidR="004168FE" w:rsidRPr="00825296">
        <w:rPr>
          <w:rFonts w:asciiTheme="majorHAnsi" w:hAnsiTheme="majorHAnsi" w:cs="Calibri"/>
        </w:rPr>
        <w:t xml:space="preserve"> through a</w:t>
      </w:r>
      <w:r w:rsidR="00300E63" w:rsidRPr="00825296">
        <w:rPr>
          <w:rFonts w:asciiTheme="majorHAnsi" w:hAnsiTheme="majorHAnsi" w:cs="Calibri"/>
        </w:rPr>
        <w:t>n established</w:t>
      </w:r>
      <w:r w:rsidR="004168FE" w:rsidRPr="00825296">
        <w:rPr>
          <w:rFonts w:asciiTheme="majorHAnsi" w:hAnsiTheme="majorHAnsi" w:cs="Calibri"/>
        </w:rPr>
        <w:t xml:space="preserve"> </w:t>
      </w:r>
      <w:r w:rsidR="005A4340" w:rsidRPr="00825296">
        <w:rPr>
          <w:rFonts w:asciiTheme="majorHAnsi" w:hAnsiTheme="majorHAnsi" w:cs="Calibri"/>
        </w:rPr>
        <w:t>community-controlled governance structure</w:t>
      </w:r>
      <w:r w:rsidR="004168FE" w:rsidRPr="00825296">
        <w:rPr>
          <w:rFonts w:asciiTheme="majorHAnsi" w:hAnsiTheme="majorHAnsi" w:cs="Calibri"/>
        </w:rPr>
        <w:t>.</w:t>
      </w:r>
      <w:r w:rsidR="00F57697" w:rsidRPr="00825296">
        <w:rPr>
          <w:rFonts w:asciiTheme="majorHAnsi" w:hAnsiTheme="majorHAnsi" w:cs="Calibri"/>
        </w:rPr>
        <w:t xml:space="preserve"> </w:t>
      </w:r>
      <w:r w:rsidR="004168FE" w:rsidRPr="00825296">
        <w:rPr>
          <w:rFonts w:asciiTheme="majorHAnsi" w:hAnsiTheme="majorHAnsi" w:cs="Calibri"/>
        </w:rPr>
        <w:t xml:space="preserve"> In turn, this</w:t>
      </w:r>
      <w:r w:rsidR="00616CA9" w:rsidRPr="00825296">
        <w:rPr>
          <w:rFonts w:asciiTheme="majorHAnsi" w:hAnsiTheme="majorHAnsi" w:cs="Calibri"/>
        </w:rPr>
        <w:t xml:space="preserve"> </w:t>
      </w:r>
      <w:r w:rsidR="00811F01" w:rsidRPr="00825296">
        <w:rPr>
          <w:rFonts w:asciiTheme="majorHAnsi" w:hAnsiTheme="majorHAnsi" w:cs="Calibri"/>
        </w:rPr>
        <w:t xml:space="preserve">would </w:t>
      </w:r>
      <w:r w:rsidR="009D26B7" w:rsidRPr="00825296">
        <w:rPr>
          <w:rFonts w:asciiTheme="majorHAnsi" w:hAnsiTheme="majorHAnsi" w:cs="Calibri"/>
        </w:rPr>
        <w:t>reduce</w:t>
      </w:r>
      <w:r w:rsidR="00811F01" w:rsidRPr="00825296">
        <w:rPr>
          <w:rFonts w:asciiTheme="majorHAnsi" w:hAnsiTheme="majorHAnsi" w:cs="Calibri"/>
        </w:rPr>
        <w:t xml:space="preserve"> the</w:t>
      </w:r>
      <w:r w:rsidR="00616CA9" w:rsidRPr="00825296">
        <w:rPr>
          <w:rFonts w:asciiTheme="majorHAnsi" w:hAnsiTheme="majorHAnsi" w:cs="Calibri"/>
        </w:rPr>
        <w:t xml:space="preserve"> Centre</w:t>
      </w:r>
      <w:r w:rsidR="008D5538" w:rsidRPr="00825296">
        <w:rPr>
          <w:rFonts w:asciiTheme="majorHAnsi" w:hAnsiTheme="majorHAnsi" w:cs="Calibri"/>
        </w:rPr>
        <w:t>’s</w:t>
      </w:r>
      <w:r w:rsidR="00B84E47" w:rsidRPr="00825296">
        <w:rPr>
          <w:rFonts w:asciiTheme="majorHAnsi" w:hAnsiTheme="majorHAnsi" w:cs="Calibri"/>
        </w:rPr>
        <w:t xml:space="preserve"> </w:t>
      </w:r>
      <w:r w:rsidR="009D26B7" w:rsidRPr="00825296">
        <w:rPr>
          <w:rFonts w:asciiTheme="majorHAnsi" w:hAnsiTheme="majorHAnsi" w:cs="Calibri"/>
        </w:rPr>
        <w:t>capacity</w:t>
      </w:r>
      <w:r w:rsidR="00B84E47" w:rsidRPr="00825296">
        <w:rPr>
          <w:rFonts w:asciiTheme="majorHAnsi" w:hAnsiTheme="majorHAnsi" w:cs="Calibri"/>
        </w:rPr>
        <w:t xml:space="preserve"> to</w:t>
      </w:r>
      <w:r w:rsidR="00DA4848" w:rsidRPr="00825296">
        <w:rPr>
          <w:rFonts w:asciiTheme="majorHAnsi" w:hAnsiTheme="majorHAnsi" w:cs="Calibri"/>
        </w:rPr>
        <w:t xml:space="preserve"> </w:t>
      </w:r>
      <w:r w:rsidR="00811F01" w:rsidRPr="00825296">
        <w:rPr>
          <w:rFonts w:asciiTheme="majorHAnsi" w:hAnsiTheme="majorHAnsi" w:cs="Calibri"/>
        </w:rPr>
        <w:t xml:space="preserve">build an </w:t>
      </w:r>
      <w:r w:rsidR="00DA4848" w:rsidRPr="00825296">
        <w:rPr>
          <w:rFonts w:asciiTheme="majorHAnsi" w:hAnsiTheme="majorHAnsi" w:cs="Calibri"/>
        </w:rPr>
        <w:t>evidence</w:t>
      </w:r>
      <w:r w:rsidR="00811F01" w:rsidRPr="00825296">
        <w:rPr>
          <w:rFonts w:asciiTheme="majorHAnsi" w:hAnsiTheme="majorHAnsi" w:cs="Calibri"/>
        </w:rPr>
        <w:t xml:space="preserve"> base</w:t>
      </w:r>
      <w:r w:rsidR="00DA4848" w:rsidRPr="00825296">
        <w:rPr>
          <w:rFonts w:asciiTheme="majorHAnsi" w:hAnsiTheme="majorHAnsi" w:cs="Calibri"/>
        </w:rPr>
        <w:t xml:space="preserve"> </w:t>
      </w:r>
      <w:r w:rsidR="00811F01" w:rsidRPr="00825296">
        <w:rPr>
          <w:rFonts w:asciiTheme="majorHAnsi" w:hAnsiTheme="majorHAnsi" w:cs="Calibri"/>
        </w:rPr>
        <w:t xml:space="preserve">for </w:t>
      </w:r>
      <w:r w:rsidR="00DA4848" w:rsidRPr="00825296">
        <w:rPr>
          <w:rFonts w:asciiTheme="majorHAnsi" w:hAnsiTheme="majorHAnsi" w:cs="Calibri"/>
        </w:rPr>
        <w:t>support</w:t>
      </w:r>
      <w:r w:rsidR="00AC02D2" w:rsidRPr="00825296">
        <w:rPr>
          <w:rFonts w:asciiTheme="majorHAnsi" w:hAnsiTheme="majorHAnsi" w:cs="Calibri"/>
        </w:rPr>
        <w:t>ing</w:t>
      </w:r>
      <w:r w:rsidR="00DA4848" w:rsidRPr="00825296">
        <w:rPr>
          <w:rFonts w:asciiTheme="majorHAnsi" w:hAnsiTheme="majorHAnsi" w:cs="Calibri"/>
        </w:rPr>
        <w:t xml:space="preserve"> children</w:t>
      </w:r>
      <w:r w:rsidR="00300E63" w:rsidRPr="00825296">
        <w:rPr>
          <w:rFonts w:asciiTheme="majorHAnsi" w:hAnsiTheme="majorHAnsi" w:cs="Calibri"/>
        </w:rPr>
        <w:t xml:space="preserve"> and families</w:t>
      </w:r>
      <w:r w:rsidR="00650486" w:rsidRPr="00825296">
        <w:rPr>
          <w:rFonts w:asciiTheme="majorHAnsi" w:hAnsiTheme="majorHAnsi" w:cs="Calibri"/>
        </w:rPr>
        <w:t xml:space="preserve"> that is</w:t>
      </w:r>
      <w:r w:rsidR="009213EC" w:rsidRPr="00825296">
        <w:rPr>
          <w:rFonts w:asciiTheme="majorHAnsi" w:hAnsiTheme="majorHAnsi" w:cs="Calibri"/>
        </w:rPr>
        <w:t xml:space="preserve"> led by</w:t>
      </w:r>
      <w:r w:rsidR="006B57FF" w:rsidRPr="00825296">
        <w:rPr>
          <w:rFonts w:asciiTheme="majorHAnsi" w:hAnsiTheme="majorHAnsi" w:cs="Calibri"/>
        </w:rPr>
        <w:t>, and</w:t>
      </w:r>
      <w:r w:rsidR="00650486" w:rsidRPr="00825296">
        <w:rPr>
          <w:rFonts w:asciiTheme="majorHAnsi" w:hAnsiTheme="majorHAnsi" w:cs="Calibri"/>
        </w:rPr>
        <w:t xml:space="preserve"> centred on</w:t>
      </w:r>
      <w:r w:rsidR="006B57FF" w:rsidRPr="00825296">
        <w:rPr>
          <w:rFonts w:asciiTheme="majorHAnsi" w:hAnsiTheme="majorHAnsi" w:cs="Calibri"/>
        </w:rPr>
        <w:t xml:space="preserve"> the perspectives of,</w:t>
      </w:r>
      <w:r w:rsidR="00650486" w:rsidRPr="00825296">
        <w:rPr>
          <w:rFonts w:asciiTheme="majorHAnsi" w:hAnsiTheme="majorHAnsi" w:cs="Calibri"/>
        </w:rPr>
        <w:t xml:space="preserve"> Aboriginal and Torres Strait Islander </w:t>
      </w:r>
      <w:r w:rsidR="006B57FF" w:rsidRPr="00825296">
        <w:rPr>
          <w:rFonts w:asciiTheme="majorHAnsi" w:hAnsiTheme="majorHAnsi" w:cs="Calibri"/>
        </w:rPr>
        <w:t>communities</w:t>
      </w:r>
      <w:r w:rsidR="00650486" w:rsidRPr="00825296">
        <w:rPr>
          <w:rFonts w:asciiTheme="majorHAnsi" w:hAnsiTheme="majorHAnsi" w:cs="Calibri"/>
        </w:rPr>
        <w:t>.</w:t>
      </w:r>
      <w:r w:rsidR="009E5564" w:rsidRPr="00825296">
        <w:rPr>
          <w:rFonts w:asciiTheme="majorHAnsi" w:hAnsiTheme="majorHAnsi" w:cs="Calibri"/>
        </w:rPr>
        <w:t xml:space="preserve"> </w:t>
      </w:r>
    </w:p>
    <w:p w14:paraId="4B76BB25" w14:textId="0B1E3502" w:rsidR="000F5EFA" w:rsidRPr="00825296" w:rsidRDefault="0095066B" w:rsidP="00C57C01">
      <w:pPr>
        <w:spacing w:before="120" w:after="120" w:line="252" w:lineRule="auto"/>
        <w:rPr>
          <w:rFonts w:asciiTheme="majorHAnsi" w:hAnsiTheme="majorHAnsi" w:cs="Calibri"/>
        </w:rPr>
      </w:pPr>
      <w:r w:rsidRPr="00825296">
        <w:rPr>
          <w:rFonts w:asciiTheme="majorHAnsi" w:hAnsiTheme="majorHAnsi" w:cs="Calibri"/>
        </w:rPr>
        <w:t xml:space="preserve">An option to establish the Centre as a new ACCO was considered, however it was concluded that this would result in extensive additional time and expense in the Centre’s establishment and operation given the </w:t>
      </w:r>
      <w:r w:rsidR="00770B62" w:rsidRPr="00825296">
        <w:rPr>
          <w:rFonts w:asciiTheme="majorHAnsi" w:hAnsiTheme="majorHAnsi" w:cs="Calibri"/>
        </w:rPr>
        <w:t>significant</w:t>
      </w:r>
      <w:r w:rsidRPr="00825296">
        <w:rPr>
          <w:rFonts w:asciiTheme="majorHAnsi" w:hAnsiTheme="majorHAnsi" w:cs="Calibri"/>
        </w:rPr>
        <w:t xml:space="preserve"> community-led design required to create a new community-controlled institution, and the inability to leverage existing infrastructure. This option was also considered to have high potential to overlap and displace existing community-controlled governance. Establishing the Centre as a non-ACCO standalone model was not in scope for the design given the specific requirement that the Centre be Aboriginal and Torres Strait Islander-led, which is not possible without an Aboriginal and Torres Strait Islander community-controlled governance structure.</w:t>
      </w:r>
    </w:p>
    <w:p w14:paraId="7B8BFA2F" w14:textId="054C76B8" w:rsidR="003C2776" w:rsidRPr="00825296" w:rsidRDefault="003C2776" w:rsidP="00540368">
      <w:pPr>
        <w:pStyle w:val="Heading4"/>
      </w:pPr>
      <w:bookmarkStart w:id="62" w:name="_Toc180484319"/>
      <w:r w:rsidRPr="00825296">
        <w:t>Academic partnership model</w:t>
      </w:r>
      <w:bookmarkEnd w:id="62"/>
    </w:p>
    <w:p w14:paraId="303867D5" w14:textId="4C5C23F3" w:rsidR="00811632" w:rsidRPr="00825296" w:rsidRDefault="00050716" w:rsidP="00C57C01">
      <w:pPr>
        <w:suppressAutoHyphens/>
        <w:spacing w:before="40" w:after="120" w:line="252" w:lineRule="auto"/>
        <w:rPr>
          <w:rFonts w:asciiTheme="majorHAnsi" w:hAnsiTheme="majorHAnsi" w:cs="Calibri"/>
        </w:rPr>
      </w:pPr>
      <w:r w:rsidRPr="00825296">
        <w:rPr>
          <w:rFonts w:asciiTheme="majorHAnsi" w:hAnsiTheme="majorHAnsi" w:cs="Calibri"/>
        </w:rPr>
        <w:t>The</w:t>
      </w:r>
      <w:r w:rsidR="00261070" w:rsidRPr="00825296">
        <w:rPr>
          <w:rFonts w:asciiTheme="majorHAnsi" w:hAnsiTheme="majorHAnsi" w:cs="Calibri"/>
        </w:rPr>
        <w:t xml:space="preserve"> Centre </w:t>
      </w:r>
      <w:r w:rsidR="005A1B96" w:rsidRPr="00825296">
        <w:rPr>
          <w:rFonts w:asciiTheme="majorHAnsi" w:hAnsiTheme="majorHAnsi" w:cs="Calibri"/>
        </w:rPr>
        <w:t>is intended to be</w:t>
      </w:r>
      <w:r w:rsidR="00261070" w:rsidRPr="00825296">
        <w:rPr>
          <w:rFonts w:asciiTheme="majorHAnsi" w:hAnsiTheme="majorHAnsi" w:cs="Calibri"/>
        </w:rPr>
        <w:t xml:space="preserve"> </w:t>
      </w:r>
      <w:r w:rsidR="003F7016" w:rsidRPr="00825296">
        <w:rPr>
          <w:rFonts w:asciiTheme="majorHAnsi" w:hAnsiTheme="majorHAnsi" w:cs="Calibri"/>
        </w:rPr>
        <w:t>an Aboriginal and Torres Strait Islander</w:t>
      </w:r>
      <w:r w:rsidR="00770B62" w:rsidRPr="00825296">
        <w:rPr>
          <w:rFonts w:asciiTheme="majorHAnsi" w:hAnsiTheme="majorHAnsi" w:cs="Calibri"/>
        </w:rPr>
        <w:t>-</w:t>
      </w:r>
      <w:r w:rsidR="00261070" w:rsidRPr="00825296">
        <w:rPr>
          <w:rFonts w:asciiTheme="majorHAnsi" w:hAnsiTheme="majorHAnsi" w:cs="Calibri"/>
        </w:rPr>
        <w:t xml:space="preserve">led body </w:t>
      </w:r>
      <w:r w:rsidRPr="00825296">
        <w:rPr>
          <w:rFonts w:asciiTheme="majorHAnsi" w:hAnsiTheme="majorHAnsi" w:cs="Calibri"/>
        </w:rPr>
        <w:t xml:space="preserve">that </w:t>
      </w:r>
      <w:r w:rsidR="004F7E5E" w:rsidRPr="00825296">
        <w:rPr>
          <w:rFonts w:asciiTheme="majorHAnsi" w:hAnsiTheme="majorHAnsi" w:cs="Calibri"/>
        </w:rPr>
        <w:t xml:space="preserve">builds </w:t>
      </w:r>
      <w:r w:rsidR="002F540C" w:rsidRPr="00825296">
        <w:rPr>
          <w:rFonts w:asciiTheme="majorHAnsi" w:hAnsiTheme="majorHAnsi" w:cs="Calibri"/>
        </w:rPr>
        <w:t>the</w:t>
      </w:r>
      <w:r w:rsidR="004F7E5E" w:rsidRPr="00825296">
        <w:rPr>
          <w:rFonts w:asciiTheme="majorHAnsi" w:hAnsiTheme="majorHAnsi" w:cs="Calibri"/>
        </w:rPr>
        <w:t xml:space="preserve"> evidence base </w:t>
      </w:r>
      <w:r w:rsidR="001A0435" w:rsidRPr="00825296">
        <w:rPr>
          <w:rFonts w:asciiTheme="majorHAnsi" w:hAnsiTheme="majorHAnsi" w:cs="Calibri"/>
        </w:rPr>
        <w:t>around</w:t>
      </w:r>
      <w:r w:rsidR="004F7E5E" w:rsidRPr="00825296">
        <w:rPr>
          <w:rFonts w:asciiTheme="majorHAnsi" w:hAnsiTheme="majorHAnsi" w:cs="Calibri"/>
        </w:rPr>
        <w:t xml:space="preserve"> Aboriginal and Torres Strait Islander </w:t>
      </w:r>
      <w:r w:rsidR="00437DD4" w:rsidRPr="00825296">
        <w:rPr>
          <w:rFonts w:asciiTheme="majorHAnsi" w:hAnsiTheme="majorHAnsi" w:cs="Calibri"/>
        </w:rPr>
        <w:t>pedagogy, wisdom and knowledge</w:t>
      </w:r>
      <w:r w:rsidR="00CE0F9B" w:rsidRPr="00825296">
        <w:rPr>
          <w:rFonts w:asciiTheme="majorHAnsi" w:hAnsiTheme="majorHAnsi" w:cs="Calibri"/>
        </w:rPr>
        <w:t xml:space="preserve">. </w:t>
      </w:r>
      <w:r w:rsidR="00CC5F39" w:rsidRPr="00825296">
        <w:rPr>
          <w:rFonts w:asciiTheme="majorHAnsi" w:hAnsiTheme="majorHAnsi" w:cs="Calibri"/>
        </w:rPr>
        <w:t>Formal integration of the Centre</w:t>
      </w:r>
      <w:r w:rsidR="00D56351" w:rsidRPr="00825296">
        <w:rPr>
          <w:rFonts w:asciiTheme="majorHAnsi" w:hAnsiTheme="majorHAnsi" w:cs="Calibri"/>
        </w:rPr>
        <w:t xml:space="preserve"> with an academic ins</w:t>
      </w:r>
      <w:r w:rsidR="0065433A" w:rsidRPr="00825296">
        <w:rPr>
          <w:rFonts w:asciiTheme="majorHAnsi" w:hAnsiTheme="majorHAnsi" w:cs="Calibri"/>
        </w:rPr>
        <w:t>titution</w:t>
      </w:r>
      <w:r w:rsidR="00C40065" w:rsidRPr="00825296">
        <w:rPr>
          <w:rFonts w:asciiTheme="majorHAnsi" w:hAnsiTheme="majorHAnsi" w:cs="Calibri"/>
        </w:rPr>
        <w:t xml:space="preserve"> </w:t>
      </w:r>
      <w:r w:rsidR="00B11DD6" w:rsidRPr="00825296">
        <w:rPr>
          <w:rFonts w:asciiTheme="majorHAnsi" w:hAnsiTheme="majorHAnsi" w:cs="Calibri"/>
        </w:rPr>
        <w:t xml:space="preserve">would </w:t>
      </w:r>
      <w:r w:rsidR="00D92A55" w:rsidRPr="00825296">
        <w:rPr>
          <w:rFonts w:asciiTheme="majorHAnsi" w:hAnsiTheme="majorHAnsi" w:cs="Calibri"/>
        </w:rPr>
        <w:t>diminish</w:t>
      </w:r>
      <w:r w:rsidR="00B11DD6" w:rsidRPr="00825296">
        <w:rPr>
          <w:rFonts w:asciiTheme="majorHAnsi" w:hAnsiTheme="majorHAnsi" w:cs="Calibri"/>
        </w:rPr>
        <w:t xml:space="preserve"> community</w:t>
      </w:r>
      <w:r w:rsidR="00643F2E" w:rsidRPr="00825296">
        <w:rPr>
          <w:rFonts w:asciiTheme="majorHAnsi" w:hAnsiTheme="majorHAnsi" w:cs="Calibri"/>
        </w:rPr>
        <w:t xml:space="preserve"> </w:t>
      </w:r>
      <w:r w:rsidR="00AC40C8" w:rsidRPr="00825296">
        <w:rPr>
          <w:rFonts w:asciiTheme="majorHAnsi" w:hAnsiTheme="majorHAnsi" w:cs="Calibri"/>
        </w:rPr>
        <w:t xml:space="preserve">control </w:t>
      </w:r>
      <w:r w:rsidR="00B11DD6" w:rsidRPr="00825296">
        <w:rPr>
          <w:rFonts w:asciiTheme="majorHAnsi" w:hAnsiTheme="majorHAnsi" w:cs="Calibri"/>
        </w:rPr>
        <w:t>over</w:t>
      </w:r>
      <w:r w:rsidR="00F06490" w:rsidRPr="00825296">
        <w:rPr>
          <w:rFonts w:asciiTheme="majorHAnsi" w:hAnsiTheme="majorHAnsi" w:cs="Calibri"/>
        </w:rPr>
        <w:t xml:space="preserve"> the Centre</w:t>
      </w:r>
      <w:r w:rsidR="00E823DC" w:rsidRPr="00825296">
        <w:rPr>
          <w:rFonts w:asciiTheme="majorHAnsi" w:hAnsiTheme="majorHAnsi" w:cs="Calibri"/>
        </w:rPr>
        <w:t xml:space="preserve"> </w:t>
      </w:r>
      <w:r w:rsidR="00D00E28" w:rsidRPr="00825296">
        <w:rPr>
          <w:rFonts w:asciiTheme="majorHAnsi" w:hAnsiTheme="majorHAnsi" w:cs="Calibri"/>
        </w:rPr>
        <w:t xml:space="preserve">and </w:t>
      </w:r>
      <w:r w:rsidR="00384E2D" w:rsidRPr="00825296">
        <w:rPr>
          <w:rFonts w:asciiTheme="majorHAnsi" w:hAnsiTheme="majorHAnsi" w:cs="Calibri"/>
        </w:rPr>
        <w:t xml:space="preserve">potentially compromise its ability to operate without conforming to </w:t>
      </w:r>
      <w:r w:rsidR="00084894" w:rsidRPr="00825296">
        <w:rPr>
          <w:rFonts w:asciiTheme="majorHAnsi" w:hAnsiTheme="majorHAnsi" w:cs="Calibri"/>
        </w:rPr>
        <w:t>a western academic framework</w:t>
      </w:r>
      <w:r w:rsidR="0095066B" w:rsidRPr="00825296">
        <w:rPr>
          <w:rFonts w:asciiTheme="majorHAnsi" w:hAnsiTheme="majorHAnsi" w:cs="Calibri"/>
        </w:rPr>
        <w:t xml:space="preserve"> and being influenced and directed by non-Indigenous organisational leadership</w:t>
      </w:r>
      <w:r w:rsidR="00084894" w:rsidRPr="00825296">
        <w:rPr>
          <w:rFonts w:asciiTheme="majorHAnsi" w:hAnsiTheme="majorHAnsi" w:cs="Calibri"/>
        </w:rPr>
        <w:t>.</w:t>
      </w:r>
      <w:r w:rsidR="00AF4F2C" w:rsidRPr="00825296">
        <w:rPr>
          <w:rFonts w:asciiTheme="majorHAnsi" w:hAnsiTheme="majorHAnsi" w:cs="Calibri"/>
        </w:rPr>
        <w:t xml:space="preserve"> </w:t>
      </w:r>
      <w:r w:rsidR="00756063" w:rsidRPr="00825296">
        <w:rPr>
          <w:rFonts w:asciiTheme="majorHAnsi" w:hAnsiTheme="majorHAnsi" w:cs="Calibri"/>
        </w:rPr>
        <w:t>The</w:t>
      </w:r>
      <w:r w:rsidR="0040579B" w:rsidRPr="00825296">
        <w:rPr>
          <w:rFonts w:asciiTheme="majorHAnsi" w:hAnsiTheme="majorHAnsi" w:cs="Calibri"/>
        </w:rPr>
        <w:t xml:space="preserve"> </w:t>
      </w:r>
      <w:r w:rsidR="0095066B" w:rsidRPr="00825296">
        <w:rPr>
          <w:rFonts w:asciiTheme="majorHAnsi" w:hAnsiTheme="majorHAnsi" w:cs="Calibri"/>
        </w:rPr>
        <w:t xml:space="preserve">determination that </w:t>
      </w:r>
      <w:r w:rsidR="00756063" w:rsidRPr="00825296">
        <w:rPr>
          <w:rFonts w:asciiTheme="majorHAnsi" w:hAnsiTheme="majorHAnsi" w:cs="Calibri"/>
        </w:rPr>
        <w:t>an academic partnership model</w:t>
      </w:r>
      <w:r w:rsidR="0040579B" w:rsidRPr="00825296">
        <w:rPr>
          <w:rFonts w:asciiTheme="majorHAnsi" w:hAnsiTheme="majorHAnsi" w:cs="Calibri"/>
        </w:rPr>
        <w:t xml:space="preserve"> </w:t>
      </w:r>
      <w:r w:rsidR="0095066B" w:rsidRPr="00825296">
        <w:rPr>
          <w:rFonts w:asciiTheme="majorHAnsi" w:hAnsiTheme="majorHAnsi" w:cs="Calibri"/>
        </w:rPr>
        <w:t xml:space="preserve">is unsuitable also considered </w:t>
      </w:r>
      <w:r w:rsidR="00756063" w:rsidRPr="00825296">
        <w:rPr>
          <w:rFonts w:asciiTheme="majorHAnsi" w:hAnsiTheme="majorHAnsi" w:cs="Calibri"/>
        </w:rPr>
        <w:t xml:space="preserve">that </w:t>
      </w:r>
      <w:r w:rsidR="00F106D3" w:rsidRPr="00825296">
        <w:rPr>
          <w:rFonts w:asciiTheme="majorHAnsi" w:hAnsiTheme="majorHAnsi" w:cs="Calibri"/>
        </w:rPr>
        <w:t xml:space="preserve">some </w:t>
      </w:r>
      <w:r w:rsidR="00756063" w:rsidRPr="00825296">
        <w:rPr>
          <w:rFonts w:asciiTheme="majorHAnsi" w:hAnsiTheme="majorHAnsi" w:cs="Calibri"/>
        </w:rPr>
        <w:t xml:space="preserve">Aboriginal and Torres Strait Islander communities </w:t>
      </w:r>
      <w:r w:rsidR="00692D72" w:rsidRPr="00825296">
        <w:rPr>
          <w:rFonts w:asciiTheme="majorHAnsi" w:hAnsiTheme="majorHAnsi" w:cs="Calibri"/>
        </w:rPr>
        <w:t>lack trust in</w:t>
      </w:r>
      <w:r w:rsidR="00756063" w:rsidRPr="00825296">
        <w:rPr>
          <w:rFonts w:asciiTheme="majorHAnsi" w:hAnsiTheme="majorHAnsi" w:cs="Calibri"/>
        </w:rPr>
        <w:t xml:space="preserve"> non-Indigenous research institutions</w:t>
      </w:r>
      <w:r w:rsidR="00692D72" w:rsidRPr="00825296">
        <w:rPr>
          <w:rFonts w:asciiTheme="majorHAnsi" w:hAnsiTheme="majorHAnsi" w:cs="Calibri"/>
        </w:rPr>
        <w:t>, owing to a history of unethical</w:t>
      </w:r>
      <w:r w:rsidR="001E702B" w:rsidRPr="00825296">
        <w:rPr>
          <w:rFonts w:asciiTheme="majorHAnsi" w:hAnsiTheme="majorHAnsi" w:cs="Calibri"/>
        </w:rPr>
        <w:t xml:space="preserve"> and harmful research practices.</w:t>
      </w:r>
      <w:r w:rsidR="00F106D3" w:rsidRPr="00825296">
        <w:rPr>
          <w:rFonts w:asciiTheme="majorHAnsi" w:hAnsiTheme="majorHAnsi" w:cs="Calibri"/>
        </w:rPr>
        <w:t xml:space="preserve"> </w:t>
      </w:r>
    </w:p>
    <w:p w14:paraId="5620E6EC" w14:textId="13652ADF" w:rsidR="00D95CA5" w:rsidRPr="00120AAB" w:rsidRDefault="00BE3448" w:rsidP="00C57C01">
      <w:pPr>
        <w:suppressAutoHyphens/>
        <w:spacing w:before="40" w:after="120" w:line="252" w:lineRule="auto"/>
        <w:rPr>
          <w:rStyle w:val="normaltextrun"/>
          <w:rFonts w:asciiTheme="majorHAnsi" w:hAnsiTheme="majorHAnsi" w:cs="Calibri"/>
        </w:rPr>
      </w:pPr>
      <w:r w:rsidRPr="00825296">
        <w:rPr>
          <w:rFonts w:asciiTheme="majorHAnsi" w:hAnsiTheme="majorHAnsi" w:cs="Calibri"/>
        </w:rPr>
        <w:t xml:space="preserve">Academic representation </w:t>
      </w:r>
      <w:r w:rsidR="005532CF" w:rsidRPr="00825296">
        <w:rPr>
          <w:rFonts w:asciiTheme="majorHAnsi" w:hAnsiTheme="majorHAnsi" w:cs="Calibri"/>
        </w:rPr>
        <w:t>through</w:t>
      </w:r>
      <w:r w:rsidRPr="00825296">
        <w:rPr>
          <w:rFonts w:asciiTheme="majorHAnsi" w:hAnsiTheme="majorHAnsi" w:cs="Calibri"/>
        </w:rPr>
        <w:t xml:space="preserve"> the appropriate tailored governance bodi</w:t>
      </w:r>
      <w:r w:rsidR="005532CF" w:rsidRPr="00825296">
        <w:rPr>
          <w:rFonts w:asciiTheme="majorHAnsi" w:hAnsiTheme="majorHAnsi" w:cs="Calibri"/>
        </w:rPr>
        <w:t>e</w:t>
      </w:r>
      <w:r w:rsidRPr="00825296">
        <w:rPr>
          <w:rFonts w:asciiTheme="majorHAnsi" w:hAnsiTheme="majorHAnsi" w:cs="Calibri"/>
        </w:rPr>
        <w:t>s</w:t>
      </w:r>
      <w:r w:rsidR="005532CF" w:rsidRPr="00825296">
        <w:rPr>
          <w:rFonts w:asciiTheme="majorHAnsi" w:hAnsiTheme="majorHAnsi" w:cs="Calibri"/>
        </w:rPr>
        <w:t xml:space="preserve"> described below will provide a</w:t>
      </w:r>
      <w:r w:rsidR="00811632" w:rsidRPr="00825296">
        <w:rPr>
          <w:rFonts w:asciiTheme="majorHAnsi" w:hAnsiTheme="majorHAnsi" w:cs="Calibri"/>
        </w:rPr>
        <w:t xml:space="preserve"> mechanism for</w:t>
      </w:r>
      <w:r w:rsidR="005532CF" w:rsidRPr="00825296">
        <w:rPr>
          <w:rFonts w:asciiTheme="majorHAnsi" w:hAnsiTheme="majorHAnsi" w:cs="Calibri"/>
        </w:rPr>
        <w:t xml:space="preserve"> </w:t>
      </w:r>
      <w:r w:rsidR="00992C6C" w:rsidRPr="00825296">
        <w:rPr>
          <w:rFonts w:asciiTheme="majorHAnsi" w:hAnsiTheme="majorHAnsi" w:cs="Calibri"/>
        </w:rPr>
        <w:t xml:space="preserve">the Centre’s </w:t>
      </w:r>
      <w:r w:rsidR="0051215C" w:rsidRPr="00825296">
        <w:rPr>
          <w:rFonts w:asciiTheme="majorHAnsi" w:hAnsiTheme="majorHAnsi" w:cs="Calibri"/>
        </w:rPr>
        <w:t>connection and collaboration</w:t>
      </w:r>
      <w:r w:rsidR="00811632" w:rsidRPr="00825296">
        <w:rPr>
          <w:rFonts w:asciiTheme="majorHAnsi" w:hAnsiTheme="majorHAnsi" w:cs="Calibri"/>
        </w:rPr>
        <w:t xml:space="preserve"> with academic institutions. </w:t>
      </w:r>
      <w:r w:rsidR="00826B27" w:rsidRPr="00825296">
        <w:rPr>
          <w:rFonts w:asciiTheme="majorHAnsi" w:hAnsiTheme="majorHAnsi" w:cs="Calibri"/>
        </w:rPr>
        <w:t>See page 28 for a</w:t>
      </w:r>
      <w:r w:rsidR="00811632" w:rsidRPr="00825296">
        <w:rPr>
          <w:rFonts w:asciiTheme="majorHAnsi" w:hAnsiTheme="majorHAnsi" w:cs="Calibri"/>
        </w:rPr>
        <w:t xml:space="preserve">dditional information on the Centre’s connection to </w:t>
      </w:r>
      <w:r w:rsidR="00826B27" w:rsidRPr="00825296">
        <w:rPr>
          <w:rFonts w:asciiTheme="majorHAnsi" w:hAnsiTheme="majorHAnsi" w:cs="Calibri"/>
        </w:rPr>
        <w:t>non-Indigenous research institutes.</w:t>
      </w:r>
    </w:p>
    <w:p w14:paraId="2113A5E5" w14:textId="325FE020" w:rsidR="00872EB9" w:rsidRPr="00004AD9" w:rsidRDefault="00872EB9" w:rsidP="00540368">
      <w:pPr>
        <w:pStyle w:val="Heading3"/>
      </w:pPr>
      <w:bookmarkStart w:id="63" w:name="_Toc180484320"/>
      <w:r w:rsidRPr="00004AD9">
        <w:t>Tailored governance arrangements</w:t>
      </w:r>
      <w:bookmarkEnd w:id="59"/>
      <w:bookmarkEnd w:id="63"/>
    </w:p>
    <w:p w14:paraId="11EB9A84" w14:textId="138E84D9" w:rsidR="00624914" w:rsidRPr="00120AAB" w:rsidRDefault="4F85DF43" w:rsidP="00C57C01">
      <w:pPr>
        <w:spacing w:before="120" w:after="120" w:line="252" w:lineRule="auto"/>
        <w:rPr>
          <w:rFonts w:asciiTheme="majorHAnsi" w:hAnsiTheme="majorHAnsi"/>
        </w:rPr>
      </w:pPr>
      <w:r w:rsidRPr="00120AAB">
        <w:rPr>
          <w:rStyle w:val="normaltextrun"/>
          <w:rFonts w:asciiTheme="majorHAnsi" w:eastAsiaTheme="majorEastAsia" w:hAnsiTheme="majorHAnsi" w:cs="Calibri"/>
        </w:rPr>
        <w:t xml:space="preserve">There is a need to establish tailored governance functions, </w:t>
      </w:r>
      <w:r w:rsidR="0075484F" w:rsidRPr="00120AAB">
        <w:rPr>
          <w:rStyle w:val="normaltextrun"/>
          <w:rFonts w:asciiTheme="majorHAnsi" w:eastAsiaTheme="majorEastAsia" w:hAnsiTheme="majorHAnsi" w:cs="Calibri"/>
        </w:rPr>
        <w:t>the nature and composition of which will</w:t>
      </w:r>
      <w:r w:rsidR="0071152D" w:rsidRPr="00120AAB">
        <w:rPr>
          <w:rStyle w:val="normaltextrun"/>
          <w:rFonts w:asciiTheme="majorHAnsi" w:eastAsiaTheme="majorEastAsia" w:hAnsiTheme="majorHAnsi" w:cs="Calibri"/>
        </w:rPr>
        <w:t xml:space="preserve"> </w:t>
      </w:r>
      <w:r w:rsidR="0075484F" w:rsidRPr="00120AAB">
        <w:rPr>
          <w:rStyle w:val="normaltextrun"/>
          <w:rFonts w:asciiTheme="majorHAnsi" w:eastAsiaTheme="majorEastAsia" w:hAnsiTheme="majorHAnsi" w:cs="Calibri"/>
        </w:rPr>
        <w:t>be determined by the host organisation</w:t>
      </w:r>
      <w:r w:rsidR="00670AC7" w:rsidRPr="00120AAB">
        <w:rPr>
          <w:rStyle w:val="normaltextrun"/>
          <w:rFonts w:asciiTheme="majorHAnsi" w:eastAsiaTheme="majorEastAsia" w:hAnsiTheme="majorHAnsi" w:cs="Calibri"/>
        </w:rPr>
        <w:t>’s</w:t>
      </w:r>
      <w:r w:rsidR="0075484F" w:rsidRPr="00120AAB">
        <w:rPr>
          <w:rStyle w:val="normaltextrun"/>
          <w:rFonts w:asciiTheme="majorHAnsi" w:eastAsiaTheme="majorEastAsia" w:hAnsiTheme="majorHAnsi" w:cs="Calibri"/>
        </w:rPr>
        <w:t xml:space="preserve"> Board, </w:t>
      </w:r>
      <w:r w:rsidR="00887DB7" w:rsidRPr="00120AAB">
        <w:rPr>
          <w:rStyle w:val="normaltextrun"/>
          <w:rFonts w:asciiTheme="majorHAnsi" w:eastAsiaTheme="majorEastAsia" w:hAnsiTheme="majorHAnsi" w:cs="Calibri"/>
        </w:rPr>
        <w:t>based on the</w:t>
      </w:r>
      <w:r w:rsidRPr="00120AAB">
        <w:rPr>
          <w:rFonts w:asciiTheme="majorHAnsi" w:hAnsiTheme="majorHAnsi"/>
        </w:rPr>
        <w:t xml:space="preserve"> existing governance mechanisms that are accessible through the host organisation. Through the </w:t>
      </w:r>
      <w:r w:rsidR="008659AA" w:rsidRPr="00120AAB">
        <w:rPr>
          <w:rFonts w:asciiTheme="majorHAnsi" w:hAnsiTheme="majorHAnsi"/>
        </w:rPr>
        <w:t xml:space="preserve">overarching </w:t>
      </w:r>
      <w:r w:rsidRPr="00120AAB">
        <w:rPr>
          <w:rFonts w:asciiTheme="majorHAnsi" w:hAnsiTheme="majorHAnsi"/>
        </w:rPr>
        <w:t xml:space="preserve">governance structure of the </w:t>
      </w:r>
      <w:r w:rsidR="008659AA" w:rsidRPr="00120AAB">
        <w:rPr>
          <w:rFonts w:asciiTheme="majorHAnsi" w:hAnsiTheme="majorHAnsi"/>
        </w:rPr>
        <w:t xml:space="preserve">ACCO </w:t>
      </w:r>
      <w:r w:rsidRPr="00120AAB">
        <w:rPr>
          <w:rFonts w:asciiTheme="majorHAnsi" w:hAnsiTheme="majorHAnsi"/>
        </w:rPr>
        <w:t xml:space="preserve">host organisation, the Centre will have a national </w:t>
      </w:r>
      <w:r w:rsidR="008659AA" w:rsidRPr="00120AAB">
        <w:rPr>
          <w:rFonts w:asciiTheme="majorHAnsi" w:hAnsiTheme="majorHAnsi"/>
        </w:rPr>
        <w:t xml:space="preserve">Aboriginal and Torres Strait Islander </w:t>
      </w:r>
      <w:r w:rsidRPr="00120AAB">
        <w:rPr>
          <w:rFonts w:asciiTheme="majorHAnsi" w:hAnsiTheme="majorHAnsi"/>
        </w:rPr>
        <w:t>community-controlled governance structure. The host organisation’s Board will provide cultural and corporate governance and strategic direction for the Centre</w:t>
      </w:r>
      <w:r w:rsidR="00130622" w:rsidRPr="00120AAB">
        <w:rPr>
          <w:rFonts w:asciiTheme="majorHAnsi" w:hAnsiTheme="majorHAnsi"/>
        </w:rPr>
        <w:t xml:space="preserve">, with </w:t>
      </w:r>
      <w:r w:rsidR="002C560D" w:rsidRPr="00120AAB">
        <w:rPr>
          <w:rFonts w:asciiTheme="majorHAnsi" w:hAnsiTheme="majorHAnsi"/>
        </w:rPr>
        <w:t>ultimate</w:t>
      </w:r>
      <w:r w:rsidR="00130622" w:rsidRPr="00120AAB">
        <w:rPr>
          <w:rFonts w:asciiTheme="majorHAnsi" w:hAnsiTheme="majorHAnsi"/>
        </w:rPr>
        <w:t xml:space="preserve"> decision-making authorit</w:t>
      </w:r>
      <w:r w:rsidR="00654E10" w:rsidRPr="00120AAB">
        <w:rPr>
          <w:rFonts w:asciiTheme="majorHAnsi" w:hAnsiTheme="majorHAnsi"/>
        </w:rPr>
        <w:t>y</w:t>
      </w:r>
      <w:r w:rsidR="00256E16" w:rsidRPr="00120AAB">
        <w:rPr>
          <w:rFonts w:asciiTheme="majorHAnsi" w:hAnsiTheme="majorHAnsi"/>
        </w:rPr>
        <w:t>.</w:t>
      </w:r>
      <w:r w:rsidR="00205585" w:rsidRPr="00120AAB">
        <w:rPr>
          <w:rFonts w:asciiTheme="majorHAnsi" w:hAnsiTheme="majorHAnsi"/>
        </w:rPr>
        <w:t xml:space="preserve"> </w:t>
      </w:r>
      <w:r w:rsidRPr="00120AAB">
        <w:rPr>
          <w:rFonts w:asciiTheme="majorHAnsi" w:hAnsiTheme="majorHAnsi"/>
        </w:rPr>
        <w:t xml:space="preserve">The host organisation body responsible for finance, audit and risk management will </w:t>
      </w:r>
      <w:r w:rsidRPr="00120AAB">
        <w:rPr>
          <w:rFonts w:asciiTheme="majorHAnsi" w:hAnsiTheme="majorHAnsi" w:cs="Calibri"/>
        </w:rPr>
        <w:t>ensure the Centre has a robust corporate governance and risk framework</w:t>
      </w:r>
      <w:r w:rsidR="003B61B7" w:rsidRPr="00120AAB">
        <w:rPr>
          <w:rFonts w:asciiTheme="majorHAnsi" w:hAnsiTheme="majorHAnsi" w:cs="Calibri"/>
        </w:rPr>
        <w:t>, with responsibility for</w:t>
      </w:r>
      <w:r w:rsidR="00B14097" w:rsidRPr="00120AAB">
        <w:rPr>
          <w:rFonts w:asciiTheme="majorHAnsi" w:hAnsiTheme="majorHAnsi" w:cs="Calibri"/>
        </w:rPr>
        <w:t xml:space="preserve"> </w:t>
      </w:r>
      <w:r w:rsidRPr="00120AAB">
        <w:rPr>
          <w:rFonts w:asciiTheme="majorHAnsi" w:hAnsiTheme="majorHAnsi" w:cs="Calibri"/>
        </w:rPr>
        <w:t>monitor</w:t>
      </w:r>
      <w:r w:rsidR="00EB177F" w:rsidRPr="00120AAB">
        <w:rPr>
          <w:rFonts w:asciiTheme="majorHAnsi" w:hAnsiTheme="majorHAnsi" w:cs="Calibri"/>
        </w:rPr>
        <w:t>ing and reporting on</w:t>
      </w:r>
      <w:r w:rsidRPr="00120AAB">
        <w:rPr>
          <w:rFonts w:asciiTheme="majorHAnsi" w:hAnsiTheme="majorHAnsi" w:cs="Calibri"/>
        </w:rPr>
        <w:t xml:space="preserve"> financial sustainability and performance</w:t>
      </w:r>
      <w:r w:rsidR="00205585" w:rsidRPr="00120AAB">
        <w:rPr>
          <w:rFonts w:asciiTheme="majorHAnsi" w:hAnsiTheme="majorHAnsi" w:cs="Calibri"/>
        </w:rPr>
        <w:t>.</w:t>
      </w:r>
    </w:p>
    <w:p w14:paraId="78F70621" w14:textId="6AF21A2D" w:rsidR="00AF724C" w:rsidRPr="00120AAB" w:rsidRDefault="4F85DF43" w:rsidP="00C57C01">
      <w:pPr>
        <w:spacing w:before="120" w:after="120" w:line="252" w:lineRule="auto"/>
        <w:rPr>
          <w:rFonts w:asciiTheme="majorHAnsi" w:hAnsiTheme="majorHAnsi" w:cs="Calibri"/>
        </w:rPr>
      </w:pPr>
      <w:r w:rsidRPr="00120AAB">
        <w:rPr>
          <w:rFonts w:asciiTheme="majorHAnsi" w:hAnsiTheme="majorHAnsi"/>
        </w:rPr>
        <w:t xml:space="preserve">Additional tailored governance bodies will bring in broader expertise with a focus on research, data, evaluation and knowledge translation to provide direct and focused oversight of and input to drive the Centre’s work. </w:t>
      </w:r>
      <w:r w:rsidR="00A346A7" w:rsidRPr="00120AAB">
        <w:rPr>
          <w:rFonts w:asciiTheme="majorHAnsi" w:hAnsiTheme="majorHAnsi"/>
        </w:rPr>
        <w:t>Anticipated a</w:t>
      </w:r>
      <w:r w:rsidR="008375ED" w:rsidRPr="00120AAB">
        <w:rPr>
          <w:rFonts w:asciiTheme="majorHAnsi" w:hAnsiTheme="majorHAnsi"/>
        </w:rPr>
        <w:t xml:space="preserve">dministrative </w:t>
      </w:r>
      <w:r w:rsidR="001E1209" w:rsidRPr="00120AAB">
        <w:rPr>
          <w:rFonts w:asciiTheme="majorHAnsi" w:hAnsiTheme="majorHAnsi"/>
        </w:rPr>
        <w:t xml:space="preserve">overheads </w:t>
      </w:r>
      <w:r w:rsidR="008537A0" w:rsidRPr="00120AAB">
        <w:rPr>
          <w:rFonts w:asciiTheme="majorHAnsi" w:hAnsiTheme="majorHAnsi"/>
        </w:rPr>
        <w:t>relating</w:t>
      </w:r>
      <w:r w:rsidR="001E1209" w:rsidRPr="00120AAB">
        <w:rPr>
          <w:rFonts w:asciiTheme="majorHAnsi" w:hAnsiTheme="majorHAnsi"/>
        </w:rPr>
        <w:t xml:space="preserve"> </w:t>
      </w:r>
      <w:r w:rsidR="008537A0" w:rsidRPr="00120AAB">
        <w:rPr>
          <w:rFonts w:asciiTheme="majorHAnsi" w:hAnsiTheme="majorHAnsi"/>
        </w:rPr>
        <w:t>to</w:t>
      </w:r>
      <w:r w:rsidR="004A45DF" w:rsidRPr="00120AAB">
        <w:rPr>
          <w:rFonts w:asciiTheme="majorHAnsi" w:hAnsiTheme="majorHAnsi"/>
        </w:rPr>
        <w:t xml:space="preserve"> the tailored governance bodies</w:t>
      </w:r>
      <w:r w:rsidR="006F06BE" w:rsidRPr="00120AAB">
        <w:rPr>
          <w:rFonts w:asciiTheme="majorHAnsi" w:hAnsiTheme="majorHAnsi"/>
        </w:rPr>
        <w:t xml:space="preserve">, including reimbursement </w:t>
      </w:r>
      <w:r w:rsidR="0064647B" w:rsidRPr="00120AAB">
        <w:rPr>
          <w:rFonts w:asciiTheme="majorHAnsi" w:hAnsiTheme="majorHAnsi"/>
        </w:rPr>
        <w:t>for members’ time,</w:t>
      </w:r>
      <w:r w:rsidR="00A346A7" w:rsidRPr="00120AAB">
        <w:rPr>
          <w:rFonts w:asciiTheme="majorHAnsi" w:hAnsiTheme="majorHAnsi"/>
        </w:rPr>
        <w:t xml:space="preserve"> are included in the </w:t>
      </w:r>
      <w:r w:rsidR="008537A0" w:rsidRPr="00120AAB">
        <w:rPr>
          <w:rFonts w:asciiTheme="majorHAnsi" w:hAnsiTheme="majorHAnsi"/>
        </w:rPr>
        <w:t>project</w:t>
      </w:r>
      <w:r w:rsidR="008F3261" w:rsidRPr="00120AAB">
        <w:rPr>
          <w:rFonts w:asciiTheme="majorHAnsi" w:hAnsiTheme="majorHAnsi"/>
        </w:rPr>
        <w:t>ed</w:t>
      </w:r>
      <w:r w:rsidR="008537A0" w:rsidRPr="00120AAB">
        <w:rPr>
          <w:rFonts w:asciiTheme="majorHAnsi" w:hAnsiTheme="majorHAnsi"/>
        </w:rPr>
        <w:t xml:space="preserve"> </w:t>
      </w:r>
      <w:r w:rsidR="0064647B" w:rsidRPr="00120AAB">
        <w:rPr>
          <w:rFonts w:asciiTheme="majorHAnsi" w:hAnsiTheme="majorHAnsi"/>
        </w:rPr>
        <w:t xml:space="preserve">operating </w:t>
      </w:r>
      <w:r w:rsidR="00A346A7" w:rsidRPr="00120AAB">
        <w:rPr>
          <w:rFonts w:asciiTheme="majorHAnsi" w:hAnsiTheme="majorHAnsi"/>
        </w:rPr>
        <w:t>cost</w:t>
      </w:r>
      <w:r w:rsidR="0064647B" w:rsidRPr="00120AAB">
        <w:rPr>
          <w:rFonts w:asciiTheme="majorHAnsi" w:hAnsiTheme="majorHAnsi"/>
        </w:rPr>
        <w:t xml:space="preserve">s </w:t>
      </w:r>
      <w:r w:rsidR="009D0070" w:rsidRPr="00120AAB">
        <w:rPr>
          <w:rFonts w:asciiTheme="majorHAnsi" w:hAnsiTheme="majorHAnsi"/>
        </w:rPr>
        <w:t>(see page 30)</w:t>
      </w:r>
      <w:r w:rsidR="00CA30AF" w:rsidRPr="00120AAB">
        <w:rPr>
          <w:rFonts w:asciiTheme="majorHAnsi" w:hAnsiTheme="majorHAnsi"/>
        </w:rPr>
        <w:t xml:space="preserve"> and subject to the final compo</w:t>
      </w:r>
      <w:r w:rsidR="00374464" w:rsidRPr="00120AAB">
        <w:rPr>
          <w:rFonts w:asciiTheme="majorHAnsi" w:hAnsiTheme="majorHAnsi"/>
        </w:rPr>
        <w:t>sition of the governance structure</w:t>
      </w:r>
      <w:r w:rsidR="008E7ACC" w:rsidRPr="00120AAB">
        <w:rPr>
          <w:rFonts w:asciiTheme="majorHAnsi" w:hAnsiTheme="majorHAnsi"/>
        </w:rPr>
        <w:t xml:space="preserve"> to be determined through the establishment phase.</w:t>
      </w:r>
      <w:r w:rsidR="00482476" w:rsidRPr="00120AAB">
        <w:rPr>
          <w:rFonts w:asciiTheme="majorHAnsi" w:hAnsiTheme="majorHAnsi"/>
        </w:rPr>
        <w:t xml:space="preserve"> </w:t>
      </w:r>
      <w:r w:rsidR="00F9590A" w:rsidRPr="00120AAB">
        <w:rPr>
          <w:rFonts w:asciiTheme="majorHAnsi" w:hAnsiTheme="majorHAnsi"/>
        </w:rPr>
        <w:t xml:space="preserve">Subject to the </w:t>
      </w:r>
      <w:r w:rsidR="0094655F" w:rsidRPr="00120AAB">
        <w:rPr>
          <w:rFonts w:asciiTheme="majorHAnsi" w:hAnsiTheme="majorHAnsi"/>
        </w:rPr>
        <w:t xml:space="preserve">nature of existing governance mechanisms that are accessible through the host organisation, </w:t>
      </w:r>
      <w:r w:rsidR="00BB4A0B" w:rsidRPr="00120AAB">
        <w:rPr>
          <w:rFonts w:asciiTheme="majorHAnsi" w:hAnsiTheme="majorHAnsi"/>
        </w:rPr>
        <w:t>opportunities to m</w:t>
      </w:r>
      <w:r w:rsidR="00024B61" w:rsidRPr="00120AAB">
        <w:rPr>
          <w:rFonts w:asciiTheme="majorHAnsi" w:hAnsiTheme="majorHAnsi"/>
        </w:rPr>
        <w:t>inimi</w:t>
      </w:r>
      <w:r w:rsidR="0001790D">
        <w:rPr>
          <w:rFonts w:asciiTheme="majorHAnsi" w:hAnsiTheme="majorHAnsi"/>
        </w:rPr>
        <w:t>z</w:t>
      </w:r>
      <w:r w:rsidR="00BB4A0B" w:rsidRPr="00120AAB">
        <w:rPr>
          <w:rFonts w:asciiTheme="majorHAnsi" w:hAnsiTheme="majorHAnsi"/>
        </w:rPr>
        <w:t>e</w:t>
      </w:r>
      <w:r w:rsidR="00024B61" w:rsidRPr="00120AAB">
        <w:rPr>
          <w:rFonts w:asciiTheme="majorHAnsi" w:hAnsiTheme="majorHAnsi"/>
        </w:rPr>
        <w:t xml:space="preserve"> the size and complexity of the governance structure will be prioritised</w:t>
      </w:r>
      <w:r w:rsidR="00BB4A0B" w:rsidRPr="00120AAB">
        <w:rPr>
          <w:rFonts w:asciiTheme="majorHAnsi" w:hAnsiTheme="majorHAnsi"/>
        </w:rPr>
        <w:t>.</w:t>
      </w:r>
    </w:p>
    <w:p w14:paraId="4D5E32D0" w14:textId="55647353" w:rsidR="00AF724C" w:rsidRPr="00120AAB" w:rsidRDefault="4F85DF43" w:rsidP="00C57C01">
      <w:pPr>
        <w:spacing w:line="252" w:lineRule="auto"/>
        <w:rPr>
          <w:rFonts w:asciiTheme="majorHAnsi" w:eastAsiaTheme="majorEastAsia" w:hAnsiTheme="majorHAnsi" w:cs="Calibri"/>
        </w:rPr>
      </w:pPr>
      <w:r w:rsidRPr="00120AAB">
        <w:rPr>
          <w:rFonts w:asciiTheme="majorHAnsi" w:eastAsiaTheme="majorEastAsia" w:hAnsiTheme="majorHAnsi" w:cs="Calibri"/>
        </w:rPr>
        <w:t>Tailored governance structures will include six core elements:</w:t>
      </w:r>
    </w:p>
    <w:p w14:paraId="6132F590" w14:textId="379A4DCC" w:rsidR="00E7494C" w:rsidRPr="00120AAB" w:rsidRDefault="4F85DF43" w:rsidP="00C57C01">
      <w:pPr>
        <w:pStyle w:val="ListParagraph"/>
        <w:numPr>
          <w:ilvl w:val="0"/>
          <w:numId w:val="7"/>
        </w:numPr>
        <w:spacing w:before="120" w:after="120" w:line="252" w:lineRule="auto"/>
        <w:ind w:left="714" w:hanging="357"/>
        <w:contextualSpacing w:val="0"/>
        <w:rPr>
          <w:rFonts w:asciiTheme="majorHAnsi" w:eastAsiaTheme="majorEastAsia" w:hAnsiTheme="majorHAnsi" w:cs="Calibri"/>
          <w:sz w:val="24"/>
          <w:szCs w:val="24"/>
        </w:rPr>
      </w:pPr>
      <w:r w:rsidRPr="00120AAB">
        <w:rPr>
          <w:rFonts w:asciiTheme="majorHAnsi" w:eastAsiaTheme="majorEastAsia" w:hAnsiTheme="majorHAnsi" w:cs="Calibri"/>
          <w:sz w:val="24"/>
          <w:szCs w:val="24"/>
        </w:rPr>
        <w:t xml:space="preserve">A </w:t>
      </w:r>
      <w:r w:rsidRPr="00120AAB">
        <w:rPr>
          <w:rFonts w:asciiTheme="majorHAnsi" w:eastAsiaTheme="majorEastAsia" w:hAnsiTheme="majorHAnsi" w:cs="Calibri"/>
          <w:b/>
          <w:bCs/>
          <w:sz w:val="24"/>
          <w:szCs w:val="24"/>
        </w:rPr>
        <w:t>“</w:t>
      </w:r>
      <w:r w:rsidRPr="00120AAB">
        <w:rPr>
          <w:rFonts w:asciiTheme="majorHAnsi" w:eastAsiaTheme="majorEastAsia" w:hAnsiTheme="majorHAnsi" w:cs="Calibri"/>
          <w:b/>
          <w:bCs/>
          <w:i/>
          <w:iCs/>
          <w:sz w:val="24"/>
          <w:szCs w:val="24"/>
        </w:rPr>
        <w:t>Centre Advisory Council</w:t>
      </w:r>
      <w:r w:rsidRPr="00120AAB">
        <w:rPr>
          <w:rFonts w:asciiTheme="majorHAnsi" w:eastAsiaTheme="majorEastAsia" w:hAnsiTheme="majorHAnsi" w:cs="Calibri"/>
          <w:b/>
          <w:bCs/>
          <w:sz w:val="24"/>
          <w:szCs w:val="24"/>
        </w:rPr>
        <w:t>”</w:t>
      </w:r>
      <w:r w:rsidRPr="00120AAB">
        <w:rPr>
          <w:rFonts w:asciiTheme="majorHAnsi" w:eastAsiaTheme="majorEastAsia" w:hAnsiTheme="majorHAnsi" w:cs="Calibri"/>
          <w:sz w:val="24"/>
          <w:szCs w:val="24"/>
        </w:rPr>
        <w:t xml:space="preserve"> that provides the overarching governance and oversees the strategic direction and operation of the Centre</w:t>
      </w:r>
      <w:r w:rsidR="00C7169B" w:rsidRPr="00120AAB">
        <w:rPr>
          <w:rFonts w:asciiTheme="majorHAnsi" w:eastAsiaTheme="majorEastAsia" w:hAnsiTheme="majorHAnsi" w:cs="Calibri"/>
          <w:sz w:val="24"/>
          <w:szCs w:val="24"/>
        </w:rPr>
        <w:t>, with delegated decision-making authority from the host organisation’s Board.</w:t>
      </w:r>
    </w:p>
    <w:p w14:paraId="72BB1880" w14:textId="6E2CF359" w:rsidR="007E0D6D" w:rsidRPr="00120AAB" w:rsidRDefault="4F85DF43" w:rsidP="00C57C01">
      <w:pPr>
        <w:pStyle w:val="ListParagraph"/>
        <w:numPr>
          <w:ilvl w:val="0"/>
          <w:numId w:val="7"/>
        </w:numPr>
        <w:spacing w:before="120" w:after="120" w:line="252" w:lineRule="auto"/>
        <w:ind w:left="714" w:hanging="357"/>
        <w:rPr>
          <w:rFonts w:asciiTheme="majorHAnsi" w:eastAsiaTheme="majorEastAsia" w:hAnsiTheme="majorHAnsi" w:cs="Calibri"/>
        </w:rPr>
      </w:pPr>
      <w:r w:rsidRPr="00120AAB">
        <w:rPr>
          <w:rFonts w:asciiTheme="majorHAnsi" w:eastAsiaTheme="majorEastAsia" w:hAnsiTheme="majorHAnsi" w:cs="Calibri"/>
          <w:sz w:val="24"/>
          <w:szCs w:val="24"/>
        </w:rPr>
        <w:t xml:space="preserve">A </w:t>
      </w:r>
      <w:r w:rsidRPr="00120AAB">
        <w:rPr>
          <w:rFonts w:asciiTheme="majorHAnsi" w:eastAsiaTheme="majorEastAsia" w:hAnsiTheme="majorHAnsi" w:cs="Calibri"/>
          <w:b/>
          <w:bCs/>
          <w:i/>
          <w:iCs/>
          <w:sz w:val="24"/>
          <w:szCs w:val="24"/>
        </w:rPr>
        <w:t xml:space="preserve">“Cross-Disciplinary Expert Community of Practice” </w:t>
      </w:r>
      <w:r w:rsidRPr="00120AAB">
        <w:rPr>
          <w:rFonts w:asciiTheme="majorHAnsi" w:eastAsiaTheme="majorEastAsia" w:hAnsiTheme="majorHAnsi" w:cs="Calibri"/>
          <w:sz w:val="24"/>
          <w:szCs w:val="24"/>
        </w:rPr>
        <w:t>that provides specialist and technical expertise and assists in the development of the Centre’s research, training and capacity building strategy and agenda</w:t>
      </w:r>
    </w:p>
    <w:p w14:paraId="6D200904" w14:textId="453BA3AA" w:rsidR="009C4B0F" w:rsidRPr="00120AAB" w:rsidRDefault="4F85DF43" w:rsidP="00C57C01">
      <w:pPr>
        <w:pStyle w:val="ListParagraph"/>
        <w:numPr>
          <w:ilvl w:val="0"/>
          <w:numId w:val="7"/>
        </w:numPr>
        <w:spacing w:before="120" w:after="120" w:line="252" w:lineRule="auto"/>
        <w:ind w:left="714" w:hanging="357"/>
        <w:contextualSpacing w:val="0"/>
        <w:rPr>
          <w:rFonts w:asciiTheme="majorHAnsi" w:eastAsiaTheme="majorEastAsia" w:hAnsiTheme="majorHAnsi" w:cs="Calibri"/>
          <w:sz w:val="24"/>
          <w:szCs w:val="24"/>
        </w:rPr>
      </w:pPr>
      <w:r w:rsidRPr="00120AAB">
        <w:rPr>
          <w:rFonts w:asciiTheme="majorHAnsi" w:eastAsiaTheme="majorEastAsia" w:hAnsiTheme="majorHAnsi" w:cs="Calibri"/>
          <w:sz w:val="24"/>
          <w:szCs w:val="24"/>
        </w:rPr>
        <w:t xml:space="preserve">An </w:t>
      </w:r>
      <w:r w:rsidRPr="00120AAB">
        <w:rPr>
          <w:rFonts w:asciiTheme="majorHAnsi" w:eastAsiaTheme="majorEastAsia" w:hAnsiTheme="majorHAnsi" w:cs="Calibri"/>
          <w:b/>
          <w:bCs/>
          <w:i/>
          <w:iCs/>
          <w:sz w:val="24"/>
          <w:szCs w:val="24"/>
        </w:rPr>
        <w:t>“Indigenous Data Sovereignty Knowledge Holder Panel”</w:t>
      </w:r>
      <w:r w:rsidRPr="00120AAB">
        <w:rPr>
          <w:rFonts w:asciiTheme="majorHAnsi" w:eastAsiaTheme="majorEastAsia" w:hAnsiTheme="majorHAnsi" w:cs="Calibri"/>
          <w:sz w:val="24"/>
          <w:szCs w:val="24"/>
        </w:rPr>
        <w:t xml:space="preserve"> that supports the development, implementation and compliance with a strong Indigenous Data Governance framework and data management system</w:t>
      </w:r>
    </w:p>
    <w:p w14:paraId="41F22ADB" w14:textId="140F1371" w:rsidR="00C16D4B" w:rsidRPr="00120AAB" w:rsidRDefault="4F85DF43" w:rsidP="00C57C01">
      <w:pPr>
        <w:pStyle w:val="ListParagraph"/>
        <w:numPr>
          <w:ilvl w:val="0"/>
          <w:numId w:val="7"/>
        </w:numPr>
        <w:spacing w:before="120" w:after="120" w:line="252" w:lineRule="auto"/>
        <w:ind w:left="714" w:hanging="357"/>
        <w:contextualSpacing w:val="0"/>
        <w:rPr>
          <w:rFonts w:asciiTheme="majorHAnsi" w:eastAsiaTheme="majorEastAsia" w:hAnsiTheme="majorHAnsi" w:cs="Calibri"/>
          <w:sz w:val="24"/>
          <w:szCs w:val="24"/>
        </w:rPr>
      </w:pPr>
      <w:r w:rsidRPr="00120AAB">
        <w:rPr>
          <w:rFonts w:asciiTheme="majorHAnsi" w:eastAsiaTheme="majorEastAsia" w:hAnsiTheme="majorHAnsi" w:cs="Calibri"/>
          <w:sz w:val="24"/>
          <w:szCs w:val="24"/>
        </w:rPr>
        <w:t xml:space="preserve">A </w:t>
      </w:r>
      <w:r w:rsidRPr="00120AAB">
        <w:rPr>
          <w:rFonts w:asciiTheme="majorHAnsi" w:eastAsiaTheme="majorEastAsia" w:hAnsiTheme="majorHAnsi" w:cs="Calibri"/>
          <w:b/>
          <w:bCs/>
          <w:i/>
          <w:iCs/>
          <w:sz w:val="24"/>
          <w:szCs w:val="24"/>
        </w:rPr>
        <w:t>“Collaborative Panel”</w:t>
      </w:r>
      <w:r w:rsidRPr="00120AAB">
        <w:rPr>
          <w:rFonts w:asciiTheme="majorHAnsi" w:eastAsiaTheme="majorEastAsia" w:hAnsiTheme="majorHAnsi" w:cs="Calibri"/>
          <w:sz w:val="24"/>
          <w:szCs w:val="24"/>
        </w:rPr>
        <w:t xml:space="preserve"> that provides a forum for Centre partners to meet, exchange ideas and stay up to date on the collaborative work of the Centre </w:t>
      </w:r>
    </w:p>
    <w:p w14:paraId="393E69ED" w14:textId="0ADE8A1E" w:rsidR="00C16105" w:rsidRPr="00120AAB" w:rsidRDefault="4F85DF43" w:rsidP="00C57C01">
      <w:pPr>
        <w:pStyle w:val="ListParagraph"/>
        <w:numPr>
          <w:ilvl w:val="0"/>
          <w:numId w:val="7"/>
        </w:numPr>
        <w:spacing w:before="120" w:after="120" w:line="252" w:lineRule="auto"/>
        <w:ind w:left="714" w:hanging="357"/>
        <w:contextualSpacing w:val="0"/>
        <w:rPr>
          <w:rFonts w:asciiTheme="majorHAnsi" w:eastAsiaTheme="majorEastAsia" w:hAnsiTheme="majorHAnsi" w:cs="Calibri"/>
          <w:sz w:val="24"/>
          <w:szCs w:val="24"/>
        </w:rPr>
      </w:pPr>
      <w:r w:rsidRPr="00120AAB">
        <w:rPr>
          <w:rFonts w:asciiTheme="majorHAnsi" w:eastAsiaTheme="majorEastAsia" w:hAnsiTheme="majorHAnsi" w:cs="Calibri"/>
          <w:b/>
          <w:bCs/>
          <w:i/>
          <w:iCs/>
          <w:sz w:val="24"/>
          <w:szCs w:val="24"/>
        </w:rPr>
        <w:t>“Community Advisors”</w:t>
      </w:r>
      <w:r w:rsidRPr="00120AAB">
        <w:rPr>
          <w:rFonts w:asciiTheme="majorHAnsi" w:eastAsiaTheme="majorEastAsia" w:hAnsiTheme="majorHAnsi" w:cs="Calibri"/>
          <w:sz w:val="24"/>
          <w:szCs w:val="24"/>
        </w:rPr>
        <w:t xml:space="preserve"> that bring the knowledge, voice and expertise of community to inform and guide the work of the Centre, informing regional and local priorities, building networks and collaborations, drawing on specialised expertise, and supporting knowledge translation and dissemination</w:t>
      </w:r>
    </w:p>
    <w:p w14:paraId="1155D865" w14:textId="1093913E" w:rsidR="005722E8" w:rsidRPr="00120AAB" w:rsidRDefault="4F85DF43" w:rsidP="00C57C01">
      <w:pPr>
        <w:pStyle w:val="ListParagraph"/>
        <w:numPr>
          <w:ilvl w:val="0"/>
          <w:numId w:val="7"/>
        </w:numPr>
        <w:spacing w:before="120" w:after="120" w:line="252" w:lineRule="auto"/>
        <w:ind w:left="714" w:hanging="357"/>
        <w:contextualSpacing w:val="0"/>
        <w:rPr>
          <w:rFonts w:asciiTheme="majorHAnsi" w:eastAsiaTheme="majorEastAsia" w:hAnsiTheme="majorHAnsi" w:cs="Calibri"/>
          <w:sz w:val="24"/>
          <w:szCs w:val="24"/>
        </w:rPr>
      </w:pPr>
      <w:r w:rsidRPr="00120AAB">
        <w:rPr>
          <w:rFonts w:asciiTheme="majorHAnsi" w:eastAsiaTheme="majorEastAsia" w:hAnsiTheme="majorHAnsi" w:cs="Calibri"/>
          <w:b/>
          <w:bCs/>
          <w:i/>
          <w:iCs/>
          <w:sz w:val="24"/>
          <w:szCs w:val="24"/>
        </w:rPr>
        <w:t>Jurisdictional centres, networks and institutes</w:t>
      </w:r>
      <w:r w:rsidRPr="00120AAB">
        <w:rPr>
          <w:rFonts w:asciiTheme="majorHAnsi" w:eastAsiaTheme="majorEastAsia" w:hAnsiTheme="majorHAnsi" w:cs="Calibri"/>
          <w:sz w:val="24"/>
          <w:szCs w:val="24"/>
        </w:rPr>
        <w:t xml:space="preserve"> that bring key knowledge, voice and expertise specific to the priorities, needs and community contexts in each state and territory that helps to inform and guide the work of the Centre.</w:t>
      </w:r>
    </w:p>
    <w:p w14:paraId="3731852E" w14:textId="2A32A1BE" w:rsidR="00777F45" w:rsidRPr="00120AAB" w:rsidRDefault="4F85DF43" w:rsidP="00C57C01">
      <w:pPr>
        <w:spacing w:line="252" w:lineRule="auto"/>
        <w:rPr>
          <w:rFonts w:asciiTheme="majorHAnsi" w:eastAsiaTheme="majorEastAsia" w:hAnsiTheme="majorHAnsi" w:cs="Calibri"/>
        </w:rPr>
      </w:pPr>
      <w:r w:rsidRPr="00120AAB">
        <w:rPr>
          <w:rFonts w:asciiTheme="majorHAnsi" w:eastAsiaTheme="majorEastAsia" w:hAnsiTheme="majorHAnsi" w:cs="Calibri"/>
        </w:rPr>
        <w:t xml:space="preserve">These tailored governance elements are described briefly below. See </w:t>
      </w:r>
      <w:r w:rsidRPr="00120AAB">
        <w:rPr>
          <w:rFonts w:asciiTheme="majorHAnsi" w:eastAsiaTheme="majorEastAsia" w:hAnsiTheme="majorHAnsi" w:cs="Calibri"/>
          <w:b/>
          <w:bCs/>
        </w:rPr>
        <w:t>Appendix A</w:t>
      </w:r>
      <w:r w:rsidRPr="00120AAB">
        <w:rPr>
          <w:rFonts w:asciiTheme="majorHAnsi" w:eastAsiaTheme="majorEastAsia" w:hAnsiTheme="majorHAnsi" w:cs="Calibri"/>
        </w:rPr>
        <w:t xml:space="preserve"> for a visual representation of the Centre’s networked governance model.</w:t>
      </w:r>
    </w:p>
    <w:p w14:paraId="5B128A74" w14:textId="5BCAE7F3" w:rsidR="00D54BC6" w:rsidRPr="00120AAB" w:rsidRDefault="4F85DF43" w:rsidP="00540368">
      <w:pPr>
        <w:pStyle w:val="Heading3"/>
      </w:pPr>
      <w:bookmarkStart w:id="64" w:name="_Toc180484321"/>
      <w:r w:rsidRPr="00120AAB">
        <w:t>Centre Advisory Council</w:t>
      </w:r>
      <w:bookmarkEnd w:id="64"/>
    </w:p>
    <w:p w14:paraId="644A3189" w14:textId="72F747E8" w:rsidR="00BF3472"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 xml:space="preserve">An overarching governance body that operates as a sub-committee of the host organisation’s Board, with appropriate </w:t>
      </w:r>
      <w:r w:rsidR="00FE0B6A" w:rsidRPr="00120AAB">
        <w:rPr>
          <w:rFonts w:asciiTheme="majorHAnsi" w:hAnsiTheme="majorHAnsi" w:cs="Calibri"/>
        </w:rPr>
        <w:t xml:space="preserve">decision-making </w:t>
      </w:r>
      <w:r w:rsidRPr="00120AAB">
        <w:rPr>
          <w:rFonts w:asciiTheme="majorHAnsi" w:hAnsiTheme="majorHAnsi" w:cs="Calibri"/>
        </w:rPr>
        <w:t xml:space="preserve">delegations </w:t>
      </w:r>
      <w:r w:rsidR="00C9553D" w:rsidRPr="00120AAB">
        <w:rPr>
          <w:rFonts w:asciiTheme="majorHAnsi" w:hAnsiTheme="majorHAnsi" w:cs="Calibri"/>
        </w:rPr>
        <w:t xml:space="preserve">and oversight of </w:t>
      </w:r>
      <w:r w:rsidRPr="00120AAB">
        <w:rPr>
          <w:rFonts w:asciiTheme="majorHAnsi" w:hAnsiTheme="majorHAnsi" w:cs="Calibri"/>
        </w:rPr>
        <w:t>the strategic direction and operation of the Centre</w:t>
      </w:r>
      <w:r w:rsidR="00C523FE">
        <w:rPr>
          <w:rFonts w:asciiTheme="majorHAnsi" w:hAnsiTheme="majorHAnsi" w:cs="Calibri"/>
        </w:rPr>
        <w:t>.</w:t>
      </w:r>
    </w:p>
    <w:p w14:paraId="1D18FEC6" w14:textId="77777777" w:rsidR="00D54BC6" w:rsidRPr="00120AAB" w:rsidRDefault="4F85DF43" w:rsidP="00C523FE">
      <w:pPr>
        <w:keepNext/>
        <w:spacing w:before="120" w:after="60" w:line="252" w:lineRule="auto"/>
        <w:contextualSpacing/>
        <w:rPr>
          <w:rFonts w:asciiTheme="majorHAnsi" w:hAnsiTheme="majorHAnsi" w:cs="Calibri"/>
          <w:i/>
          <w:iCs/>
        </w:rPr>
      </w:pPr>
      <w:r w:rsidRPr="00120AAB">
        <w:rPr>
          <w:rFonts w:asciiTheme="majorHAnsi" w:hAnsiTheme="majorHAnsi" w:cs="Calibri"/>
          <w:i/>
          <w:iCs/>
        </w:rPr>
        <w:t xml:space="preserve">Primary functions </w:t>
      </w:r>
    </w:p>
    <w:p w14:paraId="36370B3B" w14:textId="77777777" w:rsidR="001C679E"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Governance, cultural and financial oversight</w:t>
      </w:r>
    </w:p>
    <w:p w14:paraId="78B6B630" w14:textId="77777777" w:rsidR="001C679E"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Establishing the Centre’s guiding principles and values</w:t>
      </w:r>
    </w:p>
    <w:p w14:paraId="147854E3" w14:textId="77777777" w:rsidR="001C679E"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Strategic oversight and direction, including developing and monitoring the strategic agenda and plan</w:t>
      </w:r>
    </w:p>
    <w:p w14:paraId="675D4F45" w14:textId="32A45509" w:rsidR="001C679E"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Performing standard organisational oversight responsibilities in accordance with delegations, including signing off Centre specific policies, and appointing and overseeing the Centre’s Executive Director.</w:t>
      </w:r>
    </w:p>
    <w:p w14:paraId="2566A31F" w14:textId="600D0262" w:rsidR="00150B19" w:rsidRPr="00120AAB" w:rsidRDefault="4F85DF43" w:rsidP="00C523FE">
      <w:pPr>
        <w:keepNext/>
        <w:spacing w:before="120" w:after="60" w:line="252" w:lineRule="auto"/>
        <w:rPr>
          <w:rFonts w:asciiTheme="majorHAnsi" w:hAnsiTheme="majorHAnsi" w:cs="Calibri"/>
        </w:rPr>
      </w:pPr>
      <w:r w:rsidRPr="00120AAB">
        <w:rPr>
          <w:rFonts w:asciiTheme="majorHAnsi" w:hAnsiTheme="majorHAnsi" w:cs="Calibri"/>
          <w:i/>
          <w:iCs/>
        </w:rPr>
        <w:t>Co-chairs</w:t>
      </w:r>
      <w:r w:rsidRPr="00120AAB">
        <w:rPr>
          <w:rFonts w:asciiTheme="majorHAnsi" w:hAnsiTheme="majorHAnsi" w:cs="Calibri"/>
        </w:rPr>
        <w:t xml:space="preserve"> </w:t>
      </w:r>
    </w:p>
    <w:p w14:paraId="5026153E" w14:textId="77777777" w:rsidR="00150B19"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Host Organisation Board Member (to ensure connectivity with Host Board)</w:t>
      </w:r>
    </w:p>
    <w:p w14:paraId="0D71FCBD" w14:textId="1CDD6ECD" w:rsidR="00150B19"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Non-Executive Council Member nominated by the Council</w:t>
      </w:r>
    </w:p>
    <w:p w14:paraId="0222B04F" w14:textId="709026E7" w:rsidR="007D671D" w:rsidRPr="00120AAB" w:rsidRDefault="4F85DF43" w:rsidP="00C523FE">
      <w:pPr>
        <w:keepNext/>
        <w:spacing w:before="120" w:after="60" w:line="252" w:lineRule="auto"/>
        <w:rPr>
          <w:rFonts w:asciiTheme="majorHAnsi" w:hAnsiTheme="majorHAnsi" w:cs="Calibri"/>
          <w:i/>
          <w:iCs/>
        </w:rPr>
      </w:pPr>
      <w:r w:rsidRPr="00120AAB">
        <w:rPr>
          <w:rFonts w:asciiTheme="majorHAnsi" w:hAnsiTheme="majorHAnsi" w:cs="Calibri"/>
          <w:i/>
          <w:iCs/>
        </w:rPr>
        <w:t>Composition</w:t>
      </w:r>
    </w:p>
    <w:p w14:paraId="57AA2B55" w14:textId="4DD314DD" w:rsidR="007D671D" w:rsidRPr="00120AAB" w:rsidRDefault="4F85DF43" w:rsidP="00C523FE">
      <w:pPr>
        <w:spacing w:after="120" w:line="252" w:lineRule="auto"/>
        <w:rPr>
          <w:rFonts w:asciiTheme="majorHAnsi" w:hAnsiTheme="majorHAnsi" w:cs="Calibri"/>
          <w:b/>
          <w:bCs/>
        </w:rPr>
      </w:pPr>
      <w:r w:rsidRPr="00DD6BA3">
        <w:rPr>
          <w:rFonts w:asciiTheme="majorHAnsi" w:hAnsiTheme="majorHAnsi" w:cs="Calibri"/>
        </w:rPr>
        <w:t xml:space="preserve">A core membership of </w:t>
      </w:r>
      <w:r w:rsidR="00AA79E8" w:rsidRPr="00DD6BA3">
        <w:rPr>
          <w:rFonts w:asciiTheme="majorHAnsi" w:hAnsiTheme="majorHAnsi" w:cs="Calibri"/>
        </w:rPr>
        <w:t xml:space="preserve">up to </w:t>
      </w:r>
      <w:r w:rsidRPr="00DD6BA3">
        <w:rPr>
          <w:rFonts w:asciiTheme="majorHAnsi" w:hAnsiTheme="majorHAnsi" w:cs="Calibri"/>
        </w:rPr>
        <w:t>12 multidisciplinary Aboriginal and Torres Strait Islander leaders</w:t>
      </w:r>
      <w:r w:rsidRPr="00120AAB">
        <w:rPr>
          <w:rFonts w:asciiTheme="majorHAnsi" w:hAnsiTheme="majorHAnsi" w:cs="Calibri"/>
        </w:rPr>
        <w:t xml:space="preserve"> with collective expertise and relevant cultural and operational governance, financial, legal and commercial experience, including: </w:t>
      </w:r>
    </w:p>
    <w:p w14:paraId="38D928C5" w14:textId="03A84AF7" w:rsidR="0023667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 minimum of two host organisation representatives (either two Board Members or one Board Member and the Host Organisation Executive Director)</w:t>
      </w:r>
    </w:p>
    <w:p w14:paraId="7DFDD289" w14:textId="526A2520" w:rsidR="0023667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 minimum of two jurisdictional partner representatives (nominated by jurisdictional partners or holding positions on a rotating term cycle)</w:t>
      </w:r>
    </w:p>
    <w:p w14:paraId="0D82C683" w14:textId="40202C6F" w:rsidR="0023667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Other representatives from across the Child and Family sector and system including leaders in practice and academic research, ACCOs and ACCO peaks, Indigenous Data Sovereignty, policy, training and capacity development.</w:t>
      </w:r>
    </w:p>
    <w:p w14:paraId="11C3A757" w14:textId="1B382AE7" w:rsidR="00704DEE"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The Council must include representatives that have relevant cultural and operational governance, financial, legal and commercial experience</w:t>
      </w:r>
    </w:p>
    <w:p w14:paraId="7B224E88" w14:textId="6C1C3B0E" w:rsidR="00486474" w:rsidRPr="00120AAB" w:rsidRDefault="4F85DF43" w:rsidP="00C523FE">
      <w:pPr>
        <w:keepNext/>
        <w:spacing w:before="120" w:after="60" w:line="252" w:lineRule="auto"/>
        <w:rPr>
          <w:rFonts w:asciiTheme="majorHAnsi" w:hAnsiTheme="majorHAnsi" w:cs="Calibri"/>
          <w:i/>
          <w:iCs/>
        </w:rPr>
      </w:pPr>
      <w:r w:rsidRPr="00120AAB">
        <w:rPr>
          <w:rFonts w:asciiTheme="majorHAnsi" w:hAnsiTheme="majorHAnsi" w:cs="Calibri"/>
          <w:i/>
          <w:iCs/>
        </w:rPr>
        <w:t>Meeting cycle</w:t>
      </w:r>
    </w:p>
    <w:p w14:paraId="7873FA8E" w14:textId="4F162D46" w:rsidR="00486474" w:rsidRPr="00120AAB" w:rsidRDefault="4F85DF43" w:rsidP="00C523FE">
      <w:pPr>
        <w:spacing w:after="120" w:line="252" w:lineRule="auto"/>
        <w:rPr>
          <w:rFonts w:asciiTheme="majorHAnsi" w:hAnsiTheme="majorHAnsi" w:cs="Calibri"/>
        </w:rPr>
      </w:pPr>
      <w:r w:rsidRPr="00DD6BA3">
        <w:rPr>
          <w:rFonts w:asciiTheme="majorHAnsi" w:hAnsiTheme="majorHAnsi" w:cs="Calibri"/>
        </w:rPr>
        <w:t>The Council will meet a minimum of 4 times per year with its meeting cycle to be aligned with the</w:t>
      </w:r>
      <w:r w:rsidRPr="00120AAB">
        <w:rPr>
          <w:rFonts w:asciiTheme="majorHAnsi" w:hAnsiTheme="majorHAnsi" w:cs="Calibri"/>
        </w:rPr>
        <w:t xml:space="preserve"> Host Organisation’s Board meeting calendar.</w:t>
      </w:r>
    </w:p>
    <w:p w14:paraId="2EE6CA72" w14:textId="77777777" w:rsidR="00030AF9" w:rsidRPr="00120AAB" w:rsidRDefault="4F85DF43" w:rsidP="00540368">
      <w:pPr>
        <w:pStyle w:val="Heading3"/>
      </w:pPr>
      <w:bookmarkStart w:id="65" w:name="_Toc180484322"/>
      <w:r w:rsidRPr="00120AAB">
        <w:t>Cross-Disciplinary Expert Community of Practice</w:t>
      </w:r>
      <w:bookmarkEnd w:id="65"/>
    </w:p>
    <w:p w14:paraId="6C113928" w14:textId="75555540" w:rsidR="00030AF9" w:rsidRPr="00120AAB" w:rsidRDefault="4F85DF43" w:rsidP="00C57C01">
      <w:pPr>
        <w:spacing w:before="160" w:after="120" w:line="252" w:lineRule="auto"/>
        <w:rPr>
          <w:rFonts w:asciiTheme="majorHAnsi" w:hAnsiTheme="majorHAnsi" w:cs="Calibri"/>
          <w:lang w:val="en-AU"/>
        </w:rPr>
      </w:pPr>
      <w:r w:rsidRPr="00120AAB">
        <w:rPr>
          <w:rFonts w:asciiTheme="majorHAnsi" w:hAnsiTheme="majorHAnsi" w:cs="Calibri"/>
        </w:rPr>
        <w:t>The Cross-Disciplinary Expert Community of Practice that provides specialist and technical support to the Council and assists in the development of the Centre’s research, training and capacity building strategy and agenda.</w:t>
      </w:r>
    </w:p>
    <w:p w14:paraId="31133313" w14:textId="77777777" w:rsidR="00FA3E00" w:rsidRPr="00120AAB" w:rsidRDefault="4F85DF43" w:rsidP="00C523FE">
      <w:pPr>
        <w:keepNext/>
        <w:spacing w:before="120" w:after="60" w:line="252" w:lineRule="auto"/>
        <w:contextualSpacing/>
        <w:rPr>
          <w:rFonts w:asciiTheme="majorHAnsi" w:hAnsiTheme="majorHAnsi" w:cs="Calibri"/>
        </w:rPr>
      </w:pPr>
      <w:r w:rsidRPr="00120AAB">
        <w:rPr>
          <w:rFonts w:asciiTheme="majorHAnsi" w:hAnsiTheme="majorHAnsi" w:cs="Calibri"/>
          <w:i/>
          <w:iCs/>
        </w:rPr>
        <w:t>Primary functions</w:t>
      </w:r>
      <w:r w:rsidRPr="00120AAB">
        <w:rPr>
          <w:rFonts w:asciiTheme="majorHAnsi" w:hAnsiTheme="majorHAnsi" w:cs="Calibri"/>
        </w:rPr>
        <w:t xml:space="preserve"> </w:t>
      </w:r>
    </w:p>
    <w:p w14:paraId="36A503BA" w14:textId="30EB7ECD" w:rsidR="00A15FA4"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Provide a network of knowledge holders to advise on community research and capability development needs and priorities, and inform / support the Centre Advisory Council in developing a national research and learning agenda</w:t>
      </w:r>
    </w:p>
    <w:p w14:paraId="738CCE29" w14:textId="2752D7F8" w:rsidR="00A15FA4"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 xml:space="preserve">Advise on partnerships and collaboration (MoUs) with jurisdictional </w:t>
      </w:r>
      <w:r w:rsidR="0024503E" w:rsidRPr="00120AAB">
        <w:rPr>
          <w:rFonts w:asciiTheme="majorHAnsi" w:hAnsiTheme="majorHAnsi" w:cs="Calibri"/>
          <w:sz w:val="24"/>
          <w:szCs w:val="24"/>
        </w:rPr>
        <w:t xml:space="preserve">bodies </w:t>
      </w:r>
      <w:r w:rsidRPr="00120AAB">
        <w:rPr>
          <w:rFonts w:asciiTheme="majorHAnsi" w:hAnsiTheme="majorHAnsi" w:cs="Calibri"/>
          <w:sz w:val="24"/>
          <w:szCs w:val="24"/>
        </w:rPr>
        <w:t xml:space="preserve">/ universities / research centres / practice peaks </w:t>
      </w:r>
    </w:p>
    <w:p w14:paraId="7BCDE1B1" w14:textId="14DDA21E" w:rsidR="00A15FA4"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Assist in identifying research, capability building, collaboration and funding opportunities that support three-way (community, practice and academic) research and learning</w:t>
      </w:r>
    </w:p>
    <w:p w14:paraId="24584B99" w14:textId="77777777" w:rsidR="00A15FA4"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Advise on innovative approaches to undertake the work of the Centre that enable and support three-way collaboration and cross jurisdiction learning and development</w:t>
      </w:r>
    </w:p>
    <w:p w14:paraId="293F1E03" w14:textId="194F7458" w:rsidR="00A15FA4"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Support research-based publication and peer review processes, and the translation of research into practice</w:t>
      </w:r>
      <w:r w:rsidR="00DD6BA3">
        <w:rPr>
          <w:rFonts w:asciiTheme="majorHAnsi" w:hAnsiTheme="majorHAnsi" w:cs="Calibri"/>
          <w:sz w:val="24"/>
          <w:szCs w:val="24"/>
        </w:rPr>
        <w:t>.</w:t>
      </w:r>
    </w:p>
    <w:p w14:paraId="31789D87" w14:textId="09464020" w:rsidR="004F52CA" w:rsidRPr="00120AAB" w:rsidRDefault="4F85DF43" w:rsidP="00C523FE">
      <w:pPr>
        <w:keepNext/>
        <w:spacing w:before="120" w:after="60" w:line="252" w:lineRule="auto"/>
        <w:contextualSpacing/>
        <w:rPr>
          <w:rFonts w:asciiTheme="majorHAnsi" w:hAnsiTheme="majorHAnsi" w:cs="Calibri"/>
          <w:i/>
          <w:iCs/>
        </w:rPr>
      </w:pPr>
      <w:r w:rsidRPr="00120AAB">
        <w:rPr>
          <w:rFonts w:asciiTheme="majorHAnsi" w:hAnsiTheme="majorHAnsi" w:cs="Calibri"/>
          <w:i/>
          <w:iCs/>
        </w:rPr>
        <w:t>Co-chairs</w:t>
      </w:r>
    </w:p>
    <w:p w14:paraId="5E976DC7" w14:textId="47299C96" w:rsidR="004F52CA"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The Centre</w:t>
      </w:r>
      <w:r w:rsidR="00DD6BA3">
        <w:rPr>
          <w:rFonts w:asciiTheme="majorHAnsi" w:hAnsiTheme="majorHAnsi" w:cs="Calibri"/>
          <w:sz w:val="24"/>
          <w:szCs w:val="24"/>
        </w:rPr>
        <w:t>’</w:t>
      </w:r>
      <w:r w:rsidRPr="00120AAB">
        <w:rPr>
          <w:rFonts w:asciiTheme="majorHAnsi" w:hAnsiTheme="majorHAnsi" w:cs="Calibri"/>
          <w:sz w:val="24"/>
          <w:szCs w:val="24"/>
        </w:rPr>
        <w:t>s Executive Director</w:t>
      </w:r>
    </w:p>
    <w:p w14:paraId="3CF29777" w14:textId="6C27B397" w:rsidR="004F52C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Non-Executive Advisory Council Member (to ensure connectivity with Council)</w:t>
      </w:r>
    </w:p>
    <w:p w14:paraId="46F81ABA" w14:textId="17463E0C" w:rsidR="004609FE" w:rsidRPr="00120AAB" w:rsidRDefault="4F85DF43" w:rsidP="00C523FE">
      <w:pPr>
        <w:keepNext/>
        <w:spacing w:before="120" w:after="60" w:line="252" w:lineRule="auto"/>
        <w:rPr>
          <w:rFonts w:asciiTheme="majorHAnsi" w:hAnsiTheme="majorHAnsi"/>
          <w:i/>
          <w:iCs/>
        </w:rPr>
      </w:pPr>
      <w:r w:rsidRPr="00120AAB">
        <w:rPr>
          <w:rFonts w:asciiTheme="majorHAnsi" w:hAnsiTheme="majorHAnsi"/>
          <w:i/>
          <w:iCs/>
        </w:rPr>
        <w:t>Composition</w:t>
      </w:r>
    </w:p>
    <w:p w14:paraId="61AC27BD" w14:textId="67E4228A" w:rsidR="00A94071" w:rsidRPr="00120AAB" w:rsidRDefault="4F85DF43" w:rsidP="00C523FE">
      <w:pPr>
        <w:spacing w:line="252" w:lineRule="auto"/>
        <w:rPr>
          <w:rFonts w:asciiTheme="majorHAnsi" w:hAnsiTheme="majorHAnsi" w:cs="Calibri"/>
        </w:rPr>
      </w:pPr>
      <w:r w:rsidRPr="00DD6BA3">
        <w:rPr>
          <w:rFonts w:asciiTheme="majorHAnsi" w:hAnsiTheme="majorHAnsi" w:cs="Calibri"/>
        </w:rPr>
        <w:t xml:space="preserve">The Community of Practice will have a membership of </w:t>
      </w:r>
      <w:r w:rsidR="005B5FD4" w:rsidRPr="00DD6BA3">
        <w:rPr>
          <w:rFonts w:asciiTheme="majorHAnsi" w:hAnsiTheme="majorHAnsi" w:cs="Calibri"/>
        </w:rPr>
        <w:t xml:space="preserve">up to </w:t>
      </w:r>
      <w:r w:rsidRPr="00DD6BA3">
        <w:rPr>
          <w:rFonts w:asciiTheme="majorHAnsi" w:hAnsiTheme="majorHAnsi" w:cs="Calibri"/>
        </w:rPr>
        <w:t>14 Aboriginal and Torres Strait Islander and non-Indigenous multidisciplinary experts from across the Child and Family Support</w:t>
      </w:r>
      <w:r w:rsidRPr="00120AAB">
        <w:rPr>
          <w:rFonts w:asciiTheme="majorHAnsi" w:hAnsiTheme="majorHAnsi" w:cs="Calibri"/>
        </w:rPr>
        <w:t xml:space="preserve"> Sector and system, including:</w:t>
      </w:r>
    </w:p>
    <w:p w14:paraId="278D0E79" w14:textId="3A2237FC" w:rsidR="00386B45" w:rsidRPr="00120AAB" w:rsidRDefault="4F85DF43" w:rsidP="00C523FE">
      <w:pPr>
        <w:pStyle w:val="ListParagraph"/>
        <w:numPr>
          <w:ilvl w:val="0"/>
          <w:numId w:val="3"/>
        </w:numPr>
        <w:spacing w:before="60" w:after="120" w:line="252" w:lineRule="auto"/>
        <w:rPr>
          <w:rFonts w:asciiTheme="majorHAnsi" w:hAnsiTheme="majorHAnsi" w:cs="Calibri"/>
          <w:sz w:val="24"/>
          <w:szCs w:val="24"/>
        </w:rPr>
      </w:pPr>
      <w:r w:rsidRPr="00120AAB">
        <w:rPr>
          <w:rFonts w:asciiTheme="majorHAnsi" w:hAnsiTheme="majorHAnsi" w:cs="Calibri"/>
          <w:sz w:val="24"/>
          <w:szCs w:val="24"/>
        </w:rPr>
        <w:t>A majority of Aboriginal and Torres Strait Islander members</w:t>
      </w:r>
    </w:p>
    <w:p w14:paraId="697111DE" w14:textId="0DAC35E4" w:rsidR="00386B45"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The Centre's Executive Director and at least one Centre Advisory Council member</w:t>
      </w:r>
    </w:p>
    <w:p w14:paraId="4FDCA63A" w14:textId="77777777" w:rsidR="00BF4F67"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 minimum of two jurisdictional partner representatives (nominated by jurisdictional partners or holding positions on a rotating term cycle)</w:t>
      </w:r>
    </w:p>
    <w:p w14:paraId="53099700" w14:textId="22690C2C" w:rsidR="00172E5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Other representatives from across the Child and Family Support Sector and system, including leaders in practice and academic research, ACCOs and ACCO peaks, Indigenous Data Sovereignty, and training and capacity development</w:t>
      </w:r>
      <w:r w:rsidR="00DD6BA3">
        <w:rPr>
          <w:rFonts w:asciiTheme="majorHAnsi" w:hAnsiTheme="majorHAnsi" w:cs="Calibri"/>
          <w:sz w:val="24"/>
          <w:szCs w:val="24"/>
        </w:rPr>
        <w:t>.</w:t>
      </w:r>
    </w:p>
    <w:p w14:paraId="54BA46F7" w14:textId="53D017BF" w:rsidR="00172E56" w:rsidRPr="00120AAB" w:rsidRDefault="4F85DF43" w:rsidP="00C523FE">
      <w:pPr>
        <w:keepNext/>
        <w:spacing w:before="120" w:after="60" w:line="252" w:lineRule="auto"/>
        <w:rPr>
          <w:rFonts w:asciiTheme="majorHAnsi" w:hAnsiTheme="majorHAnsi" w:cs="Calibri"/>
          <w:i/>
          <w:iCs/>
        </w:rPr>
      </w:pPr>
      <w:r w:rsidRPr="00120AAB">
        <w:rPr>
          <w:rFonts w:asciiTheme="majorHAnsi" w:hAnsiTheme="majorHAnsi" w:cs="Calibri"/>
          <w:i/>
          <w:iCs/>
        </w:rPr>
        <w:t>Meeting cycle</w:t>
      </w:r>
    </w:p>
    <w:p w14:paraId="09414F78" w14:textId="68004128" w:rsidR="00172E56" w:rsidRPr="00120AAB" w:rsidRDefault="4F85DF43" w:rsidP="00C523FE">
      <w:pPr>
        <w:spacing w:after="120" w:line="252" w:lineRule="auto"/>
        <w:rPr>
          <w:rFonts w:asciiTheme="majorHAnsi" w:hAnsiTheme="majorHAnsi" w:cs="Calibri"/>
        </w:rPr>
      </w:pPr>
      <w:r w:rsidRPr="00DD6BA3">
        <w:rPr>
          <w:rFonts w:asciiTheme="majorHAnsi" w:hAnsiTheme="majorHAnsi" w:cs="Calibri"/>
        </w:rPr>
        <w:t>The Community of Practice will meet a minimum of 4 times per year with its meeting cycle to be</w:t>
      </w:r>
      <w:r w:rsidRPr="00120AAB">
        <w:rPr>
          <w:rFonts w:asciiTheme="majorHAnsi" w:hAnsiTheme="majorHAnsi" w:cs="Calibri"/>
        </w:rPr>
        <w:t xml:space="preserve"> aligned with</w:t>
      </w:r>
      <w:r w:rsidR="00DD6BA3">
        <w:rPr>
          <w:rFonts w:asciiTheme="majorHAnsi" w:hAnsiTheme="majorHAnsi" w:cs="Calibri"/>
        </w:rPr>
        <w:t xml:space="preserve"> the</w:t>
      </w:r>
      <w:r w:rsidRPr="00120AAB">
        <w:rPr>
          <w:rFonts w:asciiTheme="majorHAnsi" w:hAnsiTheme="majorHAnsi" w:cs="Calibri"/>
        </w:rPr>
        <w:t xml:space="preserve"> Advisory Council’s meeting calendar.</w:t>
      </w:r>
    </w:p>
    <w:p w14:paraId="174300DC" w14:textId="77777777" w:rsidR="000522A8" w:rsidRPr="00120AAB" w:rsidRDefault="4F85DF43" w:rsidP="00540368">
      <w:pPr>
        <w:pStyle w:val="Heading3"/>
      </w:pPr>
      <w:bookmarkStart w:id="66" w:name="_Toc180484323"/>
      <w:r w:rsidRPr="00120AAB">
        <w:t>Indigenous Data Sovereignty Knowledge Holders</w:t>
      </w:r>
      <w:bookmarkEnd w:id="66"/>
      <w:r w:rsidRPr="00120AAB">
        <w:t xml:space="preserve"> </w:t>
      </w:r>
    </w:p>
    <w:p w14:paraId="1AC37999" w14:textId="6CD09776" w:rsidR="00184232"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A panel of Indigenous Data Sovereignty Knowledge Holders will provide guidance to the Centre on Indigenous Data Sovereignty and Governance</w:t>
      </w:r>
      <w:r w:rsidR="00DD6BA3">
        <w:rPr>
          <w:rFonts w:asciiTheme="majorHAnsi" w:hAnsiTheme="majorHAnsi" w:cs="Calibri"/>
        </w:rPr>
        <w:t>.</w:t>
      </w:r>
      <w:r w:rsidRPr="00120AAB">
        <w:rPr>
          <w:rFonts w:asciiTheme="majorHAnsi" w:hAnsiTheme="majorHAnsi" w:cs="Calibri"/>
        </w:rPr>
        <w:t xml:space="preserve"> </w:t>
      </w:r>
    </w:p>
    <w:p w14:paraId="581C9C33" w14:textId="77777777" w:rsidR="00184232" w:rsidRPr="00120AAB" w:rsidRDefault="4F85DF43" w:rsidP="00C523FE">
      <w:pPr>
        <w:keepNext/>
        <w:spacing w:before="120" w:after="60" w:line="252" w:lineRule="auto"/>
        <w:rPr>
          <w:rFonts w:asciiTheme="majorHAnsi" w:hAnsiTheme="majorHAnsi" w:cs="Calibri"/>
          <w:i/>
          <w:iCs/>
        </w:rPr>
      </w:pPr>
      <w:r w:rsidRPr="00120AAB">
        <w:rPr>
          <w:rFonts w:asciiTheme="majorHAnsi" w:hAnsiTheme="majorHAnsi" w:cs="Calibri"/>
          <w:i/>
          <w:iCs/>
        </w:rPr>
        <w:t xml:space="preserve">Primary functions </w:t>
      </w:r>
    </w:p>
    <w:p w14:paraId="6BF95338" w14:textId="62E229BB" w:rsidR="00184232" w:rsidRPr="00120AAB" w:rsidRDefault="4F85DF43" w:rsidP="00C523FE">
      <w:pPr>
        <w:spacing w:after="120" w:line="252" w:lineRule="auto"/>
        <w:rPr>
          <w:rFonts w:asciiTheme="majorHAnsi" w:hAnsiTheme="majorHAnsi" w:cs="Calibri"/>
        </w:rPr>
      </w:pPr>
      <w:r w:rsidRPr="00120AAB">
        <w:rPr>
          <w:rFonts w:asciiTheme="majorHAnsi" w:hAnsiTheme="majorHAnsi" w:cs="Calibri"/>
        </w:rPr>
        <w:t>Development, implementation and compliance with a strong Indigenous Data Governance framework and data management system.</w:t>
      </w:r>
    </w:p>
    <w:p w14:paraId="69549F3D" w14:textId="62607081" w:rsidR="00B87182" w:rsidRPr="00120AAB" w:rsidRDefault="4F85DF43" w:rsidP="00C523FE">
      <w:pPr>
        <w:keepNext/>
        <w:spacing w:before="120" w:after="60" w:line="252" w:lineRule="auto"/>
        <w:rPr>
          <w:rFonts w:asciiTheme="majorHAnsi" w:hAnsiTheme="majorHAnsi" w:cs="Calibri"/>
          <w:i/>
          <w:iCs/>
        </w:rPr>
      </w:pPr>
      <w:r w:rsidRPr="00120AAB">
        <w:rPr>
          <w:rFonts w:asciiTheme="majorHAnsi" w:hAnsiTheme="majorHAnsi" w:cs="Calibri"/>
          <w:i/>
          <w:iCs/>
        </w:rPr>
        <w:t xml:space="preserve">Co-convenors </w:t>
      </w:r>
    </w:p>
    <w:p w14:paraId="1E2AAD3B" w14:textId="77777777" w:rsidR="009D5204"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Indigenous Data Governance Manager</w:t>
      </w:r>
    </w:p>
    <w:p w14:paraId="526AEF6C" w14:textId="05078AF7" w:rsidR="00B87182"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 xml:space="preserve">Non-Executive Convenor appointed by the Advisory Council (may be </w:t>
      </w:r>
      <w:r w:rsidR="00E53204">
        <w:rPr>
          <w:rFonts w:asciiTheme="majorHAnsi" w:hAnsiTheme="majorHAnsi" w:cs="Calibri"/>
          <w:sz w:val="24"/>
          <w:szCs w:val="24"/>
        </w:rPr>
        <w:t xml:space="preserve">a </w:t>
      </w:r>
      <w:r w:rsidRPr="00120AAB">
        <w:rPr>
          <w:rFonts w:asciiTheme="majorHAnsi" w:hAnsiTheme="majorHAnsi" w:cs="Calibri"/>
          <w:sz w:val="24"/>
          <w:szCs w:val="24"/>
        </w:rPr>
        <w:t>Council</w:t>
      </w:r>
      <w:r w:rsidR="00E53204">
        <w:rPr>
          <w:rFonts w:asciiTheme="majorHAnsi" w:hAnsiTheme="majorHAnsi" w:cs="Calibri"/>
          <w:sz w:val="24"/>
          <w:szCs w:val="24"/>
        </w:rPr>
        <w:t xml:space="preserve"> Member</w:t>
      </w:r>
      <w:r w:rsidRPr="00120AAB">
        <w:rPr>
          <w:rFonts w:asciiTheme="majorHAnsi" w:hAnsiTheme="majorHAnsi" w:cs="Calibri"/>
          <w:sz w:val="24"/>
          <w:szCs w:val="24"/>
        </w:rPr>
        <w:t>)</w:t>
      </w:r>
    </w:p>
    <w:p w14:paraId="409D4727" w14:textId="60A65D42" w:rsidR="00184232" w:rsidRPr="00120AAB" w:rsidRDefault="4F85DF43" w:rsidP="00C523FE">
      <w:pPr>
        <w:keepNext/>
        <w:spacing w:before="120" w:after="60" w:line="252" w:lineRule="auto"/>
        <w:rPr>
          <w:rFonts w:asciiTheme="majorHAnsi" w:hAnsiTheme="majorHAnsi" w:cs="Calibri"/>
          <w:i/>
          <w:iCs/>
        </w:rPr>
      </w:pPr>
      <w:r w:rsidRPr="00120AAB">
        <w:rPr>
          <w:rFonts w:asciiTheme="majorHAnsi" w:hAnsiTheme="majorHAnsi" w:cs="Calibri"/>
          <w:i/>
          <w:iCs/>
        </w:rPr>
        <w:t>Composition</w:t>
      </w:r>
    </w:p>
    <w:p w14:paraId="6CBF6ADF" w14:textId="5461A322" w:rsidR="00184232" w:rsidRPr="00120AAB" w:rsidRDefault="4F85DF43" w:rsidP="00C523FE">
      <w:pPr>
        <w:spacing w:line="252" w:lineRule="auto"/>
        <w:rPr>
          <w:rFonts w:asciiTheme="majorHAnsi" w:hAnsiTheme="majorHAnsi" w:cs="Calibri"/>
          <w:b/>
          <w:bCs/>
        </w:rPr>
      </w:pPr>
      <w:r w:rsidRPr="00DD6BA3">
        <w:rPr>
          <w:rFonts w:asciiTheme="majorHAnsi" w:hAnsiTheme="majorHAnsi" w:cs="Calibri"/>
        </w:rPr>
        <w:t>A membership of up to 14 Aboriginal and Torres Strait Islander multidisciplinary knowledge</w:t>
      </w:r>
      <w:r w:rsidRPr="00120AAB">
        <w:rPr>
          <w:rFonts w:asciiTheme="majorHAnsi" w:hAnsiTheme="majorHAnsi" w:cs="Calibri"/>
        </w:rPr>
        <w:t xml:space="preserve"> holders, including:</w:t>
      </w:r>
    </w:p>
    <w:p w14:paraId="4CDB4151" w14:textId="1967D4E3" w:rsidR="00495625" w:rsidRPr="00120AAB" w:rsidRDefault="4F85DF43" w:rsidP="00C523FE">
      <w:pPr>
        <w:pStyle w:val="ListParagraph"/>
        <w:numPr>
          <w:ilvl w:val="0"/>
          <w:numId w:val="3"/>
        </w:numPr>
        <w:spacing w:before="60" w:after="120" w:line="252" w:lineRule="auto"/>
        <w:rPr>
          <w:rFonts w:asciiTheme="majorHAnsi" w:hAnsiTheme="majorHAnsi" w:cs="Calibri"/>
          <w:sz w:val="24"/>
          <w:szCs w:val="24"/>
        </w:rPr>
      </w:pPr>
      <w:r w:rsidRPr="00120AAB">
        <w:rPr>
          <w:rFonts w:asciiTheme="majorHAnsi" w:hAnsiTheme="majorHAnsi" w:cs="Calibri"/>
          <w:sz w:val="24"/>
          <w:szCs w:val="24"/>
        </w:rPr>
        <w:t>The Centre's Indigenous Data Governance Manager</w:t>
      </w:r>
    </w:p>
    <w:p w14:paraId="12659D31" w14:textId="3F5EB5CC" w:rsidR="00495625"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Indigenous data sovereignty subject matter experts</w:t>
      </w:r>
    </w:p>
    <w:p w14:paraId="5F4C0F54" w14:textId="3304BA1E" w:rsidR="00495625"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 minimum of two jurisdictional partner representatives (nominated by jurisdictional partners or holding positions on a rotating term cycle)</w:t>
      </w:r>
      <w:r w:rsidR="00DD6BA3">
        <w:rPr>
          <w:rFonts w:asciiTheme="majorHAnsi" w:hAnsiTheme="majorHAnsi" w:cs="Calibri"/>
          <w:sz w:val="24"/>
          <w:szCs w:val="24"/>
        </w:rPr>
        <w:t>.</w:t>
      </w:r>
    </w:p>
    <w:p w14:paraId="3320E880" w14:textId="03F50201" w:rsidR="00184232" w:rsidRPr="00120AAB" w:rsidRDefault="4F85DF43" w:rsidP="00C523FE">
      <w:pPr>
        <w:keepNext/>
        <w:spacing w:before="120" w:after="60" w:line="252" w:lineRule="auto"/>
        <w:rPr>
          <w:rFonts w:asciiTheme="majorHAnsi" w:hAnsiTheme="majorHAnsi" w:cs="Calibri"/>
          <w:i/>
          <w:iCs/>
        </w:rPr>
      </w:pPr>
      <w:r w:rsidRPr="00120AAB">
        <w:rPr>
          <w:rFonts w:asciiTheme="majorHAnsi" w:hAnsiTheme="majorHAnsi" w:cs="Calibri"/>
          <w:i/>
          <w:iCs/>
        </w:rPr>
        <w:t>Meeting cycle</w:t>
      </w:r>
    </w:p>
    <w:p w14:paraId="73889309" w14:textId="55A5254C" w:rsidR="00DD2FAE" w:rsidRPr="00120AAB" w:rsidRDefault="4F85DF43" w:rsidP="00C523FE">
      <w:pPr>
        <w:spacing w:after="120" w:line="252" w:lineRule="auto"/>
        <w:rPr>
          <w:rFonts w:asciiTheme="majorHAnsi" w:hAnsiTheme="majorHAnsi" w:cs="Calibri"/>
        </w:rPr>
      </w:pPr>
      <w:r w:rsidRPr="00DD6BA3">
        <w:rPr>
          <w:rFonts w:asciiTheme="majorHAnsi" w:hAnsiTheme="majorHAnsi" w:cs="Calibri"/>
        </w:rPr>
        <w:t>The Knowledge Holders will meet a minimum 4 times per year</w:t>
      </w:r>
      <w:r w:rsidR="00DD6BA3">
        <w:rPr>
          <w:rFonts w:asciiTheme="majorHAnsi" w:hAnsiTheme="majorHAnsi" w:cs="Calibri"/>
        </w:rPr>
        <w:t>,</w:t>
      </w:r>
      <w:r w:rsidRPr="00DD6BA3">
        <w:rPr>
          <w:rFonts w:asciiTheme="majorHAnsi" w:hAnsiTheme="majorHAnsi" w:cs="Calibri"/>
        </w:rPr>
        <w:t xml:space="preserve"> with their meeting cycle to be</w:t>
      </w:r>
      <w:r w:rsidRPr="00120AAB">
        <w:rPr>
          <w:rFonts w:asciiTheme="majorHAnsi" w:hAnsiTheme="majorHAnsi" w:cs="Calibri"/>
        </w:rPr>
        <w:t xml:space="preserve"> aligned with the Centre’s operational Advisory Council’s meeting calendar</w:t>
      </w:r>
      <w:r w:rsidR="00DD6BA3">
        <w:rPr>
          <w:rFonts w:asciiTheme="majorHAnsi" w:hAnsiTheme="majorHAnsi" w:cs="Calibri"/>
        </w:rPr>
        <w:t>.</w:t>
      </w:r>
    </w:p>
    <w:p w14:paraId="6A668B6A" w14:textId="722AEB0F" w:rsidR="0042497D" w:rsidRPr="00120AAB" w:rsidRDefault="4F85DF43" w:rsidP="00540368">
      <w:pPr>
        <w:pStyle w:val="Heading3"/>
      </w:pPr>
      <w:bookmarkStart w:id="67" w:name="_Toc180484324"/>
      <w:r w:rsidRPr="00120AAB">
        <w:t>Collaborative Panel</w:t>
      </w:r>
      <w:bookmarkEnd w:id="67"/>
    </w:p>
    <w:p w14:paraId="4052AF77" w14:textId="3B94B365" w:rsidR="00DD2FAE"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This panel will provide a forum for the Centre partners to meet, exchange ideas and stay up to date on the collaborative work of the Centre</w:t>
      </w:r>
      <w:r w:rsidR="00DD6BA3">
        <w:rPr>
          <w:rFonts w:asciiTheme="majorHAnsi" w:hAnsiTheme="majorHAnsi" w:cs="Calibri"/>
        </w:rPr>
        <w:t>.</w:t>
      </w:r>
      <w:r w:rsidRPr="00120AAB">
        <w:rPr>
          <w:rFonts w:asciiTheme="majorHAnsi" w:hAnsiTheme="majorHAnsi" w:cs="Calibri"/>
        </w:rPr>
        <w:t xml:space="preserve"> </w:t>
      </w:r>
    </w:p>
    <w:p w14:paraId="4DCCCF4A" w14:textId="77777777" w:rsidR="009D5204" w:rsidRPr="00120AAB" w:rsidRDefault="4F85DF43" w:rsidP="00540368">
      <w:pPr>
        <w:pStyle w:val="Heading4"/>
      </w:pPr>
      <w:r w:rsidRPr="00120AAB">
        <w:t xml:space="preserve">Co-convenors </w:t>
      </w:r>
    </w:p>
    <w:p w14:paraId="45393195" w14:textId="792A869A" w:rsidR="009D5204" w:rsidRPr="00120AAB" w:rsidRDefault="4F85DF43" w:rsidP="00C523FE">
      <w:pPr>
        <w:pStyle w:val="ListParagraph"/>
        <w:numPr>
          <w:ilvl w:val="0"/>
          <w:numId w:val="3"/>
        </w:numPr>
        <w:spacing w:before="60" w:after="120" w:line="252" w:lineRule="auto"/>
        <w:rPr>
          <w:rFonts w:asciiTheme="majorHAnsi" w:hAnsiTheme="majorHAnsi" w:cs="Calibri"/>
          <w:sz w:val="24"/>
          <w:szCs w:val="24"/>
        </w:rPr>
      </w:pPr>
      <w:r w:rsidRPr="00120AAB">
        <w:rPr>
          <w:rFonts w:asciiTheme="majorHAnsi" w:hAnsiTheme="majorHAnsi" w:cs="Calibri"/>
          <w:sz w:val="24"/>
          <w:szCs w:val="24"/>
        </w:rPr>
        <w:t>The Centre’s Partnerships Coordinator</w:t>
      </w:r>
    </w:p>
    <w:p w14:paraId="069FE3CC" w14:textId="61A9A5EB" w:rsidR="009D5204"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Non-Executive Convenor appointed by the Advisory Council (may be a Member of the Council)</w:t>
      </w:r>
    </w:p>
    <w:p w14:paraId="2B19CA63" w14:textId="0C3C76A2" w:rsidR="0042497D" w:rsidRPr="00120AAB" w:rsidRDefault="4F85DF43" w:rsidP="00540368">
      <w:pPr>
        <w:pStyle w:val="Heading4"/>
      </w:pPr>
      <w:r w:rsidRPr="00120AAB">
        <w:t>Composition</w:t>
      </w:r>
    </w:p>
    <w:p w14:paraId="17760046" w14:textId="582180CA" w:rsidR="0042497D" w:rsidRPr="00120AAB" w:rsidRDefault="4F85DF43" w:rsidP="00C523FE">
      <w:pPr>
        <w:spacing w:line="252" w:lineRule="auto"/>
        <w:rPr>
          <w:rFonts w:asciiTheme="majorHAnsi" w:hAnsiTheme="majorHAnsi" w:cs="Calibri"/>
          <w:b/>
          <w:bCs/>
        </w:rPr>
      </w:pPr>
      <w:r w:rsidRPr="00DD6BA3">
        <w:rPr>
          <w:rFonts w:asciiTheme="majorHAnsi" w:hAnsiTheme="majorHAnsi" w:cs="Calibri"/>
        </w:rPr>
        <w:t>The Panel will have a membership of up to 14 Aboriginal and Torres Strait Islander people,</w:t>
      </w:r>
      <w:r w:rsidRPr="00120AAB">
        <w:rPr>
          <w:rFonts w:asciiTheme="majorHAnsi" w:hAnsiTheme="majorHAnsi" w:cs="Calibri"/>
        </w:rPr>
        <w:t xml:space="preserve"> including:</w:t>
      </w:r>
    </w:p>
    <w:p w14:paraId="54336677" w14:textId="6422C844" w:rsidR="00F55323" w:rsidRPr="00120AAB" w:rsidRDefault="4F85DF43" w:rsidP="00C523FE">
      <w:pPr>
        <w:pStyle w:val="ListParagraph"/>
        <w:numPr>
          <w:ilvl w:val="0"/>
          <w:numId w:val="3"/>
        </w:numPr>
        <w:spacing w:before="60" w:after="120" w:line="252" w:lineRule="auto"/>
        <w:rPr>
          <w:rFonts w:asciiTheme="majorHAnsi" w:hAnsiTheme="majorHAnsi" w:cs="Calibri"/>
          <w:sz w:val="24"/>
          <w:szCs w:val="24"/>
        </w:rPr>
      </w:pPr>
      <w:r w:rsidRPr="00120AAB">
        <w:rPr>
          <w:rFonts w:asciiTheme="majorHAnsi" w:hAnsiTheme="majorHAnsi" w:cs="Calibri"/>
          <w:sz w:val="24"/>
          <w:szCs w:val="24"/>
        </w:rPr>
        <w:t>Representatives from each of the jurisdictions and the Centre’s research and practice partners</w:t>
      </w:r>
    </w:p>
    <w:p w14:paraId="4D281CF4" w14:textId="59096976" w:rsidR="00591BCB"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The Centre’s Partnership Coordinator and Communities of Practice Coordinator.</w:t>
      </w:r>
    </w:p>
    <w:p w14:paraId="2A9DDDAF" w14:textId="147E524D" w:rsidR="0042497D" w:rsidRPr="00120AAB" w:rsidRDefault="4F85DF43" w:rsidP="00540368">
      <w:pPr>
        <w:pStyle w:val="Heading4"/>
      </w:pPr>
      <w:r w:rsidRPr="00120AAB">
        <w:t>Meeting cycle</w:t>
      </w:r>
    </w:p>
    <w:p w14:paraId="054E505B" w14:textId="1D828EC4" w:rsidR="0042497D" w:rsidRPr="00120AAB" w:rsidRDefault="4F85DF43" w:rsidP="00C523FE">
      <w:pPr>
        <w:spacing w:after="120" w:line="252" w:lineRule="auto"/>
        <w:rPr>
          <w:rFonts w:asciiTheme="majorHAnsi" w:hAnsiTheme="majorHAnsi" w:cs="Calibri"/>
        </w:rPr>
      </w:pPr>
      <w:r w:rsidRPr="00DD6BA3">
        <w:rPr>
          <w:rFonts w:asciiTheme="majorHAnsi" w:hAnsiTheme="majorHAnsi" w:cs="Calibri"/>
        </w:rPr>
        <w:t>The Panel will meet a minimum of four times per year</w:t>
      </w:r>
      <w:r w:rsidR="00DD6BA3">
        <w:rPr>
          <w:rFonts w:asciiTheme="majorHAnsi" w:hAnsiTheme="majorHAnsi" w:cs="Calibri"/>
        </w:rPr>
        <w:t>,</w:t>
      </w:r>
      <w:r w:rsidRPr="00DD6BA3">
        <w:rPr>
          <w:rFonts w:asciiTheme="majorHAnsi" w:hAnsiTheme="majorHAnsi" w:cs="Calibri"/>
        </w:rPr>
        <w:t xml:space="preserve"> with its meeting cycle to be aligned with</w:t>
      </w:r>
      <w:r w:rsidRPr="00120AAB">
        <w:rPr>
          <w:rFonts w:asciiTheme="majorHAnsi" w:hAnsiTheme="majorHAnsi" w:cs="Calibri"/>
        </w:rPr>
        <w:t xml:space="preserve"> the Centre’s operational and Advisory Council</w:t>
      </w:r>
      <w:r w:rsidR="00DD6BA3">
        <w:rPr>
          <w:rFonts w:asciiTheme="majorHAnsi" w:hAnsiTheme="majorHAnsi" w:cs="Calibri"/>
        </w:rPr>
        <w:t>’</w:t>
      </w:r>
      <w:r w:rsidRPr="00120AAB">
        <w:rPr>
          <w:rFonts w:asciiTheme="majorHAnsi" w:hAnsiTheme="majorHAnsi" w:cs="Calibri"/>
        </w:rPr>
        <w:t>s meeting calendar</w:t>
      </w:r>
      <w:r w:rsidR="00DD6BA3">
        <w:rPr>
          <w:rFonts w:asciiTheme="majorHAnsi" w:hAnsiTheme="majorHAnsi" w:cs="Calibri"/>
        </w:rPr>
        <w:t>.</w:t>
      </w:r>
    </w:p>
    <w:p w14:paraId="103492E2" w14:textId="4656E741" w:rsidR="003F2FF1" w:rsidRPr="00120AAB" w:rsidRDefault="4F85DF43" w:rsidP="00540368">
      <w:pPr>
        <w:pStyle w:val="Heading3"/>
      </w:pPr>
      <w:bookmarkStart w:id="68" w:name="_Toc180484325"/>
      <w:r w:rsidRPr="00120AAB">
        <w:t>Community Advisors</w:t>
      </w:r>
      <w:bookmarkEnd w:id="68"/>
    </w:p>
    <w:p w14:paraId="6283F18D" w14:textId="796CA685" w:rsidR="003F2FF1" w:rsidRPr="00120AAB" w:rsidRDefault="4F85DF43" w:rsidP="00C57C01">
      <w:pPr>
        <w:spacing w:before="160" w:after="120" w:line="252" w:lineRule="auto"/>
        <w:rPr>
          <w:rFonts w:asciiTheme="majorHAnsi" w:hAnsiTheme="majorHAnsi" w:cs="Calibri"/>
        </w:rPr>
      </w:pPr>
      <w:r w:rsidRPr="00120AAB">
        <w:rPr>
          <w:rFonts w:asciiTheme="majorHAnsi" w:hAnsiTheme="majorHAnsi" w:cs="Calibri"/>
        </w:rPr>
        <w:t xml:space="preserve">A panel of up to 14 Aboriginal and Torres Strait Islander Community Advisors </w:t>
      </w:r>
      <w:r w:rsidR="00DD6BA3">
        <w:rPr>
          <w:rFonts w:asciiTheme="majorHAnsi" w:hAnsiTheme="majorHAnsi" w:cs="Calibri"/>
        </w:rPr>
        <w:t xml:space="preserve">will </w:t>
      </w:r>
      <w:r w:rsidRPr="00120AAB">
        <w:rPr>
          <w:rFonts w:asciiTheme="majorHAnsi" w:hAnsiTheme="majorHAnsi" w:cs="Calibri"/>
        </w:rPr>
        <w:t>bring the knowledge, voice and expertise of community to inform and guide the work of the Centre.</w:t>
      </w:r>
    </w:p>
    <w:p w14:paraId="4F548AC4" w14:textId="77777777" w:rsidR="00DD6B17" w:rsidRPr="00120AAB" w:rsidRDefault="4F85DF43" w:rsidP="00540368">
      <w:pPr>
        <w:pStyle w:val="Heading4"/>
      </w:pPr>
      <w:r w:rsidRPr="00120AAB">
        <w:t xml:space="preserve">Primary functions </w:t>
      </w:r>
    </w:p>
    <w:p w14:paraId="75039965" w14:textId="1D9DBAD0" w:rsidR="00DD6B17"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Informing regional and local priorities</w:t>
      </w:r>
    </w:p>
    <w:p w14:paraId="5CA9094E" w14:textId="1B26F6D1" w:rsidR="00DD6B17"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Building networks and collaborations</w:t>
      </w:r>
    </w:p>
    <w:p w14:paraId="2FCCCC8E" w14:textId="4E1C9A41" w:rsidR="00DD6B17"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Drawing on specialised expertise</w:t>
      </w:r>
    </w:p>
    <w:p w14:paraId="03DB31B5" w14:textId="583D2537" w:rsidR="00DD6B17"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Supporting knowledge translation and dissemination</w:t>
      </w:r>
      <w:r w:rsidR="00DD6BA3">
        <w:rPr>
          <w:rFonts w:asciiTheme="majorHAnsi" w:hAnsiTheme="majorHAnsi" w:cs="Calibri"/>
          <w:sz w:val="24"/>
          <w:szCs w:val="24"/>
        </w:rPr>
        <w:t>.</w:t>
      </w:r>
    </w:p>
    <w:p w14:paraId="7885BAAC" w14:textId="77777777" w:rsidR="00240C2D" w:rsidRPr="00120AAB" w:rsidRDefault="4F85DF43" w:rsidP="00540368">
      <w:pPr>
        <w:pStyle w:val="Heading4"/>
      </w:pPr>
      <w:r w:rsidRPr="00120AAB">
        <w:t xml:space="preserve">Co-convenors </w:t>
      </w:r>
    </w:p>
    <w:p w14:paraId="7ABFBD7E" w14:textId="1ADD3CC8" w:rsidR="00240C2D"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The Centre’s Communities of Practice Coordinator</w:t>
      </w:r>
    </w:p>
    <w:p w14:paraId="28D58E20" w14:textId="77777777" w:rsidR="00240C2D"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Community Representative</w:t>
      </w:r>
    </w:p>
    <w:p w14:paraId="388ACD2B" w14:textId="77777777" w:rsidR="003C3BAE" w:rsidRPr="00120AAB" w:rsidRDefault="4F85DF43" w:rsidP="00540368">
      <w:pPr>
        <w:pStyle w:val="Heading4"/>
      </w:pPr>
      <w:r w:rsidRPr="00120AAB">
        <w:t>Composition</w:t>
      </w:r>
    </w:p>
    <w:p w14:paraId="08873142" w14:textId="228D2EA3" w:rsidR="003C3BAE"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 xml:space="preserve">Aboriginal and Torres Strait Islander community members from across regions </w:t>
      </w:r>
    </w:p>
    <w:p w14:paraId="37D2FFE3" w14:textId="0B669687" w:rsidR="00CC37D0"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The Centre</w:t>
      </w:r>
      <w:r w:rsidR="00DD6BA3">
        <w:rPr>
          <w:rFonts w:asciiTheme="majorHAnsi" w:hAnsiTheme="majorHAnsi" w:cs="Calibri"/>
          <w:sz w:val="24"/>
          <w:szCs w:val="24"/>
        </w:rPr>
        <w:t>’</w:t>
      </w:r>
      <w:r w:rsidRPr="00120AAB">
        <w:rPr>
          <w:rFonts w:asciiTheme="majorHAnsi" w:hAnsiTheme="majorHAnsi" w:cs="Calibri"/>
          <w:sz w:val="24"/>
          <w:szCs w:val="24"/>
        </w:rPr>
        <w:t>s Communities of Practice Coordinator</w:t>
      </w:r>
    </w:p>
    <w:p w14:paraId="1229956A" w14:textId="77777777" w:rsidR="008E2BEF" w:rsidRPr="00120AAB" w:rsidRDefault="4F85DF43" w:rsidP="00540368">
      <w:pPr>
        <w:pStyle w:val="Heading4"/>
      </w:pPr>
      <w:r w:rsidRPr="00120AAB">
        <w:t>Meeting cycle</w:t>
      </w:r>
    </w:p>
    <w:p w14:paraId="25F4649B" w14:textId="4A5EE2A0" w:rsidR="008E2BEF"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Minimum four times per year</w:t>
      </w:r>
      <w:r w:rsidR="00DD6BA3">
        <w:rPr>
          <w:rFonts w:asciiTheme="majorHAnsi" w:hAnsiTheme="majorHAnsi" w:cs="Calibri"/>
          <w:sz w:val="24"/>
          <w:szCs w:val="24"/>
        </w:rPr>
        <w:t>,</w:t>
      </w:r>
      <w:r w:rsidRPr="00120AAB">
        <w:rPr>
          <w:rFonts w:asciiTheme="majorHAnsi" w:hAnsiTheme="majorHAnsi" w:cs="Calibri"/>
          <w:sz w:val="24"/>
          <w:szCs w:val="24"/>
        </w:rPr>
        <w:t xml:space="preserve"> with meeting cycle to be aligned with the Centre’s operational and Advisory Council</w:t>
      </w:r>
      <w:r w:rsidR="00DD6BA3">
        <w:rPr>
          <w:rFonts w:asciiTheme="majorHAnsi" w:hAnsiTheme="majorHAnsi" w:cs="Calibri"/>
          <w:sz w:val="24"/>
          <w:szCs w:val="24"/>
        </w:rPr>
        <w:t>’</w:t>
      </w:r>
      <w:r w:rsidRPr="00120AAB">
        <w:rPr>
          <w:rFonts w:asciiTheme="majorHAnsi" w:hAnsiTheme="majorHAnsi" w:cs="Calibri"/>
          <w:sz w:val="24"/>
          <w:szCs w:val="24"/>
        </w:rPr>
        <w:t>s meeting calendar</w:t>
      </w:r>
      <w:r w:rsidR="00DD6BA3">
        <w:rPr>
          <w:rFonts w:asciiTheme="majorHAnsi" w:hAnsiTheme="majorHAnsi" w:cs="Calibri"/>
          <w:sz w:val="24"/>
          <w:szCs w:val="24"/>
        </w:rPr>
        <w:t>.</w:t>
      </w:r>
    </w:p>
    <w:p w14:paraId="5A4AB483" w14:textId="77777777" w:rsidR="00225D46" w:rsidRPr="00120AAB" w:rsidRDefault="4F85DF43" w:rsidP="00540368">
      <w:pPr>
        <w:pStyle w:val="Heading3"/>
      </w:pPr>
      <w:bookmarkStart w:id="69" w:name="_Toc180484326"/>
      <w:r w:rsidRPr="00120AAB">
        <w:t>Jurisdictional centres, networks and institutes</w:t>
      </w:r>
      <w:bookmarkEnd w:id="69"/>
      <w:r w:rsidRPr="00120AAB">
        <w:t xml:space="preserve"> </w:t>
      </w:r>
    </w:p>
    <w:p w14:paraId="259BFBA1" w14:textId="328F4B42" w:rsidR="00607C96" w:rsidRPr="00120AAB" w:rsidRDefault="4F85DF43" w:rsidP="00C57C01">
      <w:pPr>
        <w:spacing w:before="120" w:after="120" w:line="252" w:lineRule="auto"/>
        <w:rPr>
          <w:rFonts w:asciiTheme="majorHAnsi" w:hAnsiTheme="majorHAnsi" w:cs="Calibri"/>
        </w:rPr>
      </w:pPr>
      <w:r w:rsidRPr="00120AAB">
        <w:rPr>
          <w:rFonts w:asciiTheme="majorHAnsi" w:hAnsiTheme="majorHAnsi" w:cs="Calibri"/>
        </w:rPr>
        <w:t>This is not one established group with membership, but a network of broader supporters and interested parties (including individuals and existing groups) that will be engaged and brought together in different ways to inform and interact with the Centre, such as:</w:t>
      </w:r>
    </w:p>
    <w:p w14:paraId="501D3B1A" w14:textId="41C88D58" w:rsidR="00FB0E73"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Aboriginal and Torres Strait Islander jurisdictional centres and research infrastructure</w:t>
      </w:r>
    </w:p>
    <w:p w14:paraId="6C110D60" w14:textId="50FB3496" w:rsidR="00607C9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ACCOs</w:t>
      </w:r>
    </w:p>
    <w:p w14:paraId="653B1D6D" w14:textId="77777777" w:rsidR="00607C9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Community governance groups</w:t>
      </w:r>
    </w:p>
    <w:p w14:paraId="27E4BAB0" w14:textId="77777777" w:rsidR="00607C9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 xml:space="preserve">Broader researchers and academics (including local researchers), </w:t>
      </w:r>
    </w:p>
    <w:p w14:paraId="0CDAAE7C" w14:textId="77777777" w:rsidR="00607C9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Universities and research institutes</w:t>
      </w:r>
    </w:p>
    <w:p w14:paraId="3C647588" w14:textId="77777777" w:rsidR="00607C9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NGOs in the child and family service sector</w:t>
      </w:r>
    </w:p>
    <w:p w14:paraId="4767A738" w14:textId="407D79FD" w:rsidR="001D280C"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 xml:space="preserve">Commonwealth and state and territory governments </w:t>
      </w:r>
    </w:p>
    <w:p w14:paraId="43CC8B84" w14:textId="3528F083" w:rsidR="003D6519"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Data custodians and bodies that control associated architecture</w:t>
      </w:r>
      <w:r w:rsidR="00DD6BA3">
        <w:rPr>
          <w:rFonts w:asciiTheme="majorHAnsi" w:hAnsiTheme="majorHAnsi" w:cs="Calibri"/>
          <w:sz w:val="24"/>
          <w:szCs w:val="24"/>
        </w:rPr>
        <w:t>.</w:t>
      </w:r>
    </w:p>
    <w:p w14:paraId="451D2F35" w14:textId="77777777" w:rsidR="00607C96" w:rsidRPr="00120AAB" w:rsidRDefault="4F85DF43" w:rsidP="00540368">
      <w:pPr>
        <w:pStyle w:val="Heading4"/>
      </w:pPr>
      <w:r w:rsidRPr="00120AAB">
        <w:t xml:space="preserve">Primary functions </w:t>
      </w:r>
    </w:p>
    <w:p w14:paraId="0BA8CBF7" w14:textId="61779657" w:rsidR="00607C96" w:rsidRPr="00120AAB" w:rsidRDefault="4F85DF43" w:rsidP="00C523FE">
      <w:pPr>
        <w:pStyle w:val="ListParagraph"/>
        <w:numPr>
          <w:ilvl w:val="0"/>
          <w:numId w:val="3"/>
        </w:numPr>
        <w:spacing w:after="120" w:line="252" w:lineRule="auto"/>
        <w:rPr>
          <w:rFonts w:asciiTheme="majorHAnsi" w:hAnsiTheme="majorHAnsi" w:cs="Calibri"/>
          <w:sz w:val="24"/>
          <w:szCs w:val="24"/>
        </w:rPr>
      </w:pPr>
      <w:r w:rsidRPr="00120AAB">
        <w:rPr>
          <w:rFonts w:asciiTheme="majorHAnsi" w:hAnsiTheme="majorHAnsi" w:cs="Calibri"/>
          <w:sz w:val="24"/>
          <w:szCs w:val="24"/>
        </w:rPr>
        <w:t>Community and sector voice</w:t>
      </w:r>
    </w:p>
    <w:p w14:paraId="65A56FAF" w14:textId="77777777" w:rsidR="00607C9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Informing regional and local priorities</w:t>
      </w:r>
    </w:p>
    <w:p w14:paraId="16BA8C2E" w14:textId="2734CD09" w:rsidR="00607C9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Two-way exchange of data/research to inform community decision-making</w:t>
      </w:r>
    </w:p>
    <w:p w14:paraId="514A7E41" w14:textId="69D81849" w:rsidR="00280C12"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Building networks and collaborations</w:t>
      </w:r>
    </w:p>
    <w:p w14:paraId="245072E5" w14:textId="001C846C" w:rsidR="00463A2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Drawing on specialised expertise</w:t>
      </w:r>
    </w:p>
    <w:p w14:paraId="5AF1A03F" w14:textId="7E9FAA00" w:rsidR="00463A26" w:rsidRPr="00120AAB" w:rsidRDefault="4F85DF43" w:rsidP="00C57C01">
      <w:pPr>
        <w:pStyle w:val="ListParagraph"/>
        <w:numPr>
          <w:ilvl w:val="0"/>
          <w:numId w:val="3"/>
        </w:numPr>
        <w:spacing w:before="120" w:after="120" w:line="252" w:lineRule="auto"/>
        <w:rPr>
          <w:rFonts w:asciiTheme="majorHAnsi" w:hAnsiTheme="majorHAnsi"/>
          <w:sz w:val="24"/>
          <w:szCs w:val="24"/>
        </w:rPr>
      </w:pPr>
      <w:r w:rsidRPr="00120AAB">
        <w:rPr>
          <w:rFonts w:asciiTheme="majorHAnsi" w:hAnsiTheme="majorHAnsi" w:cs="Calibri"/>
          <w:sz w:val="24"/>
          <w:szCs w:val="24"/>
        </w:rPr>
        <w:t>Knowledge translation and dissemination</w:t>
      </w:r>
      <w:r w:rsidR="00DD6BA3">
        <w:rPr>
          <w:rFonts w:asciiTheme="majorHAnsi" w:hAnsiTheme="majorHAnsi" w:cs="Calibri"/>
          <w:sz w:val="24"/>
          <w:szCs w:val="24"/>
        </w:rPr>
        <w:t>.</w:t>
      </w:r>
    </w:p>
    <w:p w14:paraId="4C905085" w14:textId="2E66D552" w:rsidR="001A6B02" w:rsidRPr="00120AAB" w:rsidRDefault="00665032" w:rsidP="00C57C01">
      <w:pPr>
        <w:spacing w:line="252" w:lineRule="auto"/>
        <w:rPr>
          <w:rFonts w:asciiTheme="majorHAnsi" w:hAnsiTheme="majorHAnsi" w:cs="Calibri"/>
        </w:rPr>
      </w:pPr>
      <w:r w:rsidRPr="00120AAB">
        <w:rPr>
          <w:rFonts w:asciiTheme="majorHAnsi" w:hAnsiTheme="majorHAnsi" w:cs="Calibri"/>
        </w:rPr>
        <w:t xml:space="preserve">The Centre will engage closely across the broader network to </w:t>
      </w:r>
      <w:r w:rsidR="00CF1935" w:rsidRPr="00120AAB">
        <w:rPr>
          <w:rFonts w:asciiTheme="majorHAnsi" w:hAnsiTheme="majorHAnsi" w:cs="Calibri"/>
        </w:rPr>
        <w:t xml:space="preserve">ensure </w:t>
      </w:r>
      <w:r w:rsidR="00BA254F" w:rsidRPr="00120AAB">
        <w:rPr>
          <w:rFonts w:asciiTheme="majorHAnsi" w:hAnsiTheme="majorHAnsi" w:cs="Calibri"/>
        </w:rPr>
        <w:t>its work complements existing and planned initiatives</w:t>
      </w:r>
      <w:r w:rsidR="00942B0D" w:rsidRPr="00120AAB">
        <w:rPr>
          <w:rFonts w:asciiTheme="majorHAnsi" w:hAnsiTheme="majorHAnsi" w:cs="Calibri"/>
        </w:rPr>
        <w:t xml:space="preserve"> and avoids duplication.</w:t>
      </w:r>
      <w:r w:rsidR="00BA254F" w:rsidRPr="00120AAB">
        <w:rPr>
          <w:rFonts w:asciiTheme="majorHAnsi" w:hAnsiTheme="majorHAnsi" w:cs="Calibri"/>
        </w:rPr>
        <w:t xml:space="preserve"> </w:t>
      </w:r>
      <w:r w:rsidR="00463A26" w:rsidRPr="00120AAB">
        <w:rPr>
          <w:rFonts w:asciiTheme="majorHAnsi" w:hAnsiTheme="majorHAnsi" w:cs="Calibri"/>
        </w:rPr>
        <w:t xml:space="preserve">The </w:t>
      </w:r>
      <w:r w:rsidR="00B90C11" w:rsidRPr="00120AAB">
        <w:rPr>
          <w:rFonts w:asciiTheme="majorHAnsi" w:hAnsiTheme="majorHAnsi" w:cs="Calibri"/>
        </w:rPr>
        <w:t>exact</w:t>
      </w:r>
      <w:r w:rsidR="00463A26" w:rsidRPr="00120AAB">
        <w:rPr>
          <w:rFonts w:asciiTheme="majorHAnsi" w:hAnsiTheme="majorHAnsi" w:cs="Calibri"/>
        </w:rPr>
        <w:t xml:space="preserve"> nature of</w:t>
      </w:r>
      <w:r w:rsidR="00463A26" w:rsidRPr="00120AAB" w:rsidDel="00321C4D">
        <w:rPr>
          <w:rFonts w:asciiTheme="majorHAnsi" w:hAnsiTheme="majorHAnsi" w:cs="Calibri"/>
        </w:rPr>
        <w:t xml:space="preserve"> </w:t>
      </w:r>
      <w:r w:rsidR="00EC0969" w:rsidRPr="00120AAB">
        <w:rPr>
          <w:rFonts w:asciiTheme="majorHAnsi" w:hAnsiTheme="majorHAnsi" w:cs="Calibri"/>
        </w:rPr>
        <w:t>broader</w:t>
      </w:r>
      <w:r w:rsidR="00463A26" w:rsidRPr="00120AAB">
        <w:rPr>
          <w:rFonts w:asciiTheme="majorHAnsi" w:hAnsiTheme="majorHAnsi" w:cs="Calibri"/>
        </w:rPr>
        <w:t xml:space="preserve"> networks that </w:t>
      </w:r>
      <w:r w:rsidR="00DE1E6C" w:rsidRPr="00120AAB">
        <w:rPr>
          <w:rFonts w:asciiTheme="majorHAnsi" w:hAnsiTheme="majorHAnsi" w:cs="Calibri"/>
        </w:rPr>
        <w:t xml:space="preserve">are </w:t>
      </w:r>
      <w:r w:rsidR="00EC0969" w:rsidRPr="00120AAB">
        <w:rPr>
          <w:rFonts w:asciiTheme="majorHAnsi" w:hAnsiTheme="majorHAnsi" w:cs="Calibri"/>
        </w:rPr>
        <w:t>engaged</w:t>
      </w:r>
      <w:r w:rsidR="00D556F0" w:rsidRPr="00120AAB">
        <w:rPr>
          <w:rFonts w:asciiTheme="majorHAnsi" w:hAnsiTheme="majorHAnsi" w:cs="Calibri"/>
        </w:rPr>
        <w:t xml:space="preserve"> to contribute to the Centre</w:t>
      </w:r>
      <w:r w:rsidR="007A0162" w:rsidRPr="00120AAB">
        <w:rPr>
          <w:rFonts w:asciiTheme="majorHAnsi" w:hAnsiTheme="majorHAnsi" w:cs="Calibri"/>
        </w:rPr>
        <w:t xml:space="preserve">’s work will be developed with guidance of the core governing bodies and in the design of the </w:t>
      </w:r>
      <w:r w:rsidR="007A1E24" w:rsidRPr="00120AAB">
        <w:rPr>
          <w:rFonts w:asciiTheme="majorHAnsi" w:hAnsiTheme="majorHAnsi" w:cs="Calibri"/>
        </w:rPr>
        <w:t xml:space="preserve">strategic and operational plans </w:t>
      </w:r>
      <w:r w:rsidR="00EC0969" w:rsidRPr="00120AAB">
        <w:rPr>
          <w:rFonts w:asciiTheme="majorHAnsi" w:hAnsiTheme="majorHAnsi" w:cs="Calibri"/>
        </w:rPr>
        <w:t>for the Centre.</w:t>
      </w:r>
      <w:bookmarkStart w:id="70" w:name="_Toc166861699"/>
    </w:p>
    <w:p w14:paraId="43AB25B2" w14:textId="77777777" w:rsidR="009D2786" w:rsidRPr="00120AAB" w:rsidRDefault="009D2786" w:rsidP="00C57C01">
      <w:pPr>
        <w:spacing w:line="252" w:lineRule="auto"/>
        <w:rPr>
          <w:rFonts w:asciiTheme="majorHAnsi" w:hAnsiTheme="majorHAnsi" w:cs="Calibri"/>
        </w:rPr>
      </w:pPr>
    </w:p>
    <w:p w14:paraId="220655F0" w14:textId="498C3DE1" w:rsidR="00EF1FBB" w:rsidRPr="00004AD9" w:rsidRDefault="00644E2F" w:rsidP="00540368">
      <w:pPr>
        <w:pStyle w:val="Heading3"/>
      </w:pPr>
      <w:bookmarkStart w:id="71" w:name="_Toc180484327"/>
      <w:r w:rsidRPr="00004AD9">
        <w:rPr>
          <w:rStyle w:val="normaltextrun"/>
        </w:rPr>
        <w:t>Aboriginal and Torres Strait Islander</w:t>
      </w:r>
      <w:r w:rsidR="00FE19BE" w:rsidRPr="00004AD9">
        <w:t xml:space="preserve"> d</w:t>
      </w:r>
      <w:r w:rsidR="00EF1FBB" w:rsidRPr="00004AD9">
        <w:t xml:space="preserve">ata </w:t>
      </w:r>
      <w:r w:rsidR="000C6382" w:rsidRPr="00004AD9">
        <w:t>governance</w:t>
      </w:r>
      <w:bookmarkEnd w:id="70"/>
      <w:bookmarkEnd w:id="71"/>
    </w:p>
    <w:p w14:paraId="6CD34D4E" w14:textId="31E85FC8" w:rsidR="000F2A45" w:rsidRPr="00120AAB" w:rsidRDefault="4F85DF43" w:rsidP="00C57C01">
      <w:pPr>
        <w:suppressAutoHyphens/>
        <w:spacing w:before="40" w:after="120" w:line="252" w:lineRule="auto"/>
        <w:rPr>
          <w:rFonts w:asciiTheme="majorHAnsi" w:eastAsiaTheme="majorEastAsia" w:hAnsiTheme="majorHAnsi" w:cs="Calibri"/>
        </w:rPr>
      </w:pPr>
      <w:r w:rsidRPr="00120AAB">
        <w:rPr>
          <w:rStyle w:val="normaltextrun"/>
          <w:rFonts w:asciiTheme="majorHAnsi" w:eastAsiaTheme="majorEastAsia" w:hAnsiTheme="majorHAnsi" w:cs="Calibri"/>
        </w:rPr>
        <w:t xml:space="preserve">The Centre’s design and operation will give effect to the principles of Indigenous Data Sovereignty (Maiam nayri Wingara principles). The Centre will enact the principles through an effective Aboriginal and Torres Strait Islander data governance model, which can be established using existing frameworks, such </w:t>
      </w:r>
      <w:r w:rsidRPr="00120AAB">
        <w:rPr>
          <w:rFonts w:asciiTheme="majorHAnsi" w:eastAsiaTheme="majorEastAsia" w:hAnsiTheme="majorHAnsi" w:cs="Calibri"/>
        </w:rPr>
        <w:t xml:space="preserve">as the guidance recently published by Maiam nayri Wingara. </w:t>
      </w:r>
    </w:p>
    <w:p w14:paraId="0149A1C0" w14:textId="49E57D4F" w:rsidR="000F2A45" w:rsidRPr="00120AAB" w:rsidRDefault="4F85DF43" w:rsidP="009664DE">
      <w:pPr>
        <w:spacing w:before="120" w:after="100" w:line="252" w:lineRule="auto"/>
        <w:rPr>
          <w:rFonts w:asciiTheme="majorHAnsi" w:hAnsiTheme="majorHAnsi" w:cs="Calibri"/>
        </w:rPr>
      </w:pPr>
      <w:r w:rsidRPr="00120AAB">
        <w:rPr>
          <w:rFonts w:asciiTheme="majorHAnsi" w:hAnsiTheme="majorHAnsi" w:cs="Calibri"/>
        </w:rPr>
        <w:t>This framework can be used to develop a detailed plan for implementing Indigenous Data Sovereignty, through the Indigenous Data Sovereignty governance body</w:t>
      </w:r>
      <w:r w:rsidR="00080D77">
        <w:rPr>
          <w:rFonts w:asciiTheme="majorHAnsi" w:hAnsiTheme="majorHAnsi" w:cs="Calibri"/>
        </w:rPr>
        <w:t>,</w:t>
      </w:r>
      <w:r w:rsidRPr="00120AAB">
        <w:rPr>
          <w:rFonts w:asciiTheme="majorHAnsi" w:hAnsiTheme="majorHAnsi" w:cs="Calibri"/>
        </w:rPr>
        <w:t xml:space="preserve"> as part of the Centre’s establishment. The following high-level activities are an example of processes that could be considered, based on the guidance developed by Maiam nayri Wingara:</w:t>
      </w:r>
    </w:p>
    <w:p w14:paraId="00CEF255" w14:textId="270D4402" w:rsidR="000F2A45" w:rsidRPr="00120AAB" w:rsidRDefault="4F85DF43" w:rsidP="009664DE">
      <w:pPr>
        <w:pStyle w:val="ListParagraph"/>
        <w:numPr>
          <w:ilvl w:val="0"/>
          <w:numId w:val="1"/>
        </w:numPr>
        <w:spacing w:before="40" w:after="10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Establish a governance group with responsibility for determining how Indigenous Data Sovereignty principles should be applied within the design and operation of the Centre.</w:t>
      </w:r>
    </w:p>
    <w:p w14:paraId="1E336778" w14:textId="174912A9" w:rsidR="000F2A45" w:rsidRPr="00120AAB" w:rsidRDefault="4F85DF43" w:rsidP="009664DE">
      <w:pPr>
        <w:pStyle w:val="ListParagraph"/>
        <w:numPr>
          <w:ilvl w:val="0"/>
          <w:numId w:val="1"/>
        </w:numPr>
        <w:spacing w:before="40" w:after="10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Involvement in the governance process should be informed by the community. This aims to ensure that Aboriginal and Torres Strait Islander people can control their data ecosystem at every stage.</w:t>
      </w:r>
    </w:p>
    <w:p w14:paraId="35153B99" w14:textId="698D6AFF" w:rsidR="000F2A45" w:rsidRPr="00120AAB" w:rsidRDefault="4F85DF43" w:rsidP="009664DE">
      <w:pPr>
        <w:pStyle w:val="ListParagraph"/>
        <w:numPr>
          <w:ilvl w:val="0"/>
          <w:numId w:val="1"/>
        </w:numPr>
        <w:spacing w:before="40" w:after="10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Engage with relevant Aboriginal and Torres Strait Islander communities to raise awareness around key data concepts and identify the community’s needs and priorities in relation to data. This enables Aboriginal and Torres Strait Islander communities to shape the organisation’s data agenda and define what constitutes ‘meaningful’ and relevant data.</w:t>
      </w:r>
    </w:p>
    <w:p w14:paraId="0A9C3557" w14:textId="450752A2" w:rsidR="000F2A45" w:rsidRPr="00120AAB" w:rsidRDefault="4F85DF43" w:rsidP="009664DE">
      <w:pPr>
        <w:pStyle w:val="ListParagraph"/>
        <w:numPr>
          <w:ilvl w:val="0"/>
          <w:numId w:val="1"/>
        </w:numPr>
        <w:spacing w:before="40" w:after="10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Establish a strong data system with the ability to monitor the impact of data on communities, and identify how data will be stored, analysed and communicated. This is important to ensure that data is managed and used in a way that protects and respects the individual and collective interests of Aboriginal and Torres Strait Islander people.</w:t>
      </w:r>
    </w:p>
    <w:p w14:paraId="5FB12097" w14:textId="04052EE6" w:rsidR="000C6382" w:rsidRPr="00120AAB" w:rsidRDefault="4F85DF43" w:rsidP="009664DE">
      <w:pPr>
        <w:pStyle w:val="ListParagraph"/>
        <w:numPr>
          <w:ilvl w:val="0"/>
          <w:numId w:val="1"/>
        </w:numPr>
        <w:spacing w:before="40" w:after="10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lang w:val="en-US"/>
        </w:rPr>
        <w:t xml:space="preserve">Establish and implement a plan for accessing data that aligns with the priorities of Aboriginal and Torres Strait Islander communities and considers relevant privacy and legislative frameworks This may involve establishing data agreements to access Aboriginal and Torres Strait Islander data that is held by external organisations, or undertaking data collection where there are identified gaps in currently available data. </w:t>
      </w:r>
    </w:p>
    <w:p w14:paraId="2272829E" w14:textId="74BF0ED1" w:rsidR="00B346FB" w:rsidRPr="00120AAB" w:rsidRDefault="000F2A45" w:rsidP="00C57C01">
      <w:pPr>
        <w:pStyle w:val="ListParagraph"/>
        <w:numPr>
          <w:ilvl w:val="0"/>
          <w:numId w:val="1"/>
        </w:numPr>
        <w:spacing w:before="40" w:after="24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sz w:val="24"/>
          <w:szCs w:val="24"/>
        </w:rPr>
        <w:t xml:space="preserve">Undertake audits and engage with organisational partners to ensure that relevant external data structures uphold </w:t>
      </w:r>
      <w:r w:rsidR="008A514B" w:rsidRPr="00120AAB">
        <w:rPr>
          <w:rFonts w:asciiTheme="majorHAnsi" w:hAnsiTheme="majorHAnsi" w:cs="Calibri"/>
          <w:sz w:val="24"/>
          <w:szCs w:val="24"/>
        </w:rPr>
        <w:t>Indigenous Data Sovereignty</w:t>
      </w:r>
      <w:r w:rsidRPr="00120AAB">
        <w:rPr>
          <w:rFonts w:asciiTheme="majorHAnsi" w:hAnsiTheme="majorHAnsi" w:cs="Calibri"/>
          <w:sz w:val="24"/>
          <w:szCs w:val="24"/>
        </w:rPr>
        <w:t xml:space="preserve"> and are accountable to Aboriginal and Torres Strait Islander people.</w:t>
      </w:r>
      <w:r w:rsidR="001D280C" w:rsidRPr="00120AAB">
        <w:rPr>
          <w:rStyle w:val="FootnoteReference"/>
          <w:rFonts w:asciiTheme="majorHAnsi" w:hAnsiTheme="majorHAnsi"/>
          <w:sz w:val="24"/>
          <w:szCs w:val="24"/>
        </w:rPr>
        <w:footnoteReference w:id="15"/>
      </w:r>
    </w:p>
    <w:tbl>
      <w:tblPr>
        <w:tblStyle w:val="TableGrid"/>
        <w:tblW w:w="0" w:type="auto"/>
        <w:shd w:val="clear" w:color="auto" w:fill="FFC000"/>
        <w:tblLook w:val="04A0" w:firstRow="1" w:lastRow="0" w:firstColumn="1" w:lastColumn="0" w:noHBand="0" w:noVBand="1"/>
      </w:tblPr>
      <w:tblGrid>
        <w:gridCol w:w="9622"/>
      </w:tblGrid>
      <w:tr w:rsidR="00765CEC" w:rsidRPr="00120AAB" w14:paraId="79393B75" w14:textId="77777777" w:rsidTr="00C523FE">
        <w:trPr>
          <w:cantSplit/>
        </w:trPr>
        <w:tc>
          <w:tcPr>
            <w:tcW w:w="9622" w:type="dxa"/>
            <w:shd w:val="clear" w:color="auto" w:fill="FFC000"/>
          </w:tcPr>
          <w:p w14:paraId="06E0CD86" w14:textId="23417BDE" w:rsidR="00765CEC" w:rsidRPr="00120AAB" w:rsidRDefault="4F85DF43" w:rsidP="00C71979">
            <w:pPr>
              <w:spacing w:before="60" w:after="60"/>
              <w:rPr>
                <w:rFonts w:asciiTheme="majorHAnsi" w:hAnsiTheme="majorHAnsi"/>
              </w:rPr>
            </w:pPr>
            <w:r w:rsidRPr="00120AAB">
              <w:rPr>
                <w:rFonts w:asciiTheme="majorHAnsi" w:hAnsiTheme="majorHAnsi"/>
                <w:b/>
                <w:bCs/>
              </w:rPr>
              <w:t>Recommendation 4:</w:t>
            </w:r>
            <w:r w:rsidRPr="00120AAB">
              <w:rPr>
                <w:rFonts w:asciiTheme="majorHAnsi" w:hAnsiTheme="majorHAnsi"/>
              </w:rPr>
              <w:t xml:space="preserve"> The Centre’s governance will reflect Aboriginal and Torres Strait Islander leadership, authority, and community</w:t>
            </w:r>
            <w:r w:rsidR="00966B7A">
              <w:rPr>
                <w:rFonts w:asciiTheme="majorHAnsi" w:hAnsiTheme="majorHAnsi"/>
              </w:rPr>
              <w:t xml:space="preserve"> </w:t>
            </w:r>
            <w:r w:rsidRPr="00120AAB">
              <w:rPr>
                <w:rFonts w:asciiTheme="majorHAnsi" w:hAnsiTheme="majorHAnsi"/>
              </w:rPr>
              <w:t>control in core organisational governance through an ACCO host organisation, and tailored governance bodies that bring in additional focused expertise, research leadership and community voice to drive and oversee the work of the Centre.</w:t>
            </w:r>
          </w:p>
        </w:tc>
      </w:tr>
    </w:tbl>
    <w:p w14:paraId="0882F1FA" w14:textId="77777777" w:rsidR="00765CEC" w:rsidRPr="00120AAB" w:rsidRDefault="00765CEC" w:rsidP="00765CEC">
      <w:pPr>
        <w:spacing w:before="120" w:after="120"/>
        <w:rPr>
          <w:rFonts w:asciiTheme="majorHAnsi" w:hAnsiTheme="majorHAnsi" w:cs="Calibri"/>
          <w:sz w:val="22"/>
          <w:szCs w:val="22"/>
        </w:rPr>
      </w:pPr>
    </w:p>
    <w:tbl>
      <w:tblPr>
        <w:tblStyle w:val="TableGrid"/>
        <w:tblW w:w="0" w:type="auto"/>
        <w:shd w:val="clear" w:color="auto" w:fill="FFC000"/>
        <w:tblLook w:val="04A0" w:firstRow="1" w:lastRow="0" w:firstColumn="1" w:lastColumn="0" w:noHBand="0" w:noVBand="1"/>
      </w:tblPr>
      <w:tblGrid>
        <w:gridCol w:w="9622"/>
      </w:tblGrid>
      <w:tr w:rsidR="00765CEC" w:rsidRPr="00120AAB" w14:paraId="11BE35B5" w14:textId="77777777" w:rsidTr="4F85DF43">
        <w:tc>
          <w:tcPr>
            <w:tcW w:w="9622" w:type="dxa"/>
            <w:shd w:val="clear" w:color="auto" w:fill="FFC000"/>
          </w:tcPr>
          <w:p w14:paraId="3E27A3A8" w14:textId="044D812C" w:rsidR="00765CEC" w:rsidRPr="00120AAB" w:rsidRDefault="4F85DF43" w:rsidP="00C71979">
            <w:pPr>
              <w:spacing w:before="60" w:after="60"/>
              <w:rPr>
                <w:rFonts w:asciiTheme="majorHAnsi" w:hAnsiTheme="majorHAnsi"/>
              </w:rPr>
            </w:pPr>
            <w:r w:rsidRPr="00120AAB">
              <w:rPr>
                <w:rFonts w:asciiTheme="majorHAnsi" w:hAnsiTheme="majorHAnsi"/>
                <w:b/>
                <w:bCs/>
              </w:rPr>
              <w:t>Recommendation 5:</w:t>
            </w:r>
            <w:r w:rsidRPr="00120AAB">
              <w:rPr>
                <w:rFonts w:asciiTheme="majorHAnsi" w:hAnsiTheme="majorHAnsi"/>
              </w:rPr>
              <w:t xml:space="preserve"> The host organisation for the Centre will be a national peak body with a membership and elected governance body that is representative of the Aboriginal and Torres Strait Islander community-controlled child and families sector, and is recognised by the Coalition of Peaks as having that role and authority. </w:t>
            </w:r>
          </w:p>
        </w:tc>
      </w:tr>
    </w:tbl>
    <w:p w14:paraId="2A82B95B" w14:textId="3B0DB9E6" w:rsidR="004C50E0" w:rsidRPr="00120AAB" w:rsidRDefault="00C523FE" w:rsidP="009D2313">
      <w:bookmarkStart w:id="72" w:name="_Toc166861700"/>
      <w:r>
        <w:br w:type="page"/>
      </w:r>
    </w:p>
    <w:p w14:paraId="64F89C30" w14:textId="5986FC1D" w:rsidR="009F18DB" w:rsidRPr="00004AD9" w:rsidRDefault="009F18DB" w:rsidP="00540368">
      <w:pPr>
        <w:pStyle w:val="Heading2"/>
      </w:pPr>
      <w:bookmarkStart w:id="73" w:name="_Toc180484328"/>
      <w:r w:rsidRPr="00004AD9">
        <w:t>Operating model</w:t>
      </w:r>
      <w:bookmarkEnd w:id="72"/>
      <w:bookmarkEnd w:id="73"/>
    </w:p>
    <w:p w14:paraId="4C7D65A5" w14:textId="6C73D2A9" w:rsidR="00B53B0F" w:rsidRPr="00120AAB" w:rsidRDefault="4F85DF43" w:rsidP="00C57C01">
      <w:pPr>
        <w:suppressAutoHyphens/>
        <w:spacing w:before="120" w:after="120" w:line="252" w:lineRule="auto"/>
        <w:rPr>
          <w:rStyle w:val="normaltextrun"/>
          <w:rFonts w:asciiTheme="majorHAnsi" w:eastAsiaTheme="majorEastAsia" w:hAnsiTheme="majorHAnsi"/>
        </w:rPr>
      </w:pPr>
      <w:r w:rsidRPr="00120AAB">
        <w:rPr>
          <w:rFonts w:asciiTheme="majorHAnsi" w:hAnsiTheme="majorHAnsi" w:cs="Calibri"/>
        </w:rPr>
        <w:t>The Centre’s operating model will be Aboriginal and Torres Strait Islander</w:t>
      </w:r>
      <w:r w:rsidR="00085F2F">
        <w:rPr>
          <w:rFonts w:asciiTheme="majorHAnsi" w:hAnsiTheme="majorHAnsi" w:cs="Calibri"/>
        </w:rPr>
        <w:t>-</w:t>
      </w:r>
      <w:r w:rsidRPr="00120AAB">
        <w:rPr>
          <w:rFonts w:asciiTheme="majorHAnsi" w:hAnsiTheme="majorHAnsi" w:cs="Calibri"/>
        </w:rPr>
        <w:t xml:space="preserve">led and managed, consistent with its core purpose, and tailored to fulfill all its functions as a physical hub with virtual spokes. This will provide the Centre with an ability to work collaboratively with a range of </w:t>
      </w:r>
      <w:r w:rsidRPr="00120AAB">
        <w:rPr>
          <w:rStyle w:val="normaltextrun"/>
          <w:rFonts w:asciiTheme="majorHAnsi" w:eastAsiaTheme="majorEastAsia" w:hAnsiTheme="majorHAnsi"/>
        </w:rPr>
        <w:t>communities and experts across jurisdictions, while having requisite centralised capacity to deliver on the Centre’s functions and strategic objectives and to convene forums and collaborative efforts at the national level.</w:t>
      </w:r>
    </w:p>
    <w:p w14:paraId="5078F1C0" w14:textId="7BDA99EF" w:rsidR="00AA2868" w:rsidRPr="00120AAB" w:rsidRDefault="4F85DF43" w:rsidP="00825296">
      <w:pPr>
        <w:suppressAutoHyphens/>
        <w:spacing w:before="40" w:after="120" w:line="252" w:lineRule="auto"/>
        <w:rPr>
          <w:rFonts w:asciiTheme="majorHAnsi" w:hAnsiTheme="majorHAnsi" w:cs="Calibri"/>
          <w:b/>
          <w:bCs/>
          <w:sz w:val="22"/>
          <w:szCs w:val="22"/>
        </w:rPr>
      </w:pPr>
      <w:r w:rsidRPr="00120AAB">
        <w:rPr>
          <w:rStyle w:val="normaltextrun"/>
          <w:rFonts w:asciiTheme="majorHAnsi" w:eastAsiaTheme="majorEastAsia" w:hAnsiTheme="majorHAnsi"/>
        </w:rPr>
        <w:t>The staffing model will support administrative functions and coordinate the governance groups and broader involvement of stakeholders, as well as providing a minimum level of internal expertise and capacity in research, data development, governance, leadership and knowledge translation.</w:t>
      </w:r>
    </w:p>
    <w:p w14:paraId="6B69D5CB" w14:textId="1A1662F9" w:rsidR="009D64E2" w:rsidRPr="00120AAB" w:rsidRDefault="4F85DF43" w:rsidP="00540368">
      <w:pPr>
        <w:pStyle w:val="Heading3"/>
      </w:pPr>
      <w:bookmarkStart w:id="74" w:name="_Toc180484329"/>
      <w:r w:rsidRPr="00120AAB">
        <w:t>Physical hub</w:t>
      </w:r>
      <w:bookmarkEnd w:id="74"/>
    </w:p>
    <w:p w14:paraId="2EC3195D" w14:textId="6D74CF0F" w:rsidR="004B1854" w:rsidRPr="00120AAB" w:rsidRDefault="4F85DF43" w:rsidP="00C57C01">
      <w:pPr>
        <w:spacing w:before="120" w:after="120" w:line="252" w:lineRule="auto"/>
        <w:contextualSpacing/>
        <w:rPr>
          <w:rFonts w:asciiTheme="majorHAnsi" w:hAnsiTheme="majorHAnsi"/>
        </w:rPr>
      </w:pPr>
      <w:r w:rsidRPr="00120AAB">
        <w:rPr>
          <w:rFonts w:asciiTheme="majorHAnsi" w:hAnsiTheme="majorHAnsi" w:cs="Calibri"/>
        </w:rPr>
        <w:t>The physical hub would</w:t>
      </w:r>
      <w:r w:rsidRPr="00120AAB">
        <w:rPr>
          <w:rFonts w:asciiTheme="majorHAnsi" w:hAnsiTheme="majorHAnsi"/>
        </w:rPr>
        <w:t xml:space="preserve"> house the core staffing of the Centre and provide a physical national office and meeting space as a focal point for the Centre’s governance and operations at the national level. The physical space would provide workspaces for Centre staff and visiting researchers and partners, as well as collaborative meeting spaces to facilitate central governance meetings and national forums. Recognising the flexible nature of work in the online environment, the physical hub may incorporate hybrid elements, such as remote-based staff that bring necessary skillsets but are unable to be permanently based in the Centre’s national office.</w:t>
      </w:r>
    </w:p>
    <w:p w14:paraId="3F8E38B7" w14:textId="50D4A283" w:rsidR="009D64E2" w:rsidRPr="00120AAB" w:rsidRDefault="4F85DF43" w:rsidP="00540368">
      <w:pPr>
        <w:pStyle w:val="Heading3"/>
      </w:pPr>
      <w:bookmarkStart w:id="75" w:name="_Toc180484330"/>
      <w:r w:rsidRPr="00120AAB">
        <w:t>Virtual spokes</w:t>
      </w:r>
      <w:bookmarkEnd w:id="75"/>
    </w:p>
    <w:p w14:paraId="7DDF6926" w14:textId="2159A30A" w:rsidR="009D64E2" w:rsidRPr="00120AAB" w:rsidRDefault="4F85DF43" w:rsidP="00C57C01">
      <w:pPr>
        <w:spacing w:before="120" w:after="120" w:line="252" w:lineRule="auto"/>
        <w:contextualSpacing/>
        <w:rPr>
          <w:rFonts w:asciiTheme="majorHAnsi" w:hAnsiTheme="majorHAnsi"/>
        </w:rPr>
      </w:pPr>
      <w:r w:rsidRPr="00120AAB">
        <w:rPr>
          <w:rFonts w:asciiTheme="majorHAnsi" w:hAnsiTheme="majorHAnsi" w:cs="Calibri"/>
        </w:rPr>
        <w:t>Virtual spokes would be established and supported by the central Centre team and assist to extend the reach and impact of the Centre into jurisdictional, regional and local community contexts. In practice these virtual</w:t>
      </w:r>
      <w:r w:rsidRPr="00120AAB">
        <w:rPr>
          <w:rFonts w:asciiTheme="majorHAnsi" w:hAnsiTheme="majorHAnsi"/>
        </w:rPr>
        <w:t xml:space="preserve"> spokes would be constituted by:</w:t>
      </w:r>
    </w:p>
    <w:p w14:paraId="3622B639" w14:textId="05418D20" w:rsidR="00FF5EB4" w:rsidRPr="00120AAB" w:rsidRDefault="4F85DF43" w:rsidP="00C57C01">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b/>
          <w:bCs/>
          <w:sz w:val="24"/>
          <w:szCs w:val="24"/>
          <w:lang w:val="en-US"/>
        </w:rPr>
        <w:t>Collaboration with Aboriginal and Torres Strait Islander community led and governed research bodies:</w:t>
      </w:r>
      <w:r w:rsidRPr="00120AAB">
        <w:rPr>
          <w:rFonts w:asciiTheme="majorHAnsi" w:hAnsiTheme="majorHAnsi" w:cs="Calibri"/>
          <w:sz w:val="24"/>
          <w:szCs w:val="24"/>
          <w:lang w:val="en-US"/>
        </w:rPr>
        <w:t xml:space="preserve"> The Centre will work in close collaboration with any Aboriginal and Torres Strait Islander community led and governed research centres, networks and institutions focused on the safety, development and wellbeing of Aboriginal and Torres Strait Islander children to ensure efforts at the national level are coordinated and complementary to jurisdictional work. This will provide opportunities to learn from and showcase jurisdictional research and evidence that can influence excellence nationally and in other jurisdictions.  For states and territories that don’t have existing infrastructure, these functions could be auspiced as part of the Centre, with an agenda to build jurisdictional infrastructure.</w:t>
      </w:r>
    </w:p>
    <w:p w14:paraId="08941708" w14:textId="4277640E" w:rsidR="00DD246E" w:rsidRPr="00120AAB" w:rsidRDefault="4F85DF43" w:rsidP="00C57C01">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b/>
          <w:bCs/>
          <w:sz w:val="24"/>
          <w:szCs w:val="24"/>
          <w:lang w:val="en-US"/>
        </w:rPr>
        <w:t>Research partnerships:</w:t>
      </w:r>
      <w:r w:rsidRPr="00120AAB">
        <w:rPr>
          <w:rFonts w:asciiTheme="majorHAnsi" w:hAnsiTheme="majorHAnsi" w:cs="Calibri"/>
          <w:sz w:val="24"/>
          <w:szCs w:val="24"/>
          <w:lang w:val="en-US"/>
        </w:rPr>
        <w:t xml:space="preserve"> The Centre will form and support partnerships with and between Aboriginal and Torres Strait Islander researchers and research institutes to progress key areas of research within its research agenda, and to undertake knowledge translation and dissemination.</w:t>
      </w:r>
    </w:p>
    <w:p w14:paraId="073F7B06" w14:textId="26B11735" w:rsidR="001D280C" w:rsidRPr="00120AAB" w:rsidRDefault="4F85DF43" w:rsidP="00C57C01">
      <w:pPr>
        <w:pStyle w:val="ListParagraph"/>
        <w:numPr>
          <w:ilvl w:val="0"/>
          <w:numId w:val="1"/>
        </w:numPr>
        <w:spacing w:before="40" w:after="120" w:line="252" w:lineRule="auto"/>
        <w:ind w:left="714" w:hanging="357"/>
        <w:contextualSpacing w:val="0"/>
        <w:rPr>
          <w:rFonts w:asciiTheme="majorHAnsi" w:hAnsiTheme="majorHAnsi" w:cs="Calibri"/>
          <w:sz w:val="24"/>
          <w:szCs w:val="24"/>
          <w:lang w:val="en-US"/>
        </w:rPr>
      </w:pPr>
      <w:r w:rsidRPr="00120AAB">
        <w:rPr>
          <w:rFonts w:asciiTheme="majorHAnsi" w:hAnsiTheme="majorHAnsi" w:cs="Calibri"/>
          <w:b/>
          <w:bCs/>
          <w:sz w:val="24"/>
          <w:szCs w:val="24"/>
          <w:lang w:val="en-US"/>
        </w:rPr>
        <w:t>Online networks and communities of practice:</w:t>
      </w:r>
      <w:r w:rsidRPr="00120AAB">
        <w:rPr>
          <w:rFonts w:asciiTheme="majorHAnsi" w:hAnsiTheme="majorHAnsi" w:cs="Calibri"/>
          <w:sz w:val="24"/>
          <w:szCs w:val="24"/>
          <w:lang w:val="en-US"/>
        </w:rPr>
        <w:t xml:space="preserve"> The Centre will facilitate online networks that bring the Aboriginal and Torres Strait Islander research and knowledge translation community together at the national level to explore collaborations, share practice, learnings and knowledge, and showcase excellence.</w:t>
      </w:r>
    </w:p>
    <w:p w14:paraId="49030D2A" w14:textId="4DB8F306" w:rsidR="00F16D6C" w:rsidRPr="00120AAB" w:rsidRDefault="4F85DF43" w:rsidP="00540368">
      <w:pPr>
        <w:pStyle w:val="Heading3"/>
      </w:pPr>
      <w:bookmarkStart w:id="76" w:name="_Toc180484331"/>
      <w:r w:rsidRPr="00120AAB">
        <w:t>Centre staffing model</w:t>
      </w:r>
      <w:bookmarkEnd w:id="76"/>
    </w:p>
    <w:p w14:paraId="54882EB4" w14:textId="35C0BBA7" w:rsidR="008A659A" w:rsidRPr="00120AAB" w:rsidRDefault="4F85DF43" w:rsidP="00C57C01">
      <w:pPr>
        <w:spacing w:line="252" w:lineRule="auto"/>
        <w:rPr>
          <w:rFonts w:asciiTheme="majorHAnsi" w:hAnsiTheme="majorHAnsi"/>
        </w:rPr>
      </w:pPr>
      <w:r w:rsidRPr="00120AAB">
        <w:rPr>
          <w:rFonts w:asciiTheme="majorHAnsi" w:hAnsiTheme="majorHAnsi"/>
        </w:rPr>
        <w:t>To deliver on the Centre’s core functions and establish an institution with highly respected national leadership in research, policy and practice excellence, it will be necessary that the staffing complement of the Centre includes a small team of professionals with high-level expertise in relevant fields.  Specific areas of expertise and specialisation on the staff team will include:</w:t>
      </w:r>
    </w:p>
    <w:p w14:paraId="07748A0F"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Organisational leadership and management</w:t>
      </w:r>
    </w:p>
    <w:p w14:paraId="1CE10CAF"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Executive and governance secretariat support</w:t>
      </w:r>
    </w:p>
    <w:p w14:paraId="00B06800"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Centre administration, including policy and systems development and compliance</w:t>
      </w:r>
    </w:p>
    <w:p w14:paraId="0A9273FD"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Research agenda development, commissioning, and oversight</w:t>
      </w:r>
    </w:p>
    <w:p w14:paraId="2F7855ED"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Coordinate research programs and undertaking research</w:t>
      </w:r>
    </w:p>
    <w:p w14:paraId="36854019"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Research partnership development and management, including coordination with collaborating institutions and jurisdictional networks</w:t>
      </w:r>
    </w:p>
    <w:p w14:paraId="30F8DCDB"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 xml:space="preserve">Data development, management and communication including coordination of data sharing arrangements and Indigenous Data Sovereignty </w:t>
      </w:r>
    </w:p>
    <w:p w14:paraId="563D9094"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Administrative and data support to support ACCO and Partner data access</w:t>
      </w:r>
    </w:p>
    <w:p w14:paraId="12E06180"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 xml:space="preserve">Establishing and managing online communities of practice </w:t>
      </w:r>
    </w:p>
    <w:p w14:paraId="450915E9"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Training and networking events management</w:t>
      </w:r>
    </w:p>
    <w:p w14:paraId="089A5E25"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Knowledge translation and dissemination</w:t>
      </w:r>
    </w:p>
    <w:p w14:paraId="251A6465"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Contract management</w:t>
      </w:r>
    </w:p>
    <w:p w14:paraId="008A3DF4" w14:textId="77777777" w:rsidR="008A659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Marketing, public relations and media support</w:t>
      </w:r>
    </w:p>
    <w:p w14:paraId="3791C41E" w14:textId="55E4CFF2" w:rsidR="00D17B11" w:rsidRPr="00120AAB" w:rsidRDefault="4F85DF43" w:rsidP="00C57C01">
      <w:pPr>
        <w:pStyle w:val="ListParagraph"/>
        <w:numPr>
          <w:ilvl w:val="0"/>
          <w:numId w:val="3"/>
        </w:numPr>
        <w:spacing w:before="120" w:after="120" w:line="252" w:lineRule="auto"/>
        <w:rPr>
          <w:rFonts w:asciiTheme="majorHAnsi" w:hAnsiTheme="majorHAnsi" w:cs="Calibri"/>
        </w:rPr>
      </w:pPr>
      <w:r w:rsidRPr="00120AAB">
        <w:rPr>
          <w:rFonts w:asciiTheme="majorHAnsi" w:hAnsiTheme="majorHAnsi" w:cs="Calibri"/>
          <w:sz w:val="24"/>
          <w:szCs w:val="24"/>
        </w:rPr>
        <w:t>Finance and organisational administration, including Legal, People &amp; Services, Audit &amp; Compliance, Information and Communication Technology</w:t>
      </w:r>
      <w:r w:rsidR="00080D77">
        <w:rPr>
          <w:rFonts w:asciiTheme="majorHAnsi" w:hAnsiTheme="majorHAnsi" w:cs="Calibri"/>
          <w:sz w:val="24"/>
          <w:szCs w:val="24"/>
        </w:rPr>
        <w:t>.</w:t>
      </w:r>
      <w:r w:rsidRPr="00120AAB">
        <w:rPr>
          <w:rFonts w:asciiTheme="majorHAnsi" w:hAnsiTheme="majorHAnsi" w:cs="Calibri"/>
          <w:sz w:val="24"/>
          <w:szCs w:val="24"/>
        </w:rPr>
        <w:t xml:space="preserve"> </w:t>
      </w:r>
    </w:p>
    <w:p w14:paraId="1798DBD9" w14:textId="79ADE178" w:rsidR="0055537A" w:rsidRPr="00120AAB" w:rsidRDefault="00092A5D" w:rsidP="00C57C01">
      <w:pPr>
        <w:spacing w:line="252" w:lineRule="auto"/>
        <w:rPr>
          <w:rFonts w:asciiTheme="majorHAnsi" w:hAnsiTheme="majorHAnsi"/>
        </w:rPr>
      </w:pPr>
      <w:r w:rsidRPr="00120AAB">
        <w:rPr>
          <w:rFonts w:asciiTheme="majorHAnsi" w:hAnsiTheme="majorHAnsi"/>
        </w:rPr>
        <w:t>A detailed breakdown of the staffing model is</w:t>
      </w:r>
      <w:r w:rsidR="007A7367" w:rsidRPr="00120AAB">
        <w:rPr>
          <w:rFonts w:asciiTheme="majorHAnsi" w:hAnsiTheme="majorHAnsi"/>
        </w:rPr>
        <w:t xml:space="preserve"> included at </w:t>
      </w:r>
      <w:r w:rsidR="007A7367" w:rsidRPr="00120AAB">
        <w:rPr>
          <w:rFonts w:asciiTheme="majorHAnsi" w:hAnsiTheme="majorHAnsi"/>
          <w:b/>
          <w:bCs/>
        </w:rPr>
        <w:t>Appendix B</w:t>
      </w:r>
      <w:r w:rsidRPr="00120AAB">
        <w:rPr>
          <w:rFonts w:asciiTheme="majorHAnsi" w:hAnsiTheme="majorHAnsi"/>
        </w:rPr>
        <w:t xml:space="preserve">. </w:t>
      </w:r>
      <w:r w:rsidR="00AF7A5E" w:rsidRPr="00120AAB">
        <w:rPr>
          <w:rFonts w:asciiTheme="majorHAnsi" w:hAnsiTheme="majorHAnsi"/>
        </w:rPr>
        <w:t xml:space="preserve">The Centre’s core staff </w:t>
      </w:r>
      <w:r w:rsidR="00F71623" w:rsidRPr="00120AAB">
        <w:rPr>
          <w:rFonts w:asciiTheme="majorHAnsi" w:hAnsiTheme="majorHAnsi"/>
        </w:rPr>
        <w:t xml:space="preserve">will </w:t>
      </w:r>
      <w:r w:rsidR="00973F24" w:rsidRPr="00120AAB">
        <w:rPr>
          <w:rFonts w:asciiTheme="majorHAnsi" w:hAnsiTheme="majorHAnsi"/>
        </w:rPr>
        <w:t xml:space="preserve">grow </w:t>
      </w:r>
      <w:r w:rsidR="00796E1C" w:rsidRPr="00120AAB">
        <w:rPr>
          <w:rFonts w:asciiTheme="majorHAnsi" w:hAnsiTheme="majorHAnsi"/>
        </w:rPr>
        <w:t>from 9 FTE</w:t>
      </w:r>
      <w:r w:rsidR="00AF7A5E" w:rsidRPr="00120AAB">
        <w:rPr>
          <w:rFonts w:asciiTheme="majorHAnsi" w:hAnsiTheme="majorHAnsi"/>
        </w:rPr>
        <w:t xml:space="preserve"> </w:t>
      </w:r>
      <w:r w:rsidR="00C24472" w:rsidRPr="00120AAB">
        <w:rPr>
          <w:rFonts w:asciiTheme="majorHAnsi" w:hAnsiTheme="majorHAnsi"/>
        </w:rPr>
        <w:t>following</w:t>
      </w:r>
      <w:r w:rsidR="00AF7A5E" w:rsidRPr="00120AAB">
        <w:rPr>
          <w:rFonts w:asciiTheme="majorHAnsi" w:hAnsiTheme="majorHAnsi"/>
        </w:rPr>
        <w:t xml:space="preserve"> establishment in </w:t>
      </w:r>
      <w:r w:rsidR="00796E1C" w:rsidRPr="00120AAB">
        <w:rPr>
          <w:rFonts w:asciiTheme="majorHAnsi" w:hAnsiTheme="majorHAnsi"/>
        </w:rPr>
        <w:t>2024</w:t>
      </w:r>
      <w:r w:rsidR="00BA11D8">
        <w:rPr>
          <w:rFonts w:asciiTheme="majorHAnsi" w:hAnsiTheme="majorHAnsi"/>
        </w:rPr>
        <w:t>-</w:t>
      </w:r>
      <w:r w:rsidR="00796E1C" w:rsidRPr="00120AAB">
        <w:rPr>
          <w:rFonts w:asciiTheme="majorHAnsi" w:hAnsiTheme="majorHAnsi"/>
        </w:rPr>
        <w:t>25</w:t>
      </w:r>
      <w:r w:rsidR="005B5CE6" w:rsidRPr="00120AAB">
        <w:rPr>
          <w:rFonts w:asciiTheme="majorHAnsi" w:hAnsiTheme="majorHAnsi"/>
        </w:rPr>
        <w:t xml:space="preserve"> </w:t>
      </w:r>
      <w:r w:rsidR="00973F24" w:rsidRPr="00120AAB">
        <w:rPr>
          <w:rFonts w:asciiTheme="majorHAnsi" w:hAnsiTheme="majorHAnsi"/>
        </w:rPr>
        <w:t>to</w:t>
      </w:r>
      <w:r w:rsidR="00F71623" w:rsidRPr="00120AAB">
        <w:rPr>
          <w:rFonts w:asciiTheme="majorHAnsi" w:hAnsiTheme="majorHAnsi"/>
        </w:rPr>
        <w:t xml:space="preserve"> </w:t>
      </w:r>
      <w:r w:rsidR="000C6BBA" w:rsidRPr="00120AAB">
        <w:rPr>
          <w:rFonts w:asciiTheme="majorHAnsi" w:hAnsiTheme="majorHAnsi"/>
        </w:rPr>
        <w:t>1</w:t>
      </w:r>
      <w:r w:rsidR="00CB083B" w:rsidRPr="00120AAB">
        <w:rPr>
          <w:rFonts w:asciiTheme="majorHAnsi" w:hAnsiTheme="majorHAnsi"/>
        </w:rPr>
        <w:t>7</w:t>
      </w:r>
      <w:r w:rsidR="000C6BBA" w:rsidRPr="00120AAB">
        <w:rPr>
          <w:rFonts w:asciiTheme="majorHAnsi" w:hAnsiTheme="majorHAnsi"/>
        </w:rPr>
        <w:t xml:space="preserve"> FTE</w:t>
      </w:r>
      <w:r w:rsidR="00D247CD" w:rsidRPr="00120AAB">
        <w:rPr>
          <w:rFonts w:asciiTheme="majorHAnsi" w:hAnsiTheme="majorHAnsi"/>
        </w:rPr>
        <w:t xml:space="preserve"> </w:t>
      </w:r>
      <w:r w:rsidR="00066E74" w:rsidRPr="00120AAB">
        <w:rPr>
          <w:rFonts w:asciiTheme="majorHAnsi" w:hAnsiTheme="majorHAnsi"/>
        </w:rPr>
        <w:t>by</w:t>
      </w:r>
      <w:r w:rsidR="000C6BBA" w:rsidRPr="00120AAB">
        <w:rPr>
          <w:rFonts w:asciiTheme="majorHAnsi" w:hAnsiTheme="majorHAnsi"/>
        </w:rPr>
        <w:t xml:space="preserve"> 2029</w:t>
      </w:r>
      <w:r w:rsidR="00BA11D8">
        <w:rPr>
          <w:rFonts w:asciiTheme="majorHAnsi" w:hAnsiTheme="majorHAnsi"/>
        </w:rPr>
        <w:t>-</w:t>
      </w:r>
      <w:r w:rsidR="000C6BBA" w:rsidRPr="00120AAB">
        <w:rPr>
          <w:rFonts w:asciiTheme="majorHAnsi" w:hAnsiTheme="majorHAnsi"/>
        </w:rPr>
        <w:t>30</w:t>
      </w:r>
      <w:r w:rsidR="00D247CD" w:rsidRPr="00120AAB">
        <w:rPr>
          <w:rStyle w:val="FootnoteReference"/>
          <w:rFonts w:asciiTheme="majorHAnsi" w:hAnsiTheme="majorHAnsi"/>
        </w:rPr>
        <w:footnoteReference w:id="16"/>
      </w:r>
      <w:r w:rsidR="005B5CE6" w:rsidRPr="00120AAB">
        <w:rPr>
          <w:rFonts w:asciiTheme="majorHAnsi" w:hAnsiTheme="majorHAnsi"/>
        </w:rPr>
        <w:t xml:space="preserve">, with staffing split across five </w:t>
      </w:r>
      <w:r w:rsidR="00D247CD" w:rsidRPr="00120AAB">
        <w:rPr>
          <w:rFonts w:asciiTheme="majorHAnsi" w:hAnsiTheme="majorHAnsi"/>
        </w:rPr>
        <w:t>key</w:t>
      </w:r>
      <w:r w:rsidR="005B5CE6" w:rsidRPr="00120AAB">
        <w:rPr>
          <w:rFonts w:asciiTheme="majorHAnsi" w:hAnsiTheme="majorHAnsi"/>
        </w:rPr>
        <w:t xml:space="preserve"> categories:</w:t>
      </w:r>
    </w:p>
    <w:p w14:paraId="6C8A62BE" w14:textId="197684CA" w:rsidR="005B5CE6"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Executive leadership: 3 FTE (by 2029</w:t>
      </w:r>
      <w:r w:rsidR="001A0417">
        <w:rPr>
          <w:rFonts w:asciiTheme="majorHAnsi" w:hAnsiTheme="majorHAnsi" w:cs="Calibri"/>
          <w:sz w:val="24"/>
          <w:szCs w:val="24"/>
        </w:rPr>
        <w:t>-</w:t>
      </w:r>
      <w:r w:rsidRPr="00120AAB">
        <w:rPr>
          <w:rFonts w:asciiTheme="majorHAnsi" w:hAnsiTheme="majorHAnsi" w:cs="Calibri"/>
          <w:sz w:val="24"/>
          <w:szCs w:val="24"/>
        </w:rPr>
        <w:t>30)</w:t>
      </w:r>
    </w:p>
    <w:p w14:paraId="0B6F6D2F" w14:textId="54A85F41" w:rsidR="00CE4350"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Research: 7 FTE (by 2029</w:t>
      </w:r>
      <w:r w:rsidR="001A0417">
        <w:rPr>
          <w:rFonts w:asciiTheme="majorHAnsi" w:hAnsiTheme="majorHAnsi" w:cs="Calibri"/>
          <w:sz w:val="24"/>
          <w:szCs w:val="24"/>
        </w:rPr>
        <w:t>-</w:t>
      </w:r>
      <w:r w:rsidRPr="00120AAB">
        <w:rPr>
          <w:rFonts w:asciiTheme="majorHAnsi" w:hAnsiTheme="majorHAnsi" w:cs="Calibri"/>
          <w:sz w:val="24"/>
          <w:szCs w:val="24"/>
        </w:rPr>
        <w:t>30)</w:t>
      </w:r>
    </w:p>
    <w:p w14:paraId="1D397E53" w14:textId="783FF5B3" w:rsidR="00CE4350"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Indigenous Data Sovereignty and Governance: 2 FTE (by 2029</w:t>
      </w:r>
      <w:r w:rsidR="001A0417">
        <w:rPr>
          <w:rFonts w:asciiTheme="majorHAnsi" w:hAnsiTheme="majorHAnsi" w:cs="Calibri"/>
          <w:sz w:val="24"/>
          <w:szCs w:val="24"/>
        </w:rPr>
        <w:t>-</w:t>
      </w:r>
      <w:r w:rsidRPr="00120AAB">
        <w:rPr>
          <w:rFonts w:asciiTheme="majorHAnsi" w:hAnsiTheme="majorHAnsi" w:cs="Calibri"/>
          <w:sz w:val="24"/>
          <w:szCs w:val="24"/>
        </w:rPr>
        <w:t>30)</w:t>
      </w:r>
    </w:p>
    <w:p w14:paraId="4FB2D39A" w14:textId="4F1FEB5F" w:rsidR="003B19E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Virtual networks and communities of practice: 3.5 FTE (by 2029</w:t>
      </w:r>
      <w:r w:rsidR="001A0417">
        <w:rPr>
          <w:rFonts w:asciiTheme="majorHAnsi" w:hAnsiTheme="majorHAnsi" w:cs="Calibri"/>
          <w:sz w:val="24"/>
          <w:szCs w:val="24"/>
        </w:rPr>
        <w:t>-</w:t>
      </w:r>
      <w:r w:rsidRPr="00120AAB">
        <w:rPr>
          <w:rFonts w:asciiTheme="majorHAnsi" w:hAnsiTheme="majorHAnsi" w:cs="Calibri"/>
          <w:sz w:val="24"/>
          <w:szCs w:val="24"/>
        </w:rPr>
        <w:t>30)</w:t>
      </w:r>
    </w:p>
    <w:p w14:paraId="1614BB08" w14:textId="0FEE673D" w:rsidR="003B19EA"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Grants administration and communications: 1.5 FTE (by 2029</w:t>
      </w:r>
      <w:r w:rsidR="001A0417">
        <w:rPr>
          <w:rFonts w:asciiTheme="majorHAnsi" w:hAnsiTheme="majorHAnsi" w:cs="Calibri"/>
          <w:sz w:val="24"/>
          <w:szCs w:val="24"/>
        </w:rPr>
        <w:t>-</w:t>
      </w:r>
      <w:r w:rsidRPr="00120AAB">
        <w:rPr>
          <w:rFonts w:asciiTheme="majorHAnsi" w:hAnsiTheme="majorHAnsi" w:cs="Calibri"/>
          <w:sz w:val="24"/>
          <w:szCs w:val="24"/>
        </w:rPr>
        <w:t>30)</w:t>
      </w:r>
      <w:r w:rsidR="001A0417">
        <w:rPr>
          <w:rFonts w:asciiTheme="majorHAnsi" w:hAnsiTheme="majorHAnsi" w:cs="Calibri"/>
          <w:sz w:val="24"/>
          <w:szCs w:val="24"/>
        </w:rPr>
        <w:t>.</w:t>
      </w:r>
    </w:p>
    <w:p w14:paraId="0D01C25A" w14:textId="08FBB381" w:rsidR="00907A1F" w:rsidRPr="00120AAB" w:rsidRDefault="4F85DF43" w:rsidP="00C57C01">
      <w:pPr>
        <w:spacing w:line="252" w:lineRule="auto"/>
        <w:rPr>
          <w:rFonts w:asciiTheme="majorHAnsi" w:hAnsiTheme="majorHAnsi"/>
        </w:rPr>
      </w:pPr>
      <w:r w:rsidRPr="00120AAB">
        <w:rPr>
          <w:rFonts w:asciiTheme="majorHAnsi" w:hAnsiTheme="majorHAnsi"/>
        </w:rPr>
        <w:t xml:space="preserve">Initial recruitment will focus on establishing the core operational, research and Indigenous Data Sovereignty leadership to support the Centre’s establishment and development of its research agenda and partnerships. Early investment will also prioritise staff to support development of the Centre’s online networks, research collaborations and communities of practice. Expansion of the Centre’s broader research team will be linked to the growth of project-based funding. A small consultancy provision is included to support the initial establishment of the Centre. </w:t>
      </w:r>
      <w:r w:rsidR="00066E74" w:rsidRPr="00120AAB">
        <w:rPr>
          <w:rFonts w:asciiTheme="majorHAnsi" w:hAnsiTheme="majorHAnsi"/>
        </w:rPr>
        <w:br/>
      </w:r>
    </w:p>
    <w:tbl>
      <w:tblPr>
        <w:tblStyle w:val="TableGrid"/>
        <w:tblW w:w="0" w:type="auto"/>
        <w:shd w:val="clear" w:color="auto" w:fill="FFC000"/>
        <w:tblLook w:val="04A0" w:firstRow="1" w:lastRow="0" w:firstColumn="1" w:lastColumn="0" w:noHBand="0" w:noVBand="1"/>
      </w:tblPr>
      <w:tblGrid>
        <w:gridCol w:w="9622"/>
      </w:tblGrid>
      <w:tr w:rsidR="004B1170" w:rsidRPr="00120AAB" w14:paraId="5A7185A4" w14:textId="77777777" w:rsidTr="4F85DF43">
        <w:tc>
          <w:tcPr>
            <w:tcW w:w="9622" w:type="dxa"/>
            <w:shd w:val="clear" w:color="auto" w:fill="FFC000"/>
          </w:tcPr>
          <w:p w14:paraId="7953E8E4" w14:textId="77777777" w:rsidR="00BD7BCF" w:rsidRPr="00120AAB" w:rsidRDefault="4F85DF43" w:rsidP="00C523FE">
            <w:pPr>
              <w:spacing w:before="60"/>
              <w:rPr>
                <w:rFonts w:asciiTheme="majorHAnsi" w:hAnsiTheme="majorHAnsi"/>
                <w:sz w:val="22"/>
                <w:szCs w:val="22"/>
              </w:rPr>
            </w:pPr>
            <w:r w:rsidRPr="00120AAB">
              <w:rPr>
                <w:rFonts w:asciiTheme="majorHAnsi" w:hAnsiTheme="majorHAnsi"/>
                <w:b/>
                <w:bCs/>
              </w:rPr>
              <w:t>Recommendation 6:</w:t>
            </w:r>
            <w:r w:rsidRPr="00120AAB">
              <w:rPr>
                <w:rFonts w:asciiTheme="majorHAnsi" w:hAnsiTheme="majorHAnsi"/>
              </w:rPr>
              <w:t xml:space="preserve"> </w:t>
            </w:r>
            <w:r w:rsidRPr="00120AAB">
              <w:rPr>
                <w:rFonts w:asciiTheme="majorHAnsi" w:hAnsiTheme="majorHAnsi" w:cs="Calibri"/>
              </w:rPr>
              <w:t>The Centre’s operating model will align to its core purpose and functions, and include:</w:t>
            </w:r>
          </w:p>
          <w:p w14:paraId="231A6193" w14:textId="77777777" w:rsidR="00BD7BCF" w:rsidRPr="00120AAB" w:rsidRDefault="4F85DF43" w:rsidP="00B6563A">
            <w:pPr>
              <w:pStyle w:val="ListParagraph"/>
              <w:numPr>
                <w:ilvl w:val="0"/>
                <w:numId w:val="8"/>
              </w:numPr>
              <w:spacing w:before="60" w:after="60" w:line="240" w:lineRule="auto"/>
              <w:ind w:left="714" w:hanging="357"/>
              <w:contextualSpacing w:val="0"/>
              <w:rPr>
                <w:rFonts w:asciiTheme="majorHAnsi" w:hAnsiTheme="majorHAnsi"/>
                <w:sz w:val="24"/>
                <w:szCs w:val="24"/>
              </w:rPr>
            </w:pPr>
            <w:r w:rsidRPr="00120AAB">
              <w:rPr>
                <w:rFonts w:asciiTheme="majorHAnsi" w:hAnsiTheme="majorHAnsi"/>
                <w:sz w:val="24"/>
                <w:szCs w:val="24"/>
              </w:rPr>
              <w:t>A physical hub housing core Centre staff with requisite expertise to perform the Centre’s functions and providing a meeting space and focal point for the Centre’s governance and operations</w:t>
            </w:r>
          </w:p>
          <w:p w14:paraId="7CD03440" w14:textId="7DC39AB1" w:rsidR="004B1170" w:rsidRPr="00120AAB" w:rsidRDefault="4F85DF43" w:rsidP="00C523FE">
            <w:pPr>
              <w:pStyle w:val="ListParagraph"/>
              <w:numPr>
                <w:ilvl w:val="0"/>
                <w:numId w:val="8"/>
              </w:numPr>
              <w:spacing w:before="60" w:after="60" w:line="240" w:lineRule="auto"/>
              <w:contextualSpacing w:val="0"/>
              <w:rPr>
                <w:rFonts w:asciiTheme="majorHAnsi" w:hAnsiTheme="majorHAnsi"/>
                <w:sz w:val="24"/>
                <w:szCs w:val="24"/>
              </w:rPr>
            </w:pPr>
            <w:r w:rsidRPr="00120AAB">
              <w:rPr>
                <w:rFonts w:asciiTheme="majorHAnsi" w:hAnsiTheme="majorHAnsi"/>
                <w:sz w:val="24"/>
                <w:szCs w:val="24"/>
              </w:rPr>
              <w:t>Virtual spokes comprised of research partnerships, online sharing and networks, communities of practice, and collaboration with Aboriginal and Torres Strait Islander</w:t>
            </w:r>
            <w:r w:rsidR="00085F2F">
              <w:rPr>
                <w:rFonts w:asciiTheme="majorHAnsi" w:hAnsiTheme="majorHAnsi"/>
                <w:sz w:val="24"/>
                <w:szCs w:val="24"/>
              </w:rPr>
              <w:t>-</w:t>
            </w:r>
            <w:r w:rsidRPr="00120AAB">
              <w:rPr>
                <w:rFonts w:asciiTheme="majorHAnsi" w:hAnsiTheme="majorHAnsi"/>
                <w:sz w:val="24"/>
                <w:szCs w:val="24"/>
              </w:rPr>
              <w:t>led and governed research centres, networks and institutions.</w:t>
            </w:r>
          </w:p>
        </w:tc>
      </w:tr>
    </w:tbl>
    <w:p w14:paraId="6AEA86C4" w14:textId="685DFFE6" w:rsidR="002C3E9C" w:rsidRPr="00120AAB" w:rsidRDefault="00C523FE" w:rsidP="009D2313">
      <w:bookmarkStart w:id="77" w:name="_Toc166861701"/>
      <w:r>
        <w:br w:type="page"/>
      </w:r>
    </w:p>
    <w:p w14:paraId="15ADB9BF" w14:textId="40E9F861" w:rsidR="00935B80" w:rsidRPr="00004AD9" w:rsidRDefault="00C2079B" w:rsidP="00540368">
      <w:pPr>
        <w:pStyle w:val="Heading2"/>
      </w:pPr>
      <w:bookmarkStart w:id="78" w:name="_Toc180484332"/>
      <w:r w:rsidRPr="00004AD9">
        <w:t>Additional o</w:t>
      </w:r>
      <w:r w:rsidR="000F2A45" w:rsidRPr="00004AD9">
        <w:t>perational and logistical considerations</w:t>
      </w:r>
      <w:bookmarkEnd w:id="77"/>
      <w:bookmarkEnd w:id="78"/>
    </w:p>
    <w:p w14:paraId="005EBED2" w14:textId="77777777" w:rsidR="00FF569E" w:rsidRPr="00540368" w:rsidRDefault="4F85DF43" w:rsidP="00540368">
      <w:pPr>
        <w:pStyle w:val="Heading3"/>
      </w:pPr>
      <w:r w:rsidRPr="00540368">
        <w:t>Core organisational infrastructure</w:t>
      </w:r>
    </w:p>
    <w:p w14:paraId="35059102" w14:textId="1526DF9B" w:rsidR="00FF569E"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There is potential to leverage existing Aboriginal and Torres Strait Islander core organisational infrastructure.  For example, the Centre could potentially leverage the host organisation’s existing corporate services, policies and procedures provided they are tailored to the needs of an ACCO.  The host organisation’s premises could also support a physical hub for the Centre, including core staffing and facilities for hosting regular in-person gatherings. </w:t>
      </w:r>
    </w:p>
    <w:p w14:paraId="0632CA09" w14:textId="32029A96" w:rsidR="00FF569E" w:rsidRPr="00540368" w:rsidRDefault="4F85DF43" w:rsidP="00540368">
      <w:pPr>
        <w:pStyle w:val="Heading3"/>
      </w:pPr>
      <w:r w:rsidRPr="00540368">
        <w:t>Communications infrastructure</w:t>
      </w:r>
    </w:p>
    <w:p w14:paraId="58FFC82B" w14:textId="7098D6E1" w:rsidR="00353A86"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There is a need to establish communications infrastructure to support the Centre’s operations, including a strong online presence and established networks that includes a website for accessing and sharing research, services and resources that drive improved outcomes nationally. Communications and materials must be accessible to ACCOs, academics, governments, and mainstream organisations.  The Centre could potentially leverage existing communications infrastructure within the host organisation. </w:t>
      </w:r>
    </w:p>
    <w:p w14:paraId="1AB4C88A" w14:textId="7C796AB6" w:rsidR="00FF569E" w:rsidRPr="00540368" w:rsidRDefault="4F85DF43" w:rsidP="00540368">
      <w:pPr>
        <w:pStyle w:val="Heading3"/>
      </w:pPr>
      <w:r w:rsidRPr="00540368">
        <w:t xml:space="preserve">Partnerships with non-Indigenous research institutes and centres </w:t>
      </w:r>
    </w:p>
    <w:p w14:paraId="13B50128" w14:textId="35D43B73" w:rsidR="00360338"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Aboriginal and Torres Strait Islander communities hold many deep and well-founded concerns about research practices and engaging in research, especially with non-Indigenous researchers and institutions. These concerns are the result of extensive unethical and harmful research practices, both historical and contemporary. Guidance from and collaboration with the Centre will assist in mitigating these harmful practices and promoting ethical research. </w:t>
      </w:r>
    </w:p>
    <w:p w14:paraId="35B197C5" w14:textId="1B1FBCB0" w:rsidR="00BC6D81"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The Centre would establish partnerships with non-Indigenous institutes such as academic institutes on a needs and opportunity-basis, to promote effective and ethical research and to ensure community-controlled processes are included and considered in research. For example, there may be opportunities to provide guidance or support to non-Indigenous institutions on research that disproportionately </w:t>
      </w:r>
      <w:r w:rsidR="003F49EA">
        <w:rPr>
          <w:rFonts w:asciiTheme="majorHAnsi" w:hAnsiTheme="majorHAnsi" w:cs="Calibri"/>
        </w:rPr>
        <w:t>e</w:t>
      </w:r>
      <w:r w:rsidRPr="00120AAB">
        <w:rPr>
          <w:rFonts w:asciiTheme="majorHAnsi" w:hAnsiTheme="majorHAnsi" w:cs="Calibri"/>
        </w:rPr>
        <w:t>ffect</w:t>
      </w:r>
      <w:r w:rsidR="003F49EA">
        <w:rPr>
          <w:rFonts w:asciiTheme="majorHAnsi" w:hAnsiTheme="majorHAnsi" w:cs="Calibri"/>
        </w:rPr>
        <w:t>s</w:t>
      </w:r>
      <w:r w:rsidRPr="00120AAB">
        <w:rPr>
          <w:rFonts w:asciiTheme="majorHAnsi" w:hAnsiTheme="majorHAnsi" w:cs="Calibri"/>
        </w:rPr>
        <w:t xml:space="preserve"> Aboriginal and Torres Strait Islander children and families, such as population, whole</w:t>
      </w:r>
      <w:r w:rsidR="003F49EA">
        <w:rPr>
          <w:rFonts w:asciiTheme="majorHAnsi" w:hAnsiTheme="majorHAnsi" w:cs="Calibri"/>
        </w:rPr>
        <w:t>-</w:t>
      </w:r>
      <w:r w:rsidRPr="00120AAB">
        <w:rPr>
          <w:rFonts w:asciiTheme="majorHAnsi" w:hAnsiTheme="majorHAnsi" w:cs="Calibri"/>
        </w:rPr>
        <w:t>of</w:t>
      </w:r>
      <w:r w:rsidR="003F49EA">
        <w:rPr>
          <w:rFonts w:asciiTheme="majorHAnsi" w:hAnsiTheme="majorHAnsi" w:cs="Calibri"/>
        </w:rPr>
        <w:t>-</w:t>
      </w:r>
      <w:r w:rsidRPr="00120AAB">
        <w:rPr>
          <w:rFonts w:asciiTheme="majorHAnsi" w:hAnsiTheme="majorHAnsi" w:cs="Calibri"/>
        </w:rPr>
        <w:t xml:space="preserve">system or practice-based research.  </w:t>
      </w:r>
    </w:p>
    <w:p w14:paraId="1EA8E27A" w14:textId="6055C4AF" w:rsidR="005F685B" w:rsidRPr="00120AAB" w:rsidRDefault="4F85DF43" w:rsidP="00C57C01">
      <w:pPr>
        <w:spacing w:before="40" w:after="120" w:line="252" w:lineRule="auto"/>
        <w:rPr>
          <w:rFonts w:asciiTheme="majorHAnsi" w:hAnsiTheme="majorHAnsi" w:cs="Calibri"/>
          <w:lang w:val="en-AU"/>
        </w:rPr>
      </w:pPr>
      <w:r w:rsidRPr="00120AAB">
        <w:rPr>
          <w:rFonts w:asciiTheme="majorHAnsi" w:hAnsiTheme="majorHAnsi" w:cs="Calibri"/>
        </w:rPr>
        <w:t>Collaborations with non-Indigenous institutes could also take place where Aboriginal and Torres Strait Islander</w:t>
      </w:r>
      <w:r w:rsidR="00085F2F">
        <w:rPr>
          <w:rFonts w:asciiTheme="majorHAnsi" w:hAnsiTheme="majorHAnsi" w:cs="Calibri"/>
        </w:rPr>
        <w:t>-</w:t>
      </w:r>
      <w:r w:rsidRPr="00120AAB">
        <w:rPr>
          <w:rFonts w:asciiTheme="majorHAnsi" w:hAnsiTheme="majorHAnsi" w:cs="Calibri"/>
        </w:rPr>
        <w:t xml:space="preserve">led research might require or benefit from non-Indigenous collaboration. This could include where non-Indigenous researchers have specialist expertise and knowledge that is valuable to inform and strengthen supports for children and families and are committed to working in genuine partnership with Aboriginal and Torres Strait Islander people to advance the evidence base. It could also include accessing existing Commonwealth research grants schemes, funding opportunities, and/or essential infrastructure (e.g. library resources and literature).  </w:t>
      </w:r>
    </w:p>
    <w:p w14:paraId="016BB723" w14:textId="255F3107" w:rsidR="007C1C15" w:rsidRPr="00120AAB" w:rsidRDefault="4F85DF43" w:rsidP="00C57C01">
      <w:pPr>
        <w:spacing w:before="40" w:after="120" w:line="252" w:lineRule="auto"/>
        <w:rPr>
          <w:rFonts w:asciiTheme="majorHAnsi" w:hAnsiTheme="majorHAnsi" w:cs="Calibri"/>
        </w:rPr>
      </w:pPr>
      <w:r w:rsidRPr="00120AAB">
        <w:rPr>
          <w:rFonts w:asciiTheme="majorHAnsi" w:hAnsiTheme="majorHAnsi"/>
        </w:rPr>
        <w:t xml:space="preserve">The Centre will independently manage and lead partnerships and collaborations on research and evidence through its commissioning function to ensure connections with the academic sector.  The organisations which partner with the Centre will be wholly determined by the Centre’s governance. </w:t>
      </w:r>
      <w:r w:rsidRPr="00120AAB">
        <w:rPr>
          <w:rFonts w:asciiTheme="majorHAnsi" w:hAnsiTheme="majorHAnsi" w:cs="Calibri"/>
        </w:rPr>
        <w:t>Partnerships should be established through formal agreements, such as</w:t>
      </w:r>
      <w:r w:rsidR="00DE1819" w:rsidRPr="00120AAB">
        <w:rPr>
          <w:rFonts w:asciiTheme="majorHAnsi" w:hAnsiTheme="majorHAnsi" w:cs="Calibri"/>
        </w:rPr>
        <w:t xml:space="preserve"> deeds and formal partnership documents,</w:t>
      </w:r>
      <w:r w:rsidRPr="00120AAB">
        <w:rPr>
          <w:rFonts w:asciiTheme="majorHAnsi" w:hAnsiTheme="majorHAnsi" w:cs="Calibri"/>
        </w:rPr>
        <w:t xml:space="preserve"> Memorand</w:t>
      </w:r>
      <w:r w:rsidR="001A0417">
        <w:rPr>
          <w:rFonts w:asciiTheme="majorHAnsi" w:hAnsiTheme="majorHAnsi" w:cs="Calibri"/>
        </w:rPr>
        <w:t>a</w:t>
      </w:r>
      <w:r w:rsidRPr="00120AAB">
        <w:rPr>
          <w:rFonts w:asciiTheme="majorHAnsi" w:hAnsiTheme="majorHAnsi" w:cs="Calibri"/>
        </w:rPr>
        <w:t xml:space="preserve"> of Understanding</w:t>
      </w:r>
      <w:r w:rsidR="00E63447" w:rsidRPr="00120AAB">
        <w:rPr>
          <w:rFonts w:asciiTheme="majorHAnsi" w:hAnsiTheme="majorHAnsi" w:cs="Calibri"/>
        </w:rPr>
        <w:t>,</w:t>
      </w:r>
      <w:r w:rsidR="002D5710" w:rsidRPr="00120AAB">
        <w:rPr>
          <w:rFonts w:asciiTheme="majorHAnsi" w:hAnsiTheme="majorHAnsi" w:cs="Calibri"/>
        </w:rPr>
        <w:t xml:space="preserve"> </w:t>
      </w:r>
      <w:r w:rsidRPr="00120AAB">
        <w:rPr>
          <w:rFonts w:asciiTheme="majorHAnsi" w:hAnsiTheme="majorHAnsi" w:cs="Calibri"/>
        </w:rPr>
        <w:t xml:space="preserve">and data sharing agreements. The Centre will retain its independence and ability to determine the nature of any partnerships. For example, partner organisations may be required to respect and embody the Centre’s principles, such as self-determination and culturally centred practice. </w:t>
      </w:r>
    </w:p>
    <w:p w14:paraId="2EF11CB7" w14:textId="03702C9A" w:rsidR="00FF569E" w:rsidRPr="00120AAB" w:rsidRDefault="4F85DF43" w:rsidP="00540368">
      <w:pPr>
        <w:pStyle w:val="Heading4"/>
      </w:pPr>
      <w:bookmarkStart w:id="79" w:name="_Toc180484333"/>
      <w:r w:rsidRPr="00120AAB">
        <w:t>Distinction between national and jurisdictional functions, roles and responsibilities</w:t>
      </w:r>
      <w:bookmarkEnd w:id="79"/>
      <w:r w:rsidRPr="00120AAB">
        <w:t xml:space="preserve">  </w:t>
      </w:r>
    </w:p>
    <w:p w14:paraId="438D2FFA" w14:textId="6DF3692C" w:rsidR="00FA3844" w:rsidRPr="00120AAB" w:rsidRDefault="4F85DF43" w:rsidP="00C57C01">
      <w:pPr>
        <w:spacing w:before="40" w:after="120" w:line="252" w:lineRule="auto"/>
        <w:rPr>
          <w:rFonts w:asciiTheme="majorHAnsi" w:hAnsiTheme="majorHAnsi" w:cs="Calibri"/>
          <w:u w:val="single"/>
        </w:rPr>
      </w:pPr>
      <w:r w:rsidRPr="00120AAB">
        <w:rPr>
          <w:rFonts w:asciiTheme="majorHAnsi" w:hAnsiTheme="majorHAnsi" w:cs="Calibri"/>
        </w:rPr>
        <w:t xml:space="preserve">Consistent with self-determination, it will be crucial to the success of the national Centre that it does not duplicate or override the work and decision-making power of jurisdictional peaks and local Aboriginal and Torres Strait Islander people and organisations. To be effective, there needs to be clear distinction between how the Centre operates and how local entities feed into those structures.  This includes clearly defining the role and responsibilities of the Centre versus those at jurisdictional level, and how the Centre is supporting the efforts of Aboriginal and Torres Strait Islander lead and governed research and evidence bodies at the jurisdictional level. </w:t>
      </w:r>
    </w:p>
    <w:p w14:paraId="0B5E8687" w14:textId="7BA9FE49" w:rsidR="00EC399E" w:rsidRPr="00120AAB" w:rsidRDefault="4F85DF43" w:rsidP="00540368">
      <w:pPr>
        <w:pStyle w:val="Heading4"/>
      </w:pPr>
      <w:bookmarkStart w:id="80" w:name="_Toc180484334"/>
      <w:r w:rsidRPr="00120AAB">
        <w:t>Policies and procedures</w:t>
      </w:r>
      <w:bookmarkEnd w:id="80"/>
      <w:r w:rsidRPr="00120AAB">
        <w:t xml:space="preserve"> </w:t>
      </w:r>
    </w:p>
    <w:p w14:paraId="796ADFAB" w14:textId="123CC88D" w:rsidR="00074427"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The corporate and organisational policies and procedures of the host organisation should be leveraged, where they meet the needs of the Centre.  For example, it will be important to establish Aboriginal and Torres Strait Islander ethics processes that meets the expectations of community and align with Aboriginal and Torres Strait Islander research standards. </w:t>
      </w:r>
    </w:p>
    <w:p w14:paraId="394BE993" w14:textId="29F98A76" w:rsidR="00C87214"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 xml:space="preserve">Importantly, the Head Agreement developed as part of the Centre’s establishment must reinforce the four Priority Reforms under the National Agreement. For example, this includes the need to ensure that considerations around intellectual property and legal status reflect the principles of self-determination and Indigenous Data Sovereignty. </w:t>
      </w:r>
    </w:p>
    <w:p w14:paraId="002BE834" w14:textId="0F78F89A" w:rsidR="00C87214" w:rsidRPr="00004AD9" w:rsidRDefault="003B15FE" w:rsidP="00540368">
      <w:pPr>
        <w:pStyle w:val="Heading3"/>
      </w:pPr>
      <w:bookmarkStart w:id="81" w:name="_Toc166861702"/>
      <w:bookmarkStart w:id="82" w:name="_Toc180484335"/>
      <w:r w:rsidRPr="00004AD9">
        <w:t>Resourcing</w:t>
      </w:r>
      <w:bookmarkEnd w:id="81"/>
      <w:bookmarkEnd w:id="82"/>
    </w:p>
    <w:p w14:paraId="584ACF6C" w14:textId="7A10F24D" w:rsidR="00AF42A7" w:rsidRPr="00120AAB" w:rsidRDefault="4F85DF43" w:rsidP="00C57C01">
      <w:pPr>
        <w:spacing w:before="40" w:after="120" w:line="252" w:lineRule="auto"/>
        <w:rPr>
          <w:rFonts w:asciiTheme="majorHAnsi" w:hAnsiTheme="majorHAnsi"/>
        </w:rPr>
      </w:pPr>
      <w:r w:rsidRPr="00120AAB">
        <w:rPr>
          <w:rFonts w:asciiTheme="majorHAnsi" w:hAnsiTheme="majorHAnsi"/>
        </w:rPr>
        <w:t xml:space="preserve">Central to the success of the Centre is ongoing and adequate funding.  </w:t>
      </w:r>
      <w:r w:rsidRPr="00120AAB">
        <w:rPr>
          <w:rFonts w:asciiTheme="majorHAnsi" w:hAnsiTheme="majorHAnsi" w:cs="Calibri"/>
        </w:rPr>
        <w:t>A long-term operational funding commitment beyond the initial three-year funding period is required to ensure the ability of the Centre to engage in longer-term initiatives, reflecting a commitment to sustainable capacity for Aboriginal and Torres Strait Islander knowledge creation and dissemination in the children and families sector. Long-term funding commitments must also consider the opportunities to transition investment over time, recognising that the overwhelming proportion of research infrastructure and funding relating to Aboriginal and Torres Strait Islander children and families currently sits with institutes that are not Aboriginal and Torres Strait Islander</w:t>
      </w:r>
      <w:r w:rsidR="00085F2F">
        <w:rPr>
          <w:rFonts w:asciiTheme="majorHAnsi" w:hAnsiTheme="majorHAnsi" w:cs="Calibri"/>
        </w:rPr>
        <w:t>-</w:t>
      </w:r>
      <w:r w:rsidRPr="00120AAB">
        <w:rPr>
          <w:rFonts w:asciiTheme="majorHAnsi" w:hAnsiTheme="majorHAnsi" w:cs="Calibri"/>
        </w:rPr>
        <w:t xml:space="preserve">led and governed. </w:t>
      </w:r>
    </w:p>
    <w:p w14:paraId="5551C7FD" w14:textId="7F22D353" w:rsidR="00740F62" w:rsidRPr="00120AAB" w:rsidRDefault="00AF42A7" w:rsidP="00C57C01">
      <w:pPr>
        <w:spacing w:before="40" w:after="120" w:line="252" w:lineRule="auto"/>
        <w:rPr>
          <w:rFonts w:asciiTheme="majorHAnsi" w:hAnsiTheme="majorHAnsi"/>
        </w:rPr>
      </w:pPr>
      <w:r w:rsidRPr="00120AAB">
        <w:rPr>
          <w:rFonts w:asciiTheme="majorHAnsi" w:hAnsiTheme="majorHAnsi"/>
        </w:rPr>
        <w:t>A</w:t>
      </w:r>
      <w:r w:rsidR="00CC720F" w:rsidRPr="00120AAB">
        <w:rPr>
          <w:rFonts w:asciiTheme="majorHAnsi" w:hAnsiTheme="majorHAnsi"/>
        </w:rPr>
        <w:t>ctivity 3</w:t>
      </w:r>
      <w:r w:rsidR="004876ED" w:rsidRPr="00120AAB">
        <w:rPr>
          <w:rFonts w:asciiTheme="majorHAnsi" w:hAnsiTheme="majorHAnsi"/>
        </w:rPr>
        <w:t>f</w:t>
      </w:r>
      <w:r w:rsidR="00CC720F" w:rsidRPr="00120AAB">
        <w:rPr>
          <w:rFonts w:asciiTheme="majorHAnsi" w:hAnsiTheme="majorHAnsi"/>
        </w:rPr>
        <w:t xml:space="preserve">) in </w:t>
      </w:r>
      <w:r w:rsidR="00C1347B" w:rsidRPr="00120AAB">
        <w:rPr>
          <w:rFonts w:asciiTheme="majorHAnsi" w:hAnsiTheme="majorHAnsi"/>
        </w:rPr>
        <w:t xml:space="preserve">the </w:t>
      </w:r>
      <w:r w:rsidR="00CC720F" w:rsidRPr="00120AAB">
        <w:rPr>
          <w:rFonts w:asciiTheme="majorHAnsi" w:hAnsiTheme="majorHAnsi"/>
        </w:rPr>
        <w:t>Safe and Supported</w:t>
      </w:r>
      <w:r w:rsidR="00C1347B" w:rsidRPr="00120AAB">
        <w:rPr>
          <w:rFonts w:asciiTheme="majorHAnsi" w:hAnsiTheme="majorHAnsi"/>
        </w:rPr>
        <w:t xml:space="preserve"> Aboriginal and Torres Strait Islander First Action Plan </w:t>
      </w:r>
      <w:r w:rsidR="00CC720F" w:rsidRPr="00120AAB">
        <w:rPr>
          <w:rFonts w:asciiTheme="majorHAnsi" w:hAnsiTheme="majorHAnsi"/>
        </w:rPr>
        <w:t>commits jurisdictions to consider and work towards agreeing ongoing funding arrangements to support the national, state and territory operations of the Centre.</w:t>
      </w:r>
      <w:r w:rsidR="00EF1F63" w:rsidRPr="00120AAB">
        <w:rPr>
          <w:rStyle w:val="FootnoteReference"/>
          <w:rFonts w:asciiTheme="majorHAnsi" w:hAnsiTheme="majorHAnsi"/>
        </w:rPr>
        <w:footnoteReference w:id="17"/>
      </w:r>
      <w:r w:rsidR="0001790D">
        <w:rPr>
          <w:rFonts w:asciiTheme="majorHAnsi" w:hAnsiTheme="majorHAnsi"/>
        </w:rPr>
        <w:t xml:space="preserve"> </w:t>
      </w:r>
      <w:r w:rsidR="00062311" w:rsidRPr="00B6563A">
        <w:rPr>
          <w:rFonts w:asciiTheme="majorHAnsi" w:hAnsiTheme="majorHAnsi"/>
        </w:rPr>
        <w:t xml:space="preserve">It was </w:t>
      </w:r>
      <w:r w:rsidR="000D2EED" w:rsidRPr="00B6563A">
        <w:rPr>
          <w:rFonts w:asciiTheme="majorHAnsi" w:hAnsiTheme="majorHAnsi"/>
        </w:rPr>
        <w:t>a key consideration in the design process that in recognition of the diversity of Aboriginal and Torres Strait Islander communities</w:t>
      </w:r>
      <w:r w:rsidR="003016E9" w:rsidRPr="00B6563A">
        <w:rPr>
          <w:rFonts w:asciiTheme="majorHAnsi" w:hAnsiTheme="majorHAnsi"/>
        </w:rPr>
        <w:t>, research and knowledge</w:t>
      </w:r>
      <w:r w:rsidR="000D2EED" w:rsidRPr="00B6563A">
        <w:rPr>
          <w:rFonts w:asciiTheme="majorHAnsi" w:hAnsiTheme="majorHAnsi"/>
        </w:rPr>
        <w:t xml:space="preserve"> across the country, </w:t>
      </w:r>
      <w:r w:rsidR="00567993" w:rsidRPr="00B6563A">
        <w:rPr>
          <w:rFonts w:asciiTheme="majorHAnsi" w:hAnsiTheme="majorHAnsi"/>
        </w:rPr>
        <w:t xml:space="preserve">it was critical that states and territories invest to support </w:t>
      </w:r>
      <w:r w:rsidR="00740F62" w:rsidRPr="00B6563A">
        <w:rPr>
          <w:rFonts w:asciiTheme="majorHAnsi" w:hAnsiTheme="majorHAnsi"/>
        </w:rPr>
        <w:t>Aboriginal and Torres Strait Islander-led and governed research infrastructure</w:t>
      </w:r>
      <w:r w:rsidR="00740F62" w:rsidRPr="00B6563A" w:rsidDel="003049A8">
        <w:rPr>
          <w:rFonts w:asciiTheme="majorHAnsi" w:hAnsiTheme="majorHAnsi"/>
        </w:rPr>
        <w:t xml:space="preserve"> </w:t>
      </w:r>
      <w:r w:rsidR="003016E9" w:rsidRPr="00B6563A">
        <w:rPr>
          <w:rFonts w:asciiTheme="majorHAnsi" w:hAnsiTheme="majorHAnsi"/>
        </w:rPr>
        <w:t>in each jurisdiction</w:t>
      </w:r>
      <w:r w:rsidR="00740F62" w:rsidRPr="00B6563A">
        <w:rPr>
          <w:rFonts w:asciiTheme="majorHAnsi" w:hAnsiTheme="majorHAnsi"/>
        </w:rPr>
        <w:t xml:space="preserve"> to operate in collaboration with the</w:t>
      </w:r>
      <w:r w:rsidR="006D49C8" w:rsidRPr="00B6563A">
        <w:rPr>
          <w:rFonts w:asciiTheme="majorHAnsi" w:hAnsiTheme="majorHAnsi"/>
        </w:rPr>
        <w:t xml:space="preserve"> national</w:t>
      </w:r>
      <w:r w:rsidR="00740F62" w:rsidRPr="00B6563A">
        <w:rPr>
          <w:rFonts w:asciiTheme="majorHAnsi" w:hAnsiTheme="majorHAnsi"/>
        </w:rPr>
        <w:t xml:space="preserve"> Centre. </w:t>
      </w:r>
      <w:r w:rsidR="00936166" w:rsidRPr="00B6563A">
        <w:rPr>
          <w:rFonts w:asciiTheme="majorHAnsi" w:hAnsiTheme="majorHAnsi"/>
        </w:rPr>
        <w:t>In the short</w:t>
      </w:r>
      <w:r w:rsidR="00362E88" w:rsidRPr="00B6563A">
        <w:rPr>
          <w:rFonts w:asciiTheme="majorHAnsi" w:hAnsiTheme="majorHAnsi"/>
        </w:rPr>
        <w:t xml:space="preserve"> to medium-term this </w:t>
      </w:r>
      <w:r w:rsidR="009126A7" w:rsidRPr="00B6563A">
        <w:rPr>
          <w:rFonts w:asciiTheme="majorHAnsi" w:hAnsiTheme="majorHAnsi"/>
        </w:rPr>
        <w:t>may</w:t>
      </w:r>
      <w:r w:rsidR="00362E88" w:rsidRPr="00B6563A">
        <w:rPr>
          <w:rFonts w:asciiTheme="majorHAnsi" w:hAnsiTheme="majorHAnsi"/>
        </w:rPr>
        <w:t xml:space="preserve"> require</w:t>
      </w:r>
      <w:r w:rsidR="009D5B7E" w:rsidRPr="00B6563A">
        <w:rPr>
          <w:rFonts w:asciiTheme="majorHAnsi" w:hAnsiTheme="majorHAnsi"/>
        </w:rPr>
        <w:t xml:space="preserve"> some</w:t>
      </w:r>
      <w:r w:rsidR="00362E88" w:rsidRPr="00B6563A">
        <w:rPr>
          <w:rFonts w:asciiTheme="majorHAnsi" w:hAnsiTheme="majorHAnsi"/>
        </w:rPr>
        <w:t xml:space="preserve"> </w:t>
      </w:r>
      <w:r w:rsidR="00D44F52" w:rsidRPr="00B6563A">
        <w:rPr>
          <w:rFonts w:asciiTheme="majorHAnsi" w:hAnsiTheme="majorHAnsi"/>
        </w:rPr>
        <w:t xml:space="preserve">states and territories to invest through the </w:t>
      </w:r>
      <w:r w:rsidR="002039D4" w:rsidRPr="00B6563A">
        <w:rPr>
          <w:rFonts w:asciiTheme="majorHAnsi" w:hAnsiTheme="majorHAnsi"/>
        </w:rPr>
        <w:t xml:space="preserve">national Centre to auspice and support the development </w:t>
      </w:r>
      <w:r w:rsidR="0024185D" w:rsidRPr="00B6563A">
        <w:rPr>
          <w:rFonts w:asciiTheme="majorHAnsi" w:hAnsiTheme="majorHAnsi"/>
        </w:rPr>
        <w:t>of jurisdictional infrastructure where there is not existing capacity</w:t>
      </w:r>
      <w:r w:rsidR="00896615" w:rsidRPr="00B6563A">
        <w:rPr>
          <w:rFonts w:asciiTheme="majorHAnsi" w:hAnsiTheme="majorHAnsi"/>
        </w:rPr>
        <w:t xml:space="preserve"> in states and terr</w:t>
      </w:r>
      <w:r w:rsidR="00CB6AE4" w:rsidRPr="00B6563A">
        <w:rPr>
          <w:rFonts w:asciiTheme="majorHAnsi" w:hAnsiTheme="majorHAnsi"/>
        </w:rPr>
        <w:t>itories.</w:t>
      </w:r>
      <w:r w:rsidR="0024185D">
        <w:rPr>
          <w:rFonts w:asciiTheme="majorHAnsi" w:hAnsiTheme="majorHAnsi"/>
        </w:rPr>
        <w:t xml:space="preserve"> </w:t>
      </w:r>
    </w:p>
    <w:p w14:paraId="76A40C7A" w14:textId="5E8EA253" w:rsidR="00CC720F" w:rsidRPr="00120AAB" w:rsidRDefault="4F85DF43" w:rsidP="00C57C01">
      <w:pPr>
        <w:spacing w:before="40" w:after="120" w:line="252" w:lineRule="auto"/>
        <w:rPr>
          <w:rFonts w:asciiTheme="majorHAnsi" w:hAnsiTheme="majorHAnsi" w:cs="Calibri"/>
        </w:rPr>
      </w:pPr>
      <w:r w:rsidRPr="00120AAB">
        <w:rPr>
          <w:rFonts w:asciiTheme="majorHAnsi" w:hAnsiTheme="majorHAnsi" w:cs="Calibri"/>
        </w:rPr>
        <w:t>There may also be opportunities for non-governmental funders to support the work of the Centre through financial contributions.</w:t>
      </w:r>
    </w:p>
    <w:p w14:paraId="524727DF" w14:textId="16C1FE59" w:rsidR="003F7A27" w:rsidRPr="00120AAB" w:rsidRDefault="4F85DF43" w:rsidP="00540368">
      <w:pPr>
        <w:pStyle w:val="Heading4"/>
      </w:pPr>
      <w:bookmarkStart w:id="83" w:name="_Toc180484336"/>
      <w:r w:rsidRPr="00120AAB">
        <w:t>Operating Costs</w:t>
      </w:r>
      <w:bookmarkEnd w:id="83"/>
    </w:p>
    <w:p w14:paraId="005745B6" w14:textId="6E808FC4" w:rsidR="005D1FF3" w:rsidRPr="00120AAB" w:rsidRDefault="4F85DF43" w:rsidP="00C57C01">
      <w:pPr>
        <w:spacing w:before="40" w:after="120" w:line="252" w:lineRule="auto"/>
        <w:rPr>
          <w:rFonts w:asciiTheme="majorHAnsi" w:hAnsiTheme="majorHAnsi"/>
        </w:rPr>
      </w:pPr>
      <w:r w:rsidRPr="00120AAB">
        <w:rPr>
          <w:rFonts w:asciiTheme="majorHAnsi" w:hAnsiTheme="majorHAnsi"/>
        </w:rPr>
        <w:t>It is estimated that a total of $22.54 million will be required to sustain the Centre’s operations from 2024</w:t>
      </w:r>
      <w:r w:rsidR="001A0417">
        <w:rPr>
          <w:rFonts w:asciiTheme="majorHAnsi" w:hAnsiTheme="majorHAnsi"/>
        </w:rPr>
        <w:t>-</w:t>
      </w:r>
      <w:r w:rsidRPr="00120AAB">
        <w:rPr>
          <w:rFonts w:asciiTheme="majorHAnsi" w:hAnsiTheme="majorHAnsi"/>
        </w:rPr>
        <w:t>25 to 2029</w:t>
      </w:r>
      <w:r w:rsidR="001A0417">
        <w:rPr>
          <w:rFonts w:asciiTheme="majorHAnsi" w:hAnsiTheme="majorHAnsi"/>
        </w:rPr>
        <w:t>-</w:t>
      </w:r>
      <w:r w:rsidRPr="00120AAB">
        <w:rPr>
          <w:rFonts w:asciiTheme="majorHAnsi" w:hAnsiTheme="majorHAnsi"/>
        </w:rPr>
        <w:t>30. This includes $7.55 million over three years to 2026</w:t>
      </w:r>
      <w:r w:rsidR="001A0417">
        <w:rPr>
          <w:rFonts w:asciiTheme="majorHAnsi" w:hAnsiTheme="majorHAnsi"/>
        </w:rPr>
        <w:t>-</w:t>
      </w:r>
      <w:r w:rsidRPr="00120AAB">
        <w:rPr>
          <w:rFonts w:asciiTheme="majorHAnsi" w:hAnsiTheme="majorHAnsi"/>
        </w:rPr>
        <w:t>27 aligned to the existing Commonwealth Government budget allocation for the Centre’s establishment, with a further $14.99 million required over the subsequent three years to 2029</w:t>
      </w:r>
      <w:r w:rsidR="001A0417">
        <w:rPr>
          <w:rFonts w:asciiTheme="majorHAnsi" w:hAnsiTheme="majorHAnsi"/>
        </w:rPr>
        <w:t>-</w:t>
      </w:r>
      <w:r w:rsidRPr="00120AAB">
        <w:rPr>
          <w:rFonts w:asciiTheme="majorHAnsi" w:hAnsiTheme="majorHAnsi"/>
        </w:rPr>
        <w:t xml:space="preserve">30. </w:t>
      </w:r>
    </w:p>
    <w:p w14:paraId="63A3AE6A" w14:textId="496FE6E5" w:rsidR="000719A9" w:rsidRPr="00120AAB" w:rsidRDefault="4F85DF43" w:rsidP="00C57C01">
      <w:pPr>
        <w:spacing w:before="40" w:after="120" w:line="252" w:lineRule="auto"/>
        <w:rPr>
          <w:rFonts w:asciiTheme="majorHAnsi" w:hAnsiTheme="majorHAnsi"/>
        </w:rPr>
      </w:pPr>
      <w:r w:rsidRPr="00120AAB">
        <w:rPr>
          <w:rFonts w:asciiTheme="majorHAnsi" w:hAnsiTheme="majorHAnsi"/>
        </w:rPr>
        <w:t xml:space="preserve">A summary of projected expenses is at </w:t>
      </w:r>
      <w:r w:rsidRPr="00120AAB">
        <w:rPr>
          <w:rFonts w:asciiTheme="majorHAnsi" w:hAnsiTheme="majorHAnsi"/>
          <w:b/>
          <w:bCs/>
        </w:rPr>
        <w:t>Appendix C</w:t>
      </w:r>
      <w:r w:rsidRPr="00120AAB">
        <w:rPr>
          <w:rFonts w:asciiTheme="majorHAnsi" w:hAnsiTheme="majorHAnsi"/>
        </w:rPr>
        <w:t>.</w:t>
      </w:r>
    </w:p>
    <w:p w14:paraId="0E7FA68D" w14:textId="4412953A" w:rsidR="00CC720F" w:rsidRPr="00120AAB" w:rsidRDefault="4F85DF43" w:rsidP="00C57C01">
      <w:pPr>
        <w:keepNext/>
        <w:spacing w:before="40" w:after="120" w:line="252" w:lineRule="auto"/>
        <w:rPr>
          <w:rFonts w:asciiTheme="majorHAnsi" w:hAnsiTheme="majorHAnsi"/>
        </w:rPr>
      </w:pPr>
      <w:r w:rsidRPr="00120AAB">
        <w:rPr>
          <w:rFonts w:asciiTheme="majorHAnsi" w:hAnsiTheme="majorHAnsi"/>
        </w:rPr>
        <w:t>The costings are based on a conservative estimate of core operating expenses including:</w:t>
      </w:r>
    </w:p>
    <w:p w14:paraId="52251702" w14:textId="40986C66" w:rsidR="00CC720F"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 xml:space="preserve">set up costs, such as branding and artwork, basic office equipment and recruitment </w:t>
      </w:r>
    </w:p>
    <w:p w14:paraId="0E083C8F" w14:textId="322403BA" w:rsidR="006B6704"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governance costs, relating to establishing and maintaining the governance model</w:t>
      </w:r>
    </w:p>
    <w:p w14:paraId="70F1D52C" w14:textId="77777777" w:rsidR="00CC720F"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people-related expenses, including remuneration of core staffing to perform operational functions</w:t>
      </w:r>
    </w:p>
    <w:p w14:paraId="049B25C7" w14:textId="095730A5" w:rsidR="006B6704"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core operating expenses, including ongoing infrastructure, utilities and travel expenses</w:t>
      </w:r>
    </w:p>
    <w:p w14:paraId="6D9C5297" w14:textId="7ABF57BA" w:rsidR="00C219A9" w:rsidRPr="00120AAB" w:rsidRDefault="4F85DF43" w:rsidP="00C57C01">
      <w:pPr>
        <w:pStyle w:val="ListParagraph"/>
        <w:numPr>
          <w:ilvl w:val="0"/>
          <w:numId w:val="3"/>
        </w:numPr>
        <w:spacing w:before="120" w:after="120" w:line="252" w:lineRule="auto"/>
        <w:rPr>
          <w:rFonts w:asciiTheme="majorHAnsi" w:hAnsiTheme="majorHAnsi" w:cs="Calibri"/>
          <w:sz w:val="24"/>
          <w:szCs w:val="24"/>
        </w:rPr>
      </w:pPr>
      <w:r w:rsidRPr="00120AAB">
        <w:rPr>
          <w:rFonts w:asciiTheme="majorHAnsi" w:hAnsiTheme="majorHAnsi" w:cs="Calibri"/>
          <w:sz w:val="24"/>
          <w:szCs w:val="24"/>
        </w:rPr>
        <w:t>activity-related operating costs linked to the Centre’s activity model (</w:t>
      </w:r>
      <w:r w:rsidRPr="00120AAB">
        <w:rPr>
          <w:rFonts w:asciiTheme="majorHAnsi" w:hAnsiTheme="majorHAnsi" w:cs="Calibri"/>
          <w:b/>
          <w:bCs/>
          <w:sz w:val="24"/>
          <w:szCs w:val="24"/>
        </w:rPr>
        <w:t>Appendix D</w:t>
      </w:r>
      <w:r w:rsidRPr="00120AAB">
        <w:rPr>
          <w:rFonts w:asciiTheme="majorHAnsi" w:hAnsiTheme="majorHAnsi" w:cs="Calibri"/>
          <w:sz w:val="24"/>
          <w:szCs w:val="24"/>
        </w:rPr>
        <w:t>), which includes the following non-research activities:</w:t>
      </w:r>
    </w:p>
    <w:p w14:paraId="236AE9D8" w14:textId="77777777" w:rsidR="00E05E93" w:rsidRPr="00120AAB" w:rsidRDefault="4F85DF43" w:rsidP="00C57C01">
      <w:pPr>
        <w:pStyle w:val="ListParagraph"/>
        <w:numPr>
          <w:ilvl w:val="1"/>
          <w:numId w:val="10"/>
        </w:numPr>
        <w:spacing w:line="252" w:lineRule="auto"/>
        <w:rPr>
          <w:rFonts w:asciiTheme="majorHAnsi" w:hAnsiTheme="majorHAnsi" w:cs="Calibri"/>
          <w:sz w:val="24"/>
          <w:szCs w:val="24"/>
        </w:rPr>
      </w:pPr>
      <w:r w:rsidRPr="00120AAB">
        <w:rPr>
          <w:rFonts w:asciiTheme="majorHAnsi" w:hAnsiTheme="majorHAnsi" w:cs="Calibri"/>
          <w:sz w:val="24"/>
          <w:szCs w:val="24"/>
        </w:rPr>
        <w:t xml:space="preserve">a national conference </w:t>
      </w:r>
    </w:p>
    <w:p w14:paraId="5799CACD" w14:textId="77777777" w:rsidR="00E05E93" w:rsidRPr="00120AAB" w:rsidRDefault="4F85DF43" w:rsidP="00C57C01">
      <w:pPr>
        <w:pStyle w:val="ListParagraph"/>
        <w:numPr>
          <w:ilvl w:val="1"/>
          <w:numId w:val="10"/>
        </w:numPr>
        <w:spacing w:line="252" w:lineRule="auto"/>
        <w:rPr>
          <w:rFonts w:asciiTheme="majorHAnsi" w:hAnsiTheme="majorHAnsi" w:cs="Calibri"/>
          <w:sz w:val="24"/>
          <w:szCs w:val="24"/>
        </w:rPr>
      </w:pPr>
      <w:r w:rsidRPr="00120AAB">
        <w:rPr>
          <w:rFonts w:asciiTheme="majorHAnsi" w:hAnsiTheme="majorHAnsi" w:cs="Calibri"/>
          <w:sz w:val="24"/>
          <w:szCs w:val="24"/>
        </w:rPr>
        <w:t xml:space="preserve">collaborative forums </w:t>
      </w:r>
    </w:p>
    <w:p w14:paraId="4205F151" w14:textId="77777777" w:rsidR="00E05E93" w:rsidRPr="00120AAB" w:rsidRDefault="4F85DF43" w:rsidP="00C57C01">
      <w:pPr>
        <w:pStyle w:val="ListParagraph"/>
        <w:numPr>
          <w:ilvl w:val="1"/>
          <w:numId w:val="10"/>
        </w:numPr>
        <w:spacing w:line="252" w:lineRule="auto"/>
        <w:rPr>
          <w:rFonts w:asciiTheme="majorHAnsi" w:hAnsiTheme="majorHAnsi" w:cs="Calibri"/>
          <w:sz w:val="24"/>
          <w:szCs w:val="24"/>
        </w:rPr>
      </w:pPr>
      <w:r w:rsidRPr="00120AAB">
        <w:rPr>
          <w:rFonts w:asciiTheme="majorHAnsi" w:hAnsiTheme="majorHAnsi" w:cs="Calibri"/>
          <w:sz w:val="24"/>
          <w:szCs w:val="24"/>
        </w:rPr>
        <w:t>training sessions (hosted in-person / online)</w:t>
      </w:r>
    </w:p>
    <w:p w14:paraId="47BDCF27" w14:textId="10B031F8" w:rsidR="005B6864" w:rsidRPr="00120AAB" w:rsidRDefault="4F85DF43" w:rsidP="00C57C01">
      <w:pPr>
        <w:pStyle w:val="ListParagraph"/>
        <w:numPr>
          <w:ilvl w:val="1"/>
          <w:numId w:val="10"/>
        </w:numPr>
        <w:spacing w:after="240" w:line="252" w:lineRule="auto"/>
        <w:rPr>
          <w:rFonts w:asciiTheme="majorHAnsi" w:hAnsiTheme="majorHAnsi" w:cs="Tahoma"/>
          <w:i/>
          <w:iCs/>
          <w:sz w:val="24"/>
          <w:szCs w:val="24"/>
        </w:rPr>
      </w:pPr>
      <w:r w:rsidRPr="00120AAB">
        <w:rPr>
          <w:rFonts w:asciiTheme="majorHAnsi" w:hAnsiTheme="majorHAnsi" w:cs="Calibri"/>
          <w:sz w:val="24"/>
          <w:szCs w:val="24"/>
        </w:rPr>
        <w:t>community researcher training.</w:t>
      </w:r>
    </w:p>
    <w:tbl>
      <w:tblPr>
        <w:tblStyle w:val="TableGrid"/>
        <w:tblW w:w="0" w:type="auto"/>
        <w:shd w:val="clear" w:color="auto" w:fill="FFC000"/>
        <w:tblLook w:val="04A0" w:firstRow="1" w:lastRow="0" w:firstColumn="1" w:lastColumn="0" w:noHBand="0" w:noVBand="1"/>
      </w:tblPr>
      <w:tblGrid>
        <w:gridCol w:w="9622"/>
      </w:tblGrid>
      <w:tr w:rsidR="004B1170" w:rsidRPr="00120AAB" w14:paraId="11D9DA8B" w14:textId="77777777" w:rsidTr="4F85DF43">
        <w:tc>
          <w:tcPr>
            <w:tcW w:w="9622" w:type="dxa"/>
            <w:shd w:val="clear" w:color="auto" w:fill="FFC000"/>
          </w:tcPr>
          <w:p w14:paraId="2FF2D4C8" w14:textId="69894EA2" w:rsidR="004B1170" w:rsidRPr="00120AAB" w:rsidRDefault="4F85DF43" w:rsidP="00C71979">
            <w:pPr>
              <w:spacing w:before="60" w:after="60"/>
              <w:rPr>
                <w:rFonts w:asciiTheme="majorHAnsi" w:hAnsiTheme="majorHAnsi"/>
              </w:rPr>
            </w:pPr>
            <w:r w:rsidRPr="00120AAB">
              <w:rPr>
                <w:rFonts w:asciiTheme="majorHAnsi" w:hAnsiTheme="majorHAnsi"/>
                <w:b/>
                <w:bCs/>
              </w:rPr>
              <w:t>Recommendation 7:</w:t>
            </w:r>
            <w:r w:rsidRPr="00120AAB">
              <w:rPr>
                <w:rFonts w:asciiTheme="majorHAnsi" w:hAnsiTheme="majorHAnsi"/>
              </w:rPr>
              <w:t xml:space="preserve"> Long-term, ongoing funding for the Centre’s operations is required to ensure sustainable capacity for Aboriginal and Torres Strait Islander knowledge creation and dissemination in the children and families sector.</w:t>
            </w:r>
          </w:p>
        </w:tc>
      </w:tr>
    </w:tbl>
    <w:tbl>
      <w:tblPr>
        <w:tblStyle w:val="TableGrid"/>
        <w:tblpPr w:leftFromText="180" w:rightFromText="180" w:vertAnchor="text" w:horzAnchor="margin" w:tblpY="345"/>
        <w:tblW w:w="0" w:type="auto"/>
        <w:shd w:val="clear" w:color="auto" w:fill="FFC000"/>
        <w:tblLook w:val="04A0" w:firstRow="1" w:lastRow="0" w:firstColumn="1" w:lastColumn="0" w:noHBand="0" w:noVBand="1"/>
      </w:tblPr>
      <w:tblGrid>
        <w:gridCol w:w="9622"/>
      </w:tblGrid>
      <w:tr w:rsidR="00950EED" w:rsidRPr="00120AAB" w14:paraId="3A03AAAD" w14:textId="77777777" w:rsidTr="4F85DF43">
        <w:tc>
          <w:tcPr>
            <w:tcW w:w="9622" w:type="dxa"/>
            <w:shd w:val="clear" w:color="auto" w:fill="FFC000"/>
          </w:tcPr>
          <w:p w14:paraId="524EF46C" w14:textId="60E45D3B" w:rsidR="00950EED" w:rsidRPr="00120AAB" w:rsidRDefault="4F85DF43" w:rsidP="00C71979">
            <w:pPr>
              <w:spacing w:before="60" w:after="60"/>
              <w:rPr>
                <w:rFonts w:asciiTheme="majorHAnsi" w:hAnsiTheme="majorHAnsi"/>
              </w:rPr>
            </w:pPr>
            <w:r w:rsidRPr="00120AAB">
              <w:rPr>
                <w:rFonts w:asciiTheme="majorHAnsi" w:hAnsiTheme="majorHAnsi"/>
                <w:b/>
                <w:bCs/>
              </w:rPr>
              <w:t>Recommendation 8:</w:t>
            </w:r>
            <w:r w:rsidRPr="00120AAB">
              <w:rPr>
                <w:rFonts w:asciiTheme="majorHAnsi" w:hAnsiTheme="majorHAnsi"/>
              </w:rPr>
              <w:t xml:space="preserve"> State and Territory Governments should identify and provide resources for the development and operation of Aboriginal and Torres Strait Islander</w:t>
            </w:r>
            <w:r w:rsidR="00085F2F">
              <w:rPr>
                <w:rFonts w:asciiTheme="majorHAnsi" w:hAnsiTheme="majorHAnsi"/>
              </w:rPr>
              <w:t>-</w:t>
            </w:r>
            <w:r w:rsidRPr="00120AAB">
              <w:rPr>
                <w:rFonts w:asciiTheme="majorHAnsi" w:hAnsiTheme="majorHAnsi"/>
              </w:rPr>
              <w:t>led and governed research centres, networks and institutions in each state and territory and resource their collaboration with the National Centre.</w:t>
            </w:r>
          </w:p>
        </w:tc>
      </w:tr>
    </w:tbl>
    <w:p w14:paraId="4DF7DD3B" w14:textId="70FEB9B4" w:rsidR="00950EED" w:rsidRPr="00120AAB" w:rsidRDefault="00950EED" w:rsidP="00950EED">
      <w:pPr>
        <w:rPr>
          <w:rFonts w:asciiTheme="majorHAnsi" w:hAnsiTheme="majorHAnsi"/>
          <w:b/>
          <w:bCs/>
          <w:sz w:val="28"/>
          <w:szCs w:val="28"/>
        </w:rPr>
      </w:pPr>
      <w:bookmarkStart w:id="84" w:name="_Toc166861703"/>
    </w:p>
    <w:p w14:paraId="47DC4028" w14:textId="2EFEC6AA" w:rsidR="00C87214" w:rsidRPr="00004AD9" w:rsidRDefault="006C7094" w:rsidP="00540368">
      <w:pPr>
        <w:pStyle w:val="Heading3"/>
      </w:pPr>
      <w:bookmarkStart w:id="85" w:name="_Toc180484337"/>
      <w:r w:rsidRPr="00004AD9">
        <w:t xml:space="preserve">Establishment – process and </w:t>
      </w:r>
      <w:r w:rsidR="000802B4" w:rsidRPr="00004AD9">
        <w:t xml:space="preserve">next </w:t>
      </w:r>
      <w:r w:rsidRPr="00004AD9">
        <w:t>steps</w:t>
      </w:r>
      <w:bookmarkEnd w:id="84"/>
      <w:bookmarkEnd w:id="85"/>
    </w:p>
    <w:p w14:paraId="266F8817" w14:textId="06EDB726" w:rsidR="005A2C27" w:rsidRPr="00120AAB" w:rsidRDefault="001E5D71" w:rsidP="00C57C01">
      <w:pPr>
        <w:spacing w:before="40" w:after="120" w:line="252" w:lineRule="auto"/>
        <w:rPr>
          <w:rFonts w:asciiTheme="majorHAnsi" w:hAnsiTheme="majorHAnsi" w:cs="Calibri"/>
        </w:rPr>
      </w:pPr>
      <w:r w:rsidRPr="00120AAB">
        <w:rPr>
          <w:rFonts w:asciiTheme="majorHAnsi" w:hAnsiTheme="majorHAnsi" w:cs="Calibri"/>
        </w:rPr>
        <w:t>Decisions relating to the design</w:t>
      </w:r>
      <w:r w:rsidR="00C609C4" w:rsidRPr="00120AAB">
        <w:rPr>
          <w:rFonts w:asciiTheme="majorHAnsi" w:hAnsiTheme="majorHAnsi" w:cs="Calibri"/>
        </w:rPr>
        <w:t>, development</w:t>
      </w:r>
      <w:r w:rsidR="003613DD">
        <w:rPr>
          <w:rFonts w:asciiTheme="majorHAnsi" w:hAnsiTheme="majorHAnsi" w:cs="Calibri"/>
        </w:rPr>
        <w:t>,</w:t>
      </w:r>
      <w:r w:rsidR="00C609C4" w:rsidRPr="00120AAB">
        <w:rPr>
          <w:rFonts w:asciiTheme="majorHAnsi" w:hAnsiTheme="majorHAnsi" w:cs="Calibri"/>
        </w:rPr>
        <w:t xml:space="preserve"> </w:t>
      </w:r>
      <w:r w:rsidR="00FC22D1" w:rsidRPr="00120AAB">
        <w:rPr>
          <w:rFonts w:asciiTheme="majorHAnsi" w:hAnsiTheme="majorHAnsi" w:cs="Calibri"/>
        </w:rPr>
        <w:t>implementation</w:t>
      </w:r>
      <w:r w:rsidR="00FC22D1">
        <w:rPr>
          <w:rFonts w:asciiTheme="majorHAnsi" w:hAnsiTheme="majorHAnsi" w:cs="Calibri"/>
        </w:rPr>
        <w:t xml:space="preserve"> and evaluation</w:t>
      </w:r>
      <w:r w:rsidR="00C609C4" w:rsidRPr="00120AAB">
        <w:rPr>
          <w:rFonts w:asciiTheme="majorHAnsi" w:hAnsiTheme="majorHAnsi" w:cs="Calibri"/>
        </w:rPr>
        <w:t xml:space="preserve"> of the Centre will be made</w:t>
      </w:r>
      <w:r w:rsidR="00FC22D1">
        <w:rPr>
          <w:rFonts w:asciiTheme="majorHAnsi" w:hAnsiTheme="majorHAnsi" w:cs="Calibri"/>
        </w:rPr>
        <w:t xml:space="preserve"> </w:t>
      </w:r>
      <w:r w:rsidR="00C609C4" w:rsidRPr="00120AAB">
        <w:rPr>
          <w:rFonts w:asciiTheme="majorHAnsi" w:hAnsiTheme="majorHAnsi" w:cs="Calibri"/>
        </w:rPr>
        <w:t xml:space="preserve">through a </w:t>
      </w:r>
      <w:r w:rsidR="0041510D" w:rsidRPr="00120AAB">
        <w:rPr>
          <w:rFonts w:asciiTheme="majorHAnsi" w:hAnsiTheme="majorHAnsi" w:cs="Calibri"/>
        </w:rPr>
        <w:t xml:space="preserve">shared decision-making approach. </w:t>
      </w:r>
      <w:r w:rsidR="4F85DF43" w:rsidRPr="00120AAB">
        <w:rPr>
          <w:rFonts w:asciiTheme="majorHAnsi" w:hAnsiTheme="majorHAnsi" w:cs="Calibri"/>
        </w:rPr>
        <w:t xml:space="preserve">Should the Commonwealth Government identify any barriers to adopting the recommendations presented in this proposal, these barriers should be made transparent and raised for discussion and resolution with the Expert Advisory Group in the first instance, and with the Aboriginal and Torres Strait Islander Leadership Group through the governance of Safe and Supported (as required). This aligns with the commitments made under Priority Reform One (Shared Decision Making) under the National Agreement and the shared decision-making principles agreed to under Safe and Supported. This is critical to ensure that the process for establishing the Centre is grounded in self-determination and community-led decision-making. </w:t>
      </w:r>
    </w:p>
    <w:p w14:paraId="7782F3E5" w14:textId="65CA8C26" w:rsidR="00B346FB" w:rsidRPr="00120AAB" w:rsidRDefault="4F85DF43" w:rsidP="00C57C01">
      <w:pPr>
        <w:spacing w:before="40" w:after="240" w:line="252" w:lineRule="auto"/>
        <w:rPr>
          <w:rFonts w:asciiTheme="majorHAnsi" w:hAnsiTheme="majorHAnsi" w:cs="Calibri"/>
        </w:rPr>
      </w:pPr>
      <w:r w:rsidRPr="00120AAB">
        <w:rPr>
          <w:rFonts w:asciiTheme="majorHAnsi" w:hAnsiTheme="majorHAnsi" w:cs="Calibri"/>
        </w:rPr>
        <w:t xml:space="preserve">As highlighted by the Productivity Commission in its recent review of the National Agreement, governments have failed to adequately implement genuine shared decision-making in practice, instead opting for a ‘consultative’ approach where there is often a pre-determined solution. </w:t>
      </w:r>
    </w:p>
    <w:tbl>
      <w:tblPr>
        <w:tblStyle w:val="TableGrid"/>
        <w:tblW w:w="0" w:type="auto"/>
        <w:shd w:val="clear" w:color="auto" w:fill="FFC000"/>
        <w:tblLook w:val="04A0" w:firstRow="1" w:lastRow="0" w:firstColumn="1" w:lastColumn="0" w:noHBand="0" w:noVBand="1"/>
      </w:tblPr>
      <w:tblGrid>
        <w:gridCol w:w="9622"/>
      </w:tblGrid>
      <w:tr w:rsidR="00A50931" w:rsidRPr="00120AAB" w14:paraId="30C76B6B" w14:textId="77777777" w:rsidTr="4F85DF43">
        <w:tc>
          <w:tcPr>
            <w:tcW w:w="9622" w:type="dxa"/>
            <w:shd w:val="clear" w:color="auto" w:fill="FFC000"/>
          </w:tcPr>
          <w:p w14:paraId="6213E866" w14:textId="791E143F" w:rsidR="00A50931" w:rsidRPr="00120AAB" w:rsidRDefault="4F85DF43" w:rsidP="00C71979">
            <w:pPr>
              <w:spacing w:before="60" w:after="60"/>
              <w:rPr>
                <w:rFonts w:asciiTheme="majorHAnsi" w:hAnsiTheme="majorHAnsi"/>
              </w:rPr>
            </w:pPr>
            <w:r w:rsidRPr="00120AAB">
              <w:rPr>
                <w:rFonts w:asciiTheme="majorHAnsi" w:hAnsiTheme="majorHAnsi"/>
                <w:b/>
                <w:bCs/>
              </w:rPr>
              <w:t>Recommendation 9:</w:t>
            </w:r>
            <w:r w:rsidRPr="00120AAB">
              <w:rPr>
                <w:rFonts w:asciiTheme="majorHAnsi" w:hAnsiTheme="majorHAnsi"/>
              </w:rPr>
              <w:t xml:space="preserve"> All decisions relating to the design, development</w:t>
            </w:r>
            <w:r w:rsidR="005C399D">
              <w:rPr>
                <w:rFonts w:asciiTheme="majorHAnsi" w:hAnsiTheme="majorHAnsi"/>
              </w:rPr>
              <w:t xml:space="preserve">, </w:t>
            </w:r>
            <w:r w:rsidRPr="00120AAB">
              <w:rPr>
                <w:rFonts w:asciiTheme="majorHAnsi" w:hAnsiTheme="majorHAnsi"/>
              </w:rPr>
              <w:t>implementation</w:t>
            </w:r>
            <w:r w:rsidR="005C399D">
              <w:rPr>
                <w:rFonts w:asciiTheme="majorHAnsi" w:hAnsiTheme="majorHAnsi"/>
              </w:rPr>
              <w:t xml:space="preserve"> and evaluation</w:t>
            </w:r>
            <w:r w:rsidRPr="00120AAB">
              <w:rPr>
                <w:rFonts w:asciiTheme="majorHAnsi" w:hAnsiTheme="majorHAnsi"/>
              </w:rPr>
              <w:t xml:space="preserve"> </w:t>
            </w:r>
            <w:r w:rsidR="005C399D">
              <w:rPr>
                <w:rFonts w:asciiTheme="majorHAnsi" w:hAnsiTheme="majorHAnsi"/>
              </w:rPr>
              <w:t>of</w:t>
            </w:r>
            <w:r w:rsidRPr="00120AAB">
              <w:rPr>
                <w:rFonts w:asciiTheme="majorHAnsi" w:hAnsiTheme="majorHAnsi"/>
              </w:rPr>
              <w:t xml:space="preserve"> the Centre will be made</w:t>
            </w:r>
            <w:r w:rsidR="00E54D15">
              <w:rPr>
                <w:rFonts w:asciiTheme="majorHAnsi" w:hAnsiTheme="majorHAnsi"/>
              </w:rPr>
              <w:t xml:space="preserve"> </w:t>
            </w:r>
            <w:r w:rsidRPr="00120AAB">
              <w:rPr>
                <w:rFonts w:asciiTheme="majorHAnsi" w:hAnsiTheme="majorHAnsi"/>
              </w:rPr>
              <w:t>in line with the principles of shared decision</w:t>
            </w:r>
            <w:r w:rsidR="0041510D" w:rsidRPr="00120AAB">
              <w:rPr>
                <w:rFonts w:asciiTheme="majorHAnsi" w:hAnsiTheme="majorHAnsi"/>
              </w:rPr>
              <w:t>-</w:t>
            </w:r>
            <w:r w:rsidRPr="00120AAB">
              <w:rPr>
                <w:rFonts w:asciiTheme="majorHAnsi" w:hAnsiTheme="majorHAnsi"/>
              </w:rPr>
              <w:t>making, as agreed in the National Agreement on Closing the Gap</w:t>
            </w:r>
            <w:r w:rsidR="001E5D71" w:rsidRPr="00120AAB">
              <w:rPr>
                <w:rFonts w:asciiTheme="majorHAnsi" w:hAnsiTheme="majorHAnsi"/>
              </w:rPr>
              <w:t>.</w:t>
            </w:r>
          </w:p>
        </w:tc>
      </w:tr>
    </w:tbl>
    <w:p w14:paraId="4FA17AAB" w14:textId="218F40D3" w:rsidR="002C3E9C" w:rsidRDefault="4F85DF43" w:rsidP="00C71979">
      <w:pPr>
        <w:spacing w:before="240" w:after="240" w:line="252" w:lineRule="auto"/>
        <w:rPr>
          <w:rFonts w:asciiTheme="majorHAnsi" w:hAnsiTheme="majorHAnsi"/>
        </w:rPr>
      </w:pPr>
      <w:r w:rsidRPr="00120AAB">
        <w:rPr>
          <w:rFonts w:asciiTheme="majorHAnsi" w:hAnsiTheme="majorHAnsi"/>
        </w:rPr>
        <w:t xml:space="preserve">A high-level overview of initial steps, including the phases and sequencing of key operational and logistical steps is </w:t>
      </w:r>
      <w:r w:rsidR="0069732D">
        <w:rPr>
          <w:rFonts w:asciiTheme="majorHAnsi" w:hAnsiTheme="majorHAnsi"/>
        </w:rPr>
        <w:t>shown in the following table</w:t>
      </w:r>
      <w:r w:rsidRPr="00120AAB">
        <w:rPr>
          <w:rFonts w:asciiTheme="majorHAnsi" w:hAnsiTheme="majorHAnsi"/>
        </w:rPr>
        <w:t>. The Centre’s ACCO host could be engaged to implement the final stages of design to implementation through a staged approach</w:t>
      </w:r>
      <w:r w:rsidR="00371AB1">
        <w:rPr>
          <w:rFonts w:asciiTheme="majorHAnsi" w:hAnsiTheme="majorHAnsi"/>
        </w:rPr>
        <w:t>,</w:t>
      </w:r>
      <w:r w:rsidRPr="00120AAB">
        <w:rPr>
          <w:rFonts w:asciiTheme="majorHAnsi" w:hAnsiTheme="majorHAnsi"/>
        </w:rPr>
        <w:t xml:space="preserve"> commencing with</w:t>
      </w:r>
      <w:r w:rsidR="00371AB1">
        <w:rPr>
          <w:rFonts w:asciiTheme="majorHAnsi" w:hAnsiTheme="majorHAnsi"/>
        </w:rPr>
        <w:t>, for example</w:t>
      </w:r>
      <w:r w:rsidR="00750E8D">
        <w:rPr>
          <w:rFonts w:asciiTheme="majorHAnsi" w:hAnsiTheme="majorHAnsi"/>
        </w:rPr>
        <w:t xml:space="preserve">, the </w:t>
      </w:r>
      <w:r w:rsidR="0069732D">
        <w:rPr>
          <w:rFonts w:asciiTheme="majorHAnsi" w:hAnsiTheme="majorHAnsi"/>
        </w:rPr>
        <w:t>phases described below.</w:t>
      </w:r>
    </w:p>
    <w:p w14:paraId="3E1EBBA3" w14:textId="77777777" w:rsidR="00004AD9" w:rsidRDefault="00004AD9" w:rsidP="00C71979">
      <w:pPr>
        <w:spacing w:before="240" w:after="240" w:line="252" w:lineRule="auto"/>
        <w:rPr>
          <w:rFonts w:asciiTheme="majorHAnsi" w:hAnsiTheme="majorHAnsi"/>
        </w:rPr>
      </w:pPr>
    </w:p>
    <w:p w14:paraId="78FAC3C9" w14:textId="77777777" w:rsidR="00004AD9" w:rsidRDefault="00004AD9" w:rsidP="00C71979">
      <w:pPr>
        <w:spacing w:before="240" w:after="240" w:line="252" w:lineRule="auto"/>
        <w:rPr>
          <w:rFonts w:asciiTheme="majorHAnsi" w:hAnsiTheme="majorHAnsi"/>
        </w:rPr>
      </w:pPr>
    </w:p>
    <w:p w14:paraId="78FABF7E" w14:textId="77777777" w:rsidR="00004AD9" w:rsidRDefault="00004AD9" w:rsidP="00C71979">
      <w:pPr>
        <w:spacing w:before="240" w:after="240" w:line="252" w:lineRule="auto"/>
        <w:rPr>
          <w:rFonts w:asciiTheme="majorHAnsi" w:hAnsiTheme="majorHAnsi"/>
        </w:rPr>
      </w:pPr>
    </w:p>
    <w:p w14:paraId="4D04A8AB" w14:textId="77777777" w:rsidR="00004AD9" w:rsidRDefault="00004AD9" w:rsidP="00C71979">
      <w:pPr>
        <w:spacing w:before="240" w:after="240" w:line="252" w:lineRule="auto"/>
        <w:rPr>
          <w:rFonts w:asciiTheme="majorHAnsi" w:hAnsiTheme="majorHAnsi"/>
        </w:rPr>
      </w:pPr>
    </w:p>
    <w:p w14:paraId="70C89568" w14:textId="77777777" w:rsidR="00004AD9" w:rsidRDefault="00004AD9" w:rsidP="00C71979">
      <w:pPr>
        <w:spacing w:before="240" w:after="240" w:line="252" w:lineRule="auto"/>
        <w:rPr>
          <w:rFonts w:asciiTheme="majorHAnsi" w:hAnsiTheme="majorHAnsi"/>
        </w:rPr>
      </w:pPr>
    </w:p>
    <w:p w14:paraId="7008F5FF" w14:textId="77777777" w:rsidR="000E0E7D" w:rsidRDefault="000E0E7D" w:rsidP="00C71979">
      <w:pPr>
        <w:spacing w:before="240" w:after="240" w:line="252" w:lineRule="auto"/>
        <w:rPr>
          <w:rFonts w:asciiTheme="majorHAnsi" w:hAnsiTheme="majorHAnsi"/>
        </w:rPr>
      </w:pPr>
    </w:p>
    <w:p w14:paraId="7196143D" w14:textId="77777777" w:rsidR="000E0E7D" w:rsidRDefault="000E0E7D" w:rsidP="00C71979">
      <w:pPr>
        <w:spacing w:before="240" w:after="240" w:line="252" w:lineRule="auto"/>
        <w:rPr>
          <w:rFonts w:asciiTheme="majorHAnsi" w:hAnsiTheme="majorHAnsi"/>
        </w:rPr>
      </w:pPr>
    </w:p>
    <w:p w14:paraId="4A4553F6" w14:textId="77777777" w:rsidR="000E0E7D" w:rsidRDefault="000E0E7D" w:rsidP="00C71979">
      <w:pPr>
        <w:spacing w:before="240" w:after="240" w:line="252" w:lineRule="auto"/>
        <w:rPr>
          <w:rFonts w:asciiTheme="majorHAnsi" w:hAnsiTheme="majorHAnsi"/>
        </w:rPr>
      </w:pPr>
    </w:p>
    <w:p w14:paraId="0B18E296" w14:textId="77777777" w:rsidR="000E0E7D" w:rsidRPr="00120AAB" w:rsidRDefault="000E0E7D" w:rsidP="00C71979">
      <w:pPr>
        <w:spacing w:before="240" w:after="240" w:line="252" w:lineRule="auto"/>
        <w:rPr>
          <w:rFonts w:asciiTheme="majorHAnsi" w:hAnsiTheme="majorHAnsi"/>
        </w:rPr>
      </w:pPr>
    </w:p>
    <w:tbl>
      <w:tblPr>
        <w:tblStyle w:val="TableGrid"/>
        <w:tblW w:w="5000" w:type="pct"/>
        <w:tblLook w:val="04A0" w:firstRow="1" w:lastRow="0" w:firstColumn="1" w:lastColumn="0" w:noHBand="0" w:noVBand="1"/>
      </w:tblPr>
      <w:tblGrid>
        <w:gridCol w:w="1980"/>
        <w:gridCol w:w="7642"/>
      </w:tblGrid>
      <w:tr w:rsidR="001C6318" w:rsidRPr="00120AAB" w14:paraId="7ACDA678" w14:textId="77777777" w:rsidTr="4F85DF43">
        <w:tc>
          <w:tcPr>
            <w:tcW w:w="1029" w:type="pct"/>
            <w:shd w:val="clear" w:color="auto" w:fill="C6D5F2" w:themeFill="accent3" w:themeFillTint="33"/>
          </w:tcPr>
          <w:p w14:paraId="708CBEA0" w14:textId="2C3938B2" w:rsidR="001C6318" w:rsidRPr="00120AAB" w:rsidRDefault="4F85DF43" w:rsidP="00004AD9">
            <w:pPr>
              <w:pStyle w:val="Heading2"/>
            </w:pPr>
            <w:bookmarkStart w:id="86" w:name="_Toc180484338"/>
            <w:r w:rsidRPr="00120AAB">
              <w:t>Phase</w:t>
            </w:r>
            <w:bookmarkEnd w:id="86"/>
            <w:r w:rsidRPr="00120AAB">
              <w:t xml:space="preserve"> </w:t>
            </w:r>
          </w:p>
        </w:tc>
        <w:tc>
          <w:tcPr>
            <w:tcW w:w="3971" w:type="pct"/>
            <w:shd w:val="clear" w:color="auto" w:fill="C6D5F2" w:themeFill="accent3" w:themeFillTint="33"/>
          </w:tcPr>
          <w:p w14:paraId="6279EEDE" w14:textId="692DF161" w:rsidR="001C6318" w:rsidRPr="00120AAB" w:rsidRDefault="4F85DF43" w:rsidP="00004AD9">
            <w:pPr>
              <w:pStyle w:val="Heading2"/>
            </w:pPr>
            <w:bookmarkStart w:id="87" w:name="_Toc180484339"/>
            <w:r w:rsidRPr="00120AAB">
              <w:t>Operational and logistical steps</w:t>
            </w:r>
            <w:bookmarkEnd w:id="87"/>
            <w:r w:rsidRPr="00120AAB">
              <w:t xml:space="preserve"> </w:t>
            </w:r>
          </w:p>
        </w:tc>
      </w:tr>
      <w:tr w:rsidR="001C6318" w:rsidRPr="00120AAB" w14:paraId="2ECABA73" w14:textId="77777777" w:rsidTr="0069732D">
        <w:trPr>
          <w:cantSplit/>
        </w:trPr>
        <w:tc>
          <w:tcPr>
            <w:tcW w:w="1029" w:type="pct"/>
          </w:tcPr>
          <w:p w14:paraId="3E78320B" w14:textId="6E86A9C8" w:rsidR="001C6318" w:rsidRPr="00120AAB" w:rsidRDefault="4F85DF43" w:rsidP="00C57C01">
            <w:pPr>
              <w:spacing w:before="40" w:after="40" w:line="252" w:lineRule="auto"/>
              <w:rPr>
                <w:rFonts w:asciiTheme="majorHAnsi" w:hAnsiTheme="majorHAnsi"/>
              </w:rPr>
            </w:pPr>
            <w:r w:rsidRPr="00120AAB">
              <w:rPr>
                <w:rFonts w:asciiTheme="majorHAnsi" w:hAnsiTheme="majorHAnsi"/>
              </w:rPr>
              <w:t>Phase one</w:t>
            </w:r>
          </w:p>
        </w:tc>
        <w:tc>
          <w:tcPr>
            <w:tcW w:w="3971" w:type="pct"/>
          </w:tcPr>
          <w:p w14:paraId="273221C7" w14:textId="6AFD8F7D" w:rsidR="001C3340"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Supplier engaged and initial host organisation staff onboarded</w:t>
            </w:r>
          </w:p>
          <w:p w14:paraId="311A2DA6" w14:textId="09AE8C70" w:rsidR="001C3340"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Commence process for establishing the governance model and organisational structure</w:t>
            </w:r>
          </w:p>
          <w:p w14:paraId="61740C55" w14:textId="348F4026" w:rsidR="000908F9"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Establish the organisational and communications infrastructure</w:t>
            </w:r>
          </w:p>
          <w:p w14:paraId="03AC6722" w14:textId="26A4A574" w:rsidR="000908F9"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Continue discussions for establishing funding arrangements, in line with and beyond activity 3f in the Safe and Supported Aboriginal and Torres Strait Islander Action Plan</w:t>
            </w:r>
          </w:p>
          <w:p w14:paraId="2424B1EE" w14:textId="132BC152" w:rsidR="006E5E95"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Calibri"/>
                <w:sz w:val="24"/>
                <w:szCs w:val="24"/>
              </w:rPr>
              <w:t>Scope the virtual spokes and commence extending the reach and impact of the Centre into jurisdictional, regional and local community contexts</w:t>
            </w:r>
          </w:p>
        </w:tc>
      </w:tr>
      <w:tr w:rsidR="00380208" w:rsidRPr="00120AAB" w14:paraId="33305901" w14:textId="77777777" w:rsidTr="4F85DF43">
        <w:tc>
          <w:tcPr>
            <w:tcW w:w="1029" w:type="pct"/>
          </w:tcPr>
          <w:p w14:paraId="74A51D79" w14:textId="21A00DEE" w:rsidR="00380208" w:rsidRPr="00120AAB" w:rsidRDefault="4F85DF43" w:rsidP="00C57C01">
            <w:pPr>
              <w:spacing w:before="40" w:after="40" w:line="252" w:lineRule="auto"/>
              <w:rPr>
                <w:rFonts w:asciiTheme="majorHAnsi" w:hAnsiTheme="majorHAnsi"/>
              </w:rPr>
            </w:pPr>
            <w:r w:rsidRPr="00120AAB">
              <w:rPr>
                <w:rFonts w:asciiTheme="majorHAnsi" w:hAnsiTheme="majorHAnsi"/>
              </w:rPr>
              <w:t>Phase two</w:t>
            </w:r>
          </w:p>
        </w:tc>
        <w:tc>
          <w:tcPr>
            <w:tcW w:w="3971" w:type="pct"/>
          </w:tcPr>
          <w:p w14:paraId="2B083C1C" w14:textId="1B9CB460" w:rsidR="00380208"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Inaugural meetings for the governance bodies</w:t>
            </w:r>
          </w:p>
          <w:p w14:paraId="751E299F" w14:textId="41FBE920" w:rsidR="00624C1E"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lang w:val="en-US"/>
              </w:rPr>
            </w:pPr>
            <w:r w:rsidRPr="00120AAB">
              <w:rPr>
                <w:rFonts w:asciiTheme="majorHAnsi" w:hAnsiTheme="majorHAnsi" w:cs="Tahoma"/>
                <w:sz w:val="24"/>
                <w:szCs w:val="24"/>
                <w:lang w:val="en-US"/>
              </w:rPr>
              <w:t xml:space="preserve">Develop a strategic plan, work plan and timeline for implementing the functions </w:t>
            </w:r>
          </w:p>
          <w:p w14:paraId="29770E0F" w14:textId="75C7D590" w:rsidR="00380208"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Develop a National Research Agenda</w:t>
            </w:r>
          </w:p>
          <w:p w14:paraId="7D68A935" w14:textId="28047F98" w:rsidR="00624C1E"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Develop best practice principles and values</w:t>
            </w:r>
          </w:p>
        </w:tc>
      </w:tr>
      <w:tr w:rsidR="001C6318" w:rsidRPr="00120AAB" w14:paraId="6432EC42" w14:textId="77777777" w:rsidTr="4F85DF43">
        <w:tc>
          <w:tcPr>
            <w:tcW w:w="1029" w:type="pct"/>
          </w:tcPr>
          <w:p w14:paraId="325F9017" w14:textId="2853B665" w:rsidR="001C6318" w:rsidRPr="00120AAB" w:rsidRDefault="4F85DF43" w:rsidP="00C57C01">
            <w:pPr>
              <w:spacing w:before="40" w:after="40" w:line="252" w:lineRule="auto"/>
              <w:rPr>
                <w:rFonts w:asciiTheme="majorHAnsi" w:hAnsiTheme="majorHAnsi"/>
              </w:rPr>
            </w:pPr>
            <w:r w:rsidRPr="00120AAB">
              <w:rPr>
                <w:rFonts w:asciiTheme="majorHAnsi" w:hAnsiTheme="majorHAnsi"/>
              </w:rPr>
              <w:t xml:space="preserve">Phase three </w:t>
            </w:r>
          </w:p>
        </w:tc>
        <w:tc>
          <w:tcPr>
            <w:tcW w:w="3971" w:type="pct"/>
          </w:tcPr>
          <w:p w14:paraId="6A7DA9BE" w14:textId="3F2308BC" w:rsidR="00D86EAE" w:rsidRPr="00120AAB" w:rsidRDefault="4F85DF43" w:rsidP="00C57C01">
            <w:pPr>
              <w:pStyle w:val="ListParagraph"/>
              <w:numPr>
                <w:ilvl w:val="0"/>
                <w:numId w:val="9"/>
              </w:numPr>
              <w:spacing w:before="40" w:after="40" w:line="252" w:lineRule="auto"/>
              <w:contextualSpacing w:val="0"/>
              <w:rPr>
                <w:rFonts w:asciiTheme="majorHAnsi" w:hAnsiTheme="majorHAnsi"/>
                <w:sz w:val="24"/>
                <w:szCs w:val="24"/>
              </w:rPr>
            </w:pPr>
            <w:r w:rsidRPr="00120AAB">
              <w:rPr>
                <w:rFonts w:asciiTheme="majorHAnsi" w:hAnsiTheme="majorHAnsi"/>
                <w:sz w:val="24"/>
                <w:szCs w:val="24"/>
              </w:rPr>
              <w:t xml:space="preserve">Develop the data and research model </w:t>
            </w:r>
          </w:p>
          <w:p w14:paraId="172792AE" w14:textId="66577098" w:rsidR="001C6318"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 xml:space="preserve">Establish networks and pathways for contributions </w:t>
            </w:r>
          </w:p>
        </w:tc>
      </w:tr>
      <w:tr w:rsidR="00624C1E" w:rsidRPr="00120AAB" w14:paraId="331F7673" w14:textId="77777777" w:rsidTr="4F85DF43">
        <w:tc>
          <w:tcPr>
            <w:tcW w:w="1029" w:type="pct"/>
          </w:tcPr>
          <w:p w14:paraId="7CF18CF3" w14:textId="22891612" w:rsidR="00624C1E" w:rsidRPr="00120AAB" w:rsidRDefault="4F85DF43" w:rsidP="00C57C01">
            <w:pPr>
              <w:spacing w:before="40" w:after="40" w:line="252" w:lineRule="auto"/>
              <w:rPr>
                <w:rFonts w:asciiTheme="majorHAnsi" w:hAnsiTheme="majorHAnsi"/>
              </w:rPr>
            </w:pPr>
            <w:r w:rsidRPr="00120AAB">
              <w:rPr>
                <w:rFonts w:asciiTheme="majorHAnsi" w:hAnsiTheme="majorHAnsi"/>
              </w:rPr>
              <w:t xml:space="preserve">Phase four </w:t>
            </w:r>
          </w:p>
        </w:tc>
        <w:tc>
          <w:tcPr>
            <w:tcW w:w="3971" w:type="pct"/>
          </w:tcPr>
          <w:p w14:paraId="59B941D5" w14:textId="30D071D4" w:rsidR="00624C1E" w:rsidRPr="00120AAB" w:rsidRDefault="4F85DF43" w:rsidP="00C57C01">
            <w:pPr>
              <w:pStyle w:val="ListParagraph"/>
              <w:numPr>
                <w:ilvl w:val="0"/>
                <w:numId w:val="6"/>
              </w:numPr>
              <w:spacing w:before="40" w:after="40" w:line="252" w:lineRule="auto"/>
              <w:contextualSpacing w:val="0"/>
              <w:rPr>
                <w:rFonts w:asciiTheme="majorHAnsi" w:hAnsiTheme="majorHAnsi" w:cs="Tahoma"/>
                <w:sz w:val="24"/>
                <w:szCs w:val="24"/>
              </w:rPr>
            </w:pPr>
            <w:r w:rsidRPr="00120AAB">
              <w:rPr>
                <w:rFonts w:asciiTheme="majorHAnsi" w:hAnsiTheme="majorHAnsi" w:cs="Tahoma"/>
                <w:sz w:val="24"/>
                <w:szCs w:val="24"/>
              </w:rPr>
              <w:t>Commence full implementation of the Centre’s functions in line with its strategic plan and work plan</w:t>
            </w:r>
          </w:p>
        </w:tc>
      </w:tr>
    </w:tbl>
    <w:p w14:paraId="0B9FD335" w14:textId="13CF0011" w:rsidR="00F66E03" w:rsidRPr="00120AAB" w:rsidRDefault="00F66E03" w:rsidP="00406D44">
      <w:pPr>
        <w:pStyle w:val="ListParagraph"/>
        <w:ind w:left="0"/>
        <w:rPr>
          <w:rFonts w:asciiTheme="majorHAnsi" w:hAnsiTheme="majorHAnsi" w:cs="Tahoma"/>
          <w:i/>
          <w:iCs/>
        </w:rPr>
      </w:pPr>
    </w:p>
    <w:p w14:paraId="02E68AC5" w14:textId="121175AD" w:rsidR="001C68DB" w:rsidRPr="00120AAB" w:rsidRDefault="4F85DF43" w:rsidP="006B2632">
      <w:pPr>
        <w:ind w:left="4320"/>
        <w:rPr>
          <w:rFonts w:asciiTheme="majorHAnsi" w:hAnsiTheme="majorHAnsi"/>
          <w:b/>
          <w:bCs/>
        </w:rPr>
        <w:sectPr w:rsidR="001C68DB" w:rsidRPr="00120AAB" w:rsidSect="00B62FA3">
          <w:headerReference w:type="default" r:id="rId11"/>
          <w:footerReference w:type="default" r:id="rId12"/>
          <w:headerReference w:type="first" r:id="rId13"/>
          <w:footerReference w:type="first" r:id="rId14"/>
          <w:pgSz w:w="11900" w:h="16840"/>
          <w:pgMar w:top="2325" w:right="1134" w:bottom="907" w:left="1134" w:header="0" w:footer="907" w:gutter="0"/>
          <w:pgNumType w:start="0"/>
          <w:cols w:space="708"/>
          <w:titlePg/>
          <w:docGrid w:linePitch="360"/>
        </w:sectPr>
      </w:pPr>
      <w:r w:rsidRPr="00120AAB">
        <w:rPr>
          <w:rFonts w:asciiTheme="majorHAnsi" w:hAnsiTheme="majorHAnsi"/>
          <w:b/>
          <w:bCs/>
        </w:rPr>
        <w:t>END</w:t>
      </w:r>
    </w:p>
    <w:p w14:paraId="22C71212" w14:textId="04711F86" w:rsidR="005D7B2F" w:rsidRDefault="0069766A" w:rsidP="000E0E7D">
      <w:pPr>
        <w:pStyle w:val="Heading2"/>
      </w:pPr>
      <w:bookmarkStart w:id="88" w:name="_Toc180484340"/>
      <w:r w:rsidRPr="00A20F5D">
        <w:t>A</w:t>
      </w:r>
      <w:r w:rsidR="00BD23F9" w:rsidRPr="00A20F5D">
        <w:t xml:space="preserve">ppendix </w:t>
      </w:r>
      <w:r w:rsidR="005D7B2F" w:rsidRPr="00A20F5D">
        <w:t xml:space="preserve">A – </w:t>
      </w:r>
      <w:r w:rsidR="00597DED" w:rsidRPr="00A20F5D">
        <w:t>Governance</w:t>
      </w:r>
      <w:r w:rsidR="00597DED" w:rsidRPr="001F3D8E">
        <w:t xml:space="preserve"> Structure</w:t>
      </w:r>
      <w:bookmarkEnd w:id="88"/>
      <w:r w:rsidR="00597DED" w:rsidRPr="001F3D8E">
        <w:t xml:space="preserve"> </w:t>
      </w:r>
      <w:r w:rsidR="004F4F86" w:rsidRPr="001F3D8E">
        <w:t xml:space="preserve"> </w:t>
      </w:r>
    </w:p>
    <w:p w14:paraId="5242C700" w14:textId="77777777" w:rsidR="00A20F5D" w:rsidRPr="00A20F5D" w:rsidRDefault="00A20F5D" w:rsidP="00A20F5D">
      <w:pPr>
        <w:rPr>
          <w:sz w:val="8"/>
          <w:szCs w:val="8"/>
        </w:rPr>
      </w:pPr>
    </w:p>
    <w:p w14:paraId="3C54C158" w14:textId="02D3089D" w:rsidR="00A20F5D" w:rsidRPr="00A20F5D" w:rsidRDefault="00A20F5D" w:rsidP="00A20F5D">
      <w:r w:rsidRPr="00A20F5D">
        <w:rPr>
          <w:noProof/>
        </w:rPr>
        <w:drawing>
          <wp:inline distT="0" distB="0" distL="0" distR="0" wp14:anchorId="15280EF3" wp14:editId="0558399D">
            <wp:extent cx="9323705" cy="5297170"/>
            <wp:effectExtent l="0" t="0" r="0" b="0"/>
            <wp:docPr id="712197059" name="Picture 712197059" descr="Appendix A - Governance Structure&#10;&#10;This diagram shows the relationship between the National Aboriginal &amp; Torres Strait Islander Centre for Excellence in Child and Family Support and other stakeholders including:&#10;* Jurisdictional centres, networks and institutions&#10;* IDS Knowledge Holders&#10;* Collaborative Panel&#10;* Community Advisors&#10;* Host Organisation finance, audit &amp; risk function&#10;* ACCO Host Organisation&#10;* Host Board&#10;* Advisory Council and&#10;* Cross-disciplinary Expert Community of Practi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97059" name="Picture 712197059" descr="Appendix A - Governance Structure&#10;&#10;This diagram shows the relationship between the National Aboriginal &amp; Torres Strait Islander Centre for Excellence in Child and Family Support and other stakeholders including:&#10;* Jurisdictional centres, networks and institutions&#10;* IDS Knowledge Holders&#10;* Collaborative Panel&#10;* Community Advisors&#10;* Host Organisation finance, audit &amp; risk function&#10;* ACCO Host Organisation&#10;* Host Board&#10;* Advisory Council and&#10;* Cross-disciplinary Expert Community of Practice">
                      <a:extLst>
                        <a:ext uri="{C183D7F6-B498-43B3-948B-1728B52AA6E4}">
                          <adec:decorative xmlns:adec="http://schemas.microsoft.com/office/drawing/2017/decorative" val="0"/>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9323705" cy="5297170"/>
                    </a:xfrm>
                    <a:prstGeom prst="rect">
                      <a:avLst/>
                    </a:prstGeom>
                  </pic:spPr>
                </pic:pic>
              </a:graphicData>
            </a:graphic>
          </wp:inline>
        </w:drawing>
      </w:r>
    </w:p>
    <w:p w14:paraId="29D69C9E" w14:textId="77777777" w:rsidR="00393E87" w:rsidRDefault="00393E87" w:rsidP="000E0E7D">
      <w:pPr>
        <w:pStyle w:val="Heading2"/>
      </w:pPr>
      <w:bookmarkStart w:id="89" w:name="_Toc180484341"/>
      <w:r w:rsidRPr="001F3D8E">
        <w:t>Appendix B – Staffing Model</w:t>
      </w:r>
      <w:bookmarkEnd w:id="89"/>
    </w:p>
    <w:p w14:paraId="326FF617" w14:textId="77777777" w:rsidR="00A20F5D" w:rsidRPr="00A20F5D" w:rsidRDefault="00A20F5D" w:rsidP="00A20F5D">
      <w:pPr>
        <w:rPr>
          <w:sz w:val="8"/>
          <w:szCs w:val="8"/>
        </w:rPr>
      </w:pPr>
    </w:p>
    <w:p w14:paraId="4261BE07" w14:textId="2BFB9A66" w:rsidR="001F3D8E" w:rsidRDefault="008A35B4" w:rsidP="00A20F5D">
      <w:r>
        <w:rPr>
          <w:noProof/>
        </w:rPr>
        <w:drawing>
          <wp:inline distT="0" distB="0" distL="0" distR="0" wp14:anchorId="6E5EF8A5" wp14:editId="0A71E7F8">
            <wp:extent cx="9497584" cy="4450080"/>
            <wp:effectExtent l="0" t="0" r="8890" b="7620"/>
            <wp:docPr id="888970686" name="Picture 1" descr="Appendix B - Staffing Model&#10;&#10;Excel Spreadsheet shows the projected staff model for the Centre for Excellence &#10;2024-25 0 staff&#10;2025-26 25 staff&#10;2026-27 25 staff&#10;2027-28 50 staff&#10;2028-29 50 staff&#10;20290-20 75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970686" name="Picture 1" descr="Appendix B - Staffing Model&#10;&#10;Excel Spreadsheet shows the projected staff model for the Centre for Excellence &#10;2024-25 0 staff&#10;2025-26 25 staff&#10;2026-27 25 staff&#10;2027-28 50 staff&#10;2028-29 50 staff&#10;20290-20 75 staff"/>
                    <pic:cNvPicPr/>
                  </pic:nvPicPr>
                  <pic:blipFill>
                    <a:blip r:embed="rId16"/>
                    <a:stretch>
                      <a:fillRect/>
                    </a:stretch>
                  </pic:blipFill>
                  <pic:spPr>
                    <a:xfrm>
                      <a:off x="0" y="0"/>
                      <a:ext cx="9506534" cy="4454274"/>
                    </a:xfrm>
                    <a:prstGeom prst="rect">
                      <a:avLst/>
                    </a:prstGeom>
                  </pic:spPr>
                </pic:pic>
              </a:graphicData>
            </a:graphic>
          </wp:inline>
        </w:drawing>
      </w:r>
    </w:p>
    <w:p w14:paraId="0B754493" w14:textId="77777777" w:rsidR="001F3D8E" w:rsidRDefault="001F3D8E" w:rsidP="0069732D">
      <w:pPr>
        <w:pStyle w:val="Heading1"/>
        <w:keepNext/>
        <w:spacing w:after="240"/>
        <w:ind w:left="340" w:hanging="340"/>
        <w:rPr>
          <w:rFonts w:asciiTheme="majorHAnsi" w:hAnsiTheme="majorHAnsi"/>
        </w:rPr>
      </w:pPr>
    </w:p>
    <w:p w14:paraId="6F63403D" w14:textId="77777777" w:rsidR="001F3D8E" w:rsidRDefault="001F3D8E" w:rsidP="0069732D">
      <w:pPr>
        <w:pStyle w:val="Heading1"/>
        <w:keepNext/>
        <w:spacing w:after="240"/>
        <w:ind w:left="340" w:hanging="340"/>
        <w:rPr>
          <w:rFonts w:asciiTheme="majorHAnsi" w:hAnsiTheme="majorHAnsi"/>
        </w:rPr>
      </w:pPr>
    </w:p>
    <w:p w14:paraId="72CAC0C7" w14:textId="77777777" w:rsidR="000E0E7D" w:rsidRPr="000E0E7D" w:rsidRDefault="000E0E7D" w:rsidP="000E0E7D"/>
    <w:p w14:paraId="622ACFFD" w14:textId="77777777" w:rsidR="002C3E9C" w:rsidRPr="00120AAB" w:rsidRDefault="002C3E9C" w:rsidP="0029180B">
      <w:pPr>
        <w:jc w:val="right"/>
        <w:rPr>
          <w:rFonts w:asciiTheme="majorHAnsi" w:hAnsiTheme="majorHAnsi"/>
          <w:b/>
          <w:bCs/>
          <w:sz w:val="36"/>
          <w:szCs w:val="36"/>
        </w:rPr>
      </w:pPr>
    </w:p>
    <w:p w14:paraId="28F62484" w14:textId="77777777" w:rsidR="00A20F5D" w:rsidRDefault="00393E87" w:rsidP="000E0E7D">
      <w:pPr>
        <w:pStyle w:val="Heading2"/>
      </w:pPr>
      <w:bookmarkStart w:id="90" w:name="_Toc180484342"/>
      <w:r w:rsidRPr="001F3D8E">
        <w:t>Appendix C – Expenses Summary</w:t>
      </w:r>
      <w:bookmarkEnd w:id="90"/>
    </w:p>
    <w:p w14:paraId="4C549AAA" w14:textId="0C40B1EA" w:rsidR="003B48F7" w:rsidRPr="00120AAB" w:rsidRDefault="00393E87" w:rsidP="00A20F5D">
      <w:r w:rsidRPr="00120AAB">
        <w:t xml:space="preserve"> </w:t>
      </w:r>
      <w:r w:rsidR="0069732D" w:rsidRPr="00120AAB">
        <w:rPr>
          <w:noProof/>
        </w:rPr>
        <w:drawing>
          <wp:inline distT="0" distB="0" distL="0" distR="0" wp14:anchorId="5778DD5D" wp14:editId="318F507A">
            <wp:extent cx="9476105" cy="3215640"/>
            <wp:effectExtent l="0" t="0" r="0" b="3810"/>
            <wp:docPr id="159523671" name="Picture 1" descr="Appendix C - Expenses Summary for proposed budget 2024-25 to 2029-30.&#10;&#10;Total proposed budget is:&#10;2024-25 $921,713&#10;2025-26 $2,941,790&#10;2026-27 $3,691,400&#10;2027-28 $4,464,617&#10;2028-29 $4,938,628&#10;2029-30 $5,605,668&#10;&#10;An approximate breakdown for 2024-26 is&#10;2.4% on establishment costs&#10;6.0% on governance costs&#10;60% on people related costs&#10;33% on core operating costs&#10;4% activity related operating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3671" name="Picture 1" descr="Appendix C - Expenses Summary for proposed budget 2024-25 to 2029-30.&#10;&#10;Total proposed budget is:&#10;2024-25 $921,713&#10;2025-26 $2,941,790&#10;2026-27 $3,691,400&#10;2027-28 $4,464,617&#10;2028-29 $4,938,628&#10;2029-30 $5,605,668&#10;&#10;An approximate breakdown for 2024-26 is&#10;2.4% on establishment costs&#10;6.0% on governance costs&#10;60% on people related costs&#10;33% on core operating costs&#10;4% activity related operating costs"/>
                    <pic:cNvPicPr/>
                  </pic:nvPicPr>
                  <pic:blipFill>
                    <a:blip r:embed="rId17">
                      <a:extLst>
                        <a:ext uri="{28A0092B-C50C-407E-A947-70E740481C1C}">
                          <a14:useLocalDpi xmlns:a14="http://schemas.microsoft.com/office/drawing/2010/main" val="0"/>
                        </a:ext>
                      </a:extLst>
                    </a:blip>
                    <a:stretch>
                      <a:fillRect/>
                    </a:stretch>
                  </pic:blipFill>
                  <pic:spPr>
                    <a:xfrm>
                      <a:off x="0" y="0"/>
                      <a:ext cx="9476105" cy="3215640"/>
                    </a:xfrm>
                    <a:prstGeom prst="rect">
                      <a:avLst/>
                    </a:prstGeom>
                  </pic:spPr>
                </pic:pic>
              </a:graphicData>
            </a:graphic>
          </wp:inline>
        </w:drawing>
      </w:r>
      <w:r w:rsidR="003B48F7" w:rsidRPr="00120AAB">
        <w:t xml:space="preserve"> </w:t>
      </w:r>
    </w:p>
    <w:p w14:paraId="7483591A" w14:textId="615C24B2" w:rsidR="003B48F7" w:rsidRPr="00120AAB" w:rsidRDefault="003B48F7" w:rsidP="008629F4">
      <w:pPr>
        <w:rPr>
          <w:rFonts w:asciiTheme="majorHAnsi" w:hAnsiTheme="majorHAnsi"/>
        </w:rPr>
      </w:pPr>
    </w:p>
    <w:p w14:paraId="4BBB33E2" w14:textId="139E9153" w:rsidR="003B48F7" w:rsidRPr="00120AAB" w:rsidRDefault="003B48F7" w:rsidP="008629F4">
      <w:pPr>
        <w:rPr>
          <w:rFonts w:asciiTheme="majorHAnsi" w:hAnsiTheme="majorHAnsi"/>
        </w:rPr>
      </w:pPr>
    </w:p>
    <w:p w14:paraId="232067C6" w14:textId="74252D10" w:rsidR="003B48F7" w:rsidRPr="00120AAB" w:rsidRDefault="003B48F7" w:rsidP="008629F4">
      <w:pPr>
        <w:rPr>
          <w:rFonts w:asciiTheme="majorHAnsi" w:hAnsiTheme="majorHAnsi"/>
        </w:rPr>
      </w:pPr>
    </w:p>
    <w:p w14:paraId="21C85366" w14:textId="55668117" w:rsidR="003B48F7" w:rsidRPr="00120AAB" w:rsidRDefault="003B48F7" w:rsidP="008629F4">
      <w:pPr>
        <w:rPr>
          <w:rFonts w:asciiTheme="majorHAnsi" w:hAnsiTheme="majorHAnsi"/>
        </w:rPr>
      </w:pPr>
    </w:p>
    <w:p w14:paraId="63D550BE" w14:textId="77777777" w:rsidR="003B48F7" w:rsidRPr="00120AAB" w:rsidRDefault="003B48F7" w:rsidP="008629F4">
      <w:pPr>
        <w:rPr>
          <w:rFonts w:asciiTheme="majorHAnsi" w:hAnsiTheme="majorHAnsi"/>
        </w:rPr>
      </w:pPr>
    </w:p>
    <w:p w14:paraId="1167BE5D" w14:textId="77777777" w:rsidR="003B48F7" w:rsidRPr="00120AAB" w:rsidRDefault="003B48F7" w:rsidP="008629F4">
      <w:pPr>
        <w:rPr>
          <w:rFonts w:asciiTheme="majorHAnsi" w:hAnsiTheme="majorHAnsi"/>
        </w:rPr>
      </w:pPr>
    </w:p>
    <w:p w14:paraId="6A011469" w14:textId="77777777" w:rsidR="003B48F7" w:rsidRPr="00120AAB" w:rsidRDefault="003B48F7" w:rsidP="008629F4">
      <w:pPr>
        <w:rPr>
          <w:rFonts w:asciiTheme="majorHAnsi" w:hAnsiTheme="majorHAnsi"/>
        </w:rPr>
      </w:pPr>
    </w:p>
    <w:p w14:paraId="1813219D" w14:textId="77777777" w:rsidR="00994F8F" w:rsidRPr="00120AAB" w:rsidRDefault="00994F8F" w:rsidP="008629F4">
      <w:pPr>
        <w:rPr>
          <w:rFonts w:asciiTheme="majorHAnsi" w:hAnsiTheme="majorHAnsi"/>
        </w:rPr>
      </w:pPr>
    </w:p>
    <w:p w14:paraId="25E4E37F" w14:textId="77777777" w:rsidR="003B48F7" w:rsidRPr="00120AAB" w:rsidRDefault="003B48F7" w:rsidP="008629F4">
      <w:pPr>
        <w:rPr>
          <w:rFonts w:asciiTheme="majorHAnsi" w:hAnsiTheme="majorHAnsi"/>
        </w:rPr>
      </w:pPr>
    </w:p>
    <w:p w14:paraId="7124FC3F" w14:textId="77777777" w:rsidR="007C5E87" w:rsidRPr="00120AAB" w:rsidRDefault="007C5E87" w:rsidP="008629F4">
      <w:pPr>
        <w:rPr>
          <w:rFonts w:asciiTheme="majorHAnsi" w:hAnsiTheme="majorHAnsi"/>
        </w:rPr>
      </w:pPr>
    </w:p>
    <w:p w14:paraId="4C0CD899" w14:textId="77777777" w:rsidR="001572EF" w:rsidRPr="00120AAB" w:rsidRDefault="001572EF" w:rsidP="000E0E7D">
      <w:pPr>
        <w:pStyle w:val="Heading2"/>
      </w:pPr>
      <w:bookmarkStart w:id="91" w:name="_Toc180484343"/>
      <w:r w:rsidRPr="00120AAB">
        <w:t>Appendix D – Non-research activity model</w:t>
      </w:r>
      <w:bookmarkEnd w:id="91"/>
    </w:p>
    <w:p w14:paraId="11F4DB41" w14:textId="3BA18B5B" w:rsidR="003B48F7" w:rsidRPr="00120AAB" w:rsidRDefault="0069732D" w:rsidP="008629F4">
      <w:pPr>
        <w:rPr>
          <w:rFonts w:asciiTheme="majorHAnsi" w:hAnsiTheme="majorHAnsi"/>
        </w:rPr>
      </w:pPr>
      <w:r w:rsidRPr="00120AAB">
        <w:rPr>
          <w:rFonts w:asciiTheme="majorHAnsi" w:hAnsiTheme="majorHAnsi"/>
          <w:noProof/>
        </w:rPr>
        <w:drawing>
          <wp:inline distT="0" distB="0" distL="0" distR="0" wp14:anchorId="7FC18BDD" wp14:editId="409C21B5">
            <wp:extent cx="7528560" cy="3728085"/>
            <wp:effectExtent l="0" t="0" r="0" b="5715"/>
            <wp:docPr id="245564299" name="Picture 1" descr="Appendix D - Non-research activity model&#10;&#10;This table outlines the number of propsed training, conferences, guest speakers and collaboration events &#10;&#10;2024-25 - 5 events&#10;2025-26 - 12 events&#10;2026-27 - 25 events&#10;2027-28 - 27 events&#10;2028-29 - 29 events&#10;2029-30 - 29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64299" name="Picture 1" descr="Appendix D - Non-research activity model&#10;&#10;This table outlines the number of propsed training, conferences, guest speakers and collaboration events &#10;&#10;2024-25 - 5 events&#10;2025-26 - 12 events&#10;2026-27 - 25 events&#10;2027-28 - 27 events&#10;2028-29 - 29 events&#10;2029-30 - 29 events"/>
                    <pic:cNvPicPr/>
                  </pic:nvPicPr>
                  <pic:blipFill>
                    <a:blip r:embed="rId18">
                      <a:extLst>
                        <a:ext uri="{28A0092B-C50C-407E-A947-70E740481C1C}">
                          <a14:useLocalDpi xmlns:a14="http://schemas.microsoft.com/office/drawing/2010/main" val="0"/>
                        </a:ext>
                      </a:extLst>
                    </a:blip>
                    <a:stretch>
                      <a:fillRect/>
                    </a:stretch>
                  </pic:blipFill>
                  <pic:spPr>
                    <a:xfrm>
                      <a:off x="0" y="0"/>
                      <a:ext cx="7528560" cy="3728085"/>
                    </a:xfrm>
                    <a:prstGeom prst="rect">
                      <a:avLst/>
                    </a:prstGeom>
                  </pic:spPr>
                </pic:pic>
              </a:graphicData>
            </a:graphic>
          </wp:inline>
        </w:drawing>
      </w:r>
    </w:p>
    <w:p w14:paraId="0EB21894" w14:textId="6BD73F3A" w:rsidR="003B48F7" w:rsidRPr="00120AAB" w:rsidRDefault="003B48F7" w:rsidP="008629F4">
      <w:pPr>
        <w:rPr>
          <w:rFonts w:asciiTheme="majorHAnsi" w:hAnsiTheme="majorHAnsi"/>
        </w:rPr>
      </w:pPr>
    </w:p>
    <w:p w14:paraId="111F37EC" w14:textId="77777777" w:rsidR="003B48F7" w:rsidRPr="00120AAB" w:rsidRDefault="003B48F7" w:rsidP="008629F4">
      <w:pPr>
        <w:rPr>
          <w:rFonts w:asciiTheme="majorHAnsi" w:hAnsiTheme="majorHAnsi"/>
        </w:rPr>
      </w:pPr>
    </w:p>
    <w:p w14:paraId="277B5F45" w14:textId="4D6010AC" w:rsidR="003B48F7" w:rsidRPr="00120AAB" w:rsidRDefault="003B48F7" w:rsidP="008629F4">
      <w:pPr>
        <w:rPr>
          <w:rFonts w:asciiTheme="majorHAnsi" w:hAnsiTheme="majorHAnsi"/>
        </w:rPr>
      </w:pPr>
    </w:p>
    <w:p w14:paraId="5652C444" w14:textId="77777777" w:rsidR="003B48F7" w:rsidRPr="00120AAB" w:rsidRDefault="003B48F7" w:rsidP="008629F4">
      <w:pPr>
        <w:rPr>
          <w:rFonts w:asciiTheme="majorHAnsi" w:hAnsiTheme="majorHAnsi"/>
        </w:rPr>
      </w:pPr>
    </w:p>
    <w:p w14:paraId="7F60C17D" w14:textId="45347DD7" w:rsidR="003B48F7" w:rsidRPr="00120AAB" w:rsidRDefault="003B48F7" w:rsidP="008629F4">
      <w:pPr>
        <w:rPr>
          <w:rFonts w:asciiTheme="majorHAnsi" w:hAnsiTheme="majorHAnsi"/>
        </w:rPr>
      </w:pPr>
    </w:p>
    <w:p w14:paraId="193B6F4E" w14:textId="4BEF647E" w:rsidR="003B48F7" w:rsidRPr="00120AAB" w:rsidRDefault="003B48F7" w:rsidP="008629F4">
      <w:pPr>
        <w:rPr>
          <w:rFonts w:asciiTheme="majorHAnsi" w:hAnsiTheme="majorHAnsi"/>
        </w:rPr>
      </w:pPr>
    </w:p>
    <w:p w14:paraId="165698B5" w14:textId="77777777" w:rsidR="003B48F7" w:rsidRPr="00120AAB" w:rsidRDefault="003B48F7" w:rsidP="008629F4">
      <w:pPr>
        <w:rPr>
          <w:rFonts w:asciiTheme="majorHAnsi" w:hAnsiTheme="majorHAnsi"/>
        </w:rPr>
      </w:pPr>
    </w:p>
    <w:p w14:paraId="43D7F3CD" w14:textId="77777777" w:rsidR="003B48F7" w:rsidRPr="00120AAB" w:rsidRDefault="003B48F7" w:rsidP="008629F4">
      <w:pPr>
        <w:rPr>
          <w:rFonts w:asciiTheme="majorHAnsi" w:hAnsiTheme="majorHAnsi"/>
        </w:rPr>
      </w:pPr>
    </w:p>
    <w:p w14:paraId="207CE1F4" w14:textId="7B2D3EF8" w:rsidR="00DF0C53" w:rsidRPr="00120AAB" w:rsidRDefault="00DF0C53" w:rsidP="008A35B4">
      <w:pPr>
        <w:tabs>
          <w:tab w:val="left" w:pos="12675"/>
        </w:tabs>
        <w:rPr>
          <w:rFonts w:asciiTheme="majorHAnsi" w:hAnsiTheme="majorHAnsi"/>
        </w:rPr>
        <w:sectPr w:rsidR="00DF0C53" w:rsidRPr="00120AAB" w:rsidSect="007C5E87">
          <w:headerReference w:type="even" r:id="rId19"/>
          <w:headerReference w:type="default" r:id="rId20"/>
          <w:headerReference w:type="first" r:id="rId21"/>
          <w:footerReference w:type="first" r:id="rId22"/>
          <w:pgSz w:w="16840" w:h="11900" w:orient="landscape"/>
          <w:pgMar w:top="1134" w:right="2268" w:bottom="1134" w:left="851" w:header="0" w:footer="907" w:gutter="0"/>
          <w:cols w:space="708"/>
          <w:titlePg/>
          <w:docGrid w:linePitch="360"/>
        </w:sectPr>
      </w:pPr>
    </w:p>
    <w:p w14:paraId="7FC549BF" w14:textId="77777777" w:rsidR="00984549" w:rsidRPr="00625590" w:rsidRDefault="00984549" w:rsidP="00512FA9">
      <w:pPr>
        <w:rPr>
          <w:rFonts w:asciiTheme="majorHAnsi" w:hAnsiTheme="majorHAnsi"/>
          <w:sz w:val="28"/>
          <w:szCs w:val="28"/>
        </w:rPr>
      </w:pPr>
    </w:p>
    <w:p w14:paraId="17EC6EFF" w14:textId="77777777" w:rsidR="00984549" w:rsidRPr="00625590" w:rsidRDefault="00984549" w:rsidP="00512FA9">
      <w:pPr>
        <w:rPr>
          <w:rFonts w:asciiTheme="majorHAnsi" w:hAnsiTheme="majorHAnsi"/>
          <w:sz w:val="28"/>
          <w:szCs w:val="28"/>
        </w:rPr>
      </w:pPr>
    </w:p>
    <w:p w14:paraId="71F6B7C9" w14:textId="77777777" w:rsidR="00984549" w:rsidRPr="00625590" w:rsidRDefault="00984549" w:rsidP="00512FA9">
      <w:pPr>
        <w:rPr>
          <w:rFonts w:asciiTheme="majorHAnsi" w:hAnsiTheme="majorHAnsi"/>
          <w:sz w:val="28"/>
          <w:szCs w:val="28"/>
        </w:rPr>
      </w:pPr>
    </w:p>
    <w:p w14:paraId="04F45EE1" w14:textId="77777777" w:rsidR="00984549" w:rsidRPr="00625590" w:rsidRDefault="00984549" w:rsidP="00512FA9">
      <w:pPr>
        <w:rPr>
          <w:rFonts w:asciiTheme="majorHAnsi" w:hAnsiTheme="majorHAnsi"/>
          <w:sz w:val="28"/>
          <w:szCs w:val="28"/>
        </w:rPr>
      </w:pPr>
    </w:p>
    <w:p w14:paraId="4FA74AAD" w14:textId="77777777" w:rsidR="00984549" w:rsidRPr="00625590" w:rsidRDefault="00984549" w:rsidP="00512FA9">
      <w:pPr>
        <w:rPr>
          <w:rFonts w:asciiTheme="majorHAnsi" w:hAnsiTheme="majorHAnsi"/>
          <w:sz w:val="28"/>
          <w:szCs w:val="28"/>
        </w:rPr>
      </w:pPr>
    </w:p>
    <w:p w14:paraId="7BEF95DB" w14:textId="77777777" w:rsidR="00984549" w:rsidRPr="00625590" w:rsidRDefault="00984549" w:rsidP="00512FA9">
      <w:pPr>
        <w:rPr>
          <w:rFonts w:asciiTheme="majorHAnsi" w:hAnsiTheme="majorHAnsi"/>
          <w:sz w:val="28"/>
          <w:szCs w:val="28"/>
        </w:rPr>
      </w:pPr>
    </w:p>
    <w:p w14:paraId="7BD0869C" w14:textId="77777777" w:rsidR="003B48F7" w:rsidRPr="00625590" w:rsidRDefault="003B48F7" w:rsidP="00512FA9">
      <w:pPr>
        <w:rPr>
          <w:rFonts w:asciiTheme="majorHAnsi" w:hAnsiTheme="majorHAnsi"/>
          <w:sz w:val="28"/>
          <w:szCs w:val="28"/>
        </w:rPr>
      </w:pPr>
    </w:p>
    <w:p w14:paraId="7DD720F3" w14:textId="77777777" w:rsidR="003B48F7" w:rsidRPr="00625590" w:rsidRDefault="003B48F7" w:rsidP="00512FA9">
      <w:pPr>
        <w:rPr>
          <w:rFonts w:asciiTheme="majorHAnsi" w:hAnsiTheme="majorHAnsi"/>
          <w:sz w:val="28"/>
          <w:szCs w:val="28"/>
        </w:rPr>
      </w:pPr>
    </w:p>
    <w:p w14:paraId="53CF7190" w14:textId="77777777" w:rsidR="003B48F7" w:rsidRPr="00625590" w:rsidRDefault="003B48F7" w:rsidP="00512FA9">
      <w:pPr>
        <w:rPr>
          <w:rFonts w:asciiTheme="majorHAnsi" w:hAnsiTheme="majorHAnsi"/>
          <w:sz w:val="28"/>
          <w:szCs w:val="28"/>
        </w:rPr>
      </w:pPr>
    </w:p>
    <w:p w14:paraId="57D06658" w14:textId="77777777" w:rsidR="003B48F7" w:rsidRPr="00625590" w:rsidRDefault="003B48F7" w:rsidP="00512FA9">
      <w:pPr>
        <w:rPr>
          <w:rFonts w:asciiTheme="majorHAnsi" w:hAnsiTheme="majorHAnsi"/>
          <w:sz w:val="28"/>
          <w:szCs w:val="28"/>
        </w:rPr>
      </w:pPr>
    </w:p>
    <w:p w14:paraId="3C7FE85C" w14:textId="77777777" w:rsidR="003B48F7" w:rsidRPr="00625590" w:rsidRDefault="003B48F7" w:rsidP="00512FA9">
      <w:pPr>
        <w:rPr>
          <w:rFonts w:asciiTheme="majorHAnsi" w:hAnsiTheme="majorHAnsi"/>
          <w:sz w:val="28"/>
          <w:szCs w:val="28"/>
        </w:rPr>
      </w:pPr>
    </w:p>
    <w:p w14:paraId="22371D12" w14:textId="0426D91D" w:rsidR="00984549" w:rsidRPr="00625590" w:rsidRDefault="00984549" w:rsidP="00512FA9">
      <w:pPr>
        <w:rPr>
          <w:rFonts w:asciiTheme="majorHAnsi" w:hAnsiTheme="majorHAnsi"/>
          <w:sz w:val="28"/>
          <w:szCs w:val="28"/>
        </w:rPr>
      </w:pPr>
    </w:p>
    <w:p w14:paraId="6B63C802" w14:textId="23773F3C" w:rsidR="00984549" w:rsidRPr="00625590" w:rsidRDefault="00984549" w:rsidP="00512FA9">
      <w:pPr>
        <w:rPr>
          <w:rFonts w:asciiTheme="majorHAnsi" w:hAnsiTheme="majorHAnsi"/>
          <w:sz w:val="28"/>
          <w:szCs w:val="28"/>
        </w:rPr>
      </w:pPr>
    </w:p>
    <w:p w14:paraId="2CDA08C9" w14:textId="76A27146" w:rsidR="005C296D" w:rsidRPr="00625590" w:rsidRDefault="005C296D" w:rsidP="00512FA9">
      <w:pPr>
        <w:rPr>
          <w:rFonts w:asciiTheme="majorHAnsi" w:hAnsiTheme="majorHAnsi"/>
          <w:sz w:val="28"/>
          <w:szCs w:val="28"/>
        </w:rPr>
      </w:pPr>
    </w:p>
    <w:p w14:paraId="073E9A98" w14:textId="40DE10CB" w:rsidR="00670A29" w:rsidRPr="00625590" w:rsidRDefault="00670A29" w:rsidP="00994F8F">
      <w:pPr>
        <w:rPr>
          <w:rFonts w:asciiTheme="majorHAnsi" w:hAnsiTheme="majorHAnsi"/>
          <w:sz w:val="28"/>
          <w:szCs w:val="28"/>
        </w:rPr>
      </w:pPr>
    </w:p>
    <w:p w14:paraId="2AD2253F" w14:textId="77777777" w:rsidR="00994F8F" w:rsidRPr="00625590" w:rsidRDefault="00994F8F" w:rsidP="00994F8F">
      <w:pPr>
        <w:rPr>
          <w:rFonts w:asciiTheme="majorHAnsi" w:hAnsiTheme="majorHAnsi"/>
          <w:sz w:val="28"/>
          <w:szCs w:val="28"/>
        </w:rPr>
      </w:pPr>
    </w:p>
    <w:p w14:paraId="1D184814" w14:textId="77777777" w:rsidR="00994F8F" w:rsidRPr="00625590" w:rsidRDefault="00994F8F" w:rsidP="00994F8F">
      <w:pPr>
        <w:rPr>
          <w:rFonts w:asciiTheme="majorHAnsi" w:hAnsiTheme="majorHAnsi"/>
          <w:sz w:val="28"/>
          <w:szCs w:val="28"/>
        </w:rPr>
      </w:pPr>
    </w:p>
    <w:p w14:paraId="41EEB7C8" w14:textId="77777777" w:rsidR="00994F8F" w:rsidRPr="00625590" w:rsidRDefault="00994F8F" w:rsidP="00994F8F">
      <w:pPr>
        <w:rPr>
          <w:rFonts w:asciiTheme="majorHAnsi" w:hAnsiTheme="majorHAnsi"/>
          <w:sz w:val="28"/>
          <w:szCs w:val="28"/>
        </w:rPr>
      </w:pPr>
    </w:p>
    <w:p w14:paraId="5ED8D904" w14:textId="53CC612C" w:rsidR="00994F8F" w:rsidRPr="00625590" w:rsidRDefault="00994F8F" w:rsidP="007914E2">
      <w:pPr>
        <w:tabs>
          <w:tab w:val="left" w:pos="3420"/>
        </w:tabs>
        <w:rPr>
          <w:rFonts w:asciiTheme="majorHAnsi" w:hAnsiTheme="majorHAnsi"/>
          <w:sz w:val="28"/>
          <w:szCs w:val="28"/>
        </w:rPr>
      </w:pPr>
    </w:p>
    <w:p w14:paraId="665EAD16" w14:textId="77777777" w:rsidR="00994F8F" w:rsidRPr="00625590" w:rsidRDefault="00994F8F" w:rsidP="00994F8F">
      <w:pPr>
        <w:rPr>
          <w:rFonts w:asciiTheme="majorHAnsi" w:hAnsiTheme="majorHAnsi"/>
          <w:sz w:val="28"/>
          <w:szCs w:val="28"/>
        </w:rPr>
      </w:pPr>
    </w:p>
    <w:p w14:paraId="33540C7A" w14:textId="77777777" w:rsidR="00994F8F" w:rsidRPr="00625590" w:rsidRDefault="00994F8F" w:rsidP="00994F8F">
      <w:pPr>
        <w:rPr>
          <w:rFonts w:asciiTheme="majorHAnsi" w:hAnsiTheme="majorHAnsi"/>
          <w:sz w:val="28"/>
          <w:szCs w:val="28"/>
        </w:rPr>
      </w:pPr>
    </w:p>
    <w:p w14:paraId="39C9DD6E" w14:textId="77777777" w:rsidR="00994F8F" w:rsidRPr="00625590" w:rsidRDefault="00994F8F" w:rsidP="00994F8F">
      <w:pPr>
        <w:rPr>
          <w:rFonts w:asciiTheme="majorHAnsi" w:hAnsiTheme="majorHAnsi"/>
          <w:sz w:val="28"/>
          <w:szCs w:val="28"/>
        </w:rPr>
      </w:pPr>
    </w:p>
    <w:p w14:paraId="5236AA3A" w14:textId="77777777" w:rsidR="00670A29" w:rsidRPr="00625590" w:rsidRDefault="00670A29" w:rsidP="00625590">
      <w:pPr>
        <w:tabs>
          <w:tab w:val="left" w:pos="2824"/>
        </w:tabs>
        <w:rPr>
          <w:rFonts w:asciiTheme="majorHAnsi" w:hAnsiTheme="majorHAnsi"/>
          <w:sz w:val="28"/>
          <w:szCs w:val="28"/>
        </w:rPr>
      </w:pPr>
    </w:p>
    <w:p w14:paraId="65D1F6F3" w14:textId="77777777" w:rsidR="00670A29" w:rsidRPr="00625590" w:rsidRDefault="00670A29" w:rsidP="00670A29">
      <w:pPr>
        <w:tabs>
          <w:tab w:val="left" w:pos="2824"/>
        </w:tabs>
        <w:rPr>
          <w:rFonts w:asciiTheme="majorHAnsi" w:hAnsiTheme="majorHAnsi"/>
          <w:sz w:val="28"/>
          <w:szCs w:val="28"/>
        </w:rPr>
      </w:pPr>
    </w:p>
    <w:p w14:paraId="4C199877" w14:textId="77777777" w:rsidR="00670A29" w:rsidRPr="00625590" w:rsidRDefault="00670A29" w:rsidP="00670A29">
      <w:pPr>
        <w:tabs>
          <w:tab w:val="left" w:pos="2824"/>
        </w:tabs>
        <w:rPr>
          <w:rFonts w:asciiTheme="majorHAnsi" w:hAnsiTheme="majorHAnsi"/>
          <w:sz w:val="28"/>
          <w:szCs w:val="28"/>
        </w:rPr>
      </w:pPr>
    </w:p>
    <w:p w14:paraId="11AFA9AF" w14:textId="77777777" w:rsidR="00670A29" w:rsidRPr="00625590" w:rsidRDefault="00670A29" w:rsidP="00670A29">
      <w:pPr>
        <w:tabs>
          <w:tab w:val="left" w:pos="2824"/>
        </w:tabs>
        <w:rPr>
          <w:rFonts w:asciiTheme="majorHAnsi" w:hAnsiTheme="majorHAnsi"/>
          <w:sz w:val="28"/>
          <w:szCs w:val="28"/>
        </w:rPr>
      </w:pPr>
    </w:p>
    <w:p w14:paraId="3940BDF8" w14:textId="77777777" w:rsidR="00646CFE" w:rsidRPr="00120AAB" w:rsidRDefault="00646CFE" w:rsidP="00646CFE">
      <w:pPr>
        <w:pStyle w:val="Footer"/>
        <w:jc w:val="center"/>
        <w:rPr>
          <w:rFonts w:asciiTheme="majorHAnsi" w:hAnsiTheme="majorHAnsi"/>
        </w:rPr>
      </w:pPr>
      <w:r w:rsidRPr="00120AAB">
        <w:rPr>
          <w:rFonts w:asciiTheme="majorHAnsi" w:hAnsiTheme="majorHAnsi"/>
          <w:noProof/>
        </w:rPr>
        <w:drawing>
          <wp:inline distT="0" distB="0" distL="0" distR="0" wp14:anchorId="55A74C97" wp14:editId="5BA1940F">
            <wp:extent cx="1752600" cy="1298448"/>
            <wp:effectExtent l="0" t="0" r="0" b="0"/>
            <wp:docPr id="1475788693" name="Picture 1475788693" descr="SNAICC Logo is Aboriginal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88693" name="Picture 1475788693" descr="SNAICC Logo is Aboriginal A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600" cy="1298448"/>
                    </a:xfrm>
                    <a:prstGeom prst="rect">
                      <a:avLst/>
                    </a:prstGeom>
                  </pic:spPr>
                </pic:pic>
              </a:graphicData>
            </a:graphic>
          </wp:inline>
        </w:drawing>
      </w:r>
    </w:p>
    <w:p w14:paraId="03C49D0D" w14:textId="77777777" w:rsidR="00646CFE" w:rsidRPr="00120AAB" w:rsidRDefault="00646CFE" w:rsidP="00646CFE">
      <w:pPr>
        <w:pStyle w:val="Footer"/>
        <w:jc w:val="center"/>
        <w:rPr>
          <w:rFonts w:asciiTheme="majorHAnsi" w:hAnsiTheme="majorHAnsi"/>
        </w:rPr>
      </w:pPr>
    </w:p>
    <w:p w14:paraId="28C9B9EA" w14:textId="77777777" w:rsidR="00646CFE" w:rsidRPr="00120AAB" w:rsidRDefault="4F85DF43" w:rsidP="00646CFE">
      <w:pPr>
        <w:pStyle w:val="Footer"/>
        <w:jc w:val="center"/>
        <w:rPr>
          <w:rFonts w:asciiTheme="majorHAnsi" w:hAnsiTheme="majorHAnsi"/>
        </w:rPr>
      </w:pPr>
      <w:r w:rsidRPr="00120AAB">
        <w:rPr>
          <w:rFonts w:asciiTheme="majorHAnsi" w:hAnsiTheme="majorHAnsi"/>
        </w:rPr>
        <w:t>© SNAICC – National Voice for our Children, 2023</w:t>
      </w:r>
    </w:p>
    <w:p w14:paraId="5DEE16B4" w14:textId="77777777" w:rsidR="00646CFE" w:rsidRPr="00120AAB" w:rsidRDefault="00646CFE" w:rsidP="00646CFE">
      <w:pPr>
        <w:pStyle w:val="Footer"/>
        <w:jc w:val="center"/>
        <w:rPr>
          <w:rFonts w:asciiTheme="majorHAnsi" w:hAnsiTheme="majorHAnsi"/>
          <w:sz w:val="22"/>
          <w:szCs w:val="22"/>
        </w:rPr>
      </w:pPr>
    </w:p>
    <w:p w14:paraId="598EF5E7" w14:textId="77777777" w:rsidR="00765219" w:rsidRDefault="00BA11D8" w:rsidP="4F85DF43">
      <w:pPr>
        <w:pStyle w:val="Footer"/>
        <w:jc w:val="center"/>
        <w:rPr>
          <w:rFonts w:asciiTheme="majorHAnsi" w:hAnsiTheme="majorHAnsi"/>
          <w:sz w:val="20"/>
          <w:szCs w:val="20"/>
        </w:rPr>
      </w:pPr>
      <w:r>
        <w:rPr>
          <w:rFonts w:asciiTheme="majorHAnsi" w:hAnsiTheme="majorHAnsi"/>
          <w:sz w:val="20"/>
          <w:szCs w:val="20"/>
        </w:rPr>
        <w:t>Level 8, 36 Wellington</w:t>
      </w:r>
      <w:r w:rsidR="4F85DF43" w:rsidRPr="00120AAB">
        <w:rPr>
          <w:rFonts w:asciiTheme="majorHAnsi" w:hAnsiTheme="majorHAnsi"/>
          <w:sz w:val="20"/>
          <w:szCs w:val="20"/>
        </w:rPr>
        <w:t xml:space="preserve"> St, Collingwood VIC 3066   |   ABN 42 513 562 148   |   T: (03) 9419 1921</w:t>
      </w:r>
    </w:p>
    <w:p w14:paraId="0B6B3502" w14:textId="7782EA10" w:rsidR="00775802" w:rsidRPr="00120AAB" w:rsidRDefault="00000000" w:rsidP="4F85DF43">
      <w:pPr>
        <w:pStyle w:val="Footer"/>
        <w:jc w:val="center"/>
        <w:rPr>
          <w:rFonts w:asciiTheme="majorHAnsi" w:hAnsiTheme="majorHAnsi"/>
          <w:sz w:val="20"/>
          <w:szCs w:val="20"/>
        </w:rPr>
      </w:pPr>
      <w:hyperlink r:id="rId24" w:history="1">
        <w:r w:rsidR="00765219" w:rsidRPr="00DE783B">
          <w:rPr>
            <w:rStyle w:val="Hyperlink"/>
            <w:rFonts w:asciiTheme="majorHAnsi" w:hAnsiTheme="majorHAnsi"/>
            <w:sz w:val="20"/>
            <w:szCs w:val="20"/>
          </w:rPr>
          <w:t>www.snaicc.org.au</w:t>
        </w:r>
      </w:hyperlink>
      <w:r w:rsidR="00765219">
        <w:rPr>
          <w:rFonts w:asciiTheme="majorHAnsi" w:hAnsiTheme="majorHAnsi"/>
          <w:sz w:val="20"/>
          <w:szCs w:val="20"/>
        </w:rPr>
        <w:t xml:space="preserve"> </w:t>
      </w:r>
    </w:p>
    <w:sectPr w:rsidR="00775802" w:rsidRPr="00120AAB" w:rsidSect="007C5E87">
      <w:headerReference w:type="even" r:id="rId25"/>
      <w:headerReference w:type="default" r:id="rId26"/>
      <w:footerReference w:type="default" r:id="rId27"/>
      <w:headerReference w:type="first" r:id="rId28"/>
      <w:pgSz w:w="11900" w:h="16840"/>
      <w:pgMar w:top="2268" w:right="1134" w:bottom="851" w:left="1134" w:header="0"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A1A15" w14:textId="77777777" w:rsidR="00EA34C5" w:rsidRDefault="00EA34C5" w:rsidP="008F1A81">
      <w:r>
        <w:separator/>
      </w:r>
    </w:p>
  </w:endnote>
  <w:endnote w:type="continuationSeparator" w:id="0">
    <w:p w14:paraId="0EE75494" w14:textId="77777777" w:rsidR="00EA34C5" w:rsidRDefault="00EA34C5" w:rsidP="008F1A81">
      <w:r>
        <w:continuationSeparator/>
      </w:r>
    </w:p>
  </w:endnote>
  <w:endnote w:type="continuationNotice" w:id="1">
    <w:p w14:paraId="4E4DFBDD" w14:textId="77777777" w:rsidR="00EA34C5" w:rsidRDefault="00EA34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Nova">
    <w:charset w:val="00"/>
    <w:family w:val="swiss"/>
    <w:pitch w:val="variable"/>
    <w:sig w:usb0="8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Adobe Clean DC">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841141"/>
      <w:docPartObj>
        <w:docPartGallery w:val="Page Numbers (Bottom of Page)"/>
        <w:docPartUnique/>
      </w:docPartObj>
    </w:sdtPr>
    <w:sdtEndPr>
      <w:rPr>
        <w:noProof/>
      </w:rPr>
    </w:sdtEndPr>
    <w:sdtContent>
      <w:p w14:paraId="662F5208" w14:textId="3B540CEC" w:rsidR="00BC0BD6" w:rsidRDefault="00BC0B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5513A6" w14:textId="06261093" w:rsidR="003860A3" w:rsidRDefault="003860A3" w:rsidP="00DE2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FC0EE" w14:textId="74F11387" w:rsidR="00B15348" w:rsidRPr="00D445F7" w:rsidRDefault="00B15348" w:rsidP="00D445F7">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25D28" w14:textId="54C2A949" w:rsidR="00F63338" w:rsidRDefault="00F63338">
    <w:pPr>
      <w:pStyle w:val="Footer"/>
      <w:jc w:val="right"/>
    </w:pPr>
  </w:p>
  <w:p w14:paraId="64ECB97F" w14:textId="77777777" w:rsidR="00F63338" w:rsidRPr="00D445F7" w:rsidRDefault="00F63338" w:rsidP="00D445F7">
    <w:pPr>
      <w:pStyle w:val="Footer"/>
      <w:jc w:val="cen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134DD" w14:textId="6412F8F3" w:rsidR="00512FA9" w:rsidRDefault="00512FA9" w:rsidP="00512FA9">
    <w:pPr>
      <w:pStyle w:val="Footer"/>
    </w:pPr>
  </w:p>
  <w:p w14:paraId="4F25D275" w14:textId="77777777" w:rsidR="00512FA9" w:rsidRDefault="00512FA9" w:rsidP="00670A2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7F8C1" w14:textId="77777777" w:rsidR="00EA34C5" w:rsidRDefault="00EA34C5" w:rsidP="008F1A81">
      <w:r>
        <w:separator/>
      </w:r>
    </w:p>
  </w:footnote>
  <w:footnote w:type="continuationSeparator" w:id="0">
    <w:p w14:paraId="51BFEB92" w14:textId="77777777" w:rsidR="00EA34C5" w:rsidRDefault="00EA34C5" w:rsidP="008F1A81">
      <w:r>
        <w:continuationSeparator/>
      </w:r>
    </w:p>
  </w:footnote>
  <w:footnote w:type="continuationNotice" w:id="1">
    <w:p w14:paraId="54C190F6" w14:textId="77777777" w:rsidR="00EA34C5" w:rsidRDefault="00EA34C5"/>
  </w:footnote>
  <w:footnote w:id="2">
    <w:p w14:paraId="01E0ABB4" w14:textId="3EEC5CA2" w:rsidR="008E751D" w:rsidRPr="00BE2E9E" w:rsidRDefault="008E751D" w:rsidP="4F85DF43">
      <w:pPr>
        <w:pStyle w:val="FootnoteText"/>
        <w:rPr>
          <w:rFonts w:asciiTheme="majorHAnsi" w:hAnsiTheme="majorHAnsi"/>
          <w:sz w:val="19"/>
          <w:szCs w:val="19"/>
          <w:lang w:val="en-US"/>
        </w:rPr>
      </w:pPr>
      <w:r w:rsidRPr="00BE2E9E">
        <w:rPr>
          <w:rStyle w:val="FootnoteReference"/>
          <w:rFonts w:asciiTheme="majorHAnsi" w:hAnsiTheme="majorHAnsi"/>
          <w:color w:val="auto"/>
          <w:sz w:val="19"/>
          <w:szCs w:val="19"/>
        </w:rPr>
        <w:footnoteRef/>
      </w:r>
      <w:r w:rsidRPr="00BE2E9E">
        <w:rPr>
          <w:rFonts w:asciiTheme="majorHAnsi" w:hAnsiTheme="majorHAnsi"/>
          <w:color w:val="auto"/>
          <w:sz w:val="19"/>
          <w:szCs w:val="19"/>
        </w:rPr>
        <w:t xml:space="preserve"> </w:t>
      </w:r>
      <w:r w:rsidRPr="00BE2E9E">
        <w:rPr>
          <w:rFonts w:asciiTheme="majorHAnsi" w:hAnsiTheme="majorHAnsi"/>
          <w:color w:val="auto"/>
          <w:sz w:val="19"/>
          <w:szCs w:val="19"/>
          <w:lang w:val="en-US"/>
        </w:rPr>
        <w:t>Australian Government (2022),</w:t>
      </w:r>
      <w:r w:rsidRPr="00BE2E9E">
        <w:rPr>
          <w:rFonts w:asciiTheme="majorHAnsi" w:hAnsiTheme="majorHAnsi"/>
          <w:color w:val="auto"/>
          <w:spacing w:val="-2"/>
          <w:kern w:val="19"/>
          <w:sz w:val="19"/>
          <w:szCs w:val="19"/>
          <w:lang w:val="en-US"/>
        </w:rPr>
        <w:t xml:space="preserve"> </w:t>
      </w:r>
      <w:r w:rsidR="00C947BE" w:rsidRPr="00BE2E9E">
        <w:rPr>
          <w:rFonts w:asciiTheme="majorHAnsi" w:hAnsiTheme="majorHAnsi"/>
          <w:i/>
          <w:iCs/>
          <w:color w:val="auto"/>
          <w:spacing w:val="-2"/>
          <w:kern w:val="19"/>
          <w:sz w:val="19"/>
          <w:szCs w:val="19"/>
          <w:lang w:val="en-US"/>
        </w:rPr>
        <w:t>Safe and Supported</w:t>
      </w:r>
      <w:r w:rsidRPr="00BE2E9E">
        <w:rPr>
          <w:rFonts w:asciiTheme="majorHAnsi" w:hAnsiTheme="majorHAnsi"/>
          <w:color w:val="auto"/>
          <w:sz w:val="19"/>
          <w:szCs w:val="19"/>
          <w:lang w:val="en-US"/>
        </w:rPr>
        <w:t xml:space="preserve"> Aboriginal and Torres Strait Islander First Action Plan 2023-2026, 30, </w:t>
      </w:r>
      <w:hyperlink r:id="rId1" w:history="1">
        <w:r w:rsidRPr="00BE2E9E">
          <w:rPr>
            <w:rStyle w:val="Hyperlink"/>
            <w:rFonts w:asciiTheme="majorHAnsi" w:hAnsiTheme="majorHAnsi"/>
            <w:sz w:val="19"/>
            <w:szCs w:val="19"/>
            <w:lang w:val="en-US"/>
          </w:rPr>
          <w:t>https://www.dss.gov.au/families-and-children-programs-services-children-protecting-australias-children-safe-and-supported-the-national-framework-for-protecting-australias-children-2021-2031/safe-and-supported-aboriginal-and-torres-strait-islander-first-action-plan-2023-2026</w:t>
        </w:r>
      </w:hyperlink>
    </w:p>
  </w:footnote>
  <w:footnote w:id="3">
    <w:p w14:paraId="2CD304DF" w14:textId="5F25A796" w:rsidR="000802B6" w:rsidRPr="00BE2E9E" w:rsidRDefault="000802B6" w:rsidP="4F85DF43">
      <w:pPr>
        <w:pStyle w:val="FootnoteText"/>
        <w:rPr>
          <w:rFonts w:asciiTheme="majorHAnsi" w:hAnsiTheme="majorHAnsi"/>
          <w:color w:val="auto"/>
          <w:sz w:val="19"/>
          <w:szCs w:val="19"/>
          <w:lang w:val="en-US"/>
        </w:rPr>
      </w:pPr>
      <w:r w:rsidRPr="00BE2E9E">
        <w:rPr>
          <w:rStyle w:val="FootnoteReference"/>
          <w:rFonts w:asciiTheme="majorHAnsi" w:hAnsiTheme="majorHAnsi"/>
          <w:color w:val="auto"/>
          <w:sz w:val="19"/>
          <w:szCs w:val="19"/>
        </w:rPr>
        <w:footnoteRef/>
      </w:r>
      <w:r w:rsidRPr="00BE2E9E">
        <w:rPr>
          <w:rFonts w:asciiTheme="majorHAnsi" w:hAnsiTheme="majorHAnsi"/>
          <w:color w:val="auto"/>
          <w:sz w:val="19"/>
          <w:szCs w:val="19"/>
        </w:rPr>
        <w:t xml:space="preserve"> </w:t>
      </w:r>
      <w:r w:rsidRPr="00BE2E9E">
        <w:rPr>
          <w:rFonts w:asciiTheme="majorHAnsi" w:hAnsiTheme="majorHAnsi"/>
          <w:color w:val="auto"/>
          <w:sz w:val="19"/>
          <w:szCs w:val="19"/>
          <w:lang w:val="en-US"/>
        </w:rPr>
        <w:t>Ibid</w:t>
      </w:r>
      <w:r w:rsidR="002B14E8" w:rsidRPr="00BE2E9E">
        <w:rPr>
          <w:rFonts w:asciiTheme="majorHAnsi" w:hAnsiTheme="majorHAnsi"/>
          <w:color w:val="auto"/>
          <w:sz w:val="19"/>
          <w:szCs w:val="19"/>
          <w:lang w:val="en-US"/>
        </w:rPr>
        <w:t xml:space="preserve">, </w:t>
      </w:r>
      <w:r w:rsidR="002B14E8" w:rsidRPr="00BE2E9E">
        <w:rPr>
          <w:rFonts w:asciiTheme="majorHAnsi" w:hAnsiTheme="majorHAnsi"/>
          <w:color w:val="auto"/>
          <w:spacing w:val="-2"/>
          <w:kern w:val="19"/>
          <w:sz w:val="19"/>
          <w:szCs w:val="19"/>
          <w:lang w:val="en-US"/>
        </w:rPr>
        <w:t>3</w:t>
      </w:r>
      <w:r w:rsidR="00C523FE" w:rsidRPr="00BE2E9E">
        <w:rPr>
          <w:rFonts w:asciiTheme="majorHAnsi" w:hAnsiTheme="majorHAnsi"/>
          <w:color w:val="auto"/>
          <w:spacing w:val="-2"/>
          <w:kern w:val="19"/>
          <w:sz w:val="19"/>
          <w:szCs w:val="19"/>
          <w:lang w:val="en-US"/>
        </w:rPr>
        <w:t>1</w:t>
      </w:r>
      <w:r w:rsidR="002B14E8" w:rsidRPr="00BE2E9E">
        <w:rPr>
          <w:rFonts w:asciiTheme="majorHAnsi" w:hAnsiTheme="majorHAnsi"/>
          <w:color w:val="auto"/>
          <w:sz w:val="19"/>
          <w:szCs w:val="19"/>
          <w:lang w:val="en-US"/>
        </w:rPr>
        <w:t>.</w:t>
      </w:r>
    </w:p>
  </w:footnote>
  <w:footnote w:id="4">
    <w:p w14:paraId="66BEC03D" w14:textId="3C2A63C4" w:rsidR="00D0678B" w:rsidRPr="00BE2E9E" w:rsidRDefault="00D0678B">
      <w:pPr>
        <w:pStyle w:val="FootnoteText"/>
        <w:rPr>
          <w:rFonts w:asciiTheme="majorHAnsi" w:hAnsiTheme="majorHAnsi"/>
          <w:sz w:val="19"/>
          <w:szCs w:val="19"/>
        </w:rPr>
      </w:pPr>
      <w:r w:rsidRPr="00BE2E9E">
        <w:rPr>
          <w:rStyle w:val="FootnoteReference"/>
          <w:rFonts w:asciiTheme="majorHAnsi" w:hAnsiTheme="majorHAnsi"/>
          <w:color w:val="auto"/>
          <w:sz w:val="19"/>
          <w:szCs w:val="19"/>
        </w:rPr>
        <w:footnoteRef/>
      </w:r>
      <w:r w:rsidRPr="00BE2E9E">
        <w:rPr>
          <w:rFonts w:asciiTheme="majorHAnsi" w:hAnsiTheme="majorHAnsi"/>
          <w:color w:val="auto"/>
          <w:spacing w:val="-2"/>
          <w:kern w:val="19"/>
          <w:sz w:val="19"/>
          <w:szCs w:val="19"/>
        </w:rPr>
        <w:t xml:space="preserve"> </w:t>
      </w:r>
      <w:r w:rsidR="00C947BE" w:rsidRPr="00BE2E9E">
        <w:rPr>
          <w:rFonts w:asciiTheme="majorHAnsi" w:hAnsiTheme="majorHAnsi"/>
          <w:color w:val="auto"/>
          <w:spacing w:val="-2"/>
          <w:kern w:val="19"/>
          <w:sz w:val="19"/>
          <w:szCs w:val="19"/>
        </w:rPr>
        <w:t>Joint Council</w:t>
      </w:r>
      <w:r w:rsidRPr="00BE2E9E">
        <w:rPr>
          <w:rFonts w:asciiTheme="majorHAnsi" w:hAnsiTheme="majorHAnsi"/>
          <w:color w:val="auto"/>
          <w:spacing w:val="-2"/>
          <w:kern w:val="19"/>
          <w:sz w:val="19"/>
          <w:szCs w:val="19"/>
        </w:rPr>
        <w:t xml:space="preserve"> on Closing the Gap </w:t>
      </w:r>
      <w:r w:rsidR="00C947BE" w:rsidRPr="00BE2E9E">
        <w:rPr>
          <w:rFonts w:asciiTheme="majorHAnsi" w:hAnsiTheme="majorHAnsi"/>
          <w:color w:val="auto"/>
          <w:spacing w:val="-2"/>
          <w:kern w:val="19"/>
          <w:sz w:val="19"/>
          <w:szCs w:val="19"/>
        </w:rPr>
        <w:t>(</w:t>
      </w:r>
      <w:r w:rsidRPr="00BE2E9E">
        <w:rPr>
          <w:rFonts w:asciiTheme="majorHAnsi" w:hAnsiTheme="majorHAnsi"/>
          <w:color w:val="auto"/>
          <w:spacing w:val="-2"/>
          <w:kern w:val="19"/>
          <w:sz w:val="19"/>
          <w:szCs w:val="19"/>
        </w:rPr>
        <w:t>2020</w:t>
      </w:r>
      <w:r w:rsidR="00C947BE" w:rsidRPr="00BE2E9E">
        <w:rPr>
          <w:rFonts w:asciiTheme="majorHAnsi" w:hAnsiTheme="majorHAnsi"/>
          <w:color w:val="auto"/>
          <w:spacing w:val="-2"/>
          <w:kern w:val="19"/>
          <w:sz w:val="19"/>
          <w:szCs w:val="19"/>
        </w:rPr>
        <w:t>)</w:t>
      </w:r>
      <w:r w:rsidR="00DF2F7C" w:rsidRPr="00BE2E9E">
        <w:rPr>
          <w:rFonts w:asciiTheme="majorHAnsi" w:hAnsiTheme="majorHAnsi"/>
          <w:color w:val="auto"/>
          <w:spacing w:val="-2"/>
          <w:kern w:val="19"/>
          <w:sz w:val="19"/>
          <w:szCs w:val="19"/>
        </w:rPr>
        <w:t>,</w:t>
      </w:r>
      <w:r w:rsidRPr="00BE2E9E">
        <w:rPr>
          <w:rFonts w:asciiTheme="majorHAnsi" w:hAnsiTheme="majorHAnsi"/>
          <w:color w:val="auto"/>
          <w:sz w:val="19"/>
          <w:szCs w:val="19"/>
        </w:rPr>
        <w:t xml:space="preserve"> </w:t>
      </w:r>
      <w:r w:rsidRPr="00BE2E9E">
        <w:rPr>
          <w:rFonts w:asciiTheme="majorHAnsi" w:hAnsiTheme="majorHAnsi"/>
          <w:i/>
          <w:iCs/>
          <w:color w:val="auto"/>
          <w:sz w:val="19"/>
          <w:szCs w:val="19"/>
        </w:rPr>
        <w:t>National Agreement on Closing the Gap</w:t>
      </w:r>
      <w:r w:rsidRPr="00BE2E9E">
        <w:rPr>
          <w:rFonts w:asciiTheme="majorHAnsi" w:hAnsiTheme="majorHAnsi"/>
          <w:color w:val="auto"/>
          <w:sz w:val="19"/>
          <w:szCs w:val="19"/>
        </w:rPr>
        <w:t xml:space="preserve">, </w:t>
      </w:r>
      <w:r w:rsidR="00DF2F7C" w:rsidRPr="00BE2E9E">
        <w:rPr>
          <w:rFonts w:asciiTheme="majorHAnsi" w:hAnsiTheme="majorHAnsi"/>
          <w:color w:val="auto"/>
          <w:sz w:val="19"/>
          <w:szCs w:val="19"/>
        </w:rPr>
        <w:t xml:space="preserve">Clause 28-41. </w:t>
      </w:r>
      <w:hyperlink r:id="rId2" w:history="1">
        <w:r w:rsidR="00260D1F" w:rsidRPr="00BE2E9E">
          <w:rPr>
            <w:rStyle w:val="Hyperlink"/>
            <w:rFonts w:asciiTheme="majorHAnsi" w:hAnsiTheme="majorHAnsi"/>
            <w:spacing w:val="-2"/>
            <w:kern w:val="19"/>
            <w:sz w:val="19"/>
            <w:szCs w:val="19"/>
          </w:rPr>
          <w:t>https://www.closingthegap.gov.au/sites/default/files/files/national-agreement-ctg.pdf</w:t>
        </w:r>
      </w:hyperlink>
      <w:r w:rsidR="00260D1F" w:rsidRPr="00BE2E9E">
        <w:rPr>
          <w:rFonts w:asciiTheme="majorHAnsi" w:hAnsiTheme="majorHAnsi"/>
          <w:color w:val="auto"/>
          <w:spacing w:val="-2"/>
          <w:kern w:val="19"/>
          <w:sz w:val="19"/>
          <w:szCs w:val="19"/>
        </w:rPr>
        <w:t xml:space="preserve"> </w:t>
      </w:r>
    </w:p>
  </w:footnote>
  <w:footnote w:id="5">
    <w:p w14:paraId="3ADAADC5" w14:textId="4142257A" w:rsidR="00935C9C" w:rsidRPr="00BE2E9E" w:rsidRDefault="00935C9C" w:rsidP="4F85DF43">
      <w:pPr>
        <w:pStyle w:val="FootnoteText"/>
        <w:rPr>
          <w:rFonts w:asciiTheme="majorHAnsi" w:hAnsiTheme="majorHAnsi" w:cstheme="minorBidi"/>
          <w:color w:val="auto"/>
          <w:sz w:val="19"/>
          <w:szCs w:val="19"/>
        </w:rPr>
      </w:pPr>
      <w:r w:rsidRPr="00BE2E9E">
        <w:rPr>
          <w:rStyle w:val="FootnoteReference"/>
          <w:rFonts w:asciiTheme="majorHAnsi" w:hAnsiTheme="majorHAnsi"/>
          <w:color w:val="auto"/>
          <w:sz w:val="19"/>
          <w:szCs w:val="19"/>
        </w:rPr>
        <w:footnoteRef/>
      </w:r>
      <w:r w:rsidRPr="00BE2E9E">
        <w:rPr>
          <w:rFonts w:asciiTheme="majorHAnsi" w:hAnsiTheme="majorHAnsi" w:cstheme="minorBidi"/>
          <w:color w:val="auto"/>
          <w:sz w:val="19"/>
          <w:szCs w:val="19"/>
        </w:rPr>
        <w:t xml:space="preserve"> Taking control of our data guide</w:t>
      </w:r>
      <w:r w:rsidR="00983D10" w:rsidRPr="00BE2E9E">
        <w:rPr>
          <w:rFonts w:asciiTheme="majorHAnsi" w:hAnsiTheme="majorHAnsi" w:cstheme="minorBidi"/>
          <w:color w:val="auto"/>
          <w:spacing w:val="-2"/>
          <w:kern w:val="19"/>
          <w:sz w:val="19"/>
          <w:szCs w:val="19"/>
        </w:rPr>
        <w:t xml:space="preserve"> – Maiam nayri Wingara </w:t>
      </w:r>
      <w:r w:rsidR="004C2F5D" w:rsidRPr="00BE2E9E">
        <w:rPr>
          <w:rFonts w:asciiTheme="majorHAnsi" w:hAnsiTheme="majorHAnsi"/>
          <w:color w:val="auto"/>
          <w:spacing w:val="-2"/>
          <w:kern w:val="19"/>
          <w:sz w:val="19"/>
          <w:szCs w:val="19"/>
        </w:rPr>
        <w:t xml:space="preserve">Indigenous Data Sovereignty Collective </w:t>
      </w:r>
      <w:r w:rsidR="00983D10" w:rsidRPr="00BE2E9E">
        <w:rPr>
          <w:rFonts w:asciiTheme="majorHAnsi" w:hAnsiTheme="majorHAnsi" w:cstheme="minorBidi"/>
          <w:color w:val="auto"/>
          <w:spacing w:val="-2"/>
          <w:kern w:val="19"/>
          <w:sz w:val="19"/>
          <w:szCs w:val="19"/>
        </w:rPr>
        <w:t>(2024)</w:t>
      </w:r>
      <w:r w:rsidR="00C947BE" w:rsidRPr="00BE2E9E">
        <w:rPr>
          <w:rFonts w:asciiTheme="majorHAnsi" w:hAnsiTheme="majorHAnsi" w:cstheme="minorBidi"/>
          <w:color w:val="auto"/>
          <w:spacing w:val="-2"/>
          <w:kern w:val="19"/>
          <w:sz w:val="19"/>
          <w:szCs w:val="19"/>
        </w:rPr>
        <w:t>,</w:t>
      </w:r>
      <w:r w:rsidRPr="00BE2E9E">
        <w:rPr>
          <w:rFonts w:asciiTheme="majorHAnsi" w:hAnsiTheme="majorHAnsi" w:cstheme="minorBidi"/>
          <w:color w:val="auto"/>
          <w:sz w:val="19"/>
          <w:szCs w:val="19"/>
        </w:rPr>
        <w:t xml:space="preserve"> </w:t>
      </w:r>
      <w:r w:rsidRPr="00BE2E9E">
        <w:rPr>
          <w:rFonts w:asciiTheme="majorHAnsi" w:hAnsiTheme="majorHAnsi" w:cstheme="minorBidi"/>
          <w:i/>
          <w:iCs/>
          <w:color w:val="auto"/>
          <w:sz w:val="19"/>
          <w:szCs w:val="19"/>
        </w:rPr>
        <w:t>Taking Control of Our Data: A Discussion Paper on Indigenous Data Governance for Aboriginal and Torres Strait Islander People and Communities</w:t>
      </w:r>
      <w:r w:rsidRPr="00BE2E9E">
        <w:rPr>
          <w:rFonts w:asciiTheme="majorHAnsi" w:hAnsiTheme="majorHAnsi" w:cstheme="minorBidi"/>
          <w:color w:val="auto"/>
          <w:sz w:val="19"/>
          <w:szCs w:val="19"/>
        </w:rPr>
        <w:t xml:space="preserve">, Discussion Paper, Lowitja Institute, Melbourne. </w:t>
      </w:r>
      <w:hyperlink r:id="rId3" w:history="1">
        <w:r w:rsidR="0048670E" w:rsidRPr="00BE2E9E">
          <w:rPr>
            <w:rStyle w:val="Hyperlink"/>
            <w:rFonts w:asciiTheme="majorHAnsi" w:hAnsiTheme="majorHAnsi"/>
            <w:spacing w:val="-2"/>
            <w:kern w:val="19"/>
            <w:sz w:val="19"/>
            <w:szCs w:val="19"/>
          </w:rPr>
          <w:t>https://www.lowitja.org.au/news/taking-control-of-our-data-a-discussion-paper-on-indigenous-data-governance-for-aboriginal-and-torres-strait-islander-people-and-communities/</w:t>
        </w:r>
      </w:hyperlink>
    </w:p>
  </w:footnote>
  <w:footnote w:id="6">
    <w:p w14:paraId="126A84FE" w14:textId="20CE5931" w:rsidR="00B9051F" w:rsidRPr="00BE2E9E" w:rsidRDefault="00B9051F" w:rsidP="4F85DF43">
      <w:pPr>
        <w:pStyle w:val="FootnoteText"/>
        <w:rPr>
          <w:rFonts w:asciiTheme="majorHAnsi" w:hAnsiTheme="majorHAnsi"/>
          <w:sz w:val="19"/>
          <w:szCs w:val="19"/>
          <w:lang w:val="en-US"/>
        </w:rPr>
      </w:pPr>
      <w:r w:rsidRPr="00BE2E9E">
        <w:rPr>
          <w:rStyle w:val="FootnoteReference"/>
          <w:rFonts w:asciiTheme="majorHAnsi" w:hAnsiTheme="majorHAnsi"/>
          <w:sz w:val="19"/>
          <w:szCs w:val="19"/>
        </w:rPr>
        <w:footnoteRef/>
      </w:r>
      <w:r w:rsidRPr="00BE2E9E">
        <w:rPr>
          <w:rFonts w:asciiTheme="majorHAnsi" w:hAnsiTheme="majorHAnsi"/>
          <w:sz w:val="19"/>
          <w:szCs w:val="19"/>
        </w:rPr>
        <w:t xml:space="preserve"> </w:t>
      </w:r>
      <w:r w:rsidR="00EB0C9A" w:rsidRPr="00BE2E9E">
        <w:rPr>
          <w:rFonts w:asciiTheme="majorHAnsi" w:hAnsiTheme="majorHAnsi" w:cstheme="minorBidi"/>
          <w:color w:val="auto"/>
          <w:sz w:val="19"/>
          <w:szCs w:val="19"/>
        </w:rPr>
        <w:t>Ibid</w:t>
      </w:r>
      <w:r w:rsidR="00D757DC" w:rsidRPr="00BE2E9E">
        <w:rPr>
          <w:rFonts w:asciiTheme="majorHAnsi" w:hAnsiTheme="majorHAnsi" w:cstheme="minorBidi"/>
          <w:color w:val="auto"/>
          <w:sz w:val="19"/>
          <w:szCs w:val="19"/>
        </w:rPr>
        <w:t>.</w:t>
      </w:r>
    </w:p>
  </w:footnote>
  <w:footnote w:id="7">
    <w:p w14:paraId="1EF7E4D8" w14:textId="640E1D23" w:rsidR="00EB0C9A" w:rsidRPr="00BE2E9E" w:rsidRDefault="00EB0C9A" w:rsidP="4F85DF43">
      <w:pPr>
        <w:pStyle w:val="FootnoteText"/>
        <w:rPr>
          <w:rFonts w:asciiTheme="majorHAnsi" w:hAnsiTheme="majorHAnsi"/>
          <w:sz w:val="19"/>
          <w:szCs w:val="19"/>
          <w:lang w:val="en-US"/>
        </w:rPr>
      </w:pPr>
      <w:r w:rsidRPr="00BE2E9E">
        <w:rPr>
          <w:rStyle w:val="FootnoteReference"/>
          <w:rFonts w:asciiTheme="majorHAnsi" w:hAnsiTheme="majorHAnsi"/>
          <w:sz w:val="19"/>
          <w:szCs w:val="19"/>
        </w:rPr>
        <w:footnoteRef/>
      </w:r>
      <w:r w:rsidRPr="00BE2E9E">
        <w:rPr>
          <w:rFonts w:asciiTheme="majorHAnsi" w:hAnsiTheme="majorHAnsi"/>
          <w:sz w:val="19"/>
          <w:szCs w:val="19"/>
        </w:rPr>
        <w:t xml:space="preserve"> </w:t>
      </w:r>
      <w:r w:rsidRPr="00BE2E9E">
        <w:rPr>
          <w:rFonts w:asciiTheme="majorHAnsi" w:hAnsiTheme="majorHAnsi" w:cstheme="minorBidi"/>
          <w:color w:val="auto"/>
          <w:sz w:val="19"/>
          <w:szCs w:val="19"/>
        </w:rPr>
        <w:t>Ibid</w:t>
      </w:r>
      <w:r w:rsidR="00D757DC" w:rsidRPr="00BE2E9E">
        <w:rPr>
          <w:rFonts w:asciiTheme="majorHAnsi" w:hAnsiTheme="majorHAnsi" w:cstheme="minorBidi"/>
          <w:color w:val="auto"/>
          <w:sz w:val="19"/>
          <w:szCs w:val="19"/>
        </w:rPr>
        <w:t>.</w:t>
      </w:r>
    </w:p>
  </w:footnote>
  <w:footnote w:id="8">
    <w:p w14:paraId="2CA4571A" w14:textId="12122519" w:rsidR="00E436A3" w:rsidRPr="00BE2E9E" w:rsidRDefault="00E436A3" w:rsidP="4F85DF43">
      <w:pPr>
        <w:pStyle w:val="FootnoteText"/>
        <w:rPr>
          <w:rFonts w:asciiTheme="majorHAnsi" w:hAnsiTheme="majorHAnsi"/>
          <w:color w:val="auto"/>
          <w:sz w:val="19"/>
          <w:szCs w:val="19"/>
        </w:rPr>
      </w:pPr>
      <w:r w:rsidRPr="00BE2E9E">
        <w:rPr>
          <w:rStyle w:val="FootnoteReference"/>
          <w:rFonts w:asciiTheme="majorHAnsi" w:hAnsiTheme="majorHAnsi"/>
          <w:color w:val="auto"/>
          <w:sz w:val="19"/>
          <w:szCs w:val="19"/>
        </w:rPr>
        <w:footnoteRef/>
      </w:r>
      <w:r w:rsidRPr="00BE2E9E">
        <w:rPr>
          <w:rFonts w:asciiTheme="majorHAnsi" w:hAnsiTheme="majorHAnsi" w:cstheme="minorBidi"/>
          <w:color w:val="auto"/>
          <w:spacing w:val="-2"/>
          <w:kern w:val="19"/>
          <w:sz w:val="19"/>
          <w:szCs w:val="19"/>
        </w:rPr>
        <w:t xml:space="preserve"> </w:t>
      </w:r>
      <w:r w:rsidRPr="00BE2E9E">
        <w:rPr>
          <w:rFonts w:asciiTheme="majorHAnsi" w:hAnsiTheme="majorHAnsi" w:cstheme="minorBidi"/>
          <w:color w:val="auto"/>
          <w:spacing w:val="-2"/>
          <w:kern w:val="19"/>
          <w:sz w:val="19"/>
          <w:szCs w:val="19"/>
          <w:lang w:val="en-US"/>
        </w:rPr>
        <w:t>Maiam nayri Wingara Indigenous Data Sovereignty Collective</w:t>
      </w:r>
      <w:r w:rsidR="00C947BE" w:rsidRPr="00BE2E9E">
        <w:rPr>
          <w:rFonts w:asciiTheme="majorHAnsi" w:hAnsiTheme="majorHAnsi" w:cstheme="minorBidi"/>
          <w:color w:val="auto"/>
          <w:spacing w:val="-2"/>
          <w:kern w:val="19"/>
          <w:sz w:val="19"/>
          <w:szCs w:val="19"/>
          <w:lang w:val="en-US"/>
        </w:rPr>
        <w:t xml:space="preserve"> (</w:t>
      </w:r>
      <w:r w:rsidRPr="00BE2E9E">
        <w:rPr>
          <w:rFonts w:asciiTheme="majorHAnsi" w:hAnsiTheme="majorHAnsi" w:cstheme="minorBidi"/>
          <w:color w:val="auto"/>
          <w:spacing w:val="-2"/>
          <w:kern w:val="19"/>
          <w:sz w:val="19"/>
          <w:szCs w:val="19"/>
          <w:lang w:val="en-US"/>
        </w:rPr>
        <w:t>2018</w:t>
      </w:r>
      <w:r w:rsidR="00C947BE" w:rsidRPr="00BE2E9E">
        <w:rPr>
          <w:rFonts w:asciiTheme="majorHAnsi" w:hAnsiTheme="majorHAnsi" w:cstheme="minorBidi"/>
          <w:color w:val="auto"/>
          <w:spacing w:val="-2"/>
          <w:kern w:val="19"/>
          <w:sz w:val="19"/>
          <w:szCs w:val="19"/>
          <w:lang w:val="en-US"/>
        </w:rPr>
        <w:t>),</w:t>
      </w:r>
      <w:r w:rsidRPr="00BE2E9E">
        <w:rPr>
          <w:rFonts w:asciiTheme="majorHAnsi" w:hAnsiTheme="majorHAnsi" w:cstheme="minorBidi"/>
          <w:color w:val="auto"/>
          <w:spacing w:val="-2"/>
          <w:kern w:val="19"/>
          <w:sz w:val="19"/>
          <w:szCs w:val="19"/>
          <w:lang w:val="en-US"/>
        </w:rPr>
        <w:t xml:space="preserve"> </w:t>
      </w:r>
      <w:r w:rsidRPr="00BE2E9E">
        <w:rPr>
          <w:rFonts w:asciiTheme="majorHAnsi" w:hAnsiTheme="majorHAnsi" w:cstheme="minorBidi"/>
          <w:i/>
          <w:iCs/>
          <w:color w:val="auto"/>
          <w:spacing w:val="-2"/>
          <w:kern w:val="19"/>
          <w:sz w:val="19"/>
          <w:szCs w:val="19"/>
          <w:lang w:val="en-US"/>
        </w:rPr>
        <w:t>Indigenous Data Sovereignty Communique</w:t>
      </w:r>
      <w:r w:rsidRPr="00BE2E9E">
        <w:rPr>
          <w:rFonts w:asciiTheme="majorHAnsi" w:hAnsiTheme="majorHAnsi" w:cstheme="minorBidi"/>
          <w:color w:val="auto"/>
          <w:spacing w:val="-2"/>
          <w:kern w:val="19"/>
          <w:sz w:val="19"/>
          <w:szCs w:val="19"/>
          <w:lang w:val="en-US"/>
        </w:rPr>
        <w:t xml:space="preserve">, </w:t>
      </w:r>
      <w:hyperlink r:id="rId4" w:history="1">
        <w:r w:rsidR="003409EE" w:rsidRPr="00BE2E9E">
          <w:rPr>
            <w:rStyle w:val="Hyperlink"/>
            <w:rFonts w:asciiTheme="majorHAnsi" w:hAnsiTheme="majorHAnsi" w:cstheme="minorBidi"/>
            <w:spacing w:val="-2"/>
            <w:kern w:val="19"/>
            <w:sz w:val="19"/>
            <w:szCs w:val="19"/>
            <w:lang w:val="en-US"/>
          </w:rPr>
          <w:t>https://www.maiamnayriwingara.org/s/Communique-Indigenous-Data-Sovereignty-Summit-x5rk.pdf</w:t>
        </w:r>
      </w:hyperlink>
      <w:r w:rsidR="003409EE" w:rsidRPr="00BE2E9E">
        <w:rPr>
          <w:rFonts w:asciiTheme="majorHAnsi" w:hAnsiTheme="majorHAnsi" w:cstheme="minorBidi"/>
          <w:color w:val="auto"/>
          <w:spacing w:val="-2"/>
          <w:kern w:val="19"/>
          <w:sz w:val="19"/>
          <w:szCs w:val="19"/>
          <w:lang w:val="en-US"/>
        </w:rPr>
        <w:t xml:space="preserve"> </w:t>
      </w:r>
    </w:p>
  </w:footnote>
  <w:footnote w:id="9">
    <w:p w14:paraId="653BE0B5" w14:textId="3017FF61" w:rsidR="00857CE9" w:rsidRPr="00BE2E9E" w:rsidRDefault="00857CE9" w:rsidP="00857CE9">
      <w:pPr>
        <w:pStyle w:val="FootnoteText"/>
        <w:rPr>
          <w:rFonts w:asciiTheme="majorHAnsi" w:hAnsiTheme="majorHAnsi"/>
          <w:sz w:val="19"/>
          <w:szCs w:val="19"/>
        </w:rPr>
      </w:pPr>
      <w:r w:rsidRPr="00BE2E9E">
        <w:rPr>
          <w:rStyle w:val="FootnoteReference"/>
          <w:rFonts w:asciiTheme="majorHAnsi" w:hAnsiTheme="majorHAnsi"/>
          <w:color w:val="auto"/>
          <w:sz w:val="19"/>
          <w:szCs w:val="19"/>
        </w:rPr>
        <w:footnoteRef/>
      </w:r>
      <w:r w:rsidRPr="00BE2E9E">
        <w:rPr>
          <w:rFonts w:asciiTheme="majorHAnsi" w:hAnsiTheme="majorHAnsi"/>
          <w:color w:val="auto"/>
          <w:sz w:val="19"/>
          <w:szCs w:val="19"/>
        </w:rPr>
        <w:t xml:space="preserve"> Australian Institute of Aboriginal and Torres Strait Islander Studies (AIATSIS</w:t>
      </w:r>
      <w:r w:rsidRPr="00BE2E9E">
        <w:rPr>
          <w:rFonts w:asciiTheme="majorHAnsi" w:hAnsiTheme="majorHAnsi"/>
          <w:color w:val="auto"/>
          <w:spacing w:val="-2"/>
          <w:kern w:val="19"/>
          <w:sz w:val="19"/>
          <w:szCs w:val="19"/>
        </w:rPr>
        <w:t>)</w:t>
      </w:r>
      <w:r w:rsidR="00C947BE" w:rsidRPr="00BE2E9E">
        <w:rPr>
          <w:rFonts w:asciiTheme="majorHAnsi" w:hAnsiTheme="majorHAnsi"/>
          <w:color w:val="auto"/>
          <w:spacing w:val="-2"/>
          <w:kern w:val="19"/>
          <w:sz w:val="19"/>
          <w:szCs w:val="19"/>
        </w:rPr>
        <w:t xml:space="preserve"> (</w:t>
      </w:r>
      <w:r w:rsidRPr="00BE2E9E">
        <w:rPr>
          <w:rFonts w:asciiTheme="majorHAnsi" w:hAnsiTheme="majorHAnsi"/>
          <w:color w:val="auto"/>
          <w:sz w:val="19"/>
          <w:szCs w:val="19"/>
        </w:rPr>
        <w:t>2020</w:t>
      </w:r>
      <w:r w:rsidR="00C947BE" w:rsidRPr="00BE2E9E">
        <w:rPr>
          <w:rFonts w:asciiTheme="majorHAnsi" w:hAnsiTheme="majorHAnsi"/>
          <w:color w:val="auto"/>
          <w:spacing w:val="-2"/>
          <w:kern w:val="19"/>
          <w:sz w:val="19"/>
          <w:szCs w:val="19"/>
        </w:rPr>
        <w:t>),</w:t>
      </w:r>
      <w:r w:rsidRPr="00BE2E9E">
        <w:rPr>
          <w:rFonts w:asciiTheme="majorHAnsi" w:hAnsiTheme="majorHAnsi"/>
          <w:color w:val="auto"/>
          <w:sz w:val="19"/>
          <w:szCs w:val="19"/>
        </w:rPr>
        <w:t xml:space="preserve"> </w:t>
      </w:r>
      <w:r w:rsidRPr="00BE2E9E">
        <w:rPr>
          <w:rFonts w:asciiTheme="majorHAnsi" w:hAnsiTheme="majorHAnsi"/>
          <w:i/>
          <w:iCs/>
          <w:color w:val="auto"/>
          <w:sz w:val="19"/>
          <w:szCs w:val="19"/>
        </w:rPr>
        <w:t xml:space="preserve">A Guide to </w:t>
      </w:r>
      <w:r w:rsidR="00C947BE" w:rsidRPr="00BE2E9E">
        <w:rPr>
          <w:rFonts w:asciiTheme="majorHAnsi" w:hAnsiTheme="majorHAnsi"/>
          <w:i/>
          <w:iCs/>
          <w:color w:val="auto"/>
          <w:spacing w:val="-2"/>
          <w:kern w:val="19"/>
          <w:sz w:val="19"/>
          <w:szCs w:val="19"/>
        </w:rPr>
        <w:t>A</w:t>
      </w:r>
      <w:r w:rsidRPr="00BE2E9E">
        <w:rPr>
          <w:rFonts w:asciiTheme="majorHAnsi" w:hAnsiTheme="majorHAnsi"/>
          <w:i/>
          <w:iCs/>
          <w:color w:val="auto"/>
          <w:spacing w:val="-2"/>
          <w:kern w:val="19"/>
          <w:sz w:val="19"/>
          <w:szCs w:val="19"/>
        </w:rPr>
        <w:t>pplying</w:t>
      </w:r>
      <w:r w:rsidRPr="00BE2E9E">
        <w:rPr>
          <w:rFonts w:asciiTheme="majorHAnsi" w:hAnsiTheme="majorHAnsi"/>
          <w:i/>
          <w:iCs/>
          <w:color w:val="auto"/>
          <w:sz w:val="19"/>
          <w:szCs w:val="19"/>
        </w:rPr>
        <w:t>: The AIATSIS Code of Ethics for Aboriginal and Torres Strait Islander Research</w:t>
      </w:r>
      <w:r w:rsidR="00DE23F2" w:rsidRPr="00BE2E9E">
        <w:rPr>
          <w:rFonts w:asciiTheme="majorHAnsi" w:hAnsiTheme="majorHAnsi"/>
          <w:color w:val="auto"/>
          <w:spacing w:val="-2"/>
          <w:kern w:val="19"/>
          <w:sz w:val="19"/>
          <w:szCs w:val="19"/>
        </w:rPr>
        <w:t>,</w:t>
      </w:r>
      <w:r w:rsidRPr="00BE2E9E">
        <w:rPr>
          <w:rFonts w:asciiTheme="majorHAnsi" w:hAnsiTheme="majorHAnsi"/>
          <w:i/>
          <w:iCs/>
          <w:color w:val="auto"/>
          <w:spacing w:val="-2"/>
          <w:kern w:val="19"/>
          <w:sz w:val="19"/>
          <w:szCs w:val="19"/>
        </w:rPr>
        <w:t xml:space="preserve"> </w:t>
      </w:r>
      <w:hyperlink r:id="rId5" w:history="1">
        <w:r w:rsidR="003409EE" w:rsidRPr="00BE2E9E">
          <w:rPr>
            <w:rStyle w:val="Hyperlink"/>
            <w:rFonts w:asciiTheme="majorHAnsi" w:hAnsiTheme="majorHAnsi"/>
            <w:spacing w:val="-2"/>
            <w:kern w:val="19"/>
            <w:sz w:val="19"/>
            <w:szCs w:val="19"/>
          </w:rPr>
          <w:t>https://aiatsis.gov.au/sites/default/files/2022-02/aiatsis-guide-code-ethics-jan22.pdf</w:t>
        </w:r>
      </w:hyperlink>
      <w:r w:rsidR="003409EE" w:rsidRPr="00BE2E9E">
        <w:rPr>
          <w:rFonts w:asciiTheme="majorHAnsi" w:hAnsiTheme="majorHAnsi"/>
          <w:color w:val="auto"/>
          <w:spacing w:val="-2"/>
          <w:kern w:val="19"/>
          <w:sz w:val="19"/>
          <w:szCs w:val="19"/>
        </w:rPr>
        <w:t xml:space="preserve"> </w:t>
      </w:r>
    </w:p>
  </w:footnote>
  <w:footnote w:id="10">
    <w:p w14:paraId="6480AEFA" w14:textId="3BFACB0A" w:rsidR="000C66F8" w:rsidRPr="00BE2E9E" w:rsidRDefault="000C66F8">
      <w:pPr>
        <w:pStyle w:val="FootnoteText"/>
        <w:rPr>
          <w:rFonts w:asciiTheme="majorHAnsi" w:hAnsiTheme="majorHAnsi"/>
          <w:sz w:val="19"/>
          <w:szCs w:val="19"/>
        </w:rPr>
      </w:pPr>
      <w:r w:rsidRPr="00BE2E9E">
        <w:rPr>
          <w:rStyle w:val="FootnoteReference"/>
          <w:rFonts w:asciiTheme="majorHAnsi" w:hAnsiTheme="majorHAnsi"/>
          <w:color w:val="auto"/>
          <w:sz w:val="19"/>
          <w:szCs w:val="19"/>
        </w:rPr>
        <w:footnoteRef/>
      </w:r>
      <w:r w:rsidRPr="00BE2E9E">
        <w:rPr>
          <w:rFonts w:asciiTheme="majorHAnsi" w:hAnsiTheme="majorHAnsi"/>
          <w:color w:val="auto"/>
          <w:spacing w:val="-2"/>
          <w:kern w:val="19"/>
          <w:sz w:val="19"/>
          <w:szCs w:val="19"/>
        </w:rPr>
        <w:t xml:space="preserve"> </w:t>
      </w:r>
      <w:r w:rsidR="00C947BE" w:rsidRPr="00BE2E9E">
        <w:rPr>
          <w:rFonts w:asciiTheme="majorHAnsi" w:hAnsiTheme="majorHAnsi"/>
          <w:color w:val="auto"/>
          <w:spacing w:val="-2"/>
          <w:kern w:val="19"/>
          <w:sz w:val="19"/>
          <w:szCs w:val="19"/>
        </w:rPr>
        <w:t xml:space="preserve">Joint Council on Closing the Gap (2020), </w:t>
      </w:r>
      <w:r w:rsidR="00C947BE" w:rsidRPr="00BE2E9E">
        <w:rPr>
          <w:rFonts w:asciiTheme="majorHAnsi" w:hAnsiTheme="majorHAnsi"/>
          <w:i/>
          <w:iCs/>
          <w:color w:val="auto"/>
          <w:spacing w:val="-2"/>
          <w:kern w:val="19"/>
          <w:sz w:val="19"/>
          <w:szCs w:val="19"/>
        </w:rPr>
        <w:t>National Agreement on Closing the Gap</w:t>
      </w:r>
      <w:r w:rsidR="00C947BE" w:rsidRPr="00BE2E9E">
        <w:rPr>
          <w:rFonts w:asciiTheme="majorHAnsi" w:hAnsiTheme="majorHAnsi"/>
          <w:color w:val="auto"/>
          <w:spacing w:val="-2"/>
          <w:kern w:val="19"/>
          <w:sz w:val="19"/>
          <w:szCs w:val="19"/>
        </w:rPr>
        <w:t xml:space="preserve">, </w:t>
      </w:r>
      <w:r w:rsidRPr="00BE2E9E">
        <w:rPr>
          <w:rFonts w:asciiTheme="majorHAnsi" w:hAnsiTheme="majorHAnsi"/>
          <w:color w:val="auto"/>
          <w:spacing w:val="-2"/>
          <w:kern w:val="19"/>
          <w:sz w:val="19"/>
          <w:szCs w:val="19"/>
        </w:rPr>
        <w:t xml:space="preserve">Clause </w:t>
      </w:r>
      <w:r w:rsidR="006273C1" w:rsidRPr="00BE2E9E">
        <w:rPr>
          <w:rFonts w:asciiTheme="majorHAnsi" w:hAnsiTheme="majorHAnsi"/>
          <w:color w:val="auto"/>
          <w:spacing w:val="-2"/>
          <w:kern w:val="19"/>
          <w:sz w:val="19"/>
          <w:szCs w:val="19"/>
        </w:rPr>
        <w:t>69-77</w:t>
      </w:r>
      <w:r w:rsidR="00DE23F2" w:rsidRPr="00BE2E9E">
        <w:rPr>
          <w:rFonts w:asciiTheme="majorHAnsi" w:hAnsiTheme="majorHAnsi"/>
          <w:color w:val="auto"/>
          <w:spacing w:val="-2"/>
          <w:kern w:val="19"/>
          <w:sz w:val="19"/>
          <w:szCs w:val="19"/>
        </w:rPr>
        <w:t>,</w:t>
      </w:r>
      <w:r w:rsidR="006273C1" w:rsidRPr="00BE2E9E">
        <w:rPr>
          <w:rFonts w:asciiTheme="majorHAnsi" w:hAnsiTheme="majorHAnsi"/>
          <w:color w:val="auto"/>
          <w:spacing w:val="-2"/>
          <w:kern w:val="19"/>
          <w:sz w:val="19"/>
          <w:szCs w:val="19"/>
        </w:rPr>
        <w:t xml:space="preserve"> </w:t>
      </w:r>
      <w:hyperlink r:id="rId6" w:history="1">
        <w:r w:rsidR="003409EE" w:rsidRPr="00BE2E9E">
          <w:rPr>
            <w:rStyle w:val="Hyperlink"/>
            <w:rFonts w:asciiTheme="majorHAnsi" w:hAnsiTheme="majorHAnsi"/>
            <w:spacing w:val="-2"/>
            <w:kern w:val="19"/>
            <w:sz w:val="19"/>
            <w:szCs w:val="19"/>
          </w:rPr>
          <w:t>https://www.closingthegap.gov.au/sites/default/files/files/national-agreement-ctg.pdf</w:t>
        </w:r>
      </w:hyperlink>
      <w:r w:rsidR="003409EE" w:rsidRPr="00BE2E9E">
        <w:rPr>
          <w:rFonts w:asciiTheme="majorHAnsi" w:hAnsiTheme="majorHAnsi"/>
          <w:color w:val="auto"/>
          <w:spacing w:val="-2"/>
          <w:kern w:val="19"/>
          <w:sz w:val="19"/>
          <w:szCs w:val="19"/>
        </w:rPr>
        <w:t xml:space="preserve"> </w:t>
      </w:r>
    </w:p>
  </w:footnote>
  <w:footnote w:id="11">
    <w:p w14:paraId="380811D3" w14:textId="215AB680" w:rsidR="00C11C51" w:rsidRPr="00BE2E9E" w:rsidRDefault="00C11C51">
      <w:pPr>
        <w:pStyle w:val="FootnoteText"/>
        <w:rPr>
          <w:rFonts w:asciiTheme="majorHAnsi" w:hAnsiTheme="majorHAnsi"/>
          <w:sz w:val="19"/>
          <w:szCs w:val="19"/>
        </w:rPr>
      </w:pPr>
      <w:r w:rsidRPr="00BE2E9E">
        <w:rPr>
          <w:rStyle w:val="FootnoteReference"/>
          <w:rFonts w:asciiTheme="majorHAnsi" w:hAnsiTheme="majorHAnsi"/>
          <w:color w:val="auto"/>
          <w:sz w:val="19"/>
          <w:szCs w:val="19"/>
        </w:rPr>
        <w:footnoteRef/>
      </w:r>
      <w:r w:rsidRPr="00BE2E9E">
        <w:rPr>
          <w:rFonts w:asciiTheme="majorHAnsi" w:hAnsiTheme="majorHAnsi"/>
          <w:color w:val="auto"/>
          <w:spacing w:val="-2"/>
          <w:kern w:val="19"/>
          <w:sz w:val="19"/>
          <w:szCs w:val="19"/>
        </w:rPr>
        <w:t xml:space="preserve"> </w:t>
      </w:r>
      <w:r w:rsidR="00D20554" w:rsidRPr="00BE2E9E">
        <w:rPr>
          <w:rFonts w:asciiTheme="majorHAnsi" w:hAnsiTheme="majorHAnsi"/>
          <w:color w:val="auto"/>
          <w:spacing w:val="-2"/>
          <w:kern w:val="19"/>
          <w:sz w:val="19"/>
          <w:szCs w:val="19"/>
        </w:rPr>
        <w:t>CSIRO</w:t>
      </w:r>
      <w:r w:rsidR="00DE23F2" w:rsidRPr="00BE2E9E">
        <w:rPr>
          <w:rFonts w:asciiTheme="majorHAnsi" w:hAnsiTheme="majorHAnsi"/>
          <w:color w:val="auto"/>
          <w:spacing w:val="-2"/>
          <w:kern w:val="19"/>
          <w:sz w:val="19"/>
          <w:szCs w:val="19"/>
        </w:rPr>
        <w:t xml:space="preserve"> (2024)</w:t>
      </w:r>
      <w:r w:rsidR="00D20554" w:rsidRPr="00BE2E9E">
        <w:rPr>
          <w:rFonts w:asciiTheme="majorHAnsi" w:hAnsiTheme="majorHAnsi"/>
          <w:color w:val="auto"/>
          <w:spacing w:val="-2"/>
          <w:kern w:val="19"/>
          <w:sz w:val="19"/>
          <w:szCs w:val="19"/>
        </w:rPr>
        <w:t xml:space="preserve">, </w:t>
      </w:r>
      <w:r w:rsidR="00CE766C" w:rsidRPr="00BE2E9E">
        <w:rPr>
          <w:rFonts w:asciiTheme="majorHAnsi" w:hAnsiTheme="majorHAnsi" w:cstheme="minorBidi"/>
          <w:i/>
          <w:iCs/>
          <w:color w:val="auto"/>
          <w:spacing w:val="-2"/>
          <w:kern w:val="19"/>
          <w:sz w:val="19"/>
          <w:szCs w:val="19"/>
        </w:rPr>
        <w:t>Indigenous C</w:t>
      </w:r>
      <w:r w:rsidR="00CE766C" w:rsidRPr="00BE2E9E">
        <w:rPr>
          <w:rFonts w:asciiTheme="majorHAnsi" w:eastAsia="SimSun" w:hAnsiTheme="majorHAnsi" w:cstheme="minorBidi"/>
          <w:i/>
          <w:iCs/>
          <w:color w:val="auto"/>
          <w:spacing w:val="-2"/>
          <w:kern w:val="19"/>
          <w:sz w:val="19"/>
          <w:szCs w:val="19"/>
        </w:rPr>
        <w:t xml:space="preserve">ultural </w:t>
      </w:r>
      <w:r w:rsidR="00CE766C" w:rsidRPr="00BE2E9E">
        <w:rPr>
          <w:rFonts w:asciiTheme="majorHAnsi" w:hAnsiTheme="majorHAnsi" w:cstheme="minorBidi"/>
          <w:i/>
          <w:iCs/>
          <w:color w:val="auto"/>
          <w:spacing w:val="-2"/>
          <w:kern w:val="19"/>
          <w:sz w:val="19"/>
          <w:szCs w:val="19"/>
        </w:rPr>
        <w:t>I</w:t>
      </w:r>
      <w:r w:rsidR="00CE766C" w:rsidRPr="00BE2E9E">
        <w:rPr>
          <w:rFonts w:asciiTheme="majorHAnsi" w:eastAsia="SimSun" w:hAnsiTheme="majorHAnsi" w:cstheme="minorBidi"/>
          <w:i/>
          <w:iCs/>
          <w:color w:val="auto"/>
          <w:spacing w:val="-2"/>
          <w:kern w:val="19"/>
          <w:sz w:val="19"/>
          <w:szCs w:val="19"/>
        </w:rPr>
        <w:t xml:space="preserve">ntellectual </w:t>
      </w:r>
      <w:r w:rsidR="00CE766C" w:rsidRPr="00BE2E9E">
        <w:rPr>
          <w:rFonts w:asciiTheme="majorHAnsi" w:hAnsiTheme="majorHAnsi" w:cstheme="minorBidi"/>
          <w:i/>
          <w:iCs/>
          <w:color w:val="auto"/>
          <w:spacing w:val="-2"/>
          <w:kern w:val="19"/>
          <w:sz w:val="19"/>
          <w:szCs w:val="19"/>
        </w:rPr>
        <w:t>P</w:t>
      </w:r>
      <w:r w:rsidR="00CE766C" w:rsidRPr="00BE2E9E">
        <w:rPr>
          <w:rFonts w:asciiTheme="majorHAnsi" w:eastAsia="SimSun" w:hAnsiTheme="majorHAnsi" w:cstheme="minorBidi"/>
          <w:i/>
          <w:iCs/>
          <w:color w:val="auto"/>
          <w:spacing w:val="-2"/>
          <w:kern w:val="19"/>
          <w:sz w:val="19"/>
          <w:szCs w:val="19"/>
        </w:rPr>
        <w:t>roperty Principles</w:t>
      </w:r>
      <w:r w:rsidR="00CE766C" w:rsidRPr="00BE2E9E">
        <w:rPr>
          <w:rFonts w:asciiTheme="majorHAnsi" w:eastAsia="SimSun" w:hAnsiTheme="majorHAnsi" w:cstheme="minorBidi"/>
          <w:color w:val="auto"/>
          <w:spacing w:val="-2"/>
          <w:kern w:val="19"/>
          <w:sz w:val="19"/>
          <w:szCs w:val="19"/>
        </w:rPr>
        <w:t xml:space="preserve">, </w:t>
      </w:r>
      <w:hyperlink r:id="rId7" w:history="1">
        <w:r w:rsidR="003409EE" w:rsidRPr="00BE2E9E">
          <w:rPr>
            <w:rStyle w:val="Hyperlink"/>
            <w:rFonts w:asciiTheme="majorHAnsi" w:eastAsia="SimSun" w:hAnsiTheme="majorHAnsi" w:cstheme="minorBidi"/>
            <w:spacing w:val="-2"/>
            <w:kern w:val="19"/>
            <w:sz w:val="19"/>
            <w:szCs w:val="19"/>
          </w:rPr>
          <w:t>https://www.csiro.au/en/about/Policies/Science-and-Delivery-Policy/Indigenous-Cultural-and-Intellectual-Property-Principles</w:t>
        </w:r>
      </w:hyperlink>
      <w:r w:rsidR="003409EE" w:rsidRPr="00BE2E9E">
        <w:rPr>
          <w:rFonts w:asciiTheme="majorHAnsi" w:eastAsia="SimSun" w:hAnsiTheme="majorHAnsi" w:cstheme="minorBidi"/>
          <w:color w:val="auto"/>
          <w:spacing w:val="-2"/>
          <w:kern w:val="19"/>
          <w:sz w:val="19"/>
          <w:szCs w:val="19"/>
        </w:rPr>
        <w:t xml:space="preserve"> </w:t>
      </w:r>
    </w:p>
  </w:footnote>
  <w:footnote w:id="12">
    <w:p w14:paraId="3FBF1B58" w14:textId="36497033" w:rsidR="00C30765" w:rsidRPr="00BE2E9E" w:rsidRDefault="00C30765">
      <w:pPr>
        <w:pStyle w:val="FootnoteText"/>
        <w:rPr>
          <w:rFonts w:asciiTheme="majorHAnsi" w:hAnsiTheme="majorHAnsi"/>
          <w:sz w:val="19"/>
          <w:szCs w:val="19"/>
        </w:rPr>
      </w:pPr>
      <w:r w:rsidRPr="00BE2E9E">
        <w:rPr>
          <w:rStyle w:val="FootnoteReference"/>
          <w:rFonts w:asciiTheme="majorHAnsi" w:hAnsiTheme="majorHAnsi"/>
          <w:sz w:val="19"/>
          <w:szCs w:val="19"/>
        </w:rPr>
        <w:footnoteRef/>
      </w:r>
      <w:r w:rsidRPr="00BE2E9E">
        <w:rPr>
          <w:rFonts w:asciiTheme="majorHAnsi" w:hAnsiTheme="majorHAnsi"/>
          <w:color w:val="auto"/>
          <w:spacing w:val="-2"/>
          <w:kern w:val="19"/>
          <w:sz w:val="19"/>
          <w:szCs w:val="19"/>
        </w:rPr>
        <w:t xml:space="preserve"> </w:t>
      </w:r>
      <w:r w:rsidR="00DE23F2" w:rsidRPr="00BE2E9E">
        <w:rPr>
          <w:rFonts w:asciiTheme="majorHAnsi" w:hAnsiTheme="majorHAnsi"/>
          <w:color w:val="auto"/>
          <w:spacing w:val="-2"/>
          <w:kern w:val="19"/>
          <w:sz w:val="19"/>
          <w:szCs w:val="19"/>
        </w:rPr>
        <w:t>Joint Council on Closing the Gap (2020),</w:t>
      </w:r>
      <w:r w:rsidRPr="00BE2E9E">
        <w:rPr>
          <w:rFonts w:asciiTheme="majorHAnsi" w:hAnsiTheme="majorHAnsi"/>
          <w:sz w:val="19"/>
          <w:szCs w:val="19"/>
        </w:rPr>
        <w:t xml:space="preserve"> </w:t>
      </w:r>
      <w:r w:rsidRPr="00CD3F73">
        <w:rPr>
          <w:rFonts w:asciiTheme="majorHAnsi" w:hAnsiTheme="majorHAnsi"/>
          <w:i/>
          <w:iCs/>
          <w:color w:val="auto"/>
          <w:sz w:val="19"/>
          <w:szCs w:val="19"/>
        </w:rPr>
        <w:t>National Agreement on Closing the Gap</w:t>
      </w:r>
      <w:r w:rsidRPr="00CD3F73">
        <w:rPr>
          <w:rFonts w:asciiTheme="majorHAnsi" w:hAnsiTheme="majorHAnsi"/>
          <w:color w:val="auto"/>
          <w:sz w:val="19"/>
          <w:szCs w:val="19"/>
        </w:rPr>
        <w:t xml:space="preserve">, </w:t>
      </w:r>
      <w:r w:rsidR="00C4113E" w:rsidRPr="00CD3F73">
        <w:rPr>
          <w:rFonts w:asciiTheme="majorHAnsi" w:hAnsiTheme="majorHAnsi"/>
          <w:color w:val="auto"/>
          <w:sz w:val="19"/>
          <w:szCs w:val="19"/>
        </w:rPr>
        <w:t xml:space="preserve">Clause 58-68. </w:t>
      </w:r>
      <w:hyperlink r:id="rId8" w:history="1">
        <w:r w:rsidR="003409EE" w:rsidRPr="00BE2E9E">
          <w:rPr>
            <w:rStyle w:val="Hyperlink"/>
            <w:rFonts w:asciiTheme="majorHAnsi" w:hAnsiTheme="majorHAnsi"/>
            <w:spacing w:val="-2"/>
            <w:kern w:val="19"/>
            <w:sz w:val="19"/>
            <w:szCs w:val="19"/>
          </w:rPr>
          <w:t>https://www.closingthegap.gov.au/sites/default/files/files/national-agreement-ctg.pdf</w:t>
        </w:r>
      </w:hyperlink>
      <w:r w:rsidR="003409EE" w:rsidRPr="00BE2E9E">
        <w:rPr>
          <w:rFonts w:asciiTheme="majorHAnsi" w:hAnsiTheme="majorHAnsi"/>
          <w:spacing w:val="-2"/>
          <w:kern w:val="19"/>
          <w:sz w:val="19"/>
          <w:szCs w:val="19"/>
        </w:rPr>
        <w:t xml:space="preserve"> </w:t>
      </w:r>
    </w:p>
  </w:footnote>
  <w:footnote w:id="13">
    <w:p w14:paraId="58A3691A" w14:textId="6268EB87" w:rsidR="000C0FD1" w:rsidRPr="00BE2E9E" w:rsidRDefault="000C0FD1" w:rsidP="000C0FD1">
      <w:pPr>
        <w:pStyle w:val="FootnoteText"/>
        <w:rPr>
          <w:rFonts w:asciiTheme="majorHAnsi" w:hAnsiTheme="majorHAnsi"/>
          <w:sz w:val="19"/>
          <w:szCs w:val="19"/>
        </w:rPr>
      </w:pPr>
      <w:r w:rsidRPr="00BE2E9E">
        <w:rPr>
          <w:rStyle w:val="FootnoteReference"/>
          <w:rFonts w:asciiTheme="majorHAnsi" w:hAnsiTheme="majorHAnsi"/>
          <w:sz w:val="19"/>
          <w:szCs w:val="19"/>
        </w:rPr>
        <w:footnoteRef/>
      </w:r>
      <w:r w:rsidRPr="00BE2E9E">
        <w:rPr>
          <w:rFonts w:asciiTheme="majorHAnsi" w:hAnsiTheme="majorHAnsi"/>
          <w:color w:val="auto"/>
          <w:spacing w:val="-2"/>
          <w:kern w:val="19"/>
          <w:sz w:val="19"/>
          <w:szCs w:val="19"/>
        </w:rPr>
        <w:t xml:space="preserve"> </w:t>
      </w:r>
      <w:r w:rsidR="00DE23F2" w:rsidRPr="00BE2E9E">
        <w:rPr>
          <w:rFonts w:asciiTheme="majorHAnsi" w:hAnsiTheme="majorHAnsi"/>
          <w:color w:val="auto"/>
          <w:spacing w:val="-2"/>
          <w:kern w:val="19"/>
          <w:sz w:val="19"/>
          <w:szCs w:val="19"/>
        </w:rPr>
        <w:t>Joint Council on Closing the Gap (2020),</w:t>
      </w:r>
      <w:r w:rsidRPr="00BE2E9E">
        <w:rPr>
          <w:rFonts w:asciiTheme="majorHAnsi" w:hAnsiTheme="majorHAnsi"/>
          <w:sz w:val="19"/>
          <w:szCs w:val="19"/>
        </w:rPr>
        <w:t xml:space="preserve"> </w:t>
      </w:r>
      <w:r w:rsidRPr="00CD3F73">
        <w:rPr>
          <w:rFonts w:asciiTheme="majorHAnsi" w:hAnsiTheme="majorHAnsi"/>
          <w:i/>
          <w:iCs/>
          <w:color w:val="auto"/>
          <w:sz w:val="19"/>
          <w:szCs w:val="19"/>
        </w:rPr>
        <w:t>National Agreement on Closing the Gap</w:t>
      </w:r>
      <w:r w:rsidRPr="00CD3F73">
        <w:rPr>
          <w:rFonts w:asciiTheme="majorHAnsi" w:hAnsiTheme="majorHAnsi"/>
          <w:color w:val="auto"/>
          <w:sz w:val="19"/>
          <w:szCs w:val="19"/>
        </w:rPr>
        <w:t xml:space="preserve">, Clause 44. </w:t>
      </w:r>
      <w:hyperlink r:id="rId9" w:history="1">
        <w:r w:rsidR="003409EE" w:rsidRPr="00BE2E9E">
          <w:rPr>
            <w:rStyle w:val="Hyperlink"/>
            <w:rFonts w:asciiTheme="majorHAnsi" w:hAnsiTheme="majorHAnsi"/>
            <w:spacing w:val="-2"/>
            <w:kern w:val="19"/>
            <w:sz w:val="19"/>
            <w:szCs w:val="19"/>
          </w:rPr>
          <w:t>https://www.closingthegap.gov.au/sites/default/files/files/national-agreement-ctg.pdf</w:t>
        </w:r>
      </w:hyperlink>
      <w:r w:rsidR="003409EE" w:rsidRPr="00BE2E9E">
        <w:rPr>
          <w:rFonts w:asciiTheme="majorHAnsi" w:hAnsiTheme="majorHAnsi"/>
          <w:color w:val="auto"/>
          <w:spacing w:val="-2"/>
          <w:kern w:val="19"/>
          <w:sz w:val="19"/>
          <w:szCs w:val="19"/>
        </w:rPr>
        <w:t xml:space="preserve"> </w:t>
      </w:r>
    </w:p>
  </w:footnote>
  <w:footnote w:id="14">
    <w:p w14:paraId="7D54BFE2" w14:textId="70325DF1" w:rsidR="000C0FD1" w:rsidRPr="00BE2E9E" w:rsidRDefault="000C0FD1" w:rsidP="4F85DF43">
      <w:pPr>
        <w:pStyle w:val="FootnoteText"/>
        <w:rPr>
          <w:rFonts w:asciiTheme="majorHAnsi" w:hAnsiTheme="majorHAnsi"/>
          <w:sz w:val="19"/>
          <w:szCs w:val="19"/>
          <w:lang w:val="en-US"/>
        </w:rPr>
      </w:pPr>
      <w:r w:rsidRPr="00BE2E9E">
        <w:rPr>
          <w:rStyle w:val="FootnoteReference"/>
          <w:rFonts w:asciiTheme="majorHAnsi" w:hAnsiTheme="majorHAnsi"/>
          <w:sz w:val="19"/>
          <w:szCs w:val="19"/>
        </w:rPr>
        <w:footnoteRef/>
      </w:r>
      <w:r w:rsidRPr="00BE2E9E">
        <w:rPr>
          <w:rFonts w:asciiTheme="majorHAnsi" w:hAnsiTheme="majorHAnsi"/>
          <w:color w:val="auto"/>
          <w:spacing w:val="-2"/>
          <w:kern w:val="19"/>
          <w:sz w:val="19"/>
          <w:szCs w:val="19"/>
        </w:rPr>
        <w:t xml:space="preserve"> </w:t>
      </w:r>
      <w:r w:rsidR="00DE23F2" w:rsidRPr="00BE2E9E">
        <w:rPr>
          <w:rFonts w:asciiTheme="majorHAnsi" w:hAnsiTheme="majorHAnsi"/>
          <w:color w:val="auto"/>
          <w:spacing w:val="-2"/>
          <w:kern w:val="19"/>
          <w:sz w:val="19"/>
          <w:szCs w:val="19"/>
        </w:rPr>
        <w:t>Joint Council on Closing the Gap (2020)</w:t>
      </w:r>
      <w:r w:rsidR="00DE23F2" w:rsidRPr="00CD3F73">
        <w:rPr>
          <w:rFonts w:asciiTheme="majorHAnsi" w:hAnsiTheme="majorHAnsi"/>
          <w:color w:val="auto"/>
          <w:spacing w:val="-2"/>
          <w:kern w:val="19"/>
          <w:sz w:val="19"/>
          <w:szCs w:val="19"/>
        </w:rPr>
        <w:t>,</w:t>
      </w:r>
      <w:r w:rsidRPr="00CD3F73">
        <w:rPr>
          <w:rFonts w:asciiTheme="majorHAnsi" w:hAnsiTheme="majorHAnsi"/>
          <w:color w:val="auto"/>
          <w:sz w:val="19"/>
          <w:szCs w:val="19"/>
        </w:rPr>
        <w:t xml:space="preserve"> </w:t>
      </w:r>
      <w:r w:rsidRPr="00CD3F73">
        <w:rPr>
          <w:rFonts w:asciiTheme="majorHAnsi" w:hAnsiTheme="majorHAnsi"/>
          <w:i/>
          <w:iCs/>
          <w:color w:val="auto"/>
          <w:sz w:val="19"/>
          <w:szCs w:val="19"/>
        </w:rPr>
        <w:t>National Agreement on Closing the Gap</w:t>
      </w:r>
      <w:r w:rsidRPr="00CD3F73">
        <w:rPr>
          <w:rFonts w:asciiTheme="majorHAnsi" w:hAnsiTheme="majorHAnsi"/>
          <w:color w:val="auto"/>
          <w:sz w:val="19"/>
          <w:szCs w:val="19"/>
        </w:rPr>
        <w:t xml:space="preserve">, Clause 25-27. </w:t>
      </w:r>
      <w:hyperlink r:id="rId10" w:history="1">
        <w:r w:rsidR="003409EE" w:rsidRPr="00BE2E9E">
          <w:rPr>
            <w:rStyle w:val="Hyperlink"/>
            <w:rFonts w:asciiTheme="majorHAnsi" w:hAnsiTheme="majorHAnsi"/>
            <w:spacing w:val="-2"/>
            <w:kern w:val="19"/>
            <w:sz w:val="19"/>
            <w:szCs w:val="19"/>
          </w:rPr>
          <w:t>https://www.closingthegap.gov.au/sites/default/files/files/national-agreement-ctg.pdf</w:t>
        </w:r>
      </w:hyperlink>
      <w:r w:rsidR="003409EE" w:rsidRPr="00BE2E9E">
        <w:rPr>
          <w:rFonts w:asciiTheme="majorHAnsi" w:hAnsiTheme="majorHAnsi"/>
          <w:color w:val="auto"/>
          <w:spacing w:val="-2"/>
          <w:kern w:val="19"/>
          <w:sz w:val="19"/>
          <w:szCs w:val="19"/>
        </w:rPr>
        <w:t xml:space="preserve"> </w:t>
      </w:r>
    </w:p>
  </w:footnote>
  <w:footnote w:id="15">
    <w:p w14:paraId="60A86DF9" w14:textId="4019EBF3" w:rsidR="001D280C" w:rsidRPr="00BE2E9E" w:rsidRDefault="001D280C" w:rsidP="4F85DF43">
      <w:pPr>
        <w:pStyle w:val="FootnoteText"/>
        <w:rPr>
          <w:rFonts w:asciiTheme="majorHAnsi" w:hAnsiTheme="majorHAnsi"/>
          <w:sz w:val="19"/>
          <w:szCs w:val="19"/>
          <w:lang w:val="en-US"/>
        </w:rPr>
      </w:pPr>
      <w:r w:rsidRPr="00CD3F73">
        <w:rPr>
          <w:rStyle w:val="FootnoteReference"/>
          <w:rFonts w:asciiTheme="majorHAnsi" w:hAnsiTheme="majorHAnsi"/>
          <w:color w:val="auto"/>
          <w:sz w:val="19"/>
          <w:szCs w:val="19"/>
        </w:rPr>
        <w:footnoteRef/>
      </w:r>
      <w:r w:rsidRPr="00CD3F73">
        <w:rPr>
          <w:rFonts w:asciiTheme="majorHAnsi" w:hAnsiTheme="majorHAnsi"/>
          <w:color w:val="auto"/>
          <w:sz w:val="19"/>
          <w:szCs w:val="19"/>
        </w:rPr>
        <w:t xml:space="preserve"> Maiam nayri Wingara Indigenous Data Sovereignty Collective (2024), </w:t>
      </w:r>
      <w:r w:rsidRPr="00CD3F73">
        <w:rPr>
          <w:rFonts w:asciiTheme="majorHAnsi" w:hAnsiTheme="majorHAnsi"/>
          <w:i/>
          <w:iCs/>
          <w:color w:val="auto"/>
          <w:sz w:val="19"/>
          <w:szCs w:val="19"/>
          <w:lang w:val="en-US"/>
        </w:rPr>
        <w:t>Taking Control of Our Data: A Discussion Paper on Indigenous Data Governance for Aboriginal and Torres Strait Islander People and Communities, Discussion Paper</w:t>
      </w:r>
      <w:r w:rsidRPr="00CD3F73">
        <w:rPr>
          <w:rFonts w:asciiTheme="majorHAnsi" w:hAnsiTheme="majorHAnsi"/>
          <w:color w:val="auto"/>
          <w:sz w:val="19"/>
          <w:szCs w:val="19"/>
          <w:lang w:val="en-US"/>
        </w:rPr>
        <w:t>,</w:t>
      </w:r>
      <w:r w:rsidRPr="00CD3F73">
        <w:rPr>
          <w:rFonts w:asciiTheme="majorHAnsi" w:hAnsiTheme="majorHAnsi"/>
          <w:color w:val="auto"/>
          <w:sz w:val="19"/>
          <w:szCs w:val="19"/>
        </w:rPr>
        <w:t xml:space="preserve"> Lowitja Institute, Melbourne, 19-25</w:t>
      </w:r>
      <w:r w:rsidR="00E5159A" w:rsidRPr="00CD3F73">
        <w:rPr>
          <w:rFonts w:asciiTheme="majorHAnsi" w:hAnsiTheme="majorHAnsi"/>
          <w:color w:val="auto"/>
          <w:spacing w:val="-2"/>
          <w:kern w:val="19"/>
          <w:sz w:val="19"/>
          <w:szCs w:val="19"/>
        </w:rPr>
        <w:t>.</w:t>
      </w:r>
      <w:r w:rsidRPr="00CD3F73">
        <w:rPr>
          <w:rFonts w:asciiTheme="majorHAnsi" w:hAnsiTheme="majorHAnsi"/>
          <w:color w:val="auto"/>
          <w:sz w:val="19"/>
          <w:szCs w:val="19"/>
        </w:rPr>
        <w:t xml:space="preserve"> </w:t>
      </w:r>
      <w:hyperlink r:id="rId11" w:history="1">
        <w:r w:rsidR="00E5159A" w:rsidRPr="00BE2E9E">
          <w:rPr>
            <w:rStyle w:val="Hyperlink"/>
            <w:rFonts w:asciiTheme="majorHAnsi" w:hAnsiTheme="majorHAnsi"/>
            <w:spacing w:val="-2"/>
            <w:kern w:val="19"/>
            <w:sz w:val="19"/>
            <w:szCs w:val="19"/>
          </w:rPr>
          <w:t>https://www.lowitja.org.au/news/taking-control-of-our-data-a-discussion-paper-on-indigenous-data-governance-for-aboriginal-and-torres-strait-islander-people-and-communities/</w:t>
        </w:r>
      </w:hyperlink>
      <w:r w:rsidR="00E5159A" w:rsidRPr="00BE2E9E">
        <w:rPr>
          <w:rFonts w:asciiTheme="majorHAnsi" w:hAnsiTheme="majorHAnsi"/>
          <w:color w:val="auto"/>
          <w:spacing w:val="-2"/>
          <w:kern w:val="19"/>
          <w:sz w:val="19"/>
          <w:szCs w:val="19"/>
        </w:rPr>
        <w:t xml:space="preserve"> </w:t>
      </w:r>
    </w:p>
  </w:footnote>
  <w:footnote w:id="16">
    <w:p w14:paraId="46972DB1" w14:textId="256F8DE5" w:rsidR="00D247CD" w:rsidRPr="00CD3F73" w:rsidRDefault="00D247CD" w:rsidP="4F85DF43">
      <w:pPr>
        <w:pStyle w:val="FootnoteText"/>
        <w:rPr>
          <w:rFonts w:asciiTheme="majorHAnsi" w:hAnsiTheme="majorHAnsi"/>
          <w:color w:val="auto"/>
          <w:sz w:val="19"/>
          <w:szCs w:val="19"/>
          <w:lang w:val="en-US"/>
        </w:rPr>
      </w:pPr>
      <w:r w:rsidRPr="00CD3F73">
        <w:rPr>
          <w:rStyle w:val="FootnoteReference"/>
          <w:rFonts w:asciiTheme="majorHAnsi" w:hAnsiTheme="majorHAnsi"/>
          <w:color w:val="auto"/>
          <w:sz w:val="19"/>
          <w:szCs w:val="19"/>
        </w:rPr>
        <w:footnoteRef/>
      </w:r>
      <w:r w:rsidRPr="00CD3F73">
        <w:rPr>
          <w:rFonts w:asciiTheme="majorHAnsi" w:hAnsiTheme="majorHAnsi"/>
          <w:color w:val="auto"/>
          <w:sz w:val="19"/>
          <w:szCs w:val="19"/>
        </w:rPr>
        <w:t xml:space="preserve"> The Centre would maintain </w:t>
      </w:r>
      <w:r w:rsidRPr="00CD3F73">
        <w:rPr>
          <w:rFonts w:asciiTheme="majorHAnsi" w:hAnsiTheme="majorHAnsi"/>
          <w:color w:val="auto"/>
          <w:sz w:val="19"/>
          <w:szCs w:val="19"/>
          <w:lang w:val="en-US"/>
        </w:rPr>
        <w:t>a small pool of trained community researchers employed on a casual basis equivalent to 1</w:t>
      </w:r>
      <w:r w:rsidR="00D27CDB" w:rsidRPr="00CD3F73">
        <w:rPr>
          <w:rFonts w:asciiTheme="majorHAnsi" w:hAnsiTheme="majorHAnsi"/>
          <w:color w:val="auto"/>
          <w:sz w:val="19"/>
          <w:szCs w:val="19"/>
          <w:lang w:val="en-US"/>
        </w:rPr>
        <w:t xml:space="preserve"> </w:t>
      </w:r>
      <w:r w:rsidRPr="00CD3F73">
        <w:rPr>
          <w:rFonts w:asciiTheme="majorHAnsi" w:hAnsiTheme="majorHAnsi"/>
          <w:color w:val="auto"/>
          <w:sz w:val="19"/>
          <w:szCs w:val="19"/>
          <w:lang w:val="en-US"/>
        </w:rPr>
        <w:t>FTE by 2029</w:t>
      </w:r>
      <w:r w:rsidR="001A0417" w:rsidRPr="00CD3F73">
        <w:rPr>
          <w:rFonts w:asciiTheme="majorHAnsi" w:hAnsiTheme="majorHAnsi"/>
          <w:color w:val="auto"/>
          <w:sz w:val="19"/>
          <w:szCs w:val="19"/>
          <w:lang w:val="en-US"/>
        </w:rPr>
        <w:t>-</w:t>
      </w:r>
      <w:r w:rsidRPr="00CD3F73">
        <w:rPr>
          <w:rFonts w:asciiTheme="majorHAnsi" w:hAnsiTheme="majorHAnsi"/>
          <w:color w:val="auto"/>
          <w:sz w:val="19"/>
          <w:szCs w:val="19"/>
          <w:lang w:val="en-US"/>
        </w:rPr>
        <w:t>30.</w:t>
      </w:r>
    </w:p>
  </w:footnote>
  <w:footnote w:id="17">
    <w:p w14:paraId="14B3052B" w14:textId="792DC093" w:rsidR="00EF1F63" w:rsidRPr="00BE2E9E" w:rsidRDefault="00EF1F63" w:rsidP="4F85DF43">
      <w:pPr>
        <w:pStyle w:val="FootnoteText"/>
        <w:rPr>
          <w:rFonts w:asciiTheme="majorHAnsi" w:hAnsiTheme="majorHAnsi"/>
          <w:sz w:val="19"/>
          <w:szCs w:val="19"/>
          <w:lang w:val="en-US"/>
        </w:rPr>
      </w:pPr>
      <w:r w:rsidRPr="00CD3F73">
        <w:rPr>
          <w:rStyle w:val="FootnoteReference"/>
          <w:rFonts w:asciiTheme="majorHAnsi" w:hAnsiTheme="majorHAnsi"/>
          <w:color w:val="auto"/>
          <w:sz w:val="19"/>
          <w:szCs w:val="19"/>
        </w:rPr>
        <w:footnoteRef/>
      </w:r>
      <w:r w:rsidRPr="00CD3F73">
        <w:rPr>
          <w:rFonts w:asciiTheme="majorHAnsi" w:hAnsiTheme="majorHAnsi"/>
          <w:color w:val="auto"/>
          <w:sz w:val="19"/>
          <w:szCs w:val="19"/>
        </w:rPr>
        <w:t xml:space="preserve"> </w:t>
      </w:r>
      <w:r w:rsidR="00CB2A44" w:rsidRPr="00CD3F73">
        <w:rPr>
          <w:rFonts w:asciiTheme="majorHAnsi" w:hAnsiTheme="majorHAnsi"/>
          <w:color w:val="auto"/>
          <w:sz w:val="19"/>
          <w:szCs w:val="19"/>
          <w:lang w:val="en-US"/>
        </w:rPr>
        <w:t>Australian Government</w:t>
      </w:r>
      <w:r w:rsidR="003D741F" w:rsidRPr="00CD3F73">
        <w:rPr>
          <w:rFonts w:asciiTheme="majorHAnsi" w:hAnsiTheme="majorHAnsi"/>
          <w:color w:val="auto"/>
          <w:sz w:val="19"/>
          <w:szCs w:val="19"/>
          <w:lang w:val="en-US"/>
        </w:rPr>
        <w:t xml:space="preserve"> (2022),</w:t>
      </w:r>
      <w:r w:rsidR="003D741F" w:rsidRPr="00CD3F73">
        <w:rPr>
          <w:rFonts w:asciiTheme="majorHAnsi" w:hAnsiTheme="majorHAnsi"/>
          <w:color w:val="auto"/>
          <w:spacing w:val="-2"/>
          <w:kern w:val="19"/>
          <w:sz w:val="19"/>
          <w:szCs w:val="19"/>
          <w:lang w:val="en-US"/>
        </w:rPr>
        <w:t xml:space="preserve"> </w:t>
      </w:r>
      <w:r w:rsidR="00D22308" w:rsidRPr="00CD3F73">
        <w:rPr>
          <w:rFonts w:asciiTheme="majorHAnsi" w:hAnsiTheme="majorHAnsi"/>
          <w:i/>
          <w:iCs/>
          <w:color w:val="auto"/>
          <w:spacing w:val="-2"/>
          <w:kern w:val="19"/>
          <w:sz w:val="19"/>
          <w:szCs w:val="19"/>
          <w:lang w:val="en-US"/>
        </w:rPr>
        <w:t>Safe and Supported</w:t>
      </w:r>
      <w:r w:rsidR="003D741F" w:rsidRPr="00CD3F73">
        <w:rPr>
          <w:rFonts w:asciiTheme="majorHAnsi" w:hAnsiTheme="majorHAnsi"/>
          <w:color w:val="auto"/>
          <w:sz w:val="19"/>
          <w:szCs w:val="19"/>
          <w:lang w:val="en-US"/>
        </w:rPr>
        <w:t xml:space="preserve"> Aboriginal and Torres Strait Islander First Action Plan 2023-2026, 30</w:t>
      </w:r>
      <w:r w:rsidR="00D66A1F" w:rsidRPr="00CD3F73">
        <w:rPr>
          <w:rFonts w:asciiTheme="majorHAnsi" w:hAnsiTheme="majorHAnsi"/>
          <w:color w:val="auto"/>
          <w:sz w:val="19"/>
          <w:szCs w:val="19"/>
          <w:lang w:val="en-US"/>
        </w:rPr>
        <w:t xml:space="preserve">, </w:t>
      </w:r>
      <w:hyperlink r:id="rId12" w:history="1">
        <w:r w:rsidR="00B559FD" w:rsidRPr="00BE2E9E">
          <w:rPr>
            <w:rStyle w:val="Hyperlink"/>
            <w:rFonts w:asciiTheme="majorHAnsi" w:hAnsiTheme="majorHAnsi"/>
            <w:sz w:val="19"/>
            <w:szCs w:val="19"/>
            <w:lang w:val="en-US"/>
          </w:rPr>
          <w:t>https://www.dss.gov.au/families-and-children-programs-services-children-protecting-australias-children-safe-and-supported-the-national-framework-for-protecting-australias-children-2021-2031/safe-and-supported-aboriginal-and-torres-strait-islander-first-action-plan-2023-2026</w:t>
        </w:r>
      </w:hyperlink>
      <w:r w:rsidR="00B559FD" w:rsidRPr="00BE2E9E">
        <w:rPr>
          <w:rFonts w:asciiTheme="majorHAnsi" w:hAnsiTheme="majorHAnsi"/>
          <w:sz w:val="19"/>
          <w:szCs w:val="19"/>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F78A" w14:textId="2F0FC7AB" w:rsidR="003860A3" w:rsidRDefault="00CA5ADE">
    <w:pPr>
      <w:pStyle w:val="Header"/>
    </w:pPr>
    <w:r>
      <w:rPr>
        <w:noProof/>
      </w:rPr>
      <w:drawing>
        <wp:anchor distT="0" distB="0" distL="114300" distR="114300" simplePos="0" relativeHeight="251657728" behindDoc="1" locked="0" layoutInCell="1" allowOverlap="1" wp14:anchorId="569A04B0" wp14:editId="7AA4F07F">
          <wp:simplePos x="0" y="0"/>
          <wp:positionH relativeFrom="page">
            <wp:posOffset>0</wp:posOffset>
          </wp:positionH>
          <wp:positionV relativeFrom="paragraph">
            <wp:posOffset>0</wp:posOffset>
          </wp:positionV>
          <wp:extent cx="7550138" cy="1134533"/>
          <wp:effectExtent l="0" t="0" r="0" b="8890"/>
          <wp:wrapNone/>
          <wp:docPr id="706959070" name="Picture 372970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959070" name="Picture 37297020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1409" cy="11362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28791" w14:textId="0B6BC1E4" w:rsidR="00B26B3A" w:rsidRDefault="0062198A">
    <w:pPr>
      <w:pStyle w:val="Header"/>
    </w:pPr>
    <w:r>
      <w:rPr>
        <w:noProof/>
      </w:rPr>
      <w:drawing>
        <wp:anchor distT="0" distB="0" distL="114300" distR="114300" simplePos="0" relativeHeight="251656704" behindDoc="1" locked="0" layoutInCell="1" allowOverlap="1" wp14:anchorId="0AFF1E34" wp14:editId="505D3A6D">
          <wp:simplePos x="0" y="0"/>
          <wp:positionH relativeFrom="page">
            <wp:posOffset>17357</wp:posOffset>
          </wp:positionH>
          <wp:positionV relativeFrom="paragraph">
            <wp:posOffset>0</wp:posOffset>
          </wp:positionV>
          <wp:extent cx="7553325" cy="10675483"/>
          <wp:effectExtent l="0" t="0" r="0" b="0"/>
          <wp:wrapNone/>
          <wp:docPr id="20355908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90810"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67548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87835" w14:textId="77777777" w:rsidR="00B05F70" w:rsidRDefault="00B05F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2B5FF" w14:textId="7F13A9E8" w:rsidR="00C55C7D" w:rsidRDefault="00C55C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13560" w14:textId="252106EE" w:rsidR="00DC6B96" w:rsidRDefault="00DC6B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F4372" w14:textId="77777777" w:rsidR="00B05F70" w:rsidRDefault="00B05F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B2252" w14:textId="77777777" w:rsidR="00512FA9" w:rsidRDefault="00000000">
    <w:pPr>
      <w:pStyle w:val="Header"/>
    </w:pPr>
    <w:r>
      <w:rPr>
        <w:noProof/>
      </w:rPr>
      <w:pict w14:anchorId="1423E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pt;height:254.6pt;rotation:315;z-index:-251657728;mso-wrap-edited:f;mso-position-horizontal:center;mso-position-horizontal-relative:margin;mso-position-vertical:center;mso-position-vertical-relative:margin" o:allowincell="f" fillcolor="#d8d8d8 [2732]" stroked="f">
          <v:fill opacity=".5"/>
          <v:textpath style="font-family:&quot;Gill Sans Nov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C2174" w14:textId="060A6B07" w:rsidR="00512FA9" w:rsidRDefault="00512F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8467A"/>
    <w:multiLevelType w:val="hybridMultilevel"/>
    <w:tmpl w:val="6984613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7169A2"/>
    <w:multiLevelType w:val="hybridMultilevel"/>
    <w:tmpl w:val="64964FA4"/>
    <w:lvl w:ilvl="0" w:tplc="A84C08F0">
      <w:start w:val="1"/>
      <w:numFmt w:val="decimal"/>
      <w:lvlText w:val="%1."/>
      <w:lvlJc w:val="left"/>
      <w:pPr>
        <w:ind w:left="720" w:hanging="360"/>
      </w:pPr>
    </w:lvl>
    <w:lvl w:ilvl="1" w:tplc="53568E46">
      <w:start w:val="1"/>
      <w:numFmt w:val="decimal"/>
      <w:lvlText w:val="%2."/>
      <w:lvlJc w:val="left"/>
      <w:pPr>
        <w:ind w:left="720" w:hanging="360"/>
      </w:pPr>
    </w:lvl>
    <w:lvl w:ilvl="2" w:tplc="BCFA5F88">
      <w:start w:val="1"/>
      <w:numFmt w:val="decimal"/>
      <w:lvlText w:val="%3."/>
      <w:lvlJc w:val="left"/>
      <w:pPr>
        <w:ind w:left="720" w:hanging="360"/>
      </w:pPr>
    </w:lvl>
    <w:lvl w:ilvl="3" w:tplc="428AFA38">
      <w:start w:val="1"/>
      <w:numFmt w:val="decimal"/>
      <w:lvlText w:val="%4."/>
      <w:lvlJc w:val="left"/>
      <w:pPr>
        <w:ind w:left="720" w:hanging="360"/>
      </w:pPr>
    </w:lvl>
    <w:lvl w:ilvl="4" w:tplc="B7E0912A">
      <w:start w:val="1"/>
      <w:numFmt w:val="decimal"/>
      <w:lvlText w:val="%5."/>
      <w:lvlJc w:val="left"/>
      <w:pPr>
        <w:ind w:left="720" w:hanging="360"/>
      </w:pPr>
    </w:lvl>
    <w:lvl w:ilvl="5" w:tplc="836067A2">
      <w:start w:val="1"/>
      <w:numFmt w:val="decimal"/>
      <w:lvlText w:val="%6."/>
      <w:lvlJc w:val="left"/>
      <w:pPr>
        <w:ind w:left="720" w:hanging="360"/>
      </w:pPr>
    </w:lvl>
    <w:lvl w:ilvl="6" w:tplc="3132CC06">
      <w:start w:val="1"/>
      <w:numFmt w:val="decimal"/>
      <w:lvlText w:val="%7."/>
      <w:lvlJc w:val="left"/>
      <w:pPr>
        <w:ind w:left="720" w:hanging="360"/>
      </w:pPr>
    </w:lvl>
    <w:lvl w:ilvl="7" w:tplc="9FD8A30C">
      <w:start w:val="1"/>
      <w:numFmt w:val="decimal"/>
      <w:lvlText w:val="%8."/>
      <w:lvlJc w:val="left"/>
      <w:pPr>
        <w:ind w:left="720" w:hanging="360"/>
      </w:pPr>
    </w:lvl>
    <w:lvl w:ilvl="8" w:tplc="AC3A9822">
      <w:start w:val="1"/>
      <w:numFmt w:val="decimal"/>
      <w:lvlText w:val="%9."/>
      <w:lvlJc w:val="left"/>
      <w:pPr>
        <w:ind w:left="720" w:hanging="360"/>
      </w:pPr>
    </w:lvl>
  </w:abstractNum>
  <w:abstractNum w:abstractNumId="2" w15:restartNumberingAfterBreak="0">
    <w:nsid w:val="13427594"/>
    <w:multiLevelType w:val="hybridMultilevel"/>
    <w:tmpl w:val="A1D604A4"/>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23410F"/>
    <w:multiLevelType w:val="hybridMultilevel"/>
    <w:tmpl w:val="476C7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E260F4"/>
    <w:multiLevelType w:val="multilevel"/>
    <w:tmpl w:val="9E603E60"/>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25F56239"/>
    <w:multiLevelType w:val="hybridMultilevel"/>
    <w:tmpl w:val="E0940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7716E8"/>
    <w:multiLevelType w:val="hybridMultilevel"/>
    <w:tmpl w:val="FBFE01F2"/>
    <w:lvl w:ilvl="0" w:tplc="0C090019">
      <w:start w:val="1"/>
      <w:numFmt w:val="lowerLetter"/>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7" w15:restartNumberingAfterBreak="0">
    <w:nsid w:val="317D3463"/>
    <w:multiLevelType w:val="hybridMultilevel"/>
    <w:tmpl w:val="11400806"/>
    <w:lvl w:ilvl="0" w:tplc="14066B2A">
      <w:start w:val="1"/>
      <w:numFmt w:val="bullet"/>
      <w:lvlText w:val=""/>
      <w:lvlJc w:val="left"/>
      <w:pPr>
        <w:ind w:left="720" w:hanging="360"/>
      </w:pPr>
      <w:rPr>
        <w:rFonts w:ascii="Symbol" w:hAnsi="Symbol"/>
      </w:rPr>
    </w:lvl>
    <w:lvl w:ilvl="1" w:tplc="AC1C1BB0">
      <w:start w:val="1"/>
      <w:numFmt w:val="bullet"/>
      <w:lvlText w:val=""/>
      <w:lvlJc w:val="left"/>
      <w:pPr>
        <w:ind w:left="720" w:hanging="360"/>
      </w:pPr>
      <w:rPr>
        <w:rFonts w:ascii="Symbol" w:hAnsi="Symbol"/>
      </w:rPr>
    </w:lvl>
    <w:lvl w:ilvl="2" w:tplc="8116C85A">
      <w:start w:val="1"/>
      <w:numFmt w:val="bullet"/>
      <w:lvlText w:val=""/>
      <w:lvlJc w:val="left"/>
      <w:pPr>
        <w:ind w:left="720" w:hanging="360"/>
      </w:pPr>
      <w:rPr>
        <w:rFonts w:ascii="Symbol" w:hAnsi="Symbol"/>
      </w:rPr>
    </w:lvl>
    <w:lvl w:ilvl="3" w:tplc="A18292FE">
      <w:start w:val="1"/>
      <w:numFmt w:val="bullet"/>
      <w:lvlText w:val=""/>
      <w:lvlJc w:val="left"/>
      <w:pPr>
        <w:ind w:left="720" w:hanging="360"/>
      </w:pPr>
      <w:rPr>
        <w:rFonts w:ascii="Symbol" w:hAnsi="Symbol"/>
      </w:rPr>
    </w:lvl>
    <w:lvl w:ilvl="4" w:tplc="A5E28110">
      <w:start w:val="1"/>
      <w:numFmt w:val="bullet"/>
      <w:lvlText w:val=""/>
      <w:lvlJc w:val="left"/>
      <w:pPr>
        <w:ind w:left="720" w:hanging="360"/>
      </w:pPr>
      <w:rPr>
        <w:rFonts w:ascii="Symbol" w:hAnsi="Symbol"/>
      </w:rPr>
    </w:lvl>
    <w:lvl w:ilvl="5" w:tplc="DD3CF3E6">
      <w:start w:val="1"/>
      <w:numFmt w:val="bullet"/>
      <w:lvlText w:val=""/>
      <w:lvlJc w:val="left"/>
      <w:pPr>
        <w:ind w:left="720" w:hanging="360"/>
      </w:pPr>
      <w:rPr>
        <w:rFonts w:ascii="Symbol" w:hAnsi="Symbol"/>
      </w:rPr>
    </w:lvl>
    <w:lvl w:ilvl="6" w:tplc="758876B8">
      <w:start w:val="1"/>
      <w:numFmt w:val="bullet"/>
      <w:lvlText w:val=""/>
      <w:lvlJc w:val="left"/>
      <w:pPr>
        <w:ind w:left="720" w:hanging="360"/>
      </w:pPr>
      <w:rPr>
        <w:rFonts w:ascii="Symbol" w:hAnsi="Symbol"/>
      </w:rPr>
    </w:lvl>
    <w:lvl w:ilvl="7" w:tplc="CB6218F8">
      <w:start w:val="1"/>
      <w:numFmt w:val="bullet"/>
      <w:lvlText w:val=""/>
      <w:lvlJc w:val="left"/>
      <w:pPr>
        <w:ind w:left="720" w:hanging="360"/>
      </w:pPr>
      <w:rPr>
        <w:rFonts w:ascii="Symbol" w:hAnsi="Symbol"/>
      </w:rPr>
    </w:lvl>
    <w:lvl w:ilvl="8" w:tplc="6B10B366">
      <w:start w:val="1"/>
      <w:numFmt w:val="bullet"/>
      <w:lvlText w:val=""/>
      <w:lvlJc w:val="left"/>
      <w:pPr>
        <w:ind w:left="720" w:hanging="360"/>
      </w:pPr>
      <w:rPr>
        <w:rFonts w:ascii="Symbol" w:hAnsi="Symbol"/>
      </w:rPr>
    </w:lvl>
  </w:abstractNum>
  <w:abstractNum w:abstractNumId="8" w15:restartNumberingAfterBreak="0">
    <w:nsid w:val="32F220A6"/>
    <w:multiLevelType w:val="hybridMultilevel"/>
    <w:tmpl w:val="82C2DE0E"/>
    <w:lvl w:ilvl="0" w:tplc="5C1CF088">
      <w:start w:val="1"/>
      <w:numFmt w:val="bullet"/>
      <w:lvlText w:val=""/>
      <w:lvlJc w:val="left"/>
      <w:pPr>
        <w:ind w:left="720" w:hanging="360"/>
      </w:pPr>
      <w:rPr>
        <w:rFonts w:ascii="Symbol" w:hAnsi="Symbol"/>
      </w:rPr>
    </w:lvl>
    <w:lvl w:ilvl="1" w:tplc="1B1E9B8A">
      <w:start w:val="1"/>
      <w:numFmt w:val="bullet"/>
      <w:lvlText w:val=""/>
      <w:lvlJc w:val="left"/>
      <w:pPr>
        <w:ind w:left="720" w:hanging="360"/>
      </w:pPr>
      <w:rPr>
        <w:rFonts w:ascii="Symbol" w:hAnsi="Symbol"/>
      </w:rPr>
    </w:lvl>
    <w:lvl w:ilvl="2" w:tplc="AE8253F0">
      <w:start w:val="1"/>
      <w:numFmt w:val="bullet"/>
      <w:lvlText w:val=""/>
      <w:lvlJc w:val="left"/>
      <w:pPr>
        <w:ind w:left="720" w:hanging="360"/>
      </w:pPr>
      <w:rPr>
        <w:rFonts w:ascii="Symbol" w:hAnsi="Symbol"/>
      </w:rPr>
    </w:lvl>
    <w:lvl w:ilvl="3" w:tplc="B9209B08">
      <w:start w:val="1"/>
      <w:numFmt w:val="bullet"/>
      <w:lvlText w:val=""/>
      <w:lvlJc w:val="left"/>
      <w:pPr>
        <w:ind w:left="720" w:hanging="360"/>
      </w:pPr>
      <w:rPr>
        <w:rFonts w:ascii="Symbol" w:hAnsi="Symbol"/>
      </w:rPr>
    </w:lvl>
    <w:lvl w:ilvl="4" w:tplc="1C7E8122">
      <w:start w:val="1"/>
      <w:numFmt w:val="bullet"/>
      <w:lvlText w:val=""/>
      <w:lvlJc w:val="left"/>
      <w:pPr>
        <w:ind w:left="720" w:hanging="360"/>
      </w:pPr>
      <w:rPr>
        <w:rFonts w:ascii="Symbol" w:hAnsi="Symbol"/>
      </w:rPr>
    </w:lvl>
    <w:lvl w:ilvl="5" w:tplc="5A18E358">
      <w:start w:val="1"/>
      <w:numFmt w:val="bullet"/>
      <w:lvlText w:val=""/>
      <w:lvlJc w:val="left"/>
      <w:pPr>
        <w:ind w:left="720" w:hanging="360"/>
      </w:pPr>
      <w:rPr>
        <w:rFonts w:ascii="Symbol" w:hAnsi="Symbol"/>
      </w:rPr>
    </w:lvl>
    <w:lvl w:ilvl="6" w:tplc="2FE23850">
      <w:start w:val="1"/>
      <w:numFmt w:val="bullet"/>
      <w:lvlText w:val=""/>
      <w:lvlJc w:val="left"/>
      <w:pPr>
        <w:ind w:left="720" w:hanging="360"/>
      </w:pPr>
      <w:rPr>
        <w:rFonts w:ascii="Symbol" w:hAnsi="Symbol"/>
      </w:rPr>
    </w:lvl>
    <w:lvl w:ilvl="7" w:tplc="A26C71F4">
      <w:start w:val="1"/>
      <w:numFmt w:val="bullet"/>
      <w:lvlText w:val=""/>
      <w:lvlJc w:val="left"/>
      <w:pPr>
        <w:ind w:left="720" w:hanging="360"/>
      </w:pPr>
      <w:rPr>
        <w:rFonts w:ascii="Symbol" w:hAnsi="Symbol"/>
      </w:rPr>
    </w:lvl>
    <w:lvl w:ilvl="8" w:tplc="38521B24">
      <w:start w:val="1"/>
      <w:numFmt w:val="bullet"/>
      <w:lvlText w:val=""/>
      <w:lvlJc w:val="left"/>
      <w:pPr>
        <w:ind w:left="720" w:hanging="360"/>
      </w:pPr>
      <w:rPr>
        <w:rFonts w:ascii="Symbol" w:hAnsi="Symbol"/>
      </w:rPr>
    </w:lvl>
  </w:abstractNum>
  <w:abstractNum w:abstractNumId="9" w15:restartNumberingAfterBreak="0">
    <w:nsid w:val="36047A2B"/>
    <w:multiLevelType w:val="hybridMultilevel"/>
    <w:tmpl w:val="C1C2D4B2"/>
    <w:lvl w:ilvl="0" w:tplc="35AC779C">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9C08A0"/>
    <w:multiLevelType w:val="hybridMultilevel"/>
    <w:tmpl w:val="18B093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D329E3"/>
    <w:multiLevelType w:val="hybridMultilevel"/>
    <w:tmpl w:val="713EE6AE"/>
    <w:lvl w:ilvl="0" w:tplc="33F8366E">
      <w:start w:val="1"/>
      <w:numFmt w:val="decimal"/>
      <w:lvlText w:val="%1."/>
      <w:lvlJc w:val="left"/>
      <w:pPr>
        <w:ind w:left="720" w:hanging="360"/>
      </w:pPr>
      <w:rPr>
        <w:b/>
        <w:bCs/>
        <w:i w:val="0"/>
        <w:iCs w:val="0"/>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43D16D4"/>
    <w:multiLevelType w:val="hybridMultilevel"/>
    <w:tmpl w:val="FED4CF10"/>
    <w:lvl w:ilvl="0" w:tplc="D8AA8D24">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3" w15:restartNumberingAfterBreak="0">
    <w:nsid w:val="45EA7774"/>
    <w:multiLevelType w:val="hybridMultilevel"/>
    <w:tmpl w:val="D1C036FC"/>
    <w:lvl w:ilvl="0" w:tplc="DCC637CC">
      <w:start w:val="1"/>
      <w:numFmt w:val="bullet"/>
      <w:lvlText w:val=""/>
      <w:lvlJc w:val="left"/>
      <w:pPr>
        <w:ind w:left="1020" w:hanging="360"/>
      </w:pPr>
      <w:rPr>
        <w:rFonts w:ascii="Symbol" w:hAnsi="Symbol"/>
      </w:rPr>
    </w:lvl>
    <w:lvl w:ilvl="1" w:tplc="D68A0DEC">
      <w:start w:val="1"/>
      <w:numFmt w:val="bullet"/>
      <w:lvlText w:val=""/>
      <w:lvlJc w:val="left"/>
      <w:pPr>
        <w:ind w:left="1020" w:hanging="360"/>
      </w:pPr>
      <w:rPr>
        <w:rFonts w:ascii="Symbol" w:hAnsi="Symbol"/>
      </w:rPr>
    </w:lvl>
    <w:lvl w:ilvl="2" w:tplc="65FE34F0">
      <w:start w:val="1"/>
      <w:numFmt w:val="bullet"/>
      <w:lvlText w:val=""/>
      <w:lvlJc w:val="left"/>
      <w:pPr>
        <w:ind w:left="1020" w:hanging="360"/>
      </w:pPr>
      <w:rPr>
        <w:rFonts w:ascii="Symbol" w:hAnsi="Symbol"/>
      </w:rPr>
    </w:lvl>
    <w:lvl w:ilvl="3" w:tplc="396AF35A">
      <w:start w:val="1"/>
      <w:numFmt w:val="bullet"/>
      <w:lvlText w:val=""/>
      <w:lvlJc w:val="left"/>
      <w:pPr>
        <w:ind w:left="1020" w:hanging="360"/>
      </w:pPr>
      <w:rPr>
        <w:rFonts w:ascii="Symbol" w:hAnsi="Symbol"/>
      </w:rPr>
    </w:lvl>
    <w:lvl w:ilvl="4" w:tplc="84063DEC">
      <w:start w:val="1"/>
      <w:numFmt w:val="bullet"/>
      <w:lvlText w:val=""/>
      <w:lvlJc w:val="left"/>
      <w:pPr>
        <w:ind w:left="1020" w:hanging="360"/>
      </w:pPr>
      <w:rPr>
        <w:rFonts w:ascii="Symbol" w:hAnsi="Symbol"/>
      </w:rPr>
    </w:lvl>
    <w:lvl w:ilvl="5" w:tplc="0D7CAD1C">
      <w:start w:val="1"/>
      <w:numFmt w:val="bullet"/>
      <w:lvlText w:val=""/>
      <w:lvlJc w:val="left"/>
      <w:pPr>
        <w:ind w:left="1020" w:hanging="360"/>
      </w:pPr>
      <w:rPr>
        <w:rFonts w:ascii="Symbol" w:hAnsi="Symbol"/>
      </w:rPr>
    </w:lvl>
    <w:lvl w:ilvl="6" w:tplc="83C250A2">
      <w:start w:val="1"/>
      <w:numFmt w:val="bullet"/>
      <w:lvlText w:val=""/>
      <w:lvlJc w:val="left"/>
      <w:pPr>
        <w:ind w:left="1020" w:hanging="360"/>
      </w:pPr>
      <w:rPr>
        <w:rFonts w:ascii="Symbol" w:hAnsi="Symbol"/>
      </w:rPr>
    </w:lvl>
    <w:lvl w:ilvl="7" w:tplc="EAE26C3E">
      <w:start w:val="1"/>
      <w:numFmt w:val="bullet"/>
      <w:lvlText w:val=""/>
      <w:lvlJc w:val="left"/>
      <w:pPr>
        <w:ind w:left="1020" w:hanging="360"/>
      </w:pPr>
      <w:rPr>
        <w:rFonts w:ascii="Symbol" w:hAnsi="Symbol"/>
      </w:rPr>
    </w:lvl>
    <w:lvl w:ilvl="8" w:tplc="15AA7532">
      <w:start w:val="1"/>
      <w:numFmt w:val="bullet"/>
      <w:lvlText w:val=""/>
      <w:lvlJc w:val="left"/>
      <w:pPr>
        <w:ind w:left="1020" w:hanging="360"/>
      </w:pPr>
      <w:rPr>
        <w:rFonts w:ascii="Symbol" w:hAnsi="Symbol"/>
      </w:rPr>
    </w:lvl>
  </w:abstractNum>
  <w:abstractNum w:abstractNumId="14" w15:restartNumberingAfterBreak="0">
    <w:nsid w:val="47BE0F08"/>
    <w:multiLevelType w:val="hybridMultilevel"/>
    <w:tmpl w:val="B6CC3336"/>
    <w:lvl w:ilvl="0" w:tplc="F0FA2536">
      <w:start w:val="1"/>
      <w:numFmt w:val="bullet"/>
      <w:lvlText w:val=""/>
      <w:lvlJc w:val="left"/>
      <w:pPr>
        <w:ind w:left="720" w:hanging="360"/>
      </w:pPr>
      <w:rPr>
        <w:rFonts w:ascii="Symbol" w:hAnsi="Symbol"/>
      </w:rPr>
    </w:lvl>
    <w:lvl w:ilvl="1" w:tplc="E9CCC440">
      <w:start w:val="1"/>
      <w:numFmt w:val="bullet"/>
      <w:lvlText w:val=""/>
      <w:lvlJc w:val="left"/>
      <w:pPr>
        <w:ind w:left="720" w:hanging="360"/>
      </w:pPr>
      <w:rPr>
        <w:rFonts w:ascii="Symbol" w:hAnsi="Symbol"/>
      </w:rPr>
    </w:lvl>
    <w:lvl w:ilvl="2" w:tplc="75B2C80E">
      <w:start w:val="1"/>
      <w:numFmt w:val="bullet"/>
      <w:lvlText w:val=""/>
      <w:lvlJc w:val="left"/>
      <w:pPr>
        <w:ind w:left="720" w:hanging="360"/>
      </w:pPr>
      <w:rPr>
        <w:rFonts w:ascii="Symbol" w:hAnsi="Symbol"/>
      </w:rPr>
    </w:lvl>
    <w:lvl w:ilvl="3" w:tplc="5D90D350">
      <w:start w:val="1"/>
      <w:numFmt w:val="bullet"/>
      <w:lvlText w:val=""/>
      <w:lvlJc w:val="left"/>
      <w:pPr>
        <w:ind w:left="720" w:hanging="360"/>
      </w:pPr>
      <w:rPr>
        <w:rFonts w:ascii="Symbol" w:hAnsi="Symbol"/>
      </w:rPr>
    </w:lvl>
    <w:lvl w:ilvl="4" w:tplc="258E31E8">
      <w:start w:val="1"/>
      <w:numFmt w:val="bullet"/>
      <w:lvlText w:val=""/>
      <w:lvlJc w:val="left"/>
      <w:pPr>
        <w:ind w:left="720" w:hanging="360"/>
      </w:pPr>
      <w:rPr>
        <w:rFonts w:ascii="Symbol" w:hAnsi="Symbol"/>
      </w:rPr>
    </w:lvl>
    <w:lvl w:ilvl="5" w:tplc="DA3E1A2E">
      <w:start w:val="1"/>
      <w:numFmt w:val="bullet"/>
      <w:lvlText w:val=""/>
      <w:lvlJc w:val="left"/>
      <w:pPr>
        <w:ind w:left="720" w:hanging="360"/>
      </w:pPr>
      <w:rPr>
        <w:rFonts w:ascii="Symbol" w:hAnsi="Symbol"/>
      </w:rPr>
    </w:lvl>
    <w:lvl w:ilvl="6" w:tplc="B1AEE9F8">
      <w:start w:val="1"/>
      <w:numFmt w:val="bullet"/>
      <w:lvlText w:val=""/>
      <w:lvlJc w:val="left"/>
      <w:pPr>
        <w:ind w:left="720" w:hanging="360"/>
      </w:pPr>
      <w:rPr>
        <w:rFonts w:ascii="Symbol" w:hAnsi="Symbol"/>
      </w:rPr>
    </w:lvl>
    <w:lvl w:ilvl="7" w:tplc="65C80E58">
      <w:start w:val="1"/>
      <w:numFmt w:val="bullet"/>
      <w:lvlText w:val=""/>
      <w:lvlJc w:val="left"/>
      <w:pPr>
        <w:ind w:left="720" w:hanging="360"/>
      </w:pPr>
      <w:rPr>
        <w:rFonts w:ascii="Symbol" w:hAnsi="Symbol"/>
      </w:rPr>
    </w:lvl>
    <w:lvl w:ilvl="8" w:tplc="95C636C8">
      <w:start w:val="1"/>
      <w:numFmt w:val="bullet"/>
      <w:lvlText w:val=""/>
      <w:lvlJc w:val="left"/>
      <w:pPr>
        <w:ind w:left="720" w:hanging="360"/>
      </w:pPr>
      <w:rPr>
        <w:rFonts w:ascii="Symbol" w:hAnsi="Symbol"/>
      </w:rPr>
    </w:lvl>
  </w:abstractNum>
  <w:abstractNum w:abstractNumId="15" w15:restartNumberingAfterBreak="0">
    <w:nsid w:val="4E9E375C"/>
    <w:multiLevelType w:val="hybridMultilevel"/>
    <w:tmpl w:val="230A84D2"/>
    <w:lvl w:ilvl="0" w:tplc="0B6A34E4">
      <w:start w:val="1"/>
      <w:numFmt w:val="bullet"/>
      <w:lvlText w:val=""/>
      <w:lvlJc w:val="left"/>
      <w:pPr>
        <w:ind w:left="720" w:hanging="360"/>
      </w:pPr>
      <w:rPr>
        <w:rFonts w:ascii="Symbol" w:hAnsi="Symbol"/>
      </w:rPr>
    </w:lvl>
    <w:lvl w:ilvl="1" w:tplc="89E6CB52">
      <w:start w:val="1"/>
      <w:numFmt w:val="bullet"/>
      <w:lvlText w:val=""/>
      <w:lvlJc w:val="left"/>
      <w:pPr>
        <w:ind w:left="720" w:hanging="360"/>
      </w:pPr>
      <w:rPr>
        <w:rFonts w:ascii="Symbol" w:hAnsi="Symbol"/>
      </w:rPr>
    </w:lvl>
    <w:lvl w:ilvl="2" w:tplc="C7906938">
      <w:start w:val="1"/>
      <w:numFmt w:val="bullet"/>
      <w:lvlText w:val=""/>
      <w:lvlJc w:val="left"/>
      <w:pPr>
        <w:ind w:left="720" w:hanging="360"/>
      </w:pPr>
      <w:rPr>
        <w:rFonts w:ascii="Symbol" w:hAnsi="Symbol"/>
      </w:rPr>
    </w:lvl>
    <w:lvl w:ilvl="3" w:tplc="18DC0A70">
      <w:start w:val="1"/>
      <w:numFmt w:val="bullet"/>
      <w:lvlText w:val=""/>
      <w:lvlJc w:val="left"/>
      <w:pPr>
        <w:ind w:left="720" w:hanging="360"/>
      </w:pPr>
      <w:rPr>
        <w:rFonts w:ascii="Symbol" w:hAnsi="Symbol"/>
      </w:rPr>
    </w:lvl>
    <w:lvl w:ilvl="4" w:tplc="C93C9602">
      <w:start w:val="1"/>
      <w:numFmt w:val="bullet"/>
      <w:lvlText w:val=""/>
      <w:lvlJc w:val="left"/>
      <w:pPr>
        <w:ind w:left="720" w:hanging="360"/>
      </w:pPr>
      <w:rPr>
        <w:rFonts w:ascii="Symbol" w:hAnsi="Symbol"/>
      </w:rPr>
    </w:lvl>
    <w:lvl w:ilvl="5" w:tplc="7702F100">
      <w:start w:val="1"/>
      <w:numFmt w:val="bullet"/>
      <w:lvlText w:val=""/>
      <w:lvlJc w:val="left"/>
      <w:pPr>
        <w:ind w:left="720" w:hanging="360"/>
      </w:pPr>
      <w:rPr>
        <w:rFonts w:ascii="Symbol" w:hAnsi="Symbol"/>
      </w:rPr>
    </w:lvl>
    <w:lvl w:ilvl="6" w:tplc="3C5AA474">
      <w:start w:val="1"/>
      <w:numFmt w:val="bullet"/>
      <w:lvlText w:val=""/>
      <w:lvlJc w:val="left"/>
      <w:pPr>
        <w:ind w:left="720" w:hanging="360"/>
      </w:pPr>
      <w:rPr>
        <w:rFonts w:ascii="Symbol" w:hAnsi="Symbol"/>
      </w:rPr>
    </w:lvl>
    <w:lvl w:ilvl="7" w:tplc="9166A248">
      <w:start w:val="1"/>
      <w:numFmt w:val="bullet"/>
      <w:lvlText w:val=""/>
      <w:lvlJc w:val="left"/>
      <w:pPr>
        <w:ind w:left="720" w:hanging="360"/>
      </w:pPr>
      <w:rPr>
        <w:rFonts w:ascii="Symbol" w:hAnsi="Symbol"/>
      </w:rPr>
    </w:lvl>
    <w:lvl w:ilvl="8" w:tplc="1EC829A4">
      <w:start w:val="1"/>
      <w:numFmt w:val="bullet"/>
      <w:lvlText w:val=""/>
      <w:lvlJc w:val="left"/>
      <w:pPr>
        <w:ind w:left="720" w:hanging="360"/>
      </w:pPr>
      <w:rPr>
        <w:rFonts w:ascii="Symbol" w:hAnsi="Symbol"/>
      </w:rPr>
    </w:lvl>
  </w:abstractNum>
  <w:abstractNum w:abstractNumId="16" w15:restartNumberingAfterBreak="0">
    <w:nsid w:val="4EFE432E"/>
    <w:multiLevelType w:val="hybridMultilevel"/>
    <w:tmpl w:val="FFFFFFFF"/>
    <w:lvl w:ilvl="0" w:tplc="A9E0812A">
      <w:start w:val="1"/>
      <w:numFmt w:val="bullet"/>
      <w:lvlText w:val=""/>
      <w:lvlJc w:val="left"/>
      <w:pPr>
        <w:ind w:left="720" w:hanging="360"/>
      </w:pPr>
      <w:rPr>
        <w:rFonts w:ascii="Symbol" w:hAnsi="Symbol" w:hint="default"/>
      </w:rPr>
    </w:lvl>
    <w:lvl w:ilvl="1" w:tplc="C7C8E926">
      <w:start w:val="1"/>
      <w:numFmt w:val="bullet"/>
      <w:lvlText w:val="o"/>
      <w:lvlJc w:val="left"/>
      <w:pPr>
        <w:ind w:left="1440" w:hanging="360"/>
      </w:pPr>
      <w:rPr>
        <w:rFonts w:ascii="Courier New" w:hAnsi="Courier New" w:hint="default"/>
      </w:rPr>
    </w:lvl>
    <w:lvl w:ilvl="2" w:tplc="E5382284">
      <w:start w:val="1"/>
      <w:numFmt w:val="bullet"/>
      <w:lvlText w:val=""/>
      <w:lvlJc w:val="left"/>
      <w:pPr>
        <w:ind w:left="2160" w:hanging="360"/>
      </w:pPr>
      <w:rPr>
        <w:rFonts w:ascii="Wingdings" w:hAnsi="Wingdings" w:hint="default"/>
      </w:rPr>
    </w:lvl>
    <w:lvl w:ilvl="3" w:tplc="750E2F8A">
      <w:start w:val="1"/>
      <w:numFmt w:val="bullet"/>
      <w:lvlText w:val=""/>
      <w:lvlJc w:val="left"/>
      <w:pPr>
        <w:ind w:left="2880" w:hanging="360"/>
      </w:pPr>
      <w:rPr>
        <w:rFonts w:ascii="Symbol" w:hAnsi="Symbol" w:hint="default"/>
      </w:rPr>
    </w:lvl>
    <w:lvl w:ilvl="4" w:tplc="23362936">
      <w:start w:val="1"/>
      <w:numFmt w:val="bullet"/>
      <w:lvlText w:val="o"/>
      <w:lvlJc w:val="left"/>
      <w:pPr>
        <w:ind w:left="3600" w:hanging="360"/>
      </w:pPr>
      <w:rPr>
        <w:rFonts w:ascii="Courier New" w:hAnsi="Courier New" w:hint="default"/>
      </w:rPr>
    </w:lvl>
    <w:lvl w:ilvl="5" w:tplc="78DADBF2">
      <w:start w:val="1"/>
      <w:numFmt w:val="bullet"/>
      <w:lvlText w:val=""/>
      <w:lvlJc w:val="left"/>
      <w:pPr>
        <w:ind w:left="4320" w:hanging="360"/>
      </w:pPr>
      <w:rPr>
        <w:rFonts w:ascii="Wingdings" w:hAnsi="Wingdings" w:hint="default"/>
      </w:rPr>
    </w:lvl>
    <w:lvl w:ilvl="6" w:tplc="86584F92">
      <w:start w:val="1"/>
      <w:numFmt w:val="bullet"/>
      <w:lvlText w:val=""/>
      <w:lvlJc w:val="left"/>
      <w:pPr>
        <w:ind w:left="5040" w:hanging="360"/>
      </w:pPr>
      <w:rPr>
        <w:rFonts w:ascii="Symbol" w:hAnsi="Symbol" w:hint="default"/>
      </w:rPr>
    </w:lvl>
    <w:lvl w:ilvl="7" w:tplc="1F20597E">
      <w:start w:val="1"/>
      <w:numFmt w:val="bullet"/>
      <w:lvlText w:val="o"/>
      <w:lvlJc w:val="left"/>
      <w:pPr>
        <w:ind w:left="5760" w:hanging="360"/>
      </w:pPr>
      <w:rPr>
        <w:rFonts w:ascii="Courier New" w:hAnsi="Courier New" w:hint="default"/>
      </w:rPr>
    </w:lvl>
    <w:lvl w:ilvl="8" w:tplc="C49AECCE">
      <w:start w:val="1"/>
      <w:numFmt w:val="bullet"/>
      <w:lvlText w:val=""/>
      <w:lvlJc w:val="left"/>
      <w:pPr>
        <w:ind w:left="6480" w:hanging="360"/>
      </w:pPr>
      <w:rPr>
        <w:rFonts w:ascii="Wingdings" w:hAnsi="Wingdings" w:hint="default"/>
      </w:rPr>
    </w:lvl>
  </w:abstractNum>
  <w:abstractNum w:abstractNumId="17" w15:restartNumberingAfterBreak="0">
    <w:nsid w:val="52887213"/>
    <w:multiLevelType w:val="hybridMultilevel"/>
    <w:tmpl w:val="41E2EB86"/>
    <w:lvl w:ilvl="0" w:tplc="F33AAD2C">
      <w:start w:val="1"/>
      <w:numFmt w:val="bullet"/>
      <w:lvlText w:val=""/>
      <w:lvlJc w:val="left"/>
      <w:pPr>
        <w:ind w:left="1020" w:hanging="360"/>
      </w:pPr>
      <w:rPr>
        <w:rFonts w:ascii="Symbol" w:hAnsi="Symbol"/>
      </w:rPr>
    </w:lvl>
    <w:lvl w:ilvl="1" w:tplc="1DEADC64">
      <w:start w:val="1"/>
      <w:numFmt w:val="bullet"/>
      <w:lvlText w:val=""/>
      <w:lvlJc w:val="left"/>
      <w:pPr>
        <w:ind w:left="1020" w:hanging="360"/>
      </w:pPr>
      <w:rPr>
        <w:rFonts w:ascii="Symbol" w:hAnsi="Symbol"/>
      </w:rPr>
    </w:lvl>
    <w:lvl w:ilvl="2" w:tplc="8D7E9BA6">
      <w:start w:val="1"/>
      <w:numFmt w:val="bullet"/>
      <w:lvlText w:val=""/>
      <w:lvlJc w:val="left"/>
      <w:pPr>
        <w:ind w:left="1020" w:hanging="360"/>
      </w:pPr>
      <w:rPr>
        <w:rFonts w:ascii="Symbol" w:hAnsi="Symbol"/>
      </w:rPr>
    </w:lvl>
    <w:lvl w:ilvl="3" w:tplc="D33AF8E4">
      <w:start w:val="1"/>
      <w:numFmt w:val="bullet"/>
      <w:lvlText w:val=""/>
      <w:lvlJc w:val="left"/>
      <w:pPr>
        <w:ind w:left="1020" w:hanging="360"/>
      </w:pPr>
      <w:rPr>
        <w:rFonts w:ascii="Symbol" w:hAnsi="Symbol"/>
      </w:rPr>
    </w:lvl>
    <w:lvl w:ilvl="4" w:tplc="DA6C233C">
      <w:start w:val="1"/>
      <w:numFmt w:val="bullet"/>
      <w:lvlText w:val=""/>
      <w:lvlJc w:val="left"/>
      <w:pPr>
        <w:ind w:left="1020" w:hanging="360"/>
      </w:pPr>
      <w:rPr>
        <w:rFonts w:ascii="Symbol" w:hAnsi="Symbol"/>
      </w:rPr>
    </w:lvl>
    <w:lvl w:ilvl="5" w:tplc="2F9E29D4">
      <w:start w:val="1"/>
      <w:numFmt w:val="bullet"/>
      <w:lvlText w:val=""/>
      <w:lvlJc w:val="left"/>
      <w:pPr>
        <w:ind w:left="1020" w:hanging="360"/>
      </w:pPr>
      <w:rPr>
        <w:rFonts w:ascii="Symbol" w:hAnsi="Symbol"/>
      </w:rPr>
    </w:lvl>
    <w:lvl w:ilvl="6" w:tplc="34C27CB6">
      <w:start w:val="1"/>
      <w:numFmt w:val="bullet"/>
      <w:lvlText w:val=""/>
      <w:lvlJc w:val="left"/>
      <w:pPr>
        <w:ind w:left="1020" w:hanging="360"/>
      </w:pPr>
      <w:rPr>
        <w:rFonts w:ascii="Symbol" w:hAnsi="Symbol"/>
      </w:rPr>
    </w:lvl>
    <w:lvl w:ilvl="7" w:tplc="B8504E0E">
      <w:start w:val="1"/>
      <w:numFmt w:val="bullet"/>
      <w:lvlText w:val=""/>
      <w:lvlJc w:val="left"/>
      <w:pPr>
        <w:ind w:left="1020" w:hanging="360"/>
      </w:pPr>
      <w:rPr>
        <w:rFonts w:ascii="Symbol" w:hAnsi="Symbol"/>
      </w:rPr>
    </w:lvl>
    <w:lvl w:ilvl="8" w:tplc="E8C21684">
      <w:start w:val="1"/>
      <w:numFmt w:val="bullet"/>
      <w:lvlText w:val=""/>
      <w:lvlJc w:val="left"/>
      <w:pPr>
        <w:ind w:left="1020" w:hanging="360"/>
      </w:pPr>
      <w:rPr>
        <w:rFonts w:ascii="Symbol" w:hAnsi="Symbol"/>
      </w:rPr>
    </w:lvl>
  </w:abstractNum>
  <w:abstractNum w:abstractNumId="18" w15:restartNumberingAfterBreak="0">
    <w:nsid w:val="58156A09"/>
    <w:multiLevelType w:val="hybridMultilevel"/>
    <w:tmpl w:val="482056EC"/>
    <w:lvl w:ilvl="0" w:tplc="DF54256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93381"/>
    <w:multiLevelType w:val="hybridMultilevel"/>
    <w:tmpl w:val="1A1C1FBA"/>
    <w:lvl w:ilvl="0" w:tplc="7DCC8BAE">
      <w:start w:val="1"/>
      <w:numFmt w:val="bullet"/>
      <w:lvlText w:val=""/>
      <w:lvlJc w:val="left"/>
      <w:pPr>
        <w:ind w:left="720" w:hanging="360"/>
      </w:pPr>
      <w:rPr>
        <w:rFonts w:ascii="Symbol" w:hAnsi="Symbol"/>
      </w:rPr>
    </w:lvl>
    <w:lvl w:ilvl="1" w:tplc="039CD45E">
      <w:start w:val="1"/>
      <w:numFmt w:val="bullet"/>
      <w:lvlText w:val=""/>
      <w:lvlJc w:val="left"/>
      <w:pPr>
        <w:ind w:left="720" w:hanging="360"/>
      </w:pPr>
      <w:rPr>
        <w:rFonts w:ascii="Symbol" w:hAnsi="Symbol"/>
      </w:rPr>
    </w:lvl>
    <w:lvl w:ilvl="2" w:tplc="B524A33E">
      <w:start w:val="1"/>
      <w:numFmt w:val="bullet"/>
      <w:lvlText w:val=""/>
      <w:lvlJc w:val="left"/>
      <w:pPr>
        <w:ind w:left="720" w:hanging="360"/>
      </w:pPr>
      <w:rPr>
        <w:rFonts w:ascii="Symbol" w:hAnsi="Symbol"/>
      </w:rPr>
    </w:lvl>
    <w:lvl w:ilvl="3" w:tplc="15A6C83A">
      <w:start w:val="1"/>
      <w:numFmt w:val="bullet"/>
      <w:lvlText w:val=""/>
      <w:lvlJc w:val="left"/>
      <w:pPr>
        <w:ind w:left="720" w:hanging="360"/>
      </w:pPr>
      <w:rPr>
        <w:rFonts w:ascii="Symbol" w:hAnsi="Symbol"/>
      </w:rPr>
    </w:lvl>
    <w:lvl w:ilvl="4" w:tplc="F918A68E">
      <w:start w:val="1"/>
      <w:numFmt w:val="bullet"/>
      <w:lvlText w:val=""/>
      <w:lvlJc w:val="left"/>
      <w:pPr>
        <w:ind w:left="720" w:hanging="360"/>
      </w:pPr>
      <w:rPr>
        <w:rFonts w:ascii="Symbol" w:hAnsi="Symbol"/>
      </w:rPr>
    </w:lvl>
    <w:lvl w:ilvl="5" w:tplc="463836AC">
      <w:start w:val="1"/>
      <w:numFmt w:val="bullet"/>
      <w:lvlText w:val=""/>
      <w:lvlJc w:val="left"/>
      <w:pPr>
        <w:ind w:left="720" w:hanging="360"/>
      </w:pPr>
      <w:rPr>
        <w:rFonts w:ascii="Symbol" w:hAnsi="Symbol"/>
      </w:rPr>
    </w:lvl>
    <w:lvl w:ilvl="6" w:tplc="EC14730A">
      <w:start w:val="1"/>
      <w:numFmt w:val="bullet"/>
      <w:lvlText w:val=""/>
      <w:lvlJc w:val="left"/>
      <w:pPr>
        <w:ind w:left="720" w:hanging="360"/>
      </w:pPr>
      <w:rPr>
        <w:rFonts w:ascii="Symbol" w:hAnsi="Symbol"/>
      </w:rPr>
    </w:lvl>
    <w:lvl w:ilvl="7" w:tplc="A9E40B1C">
      <w:start w:val="1"/>
      <w:numFmt w:val="bullet"/>
      <w:lvlText w:val=""/>
      <w:lvlJc w:val="left"/>
      <w:pPr>
        <w:ind w:left="720" w:hanging="360"/>
      </w:pPr>
      <w:rPr>
        <w:rFonts w:ascii="Symbol" w:hAnsi="Symbol"/>
      </w:rPr>
    </w:lvl>
    <w:lvl w:ilvl="8" w:tplc="7E920570">
      <w:start w:val="1"/>
      <w:numFmt w:val="bullet"/>
      <w:lvlText w:val=""/>
      <w:lvlJc w:val="left"/>
      <w:pPr>
        <w:ind w:left="720" w:hanging="360"/>
      </w:pPr>
      <w:rPr>
        <w:rFonts w:ascii="Symbol" w:hAnsi="Symbol"/>
      </w:rPr>
    </w:lvl>
  </w:abstractNum>
  <w:abstractNum w:abstractNumId="20" w15:restartNumberingAfterBreak="0">
    <w:nsid w:val="65C757D6"/>
    <w:multiLevelType w:val="hybridMultilevel"/>
    <w:tmpl w:val="EADC8536"/>
    <w:lvl w:ilvl="0" w:tplc="0002B658">
      <w:start w:val="1"/>
      <w:numFmt w:val="bullet"/>
      <w:lvlText w:val=""/>
      <w:lvlJc w:val="left"/>
      <w:pPr>
        <w:ind w:left="720" w:hanging="360"/>
      </w:pPr>
      <w:rPr>
        <w:rFonts w:ascii="Symbol" w:hAnsi="Symbol"/>
      </w:rPr>
    </w:lvl>
    <w:lvl w:ilvl="1" w:tplc="0172B830">
      <w:start w:val="1"/>
      <w:numFmt w:val="bullet"/>
      <w:lvlText w:val=""/>
      <w:lvlJc w:val="left"/>
      <w:pPr>
        <w:ind w:left="720" w:hanging="360"/>
      </w:pPr>
      <w:rPr>
        <w:rFonts w:ascii="Symbol" w:hAnsi="Symbol"/>
      </w:rPr>
    </w:lvl>
    <w:lvl w:ilvl="2" w:tplc="A29E2044">
      <w:start w:val="1"/>
      <w:numFmt w:val="bullet"/>
      <w:lvlText w:val=""/>
      <w:lvlJc w:val="left"/>
      <w:pPr>
        <w:ind w:left="720" w:hanging="360"/>
      </w:pPr>
      <w:rPr>
        <w:rFonts w:ascii="Symbol" w:hAnsi="Symbol"/>
      </w:rPr>
    </w:lvl>
    <w:lvl w:ilvl="3" w:tplc="19149A74">
      <w:start w:val="1"/>
      <w:numFmt w:val="bullet"/>
      <w:lvlText w:val=""/>
      <w:lvlJc w:val="left"/>
      <w:pPr>
        <w:ind w:left="720" w:hanging="360"/>
      </w:pPr>
      <w:rPr>
        <w:rFonts w:ascii="Symbol" w:hAnsi="Symbol"/>
      </w:rPr>
    </w:lvl>
    <w:lvl w:ilvl="4" w:tplc="C0921768">
      <w:start w:val="1"/>
      <w:numFmt w:val="bullet"/>
      <w:lvlText w:val=""/>
      <w:lvlJc w:val="left"/>
      <w:pPr>
        <w:ind w:left="720" w:hanging="360"/>
      </w:pPr>
      <w:rPr>
        <w:rFonts w:ascii="Symbol" w:hAnsi="Symbol"/>
      </w:rPr>
    </w:lvl>
    <w:lvl w:ilvl="5" w:tplc="41688404">
      <w:start w:val="1"/>
      <w:numFmt w:val="bullet"/>
      <w:lvlText w:val=""/>
      <w:lvlJc w:val="left"/>
      <w:pPr>
        <w:ind w:left="720" w:hanging="360"/>
      </w:pPr>
      <w:rPr>
        <w:rFonts w:ascii="Symbol" w:hAnsi="Symbol"/>
      </w:rPr>
    </w:lvl>
    <w:lvl w:ilvl="6" w:tplc="FCF6F124">
      <w:start w:val="1"/>
      <w:numFmt w:val="bullet"/>
      <w:lvlText w:val=""/>
      <w:lvlJc w:val="left"/>
      <w:pPr>
        <w:ind w:left="720" w:hanging="360"/>
      </w:pPr>
      <w:rPr>
        <w:rFonts w:ascii="Symbol" w:hAnsi="Symbol"/>
      </w:rPr>
    </w:lvl>
    <w:lvl w:ilvl="7" w:tplc="947E4EA8">
      <w:start w:val="1"/>
      <w:numFmt w:val="bullet"/>
      <w:lvlText w:val=""/>
      <w:lvlJc w:val="left"/>
      <w:pPr>
        <w:ind w:left="720" w:hanging="360"/>
      </w:pPr>
      <w:rPr>
        <w:rFonts w:ascii="Symbol" w:hAnsi="Symbol"/>
      </w:rPr>
    </w:lvl>
    <w:lvl w:ilvl="8" w:tplc="F8F4469C">
      <w:start w:val="1"/>
      <w:numFmt w:val="bullet"/>
      <w:lvlText w:val=""/>
      <w:lvlJc w:val="left"/>
      <w:pPr>
        <w:ind w:left="720" w:hanging="360"/>
      </w:pPr>
      <w:rPr>
        <w:rFonts w:ascii="Symbol" w:hAnsi="Symbol"/>
      </w:rPr>
    </w:lvl>
  </w:abstractNum>
  <w:abstractNum w:abstractNumId="21" w15:restartNumberingAfterBreak="0">
    <w:nsid w:val="69A1231F"/>
    <w:multiLevelType w:val="hybridMultilevel"/>
    <w:tmpl w:val="43A22922"/>
    <w:lvl w:ilvl="0" w:tplc="6E448426">
      <w:start w:val="1"/>
      <w:numFmt w:val="bullet"/>
      <w:lvlText w:val=""/>
      <w:lvlJc w:val="left"/>
      <w:pPr>
        <w:ind w:left="720" w:hanging="360"/>
      </w:pPr>
      <w:rPr>
        <w:rFonts w:ascii="Symbol" w:hAnsi="Symbol"/>
      </w:rPr>
    </w:lvl>
    <w:lvl w:ilvl="1" w:tplc="1A0CA2AE">
      <w:start w:val="1"/>
      <w:numFmt w:val="bullet"/>
      <w:lvlText w:val=""/>
      <w:lvlJc w:val="left"/>
      <w:pPr>
        <w:ind w:left="720" w:hanging="360"/>
      </w:pPr>
      <w:rPr>
        <w:rFonts w:ascii="Symbol" w:hAnsi="Symbol"/>
      </w:rPr>
    </w:lvl>
    <w:lvl w:ilvl="2" w:tplc="7A1AB44A">
      <w:start w:val="1"/>
      <w:numFmt w:val="bullet"/>
      <w:lvlText w:val=""/>
      <w:lvlJc w:val="left"/>
      <w:pPr>
        <w:ind w:left="720" w:hanging="360"/>
      </w:pPr>
      <w:rPr>
        <w:rFonts w:ascii="Symbol" w:hAnsi="Symbol"/>
      </w:rPr>
    </w:lvl>
    <w:lvl w:ilvl="3" w:tplc="EF761D38">
      <w:start w:val="1"/>
      <w:numFmt w:val="bullet"/>
      <w:lvlText w:val=""/>
      <w:lvlJc w:val="left"/>
      <w:pPr>
        <w:ind w:left="720" w:hanging="360"/>
      </w:pPr>
      <w:rPr>
        <w:rFonts w:ascii="Symbol" w:hAnsi="Symbol"/>
      </w:rPr>
    </w:lvl>
    <w:lvl w:ilvl="4" w:tplc="30EA102A">
      <w:start w:val="1"/>
      <w:numFmt w:val="bullet"/>
      <w:lvlText w:val=""/>
      <w:lvlJc w:val="left"/>
      <w:pPr>
        <w:ind w:left="720" w:hanging="360"/>
      </w:pPr>
      <w:rPr>
        <w:rFonts w:ascii="Symbol" w:hAnsi="Symbol"/>
      </w:rPr>
    </w:lvl>
    <w:lvl w:ilvl="5" w:tplc="640C78BC">
      <w:start w:val="1"/>
      <w:numFmt w:val="bullet"/>
      <w:lvlText w:val=""/>
      <w:lvlJc w:val="left"/>
      <w:pPr>
        <w:ind w:left="720" w:hanging="360"/>
      </w:pPr>
      <w:rPr>
        <w:rFonts w:ascii="Symbol" w:hAnsi="Symbol"/>
      </w:rPr>
    </w:lvl>
    <w:lvl w:ilvl="6" w:tplc="5B22B364">
      <w:start w:val="1"/>
      <w:numFmt w:val="bullet"/>
      <w:lvlText w:val=""/>
      <w:lvlJc w:val="left"/>
      <w:pPr>
        <w:ind w:left="720" w:hanging="360"/>
      </w:pPr>
      <w:rPr>
        <w:rFonts w:ascii="Symbol" w:hAnsi="Symbol"/>
      </w:rPr>
    </w:lvl>
    <w:lvl w:ilvl="7" w:tplc="92148F8A">
      <w:start w:val="1"/>
      <w:numFmt w:val="bullet"/>
      <w:lvlText w:val=""/>
      <w:lvlJc w:val="left"/>
      <w:pPr>
        <w:ind w:left="720" w:hanging="360"/>
      </w:pPr>
      <w:rPr>
        <w:rFonts w:ascii="Symbol" w:hAnsi="Symbol"/>
      </w:rPr>
    </w:lvl>
    <w:lvl w:ilvl="8" w:tplc="45BCC6DE">
      <w:start w:val="1"/>
      <w:numFmt w:val="bullet"/>
      <w:lvlText w:val=""/>
      <w:lvlJc w:val="left"/>
      <w:pPr>
        <w:ind w:left="720" w:hanging="360"/>
      </w:pPr>
      <w:rPr>
        <w:rFonts w:ascii="Symbol" w:hAnsi="Symbol"/>
      </w:rPr>
    </w:lvl>
  </w:abstractNum>
  <w:abstractNum w:abstractNumId="22" w15:restartNumberingAfterBreak="0">
    <w:nsid w:val="6F80F595"/>
    <w:multiLevelType w:val="hybridMultilevel"/>
    <w:tmpl w:val="FFFFFFFF"/>
    <w:lvl w:ilvl="0" w:tplc="4FA6ED52">
      <w:start w:val="1"/>
      <w:numFmt w:val="bullet"/>
      <w:lvlText w:val=""/>
      <w:lvlJc w:val="left"/>
      <w:pPr>
        <w:ind w:left="720" w:hanging="360"/>
      </w:pPr>
      <w:rPr>
        <w:rFonts w:ascii="Symbol" w:hAnsi="Symbol" w:hint="default"/>
      </w:rPr>
    </w:lvl>
    <w:lvl w:ilvl="1" w:tplc="EFECBD7C">
      <w:start w:val="1"/>
      <w:numFmt w:val="bullet"/>
      <w:lvlText w:val="o"/>
      <w:lvlJc w:val="left"/>
      <w:pPr>
        <w:ind w:left="1440" w:hanging="360"/>
      </w:pPr>
      <w:rPr>
        <w:rFonts w:ascii="Courier New" w:hAnsi="Courier New" w:hint="default"/>
      </w:rPr>
    </w:lvl>
    <w:lvl w:ilvl="2" w:tplc="C6B2300E">
      <w:start w:val="1"/>
      <w:numFmt w:val="bullet"/>
      <w:lvlText w:val=""/>
      <w:lvlJc w:val="left"/>
      <w:pPr>
        <w:ind w:left="2160" w:hanging="360"/>
      </w:pPr>
      <w:rPr>
        <w:rFonts w:ascii="Wingdings" w:hAnsi="Wingdings" w:hint="default"/>
      </w:rPr>
    </w:lvl>
    <w:lvl w:ilvl="3" w:tplc="ED6CDCE8">
      <w:start w:val="1"/>
      <w:numFmt w:val="bullet"/>
      <w:lvlText w:val=""/>
      <w:lvlJc w:val="left"/>
      <w:pPr>
        <w:ind w:left="2880" w:hanging="360"/>
      </w:pPr>
      <w:rPr>
        <w:rFonts w:ascii="Symbol" w:hAnsi="Symbol" w:hint="default"/>
      </w:rPr>
    </w:lvl>
    <w:lvl w:ilvl="4" w:tplc="7018B5CC">
      <w:start w:val="1"/>
      <w:numFmt w:val="bullet"/>
      <w:lvlText w:val="o"/>
      <w:lvlJc w:val="left"/>
      <w:pPr>
        <w:ind w:left="3600" w:hanging="360"/>
      </w:pPr>
      <w:rPr>
        <w:rFonts w:ascii="Courier New" w:hAnsi="Courier New" w:hint="default"/>
      </w:rPr>
    </w:lvl>
    <w:lvl w:ilvl="5" w:tplc="C346FBE2">
      <w:start w:val="1"/>
      <w:numFmt w:val="bullet"/>
      <w:lvlText w:val=""/>
      <w:lvlJc w:val="left"/>
      <w:pPr>
        <w:ind w:left="4320" w:hanging="360"/>
      </w:pPr>
      <w:rPr>
        <w:rFonts w:ascii="Wingdings" w:hAnsi="Wingdings" w:hint="default"/>
      </w:rPr>
    </w:lvl>
    <w:lvl w:ilvl="6" w:tplc="96E0934E">
      <w:start w:val="1"/>
      <w:numFmt w:val="bullet"/>
      <w:lvlText w:val=""/>
      <w:lvlJc w:val="left"/>
      <w:pPr>
        <w:ind w:left="5040" w:hanging="360"/>
      </w:pPr>
      <w:rPr>
        <w:rFonts w:ascii="Symbol" w:hAnsi="Symbol" w:hint="default"/>
      </w:rPr>
    </w:lvl>
    <w:lvl w:ilvl="7" w:tplc="8CE4A232">
      <w:start w:val="1"/>
      <w:numFmt w:val="bullet"/>
      <w:lvlText w:val="o"/>
      <w:lvlJc w:val="left"/>
      <w:pPr>
        <w:ind w:left="5760" w:hanging="360"/>
      </w:pPr>
      <w:rPr>
        <w:rFonts w:ascii="Courier New" w:hAnsi="Courier New" w:hint="default"/>
      </w:rPr>
    </w:lvl>
    <w:lvl w:ilvl="8" w:tplc="D54AF414">
      <w:start w:val="1"/>
      <w:numFmt w:val="bullet"/>
      <w:lvlText w:val=""/>
      <w:lvlJc w:val="left"/>
      <w:pPr>
        <w:ind w:left="6480" w:hanging="360"/>
      </w:pPr>
      <w:rPr>
        <w:rFonts w:ascii="Wingdings" w:hAnsi="Wingdings" w:hint="default"/>
      </w:rPr>
    </w:lvl>
  </w:abstractNum>
  <w:abstractNum w:abstractNumId="23" w15:restartNumberingAfterBreak="0">
    <w:nsid w:val="781E6BDB"/>
    <w:multiLevelType w:val="hybridMultilevel"/>
    <w:tmpl w:val="18640B3A"/>
    <w:lvl w:ilvl="0" w:tplc="FAC8941C">
      <w:start w:val="1"/>
      <w:numFmt w:val="bullet"/>
      <w:lvlText w:val=""/>
      <w:lvlJc w:val="left"/>
      <w:pPr>
        <w:ind w:left="1020" w:hanging="360"/>
      </w:pPr>
      <w:rPr>
        <w:rFonts w:ascii="Symbol" w:hAnsi="Symbol"/>
      </w:rPr>
    </w:lvl>
    <w:lvl w:ilvl="1" w:tplc="8BF815E0">
      <w:start w:val="1"/>
      <w:numFmt w:val="bullet"/>
      <w:lvlText w:val=""/>
      <w:lvlJc w:val="left"/>
      <w:pPr>
        <w:ind w:left="1020" w:hanging="360"/>
      </w:pPr>
      <w:rPr>
        <w:rFonts w:ascii="Symbol" w:hAnsi="Symbol"/>
      </w:rPr>
    </w:lvl>
    <w:lvl w:ilvl="2" w:tplc="8866360E">
      <w:start w:val="1"/>
      <w:numFmt w:val="bullet"/>
      <w:lvlText w:val=""/>
      <w:lvlJc w:val="left"/>
      <w:pPr>
        <w:ind w:left="1020" w:hanging="360"/>
      </w:pPr>
      <w:rPr>
        <w:rFonts w:ascii="Symbol" w:hAnsi="Symbol"/>
      </w:rPr>
    </w:lvl>
    <w:lvl w:ilvl="3" w:tplc="33DA80F6">
      <w:start w:val="1"/>
      <w:numFmt w:val="bullet"/>
      <w:lvlText w:val=""/>
      <w:lvlJc w:val="left"/>
      <w:pPr>
        <w:ind w:left="1020" w:hanging="360"/>
      </w:pPr>
      <w:rPr>
        <w:rFonts w:ascii="Symbol" w:hAnsi="Symbol"/>
      </w:rPr>
    </w:lvl>
    <w:lvl w:ilvl="4" w:tplc="C7A81570">
      <w:start w:val="1"/>
      <w:numFmt w:val="bullet"/>
      <w:lvlText w:val=""/>
      <w:lvlJc w:val="left"/>
      <w:pPr>
        <w:ind w:left="1020" w:hanging="360"/>
      </w:pPr>
      <w:rPr>
        <w:rFonts w:ascii="Symbol" w:hAnsi="Symbol"/>
      </w:rPr>
    </w:lvl>
    <w:lvl w:ilvl="5" w:tplc="D0E6A126">
      <w:start w:val="1"/>
      <w:numFmt w:val="bullet"/>
      <w:lvlText w:val=""/>
      <w:lvlJc w:val="left"/>
      <w:pPr>
        <w:ind w:left="1020" w:hanging="360"/>
      </w:pPr>
      <w:rPr>
        <w:rFonts w:ascii="Symbol" w:hAnsi="Symbol"/>
      </w:rPr>
    </w:lvl>
    <w:lvl w:ilvl="6" w:tplc="D95C5FF8">
      <w:start w:val="1"/>
      <w:numFmt w:val="bullet"/>
      <w:lvlText w:val=""/>
      <w:lvlJc w:val="left"/>
      <w:pPr>
        <w:ind w:left="1020" w:hanging="360"/>
      </w:pPr>
      <w:rPr>
        <w:rFonts w:ascii="Symbol" w:hAnsi="Symbol"/>
      </w:rPr>
    </w:lvl>
    <w:lvl w:ilvl="7" w:tplc="46221A3A">
      <w:start w:val="1"/>
      <w:numFmt w:val="bullet"/>
      <w:lvlText w:val=""/>
      <w:lvlJc w:val="left"/>
      <w:pPr>
        <w:ind w:left="1020" w:hanging="360"/>
      </w:pPr>
      <w:rPr>
        <w:rFonts w:ascii="Symbol" w:hAnsi="Symbol"/>
      </w:rPr>
    </w:lvl>
    <w:lvl w:ilvl="8" w:tplc="7F6CE8A6">
      <w:start w:val="1"/>
      <w:numFmt w:val="bullet"/>
      <w:lvlText w:val=""/>
      <w:lvlJc w:val="left"/>
      <w:pPr>
        <w:ind w:left="1020" w:hanging="360"/>
      </w:pPr>
      <w:rPr>
        <w:rFonts w:ascii="Symbol" w:hAnsi="Symbol"/>
      </w:rPr>
    </w:lvl>
  </w:abstractNum>
  <w:num w:numId="1" w16cid:durableId="828791204">
    <w:abstractNumId w:val="4"/>
  </w:num>
  <w:num w:numId="2" w16cid:durableId="29847020">
    <w:abstractNumId w:val="11"/>
  </w:num>
  <w:num w:numId="3" w16cid:durableId="20472381">
    <w:abstractNumId w:val="0"/>
  </w:num>
  <w:num w:numId="4" w16cid:durableId="1834954393">
    <w:abstractNumId w:val="16"/>
  </w:num>
  <w:num w:numId="5" w16cid:durableId="642780875">
    <w:abstractNumId w:val="22"/>
  </w:num>
  <w:num w:numId="6" w16cid:durableId="1588231360">
    <w:abstractNumId w:val="3"/>
  </w:num>
  <w:num w:numId="7" w16cid:durableId="28990675">
    <w:abstractNumId w:val="9"/>
  </w:num>
  <w:num w:numId="8" w16cid:durableId="2131431854">
    <w:abstractNumId w:val="18"/>
  </w:num>
  <w:num w:numId="9" w16cid:durableId="865019667">
    <w:abstractNumId w:val="10"/>
  </w:num>
  <w:num w:numId="10" w16cid:durableId="16585003">
    <w:abstractNumId w:val="2"/>
  </w:num>
  <w:num w:numId="11" w16cid:durableId="1562401986">
    <w:abstractNumId w:val="1"/>
  </w:num>
  <w:num w:numId="12" w16cid:durableId="519853715">
    <w:abstractNumId w:val="20"/>
  </w:num>
  <w:num w:numId="13" w16cid:durableId="1767656483">
    <w:abstractNumId w:val="19"/>
  </w:num>
  <w:num w:numId="14" w16cid:durableId="1848712380">
    <w:abstractNumId w:val="21"/>
  </w:num>
  <w:num w:numId="15" w16cid:durableId="1666785644">
    <w:abstractNumId w:val="15"/>
  </w:num>
  <w:num w:numId="16" w16cid:durableId="1219709530">
    <w:abstractNumId w:val="8"/>
  </w:num>
  <w:num w:numId="17" w16cid:durableId="2145199728">
    <w:abstractNumId w:val="7"/>
  </w:num>
  <w:num w:numId="18" w16cid:durableId="1900818398">
    <w:abstractNumId w:val="23"/>
  </w:num>
  <w:num w:numId="19" w16cid:durableId="1332831168">
    <w:abstractNumId w:val="13"/>
  </w:num>
  <w:num w:numId="20" w16cid:durableId="106194264">
    <w:abstractNumId w:val="17"/>
  </w:num>
  <w:num w:numId="21" w16cid:durableId="1910073958">
    <w:abstractNumId w:val="14"/>
  </w:num>
  <w:num w:numId="22" w16cid:durableId="985817625">
    <w:abstractNumId w:val="5"/>
  </w:num>
  <w:num w:numId="23" w16cid:durableId="551042906">
    <w:abstractNumId w:val="6"/>
  </w:num>
  <w:num w:numId="24" w16cid:durableId="4995874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8F"/>
    <w:rsid w:val="000006FD"/>
    <w:rsid w:val="0000070D"/>
    <w:rsid w:val="00001A17"/>
    <w:rsid w:val="00001B50"/>
    <w:rsid w:val="00001DD5"/>
    <w:rsid w:val="0000205D"/>
    <w:rsid w:val="00002468"/>
    <w:rsid w:val="000025BA"/>
    <w:rsid w:val="00002614"/>
    <w:rsid w:val="0000274F"/>
    <w:rsid w:val="00002792"/>
    <w:rsid w:val="00003664"/>
    <w:rsid w:val="00003947"/>
    <w:rsid w:val="00003BDB"/>
    <w:rsid w:val="00003D5C"/>
    <w:rsid w:val="000049B5"/>
    <w:rsid w:val="00004AD9"/>
    <w:rsid w:val="00004DF3"/>
    <w:rsid w:val="000052E0"/>
    <w:rsid w:val="00005621"/>
    <w:rsid w:val="00005C02"/>
    <w:rsid w:val="000068D7"/>
    <w:rsid w:val="00006964"/>
    <w:rsid w:val="00006C6B"/>
    <w:rsid w:val="00006DC6"/>
    <w:rsid w:val="0000708A"/>
    <w:rsid w:val="00007ECE"/>
    <w:rsid w:val="0001023A"/>
    <w:rsid w:val="0001040F"/>
    <w:rsid w:val="0001071B"/>
    <w:rsid w:val="00011A4F"/>
    <w:rsid w:val="00011D67"/>
    <w:rsid w:val="0001205C"/>
    <w:rsid w:val="00012220"/>
    <w:rsid w:val="000128C9"/>
    <w:rsid w:val="000129B0"/>
    <w:rsid w:val="00012C48"/>
    <w:rsid w:val="00012CA2"/>
    <w:rsid w:val="00013725"/>
    <w:rsid w:val="000139AE"/>
    <w:rsid w:val="00013AD6"/>
    <w:rsid w:val="00013AEC"/>
    <w:rsid w:val="000142A1"/>
    <w:rsid w:val="000143DF"/>
    <w:rsid w:val="0001577E"/>
    <w:rsid w:val="00015A85"/>
    <w:rsid w:val="00015E43"/>
    <w:rsid w:val="00015EDE"/>
    <w:rsid w:val="00015F56"/>
    <w:rsid w:val="00016AF9"/>
    <w:rsid w:val="00016F15"/>
    <w:rsid w:val="00016FF0"/>
    <w:rsid w:val="000171AD"/>
    <w:rsid w:val="000176D8"/>
    <w:rsid w:val="0001790D"/>
    <w:rsid w:val="00017A70"/>
    <w:rsid w:val="00017EC4"/>
    <w:rsid w:val="00020813"/>
    <w:rsid w:val="00020C73"/>
    <w:rsid w:val="00021285"/>
    <w:rsid w:val="000216BD"/>
    <w:rsid w:val="00021847"/>
    <w:rsid w:val="00021F56"/>
    <w:rsid w:val="000228A5"/>
    <w:rsid w:val="00022F3F"/>
    <w:rsid w:val="00022FC5"/>
    <w:rsid w:val="0002317B"/>
    <w:rsid w:val="0002377D"/>
    <w:rsid w:val="0002399D"/>
    <w:rsid w:val="000239E1"/>
    <w:rsid w:val="00023E51"/>
    <w:rsid w:val="000243B2"/>
    <w:rsid w:val="00024778"/>
    <w:rsid w:val="0002494C"/>
    <w:rsid w:val="00024B61"/>
    <w:rsid w:val="00024F0D"/>
    <w:rsid w:val="00026103"/>
    <w:rsid w:val="0002652E"/>
    <w:rsid w:val="00026C84"/>
    <w:rsid w:val="000301C4"/>
    <w:rsid w:val="000303C0"/>
    <w:rsid w:val="00030494"/>
    <w:rsid w:val="0003058A"/>
    <w:rsid w:val="000306BE"/>
    <w:rsid w:val="000308B1"/>
    <w:rsid w:val="00030AF9"/>
    <w:rsid w:val="00030B0C"/>
    <w:rsid w:val="00030EF9"/>
    <w:rsid w:val="0003109C"/>
    <w:rsid w:val="00031597"/>
    <w:rsid w:val="0003175E"/>
    <w:rsid w:val="00031851"/>
    <w:rsid w:val="000318BC"/>
    <w:rsid w:val="00031B90"/>
    <w:rsid w:val="00031CA6"/>
    <w:rsid w:val="00031CFE"/>
    <w:rsid w:val="00031DB1"/>
    <w:rsid w:val="00032984"/>
    <w:rsid w:val="00032AD1"/>
    <w:rsid w:val="0003305F"/>
    <w:rsid w:val="00033121"/>
    <w:rsid w:val="000334BC"/>
    <w:rsid w:val="00033B63"/>
    <w:rsid w:val="00033B7A"/>
    <w:rsid w:val="00033D4F"/>
    <w:rsid w:val="00034356"/>
    <w:rsid w:val="00034735"/>
    <w:rsid w:val="00034812"/>
    <w:rsid w:val="0003489B"/>
    <w:rsid w:val="0003496A"/>
    <w:rsid w:val="00034A06"/>
    <w:rsid w:val="00034ADB"/>
    <w:rsid w:val="000355DD"/>
    <w:rsid w:val="000356B2"/>
    <w:rsid w:val="00035777"/>
    <w:rsid w:val="00035FFA"/>
    <w:rsid w:val="00036C09"/>
    <w:rsid w:val="0003727C"/>
    <w:rsid w:val="00037839"/>
    <w:rsid w:val="00037967"/>
    <w:rsid w:val="00037DE9"/>
    <w:rsid w:val="0004005D"/>
    <w:rsid w:val="00040692"/>
    <w:rsid w:val="00041235"/>
    <w:rsid w:val="000414BD"/>
    <w:rsid w:val="000427C6"/>
    <w:rsid w:val="000428F3"/>
    <w:rsid w:val="00042B18"/>
    <w:rsid w:val="00042C0C"/>
    <w:rsid w:val="0004310C"/>
    <w:rsid w:val="000431AB"/>
    <w:rsid w:val="00043287"/>
    <w:rsid w:val="00044171"/>
    <w:rsid w:val="00044197"/>
    <w:rsid w:val="000442A3"/>
    <w:rsid w:val="0004447A"/>
    <w:rsid w:val="00044573"/>
    <w:rsid w:val="00044CCE"/>
    <w:rsid w:val="00045B14"/>
    <w:rsid w:val="00046352"/>
    <w:rsid w:val="00046947"/>
    <w:rsid w:val="00046FD5"/>
    <w:rsid w:val="00046FE9"/>
    <w:rsid w:val="00047022"/>
    <w:rsid w:val="0004722C"/>
    <w:rsid w:val="0004730A"/>
    <w:rsid w:val="00047B0F"/>
    <w:rsid w:val="00047BD4"/>
    <w:rsid w:val="00047C17"/>
    <w:rsid w:val="000506D0"/>
    <w:rsid w:val="00050716"/>
    <w:rsid w:val="00050891"/>
    <w:rsid w:val="00050ABC"/>
    <w:rsid w:val="00050B4A"/>
    <w:rsid w:val="00050CC5"/>
    <w:rsid w:val="00050DBE"/>
    <w:rsid w:val="0005129D"/>
    <w:rsid w:val="0005171E"/>
    <w:rsid w:val="0005175F"/>
    <w:rsid w:val="00051A3D"/>
    <w:rsid w:val="00051B98"/>
    <w:rsid w:val="00051C92"/>
    <w:rsid w:val="00051EEC"/>
    <w:rsid w:val="000521E2"/>
    <w:rsid w:val="000522A8"/>
    <w:rsid w:val="00052B8E"/>
    <w:rsid w:val="00052EA6"/>
    <w:rsid w:val="0005308D"/>
    <w:rsid w:val="00053171"/>
    <w:rsid w:val="00053179"/>
    <w:rsid w:val="00053204"/>
    <w:rsid w:val="00053D37"/>
    <w:rsid w:val="00053EF9"/>
    <w:rsid w:val="000545B7"/>
    <w:rsid w:val="00054EEA"/>
    <w:rsid w:val="00054F04"/>
    <w:rsid w:val="00055096"/>
    <w:rsid w:val="00055337"/>
    <w:rsid w:val="000556CD"/>
    <w:rsid w:val="000559B8"/>
    <w:rsid w:val="00055B10"/>
    <w:rsid w:val="0005602C"/>
    <w:rsid w:val="000560BF"/>
    <w:rsid w:val="000561D6"/>
    <w:rsid w:val="000562AE"/>
    <w:rsid w:val="00056C8A"/>
    <w:rsid w:val="0005769E"/>
    <w:rsid w:val="00057B3D"/>
    <w:rsid w:val="00057C83"/>
    <w:rsid w:val="00060301"/>
    <w:rsid w:val="00060A81"/>
    <w:rsid w:val="00060F5F"/>
    <w:rsid w:val="00061090"/>
    <w:rsid w:val="00061D2B"/>
    <w:rsid w:val="00062311"/>
    <w:rsid w:val="00062387"/>
    <w:rsid w:val="00062E56"/>
    <w:rsid w:val="00062EE9"/>
    <w:rsid w:val="00063275"/>
    <w:rsid w:val="0006327D"/>
    <w:rsid w:val="000635FD"/>
    <w:rsid w:val="00063D26"/>
    <w:rsid w:val="00063F32"/>
    <w:rsid w:val="00063F91"/>
    <w:rsid w:val="000642AD"/>
    <w:rsid w:val="000644AE"/>
    <w:rsid w:val="000647A9"/>
    <w:rsid w:val="00064B76"/>
    <w:rsid w:val="00065CD2"/>
    <w:rsid w:val="00065F55"/>
    <w:rsid w:val="00066177"/>
    <w:rsid w:val="000661C4"/>
    <w:rsid w:val="00066DED"/>
    <w:rsid w:val="00066E74"/>
    <w:rsid w:val="0006758F"/>
    <w:rsid w:val="000676FD"/>
    <w:rsid w:val="0007005B"/>
    <w:rsid w:val="00070C35"/>
    <w:rsid w:val="00071414"/>
    <w:rsid w:val="000719A9"/>
    <w:rsid w:val="000719CD"/>
    <w:rsid w:val="00071F3F"/>
    <w:rsid w:val="00072413"/>
    <w:rsid w:val="0007254B"/>
    <w:rsid w:val="00072B2E"/>
    <w:rsid w:val="00072B70"/>
    <w:rsid w:val="00072D96"/>
    <w:rsid w:val="00073017"/>
    <w:rsid w:val="000733BC"/>
    <w:rsid w:val="00074427"/>
    <w:rsid w:val="00074969"/>
    <w:rsid w:val="000752F6"/>
    <w:rsid w:val="00075781"/>
    <w:rsid w:val="0007585E"/>
    <w:rsid w:val="00075DCB"/>
    <w:rsid w:val="0007632F"/>
    <w:rsid w:val="00076588"/>
    <w:rsid w:val="0007776B"/>
    <w:rsid w:val="000779DC"/>
    <w:rsid w:val="000802B4"/>
    <w:rsid w:val="000802B6"/>
    <w:rsid w:val="00080736"/>
    <w:rsid w:val="00080D77"/>
    <w:rsid w:val="000810D2"/>
    <w:rsid w:val="0008153E"/>
    <w:rsid w:val="00081C10"/>
    <w:rsid w:val="00082084"/>
    <w:rsid w:val="00082431"/>
    <w:rsid w:val="000826ED"/>
    <w:rsid w:val="00082A56"/>
    <w:rsid w:val="00082D19"/>
    <w:rsid w:val="00083AAC"/>
    <w:rsid w:val="00083CAF"/>
    <w:rsid w:val="00083F25"/>
    <w:rsid w:val="00084894"/>
    <w:rsid w:val="0008514B"/>
    <w:rsid w:val="0008592F"/>
    <w:rsid w:val="00085AE3"/>
    <w:rsid w:val="00085B16"/>
    <w:rsid w:val="00085F2F"/>
    <w:rsid w:val="00086263"/>
    <w:rsid w:val="00086E4A"/>
    <w:rsid w:val="000872FC"/>
    <w:rsid w:val="00087E33"/>
    <w:rsid w:val="000908F9"/>
    <w:rsid w:val="00090915"/>
    <w:rsid w:val="00090983"/>
    <w:rsid w:val="00090A89"/>
    <w:rsid w:val="00090ADB"/>
    <w:rsid w:val="00091502"/>
    <w:rsid w:val="000915EF"/>
    <w:rsid w:val="00091FD1"/>
    <w:rsid w:val="0009247D"/>
    <w:rsid w:val="000925AA"/>
    <w:rsid w:val="00092A5D"/>
    <w:rsid w:val="000932E3"/>
    <w:rsid w:val="00093858"/>
    <w:rsid w:val="00093CA5"/>
    <w:rsid w:val="0009423B"/>
    <w:rsid w:val="00094343"/>
    <w:rsid w:val="000944D4"/>
    <w:rsid w:val="000948C6"/>
    <w:rsid w:val="00094CF0"/>
    <w:rsid w:val="00094DFA"/>
    <w:rsid w:val="0009510B"/>
    <w:rsid w:val="000955CD"/>
    <w:rsid w:val="0009579F"/>
    <w:rsid w:val="00095B07"/>
    <w:rsid w:val="00095C21"/>
    <w:rsid w:val="0009675A"/>
    <w:rsid w:val="00096BF8"/>
    <w:rsid w:val="00096FEC"/>
    <w:rsid w:val="00097105"/>
    <w:rsid w:val="00097150"/>
    <w:rsid w:val="00097151"/>
    <w:rsid w:val="000977BD"/>
    <w:rsid w:val="00097BC6"/>
    <w:rsid w:val="00097E9F"/>
    <w:rsid w:val="000A08CD"/>
    <w:rsid w:val="000A0CB6"/>
    <w:rsid w:val="000A12A9"/>
    <w:rsid w:val="000A13EA"/>
    <w:rsid w:val="000A1C4A"/>
    <w:rsid w:val="000A1F68"/>
    <w:rsid w:val="000A2CE5"/>
    <w:rsid w:val="000A2E73"/>
    <w:rsid w:val="000A3438"/>
    <w:rsid w:val="000A3DA0"/>
    <w:rsid w:val="000A4177"/>
    <w:rsid w:val="000A46AB"/>
    <w:rsid w:val="000A487B"/>
    <w:rsid w:val="000A5052"/>
    <w:rsid w:val="000A6113"/>
    <w:rsid w:val="000A6466"/>
    <w:rsid w:val="000A647A"/>
    <w:rsid w:val="000A6811"/>
    <w:rsid w:val="000A75E0"/>
    <w:rsid w:val="000A78FA"/>
    <w:rsid w:val="000A79A8"/>
    <w:rsid w:val="000A7A13"/>
    <w:rsid w:val="000A7AEC"/>
    <w:rsid w:val="000A7EDE"/>
    <w:rsid w:val="000B0D26"/>
    <w:rsid w:val="000B1277"/>
    <w:rsid w:val="000B1E3C"/>
    <w:rsid w:val="000B1E83"/>
    <w:rsid w:val="000B2385"/>
    <w:rsid w:val="000B2889"/>
    <w:rsid w:val="000B2924"/>
    <w:rsid w:val="000B322A"/>
    <w:rsid w:val="000B3814"/>
    <w:rsid w:val="000B3CF3"/>
    <w:rsid w:val="000B3E08"/>
    <w:rsid w:val="000B4065"/>
    <w:rsid w:val="000B50A3"/>
    <w:rsid w:val="000B5227"/>
    <w:rsid w:val="000B52A3"/>
    <w:rsid w:val="000B5DEF"/>
    <w:rsid w:val="000B6181"/>
    <w:rsid w:val="000B67C2"/>
    <w:rsid w:val="000B7E8E"/>
    <w:rsid w:val="000C080C"/>
    <w:rsid w:val="000C0FD1"/>
    <w:rsid w:val="000C1D4E"/>
    <w:rsid w:val="000C21D8"/>
    <w:rsid w:val="000C2222"/>
    <w:rsid w:val="000C2ADA"/>
    <w:rsid w:val="000C2C8A"/>
    <w:rsid w:val="000C339E"/>
    <w:rsid w:val="000C35E2"/>
    <w:rsid w:val="000C396B"/>
    <w:rsid w:val="000C3D5B"/>
    <w:rsid w:val="000C3E93"/>
    <w:rsid w:val="000C4BCC"/>
    <w:rsid w:val="000C5A76"/>
    <w:rsid w:val="000C5EBA"/>
    <w:rsid w:val="000C5FC7"/>
    <w:rsid w:val="000C6116"/>
    <w:rsid w:val="000C6382"/>
    <w:rsid w:val="000C66F8"/>
    <w:rsid w:val="000C6AD1"/>
    <w:rsid w:val="000C6BBA"/>
    <w:rsid w:val="000C6E17"/>
    <w:rsid w:val="000C74C6"/>
    <w:rsid w:val="000C74E4"/>
    <w:rsid w:val="000C7615"/>
    <w:rsid w:val="000C76A5"/>
    <w:rsid w:val="000C785C"/>
    <w:rsid w:val="000C7CC1"/>
    <w:rsid w:val="000D0596"/>
    <w:rsid w:val="000D088E"/>
    <w:rsid w:val="000D0967"/>
    <w:rsid w:val="000D0B03"/>
    <w:rsid w:val="000D1D8A"/>
    <w:rsid w:val="000D2480"/>
    <w:rsid w:val="000D2C77"/>
    <w:rsid w:val="000D2D2A"/>
    <w:rsid w:val="000D2D35"/>
    <w:rsid w:val="000D2DA5"/>
    <w:rsid w:val="000D2EED"/>
    <w:rsid w:val="000D2FD8"/>
    <w:rsid w:val="000D32EA"/>
    <w:rsid w:val="000D34D7"/>
    <w:rsid w:val="000D3976"/>
    <w:rsid w:val="000D3B49"/>
    <w:rsid w:val="000D3E47"/>
    <w:rsid w:val="000D3F8E"/>
    <w:rsid w:val="000D4287"/>
    <w:rsid w:val="000D43C5"/>
    <w:rsid w:val="000D4510"/>
    <w:rsid w:val="000D4547"/>
    <w:rsid w:val="000D4792"/>
    <w:rsid w:val="000D481F"/>
    <w:rsid w:val="000D4CDB"/>
    <w:rsid w:val="000D51F9"/>
    <w:rsid w:val="000D5784"/>
    <w:rsid w:val="000D5D53"/>
    <w:rsid w:val="000D6823"/>
    <w:rsid w:val="000D7508"/>
    <w:rsid w:val="000D7797"/>
    <w:rsid w:val="000D7BAF"/>
    <w:rsid w:val="000E0042"/>
    <w:rsid w:val="000E016E"/>
    <w:rsid w:val="000E044A"/>
    <w:rsid w:val="000E0527"/>
    <w:rsid w:val="000E055B"/>
    <w:rsid w:val="000E0E7D"/>
    <w:rsid w:val="000E1499"/>
    <w:rsid w:val="000E1E1A"/>
    <w:rsid w:val="000E1FE9"/>
    <w:rsid w:val="000E2127"/>
    <w:rsid w:val="000E28CC"/>
    <w:rsid w:val="000E2CBC"/>
    <w:rsid w:val="000E30C6"/>
    <w:rsid w:val="000E3A0B"/>
    <w:rsid w:val="000E4A0C"/>
    <w:rsid w:val="000E4BEF"/>
    <w:rsid w:val="000E4C6B"/>
    <w:rsid w:val="000E4F03"/>
    <w:rsid w:val="000E5097"/>
    <w:rsid w:val="000E5141"/>
    <w:rsid w:val="000E56DA"/>
    <w:rsid w:val="000E5CC4"/>
    <w:rsid w:val="000E5CCF"/>
    <w:rsid w:val="000E5D59"/>
    <w:rsid w:val="000E6050"/>
    <w:rsid w:val="000E62E2"/>
    <w:rsid w:val="000E673B"/>
    <w:rsid w:val="000E6770"/>
    <w:rsid w:val="000E755D"/>
    <w:rsid w:val="000E763D"/>
    <w:rsid w:val="000E7652"/>
    <w:rsid w:val="000E7929"/>
    <w:rsid w:val="000F0064"/>
    <w:rsid w:val="000F0457"/>
    <w:rsid w:val="000F0DB5"/>
    <w:rsid w:val="000F1C4F"/>
    <w:rsid w:val="000F1FF1"/>
    <w:rsid w:val="000F2A45"/>
    <w:rsid w:val="000F2AC8"/>
    <w:rsid w:val="000F2ADD"/>
    <w:rsid w:val="000F2E94"/>
    <w:rsid w:val="000F4736"/>
    <w:rsid w:val="000F473F"/>
    <w:rsid w:val="000F4FDD"/>
    <w:rsid w:val="000F59CF"/>
    <w:rsid w:val="000F5C35"/>
    <w:rsid w:val="000F5E91"/>
    <w:rsid w:val="000F5EFA"/>
    <w:rsid w:val="000F5FD8"/>
    <w:rsid w:val="000F695A"/>
    <w:rsid w:val="000F7709"/>
    <w:rsid w:val="000F79A3"/>
    <w:rsid w:val="000F7A4A"/>
    <w:rsid w:val="00100E64"/>
    <w:rsid w:val="00100F25"/>
    <w:rsid w:val="00100FFB"/>
    <w:rsid w:val="001013EB"/>
    <w:rsid w:val="00102909"/>
    <w:rsid w:val="00102E47"/>
    <w:rsid w:val="00103AE9"/>
    <w:rsid w:val="00104036"/>
    <w:rsid w:val="00104948"/>
    <w:rsid w:val="00104971"/>
    <w:rsid w:val="00104B9A"/>
    <w:rsid w:val="00104BF2"/>
    <w:rsid w:val="00105294"/>
    <w:rsid w:val="001054A1"/>
    <w:rsid w:val="001054CA"/>
    <w:rsid w:val="001061CE"/>
    <w:rsid w:val="001063FB"/>
    <w:rsid w:val="00106597"/>
    <w:rsid w:val="001072D7"/>
    <w:rsid w:val="001076F8"/>
    <w:rsid w:val="001077D7"/>
    <w:rsid w:val="00107A04"/>
    <w:rsid w:val="00107A3B"/>
    <w:rsid w:val="00107CA7"/>
    <w:rsid w:val="00110348"/>
    <w:rsid w:val="001111E2"/>
    <w:rsid w:val="00111A28"/>
    <w:rsid w:val="00111B4D"/>
    <w:rsid w:val="001122BC"/>
    <w:rsid w:val="001122D7"/>
    <w:rsid w:val="00112338"/>
    <w:rsid w:val="00112524"/>
    <w:rsid w:val="00112831"/>
    <w:rsid w:val="00112868"/>
    <w:rsid w:val="00112EB2"/>
    <w:rsid w:val="00113110"/>
    <w:rsid w:val="001135B8"/>
    <w:rsid w:val="001138ED"/>
    <w:rsid w:val="00113C82"/>
    <w:rsid w:val="00113C98"/>
    <w:rsid w:val="0011450A"/>
    <w:rsid w:val="00114662"/>
    <w:rsid w:val="001148A7"/>
    <w:rsid w:val="00115AA6"/>
    <w:rsid w:val="00115E29"/>
    <w:rsid w:val="00116419"/>
    <w:rsid w:val="00116604"/>
    <w:rsid w:val="00116B21"/>
    <w:rsid w:val="00116BAB"/>
    <w:rsid w:val="00117239"/>
    <w:rsid w:val="00120A3F"/>
    <w:rsid w:val="00120AAB"/>
    <w:rsid w:val="00121630"/>
    <w:rsid w:val="00121EEE"/>
    <w:rsid w:val="0012344A"/>
    <w:rsid w:val="00123521"/>
    <w:rsid w:val="00123B5B"/>
    <w:rsid w:val="00123E96"/>
    <w:rsid w:val="001244EE"/>
    <w:rsid w:val="001246B3"/>
    <w:rsid w:val="001252B2"/>
    <w:rsid w:val="00125F87"/>
    <w:rsid w:val="0012610C"/>
    <w:rsid w:val="0012618E"/>
    <w:rsid w:val="0012648E"/>
    <w:rsid w:val="00126B5A"/>
    <w:rsid w:val="001271AF"/>
    <w:rsid w:val="00127294"/>
    <w:rsid w:val="001277F3"/>
    <w:rsid w:val="001302B2"/>
    <w:rsid w:val="001302FE"/>
    <w:rsid w:val="00130622"/>
    <w:rsid w:val="00130AE7"/>
    <w:rsid w:val="00130DF2"/>
    <w:rsid w:val="00131ABB"/>
    <w:rsid w:val="00131BA2"/>
    <w:rsid w:val="00131DA4"/>
    <w:rsid w:val="001328EE"/>
    <w:rsid w:val="00132E25"/>
    <w:rsid w:val="00133DC7"/>
    <w:rsid w:val="00134441"/>
    <w:rsid w:val="001346DA"/>
    <w:rsid w:val="00134A8B"/>
    <w:rsid w:val="00134C37"/>
    <w:rsid w:val="00134CB8"/>
    <w:rsid w:val="00135A21"/>
    <w:rsid w:val="00135DC9"/>
    <w:rsid w:val="00136035"/>
    <w:rsid w:val="00136304"/>
    <w:rsid w:val="00136D9A"/>
    <w:rsid w:val="001400DB"/>
    <w:rsid w:val="0014023C"/>
    <w:rsid w:val="00140457"/>
    <w:rsid w:val="00140699"/>
    <w:rsid w:val="0014074C"/>
    <w:rsid w:val="00140D0A"/>
    <w:rsid w:val="001413E3"/>
    <w:rsid w:val="001414E5"/>
    <w:rsid w:val="001418A8"/>
    <w:rsid w:val="00141D4F"/>
    <w:rsid w:val="00141E25"/>
    <w:rsid w:val="0014268D"/>
    <w:rsid w:val="0014378B"/>
    <w:rsid w:val="0014384C"/>
    <w:rsid w:val="0014451D"/>
    <w:rsid w:val="001445BC"/>
    <w:rsid w:val="00144BA8"/>
    <w:rsid w:val="00144E89"/>
    <w:rsid w:val="00145102"/>
    <w:rsid w:val="001452E2"/>
    <w:rsid w:val="001456BD"/>
    <w:rsid w:val="00145878"/>
    <w:rsid w:val="001462E6"/>
    <w:rsid w:val="001471B8"/>
    <w:rsid w:val="00147D15"/>
    <w:rsid w:val="00147DD5"/>
    <w:rsid w:val="00150231"/>
    <w:rsid w:val="00150243"/>
    <w:rsid w:val="0015046D"/>
    <w:rsid w:val="001506DE"/>
    <w:rsid w:val="00150819"/>
    <w:rsid w:val="0015086F"/>
    <w:rsid w:val="00150B19"/>
    <w:rsid w:val="00150BF4"/>
    <w:rsid w:val="00150DF9"/>
    <w:rsid w:val="001515AB"/>
    <w:rsid w:val="00151650"/>
    <w:rsid w:val="0015220A"/>
    <w:rsid w:val="0015258B"/>
    <w:rsid w:val="00153164"/>
    <w:rsid w:val="0015326B"/>
    <w:rsid w:val="00153433"/>
    <w:rsid w:val="00153CE5"/>
    <w:rsid w:val="00154AE2"/>
    <w:rsid w:val="0015556A"/>
    <w:rsid w:val="001561A2"/>
    <w:rsid w:val="0015626F"/>
    <w:rsid w:val="001563F1"/>
    <w:rsid w:val="001565DD"/>
    <w:rsid w:val="001572B4"/>
    <w:rsid w:val="001572EF"/>
    <w:rsid w:val="00157360"/>
    <w:rsid w:val="001577E3"/>
    <w:rsid w:val="00157924"/>
    <w:rsid w:val="00157929"/>
    <w:rsid w:val="00157C3B"/>
    <w:rsid w:val="00160098"/>
    <w:rsid w:val="00160927"/>
    <w:rsid w:val="00160B43"/>
    <w:rsid w:val="0016105E"/>
    <w:rsid w:val="001621A5"/>
    <w:rsid w:val="00162694"/>
    <w:rsid w:val="00162836"/>
    <w:rsid w:val="00162988"/>
    <w:rsid w:val="00162FA7"/>
    <w:rsid w:val="0016378F"/>
    <w:rsid w:val="0016395A"/>
    <w:rsid w:val="00163BBD"/>
    <w:rsid w:val="00164034"/>
    <w:rsid w:val="001642D8"/>
    <w:rsid w:val="00164462"/>
    <w:rsid w:val="0016558A"/>
    <w:rsid w:val="00166BED"/>
    <w:rsid w:val="00166E15"/>
    <w:rsid w:val="00166F64"/>
    <w:rsid w:val="001670E5"/>
    <w:rsid w:val="00167170"/>
    <w:rsid w:val="0016758A"/>
    <w:rsid w:val="00167AEB"/>
    <w:rsid w:val="00167ED1"/>
    <w:rsid w:val="00167EDB"/>
    <w:rsid w:val="001704BF"/>
    <w:rsid w:val="00171B5C"/>
    <w:rsid w:val="00171C08"/>
    <w:rsid w:val="00171C45"/>
    <w:rsid w:val="00171EBB"/>
    <w:rsid w:val="0017235E"/>
    <w:rsid w:val="00172847"/>
    <w:rsid w:val="00172A99"/>
    <w:rsid w:val="00172ABE"/>
    <w:rsid w:val="00172E0D"/>
    <w:rsid w:val="00172E56"/>
    <w:rsid w:val="001736D1"/>
    <w:rsid w:val="00173B78"/>
    <w:rsid w:val="00174273"/>
    <w:rsid w:val="00174B4A"/>
    <w:rsid w:val="001753FE"/>
    <w:rsid w:val="001755DC"/>
    <w:rsid w:val="001756AD"/>
    <w:rsid w:val="00175F65"/>
    <w:rsid w:val="00175F95"/>
    <w:rsid w:val="00176248"/>
    <w:rsid w:val="00176250"/>
    <w:rsid w:val="00176732"/>
    <w:rsid w:val="0017686B"/>
    <w:rsid w:val="001768AF"/>
    <w:rsid w:val="001773EC"/>
    <w:rsid w:val="0017746C"/>
    <w:rsid w:val="00177A8F"/>
    <w:rsid w:val="00177D26"/>
    <w:rsid w:val="00177E2F"/>
    <w:rsid w:val="00180036"/>
    <w:rsid w:val="00180871"/>
    <w:rsid w:val="00180CE3"/>
    <w:rsid w:val="00181276"/>
    <w:rsid w:val="00181447"/>
    <w:rsid w:val="001815DF"/>
    <w:rsid w:val="001817A0"/>
    <w:rsid w:val="00181878"/>
    <w:rsid w:val="00181A5F"/>
    <w:rsid w:val="00181AD6"/>
    <w:rsid w:val="0018261F"/>
    <w:rsid w:val="00182C42"/>
    <w:rsid w:val="00182E5A"/>
    <w:rsid w:val="001831BF"/>
    <w:rsid w:val="0018340D"/>
    <w:rsid w:val="001838E2"/>
    <w:rsid w:val="00184084"/>
    <w:rsid w:val="00184232"/>
    <w:rsid w:val="00184278"/>
    <w:rsid w:val="001842A0"/>
    <w:rsid w:val="00184938"/>
    <w:rsid w:val="00184F9B"/>
    <w:rsid w:val="00184FA1"/>
    <w:rsid w:val="00184FDE"/>
    <w:rsid w:val="00185434"/>
    <w:rsid w:val="0018553F"/>
    <w:rsid w:val="0018604B"/>
    <w:rsid w:val="001865A5"/>
    <w:rsid w:val="001871CC"/>
    <w:rsid w:val="001872FA"/>
    <w:rsid w:val="001874A7"/>
    <w:rsid w:val="0018775F"/>
    <w:rsid w:val="00187A30"/>
    <w:rsid w:val="00187A7D"/>
    <w:rsid w:val="0019007E"/>
    <w:rsid w:val="0019024C"/>
    <w:rsid w:val="0019055C"/>
    <w:rsid w:val="00190586"/>
    <w:rsid w:val="00190896"/>
    <w:rsid w:val="0019147C"/>
    <w:rsid w:val="00192028"/>
    <w:rsid w:val="001922E3"/>
    <w:rsid w:val="0019242B"/>
    <w:rsid w:val="00192559"/>
    <w:rsid w:val="0019273F"/>
    <w:rsid w:val="00193339"/>
    <w:rsid w:val="00193538"/>
    <w:rsid w:val="001935BF"/>
    <w:rsid w:val="00193A27"/>
    <w:rsid w:val="00193CE2"/>
    <w:rsid w:val="00194437"/>
    <w:rsid w:val="00194A8B"/>
    <w:rsid w:val="00195004"/>
    <w:rsid w:val="001955AC"/>
    <w:rsid w:val="00195734"/>
    <w:rsid w:val="00195B11"/>
    <w:rsid w:val="00195C4B"/>
    <w:rsid w:val="00196144"/>
    <w:rsid w:val="00196321"/>
    <w:rsid w:val="0019633E"/>
    <w:rsid w:val="00196ED8"/>
    <w:rsid w:val="001970B9"/>
    <w:rsid w:val="00197B76"/>
    <w:rsid w:val="00197E92"/>
    <w:rsid w:val="001A00AA"/>
    <w:rsid w:val="001A0417"/>
    <w:rsid w:val="001A0435"/>
    <w:rsid w:val="001A0CF6"/>
    <w:rsid w:val="001A0EB3"/>
    <w:rsid w:val="001A1DE0"/>
    <w:rsid w:val="001A234A"/>
    <w:rsid w:val="001A242C"/>
    <w:rsid w:val="001A24D3"/>
    <w:rsid w:val="001A33E1"/>
    <w:rsid w:val="001A3411"/>
    <w:rsid w:val="001A341B"/>
    <w:rsid w:val="001A3DD3"/>
    <w:rsid w:val="001A3DDE"/>
    <w:rsid w:val="001A4378"/>
    <w:rsid w:val="001A4928"/>
    <w:rsid w:val="001A4A19"/>
    <w:rsid w:val="001A4A40"/>
    <w:rsid w:val="001A4DED"/>
    <w:rsid w:val="001A5020"/>
    <w:rsid w:val="001A52BE"/>
    <w:rsid w:val="001A5E9E"/>
    <w:rsid w:val="001A5FED"/>
    <w:rsid w:val="001A6867"/>
    <w:rsid w:val="001A692E"/>
    <w:rsid w:val="001A6B02"/>
    <w:rsid w:val="001A6D2D"/>
    <w:rsid w:val="001A7854"/>
    <w:rsid w:val="001A7B70"/>
    <w:rsid w:val="001B0C28"/>
    <w:rsid w:val="001B1116"/>
    <w:rsid w:val="001B15CE"/>
    <w:rsid w:val="001B1715"/>
    <w:rsid w:val="001B1A56"/>
    <w:rsid w:val="001B21C0"/>
    <w:rsid w:val="001B3541"/>
    <w:rsid w:val="001B3BAD"/>
    <w:rsid w:val="001B3D87"/>
    <w:rsid w:val="001B451C"/>
    <w:rsid w:val="001B4760"/>
    <w:rsid w:val="001B4A21"/>
    <w:rsid w:val="001B4BC0"/>
    <w:rsid w:val="001B4D3D"/>
    <w:rsid w:val="001B4D43"/>
    <w:rsid w:val="001B4FAB"/>
    <w:rsid w:val="001B5596"/>
    <w:rsid w:val="001B5709"/>
    <w:rsid w:val="001B57C2"/>
    <w:rsid w:val="001B6204"/>
    <w:rsid w:val="001B67B3"/>
    <w:rsid w:val="001B684C"/>
    <w:rsid w:val="001B72AB"/>
    <w:rsid w:val="001B72D9"/>
    <w:rsid w:val="001B7531"/>
    <w:rsid w:val="001B76AA"/>
    <w:rsid w:val="001B7D74"/>
    <w:rsid w:val="001C06BC"/>
    <w:rsid w:val="001C0897"/>
    <w:rsid w:val="001C0C98"/>
    <w:rsid w:val="001C0D74"/>
    <w:rsid w:val="001C0F2E"/>
    <w:rsid w:val="001C10B4"/>
    <w:rsid w:val="001C1423"/>
    <w:rsid w:val="001C1449"/>
    <w:rsid w:val="001C1836"/>
    <w:rsid w:val="001C1DF2"/>
    <w:rsid w:val="001C2032"/>
    <w:rsid w:val="001C247C"/>
    <w:rsid w:val="001C309B"/>
    <w:rsid w:val="001C3340"/>
    <w:rsid w:val="001C34C5"/>
    <w:rsid w:val="001C3958"/>
    <w:rsid w:val="001C3E64"/>
    <w:rsid w:val="001C42BA"/>
    <w:rsid w:val="001C4942"/>
    <w:rsid w:val="001C4A4E"/>
    <w:rsid w:val="001C4BEE"/>
    <w:rsid w:val="001C561A"/>
    <w:rsid w:val="001C626D"/>
    <w:rsid w:val="001C6318"/>
    <w:rsid w:val="001C679E"/>
    <w:rsid w:val="001C68DB"/>
    <w:rsid w:val="001C6F1F"/>
    <w:rsid w:val="001C7118"/>
    <w:rsid w:val="001C7A2C"/>
    <w:rsid w:val="001D0BE2"/>
    <w:rsid w:val="001D0D1A"/>
    <w:rsid w:val="001D0D2E"/>
    <w:rsid w:val="001D0DA0"/>
    <w:rsid w:val="001D0E7D"/>
    <w:rsid w:val="001D138E"/>
    <w:rsid w:val="001D16CB"/>
    <w:rsid w:val="001D236C"/>
    <w:rsid w:val="001D2525"/>
    <w:rsid w:val="001D2619"/>
    <w:rsid w:val="001D2623"/>
    <w:rsid w:val="001D280C"/>
    <w:rsid w:val="001D2A5E"/>
    <w:rsid w:val="001D30A8"/>
    <w:rsid w:val="001D33A5"/>
    <w:rsid w:val="001D3BC7"/>
    <w:rsid w:val="001D40E9"/>
    <w:rsid w:val="001D49D5"/>
    <w:rsid w:val="001D4BEB"/>
    <w:rsid w:val="001D54C4"/>
    <w:rsid w:val="001D56B4"/>
    <w:rsid w:val="001D597E"/>
    <w:rsid w:val="001D59B4"/>
    <w:rsid w:val="001D5AA0"/>
    <w:rsid w:val="001D63DF"/>
    <w:rsid w:val="001D6962"/>
    <w:rsid w:val="001D6B00"/>
    <w:rsid w:val="001D7E3A"/>
    <w:rsid w:val="001D7F25"/>
    <w:rsid w:val="001E05EB"/>
    <w:rsid w:val="001E1209"/>
    <w:rsid w:val="001E14F7"/>
    <w:rsid w:val="001E1E12"/>
    <w:rsid w:val="001E2234"/>
    <w:rsid w:val="001E22C9"/>
    <w:rsid w:val="001E30A8"/>
    <w:rsid w:val="001E3324"/>
    <w:rsid w:val="001E33BC"/>
    <w:rsid w:val="001E37D8"/>
    <w:rsid w:val="001E4160"/>
    <w:rsid w:val="001E4279"/>
    <w:rsid w:val="001E46EB"/>
    <w:rsid w:val="001E4702"/>
    <w:rsid w:val="001E4958"/>
    <w:rsid w:val="001E4BD5"/>
    <w:rsid w:val="001E5657"/>
    <w:rsid w:val="001E5D71"/>
    <w:rsid w:val="001E6D75"/>
    <w:rsid w:val="001E702B"/>
    <w:rsid w:val="001E7170"/>
    <w:rsid w:val="001E7AC2"/>
    <w:rsid w:val="001E7E05"/>
    <w:rsid w:val="001F02E1"/>
    <w:rsid w:val="001F079E"/>
    <w:rsid w:val="001F1271"/>
    <w:rsid w:val="001F19D7"/>
    <w:rsid w:val="001F2790"/>
    <w:rsid w:val="001F284E"/>
    <w:rsid w:val="001F31F3"/>
    <w:rsid w:val="001F3287"/>
    <w:rsid w:val="001F364D"/>
    <w:rsid w:val="001F3A89"/>
    <w:rsid w:val="001F3D8E"/>
    <w:rsid w:val="001F4777"/>
    <w:rsid w:val="001F5830"/>
    <w:rsid w:val="001F61A8"/>
    <w:rsid w:val="001F65C0"/>
    <w:rsid w:val="001F66B9"/>
    <w:rsid w:val="001F697E"/>
    <w:rsid w:val="001F6BAF"/>
    <w:rsid w:val="001F6E05"/>
    <w:rsid w:val="001F7553"/>
    <w:rsid w:val="001F7A92"/>
    <w:rsid w:val="00200094"/>
    <w:rsid w:val="00200107"/>
    <w:rsid w:val="00200280"/>
    <w:rsid w:val="00200818"/>
    <w:rsid w:val="00201003"/>
    <w:rsid w:val="00201371"/>
    <w:rsid w:val="00201726"/>
    <w:rsid w:val="002020C7"/>
    <w:rsid w:val="00202626"/>
    <w:rsid w:val="002030F1"/>
    <w:rsid w:val="00203154"/>
    <w:rsid w:val="002039D4"/>
    <w:rsid w:val="00203AE5"/>
    <w:rsid w:val="00203B46"/>
    <w:rsid w:val="0020498F"/>
    <w:rsid w:val="00204A5C"/>
    <w:rsid w:val="00204A69"/>
    <w:rsid w:val="00204B83"/>
    <w:rsid w:val="00204F95"/>
    <w:rsid w:val="00204FF3"/>
    <w:rsid w:val="00205364"/>
    <w:rsid w:val="00205585"/>
    <w:rsid w:val="00205CDA"/>
    <w:rsid w:val="00205D86"/>
    <w:rsid w:val="00205EBA"/>
    <w:rsid w:val="00205F25"/>
    <w:rsid w:val="00206098"/>
    <w:rsid w:val="00206158"/>
    <w:rsid w:val="0020624E"/>
    <w:rsid w:val="00207110"/>
    <w:rsid w:val="00207D8A"/>
    <w:rsid w:val="002106E0"/>
    <w:rsid w:val="002115F7"/>
    <w:rsid w:val="00212268"/>
    <w:rsid w:val="00212743"/>
    <w:rsid w:val="00212783"/>
    <w:rsid w:val="0021278A"/>
    <w:rsid w:val="00212E8D"/>
    <w:rsid w:val="002134FC"/>
    <w:rsid w:val="002139E8"/>
    <w:rsid w:val="00213C0C"/>
    <w:rsid w:val="002141B2"/>
    <w:rsid w:val="0021453F"/>
    <w:rsid w:val="0021457C"/>
    <w:rsid w:val="00214E99"/>
    <w:rsid w:val="002155BD"/>
    <w:rsid w:val="002155E1"/>
    <w:rsid w:val="0021596B"/>
    <w:rsid w:val="00215A0C"/>
    <w:rsid w:val="00216186"/>
    <w:rsid w:val="0021672F"/>
    <w:rsid w:val="00216B8D"/>
    <w:rsid w:val="00217255"/>
    <w:rsid w:val="00217AC1"/>
    <w:rsid w:val="0022033F"/>
    <w:rsid w:val="00220366"/>
    <w:rsid w:val="00220400"/>
    <w:rsid w:val="00220519"/>
    <w:rsid w:val="00220766"/>
    <w:rsid w:val="00220F57"/>
    <w:rsid w:val="0022101F"/>
    <w:rsid w:val="00221320"/>
    <w:rsid w:val="002217D8"/>
    <w:rsid w:val="00221FEA"/>
    <w:rsid w:val="002226B8"/>
    <w:rsid w:val="0022290C"/>
    <w:rsid w:val="00222C7F"/>
    <w:rsid w:val="00222D54"/>
    <w:rsid w:val="00223010"/>
    <w:rsid w:val="00223217"/>
    <w:rsid w:val="00223380"/>
    <w:rsid w:val="002234C6"/>
    <w:rsid w:val="00223DA6"/>
    <w:rsid w:val="00223E65"/>
    <w:rsid w:val="002240BC"/>
    <w:rsid w:val="002241C2"/>
    <w:rsid w:val="00224704"/>
    <w:rsid w:val="00224AE3"/>
    <w:rsid w:val="00224CCC"/>
    <w:rsid w:val="00224F2B"/>
    <w:rsid w:val="002254DC"/>
    <w:rsid w:val="002257A9"/>
    <w:rsid w:val="00225D46"/>
    <w:rsid w:val="00225DC9"/>
    <w:rsid w:val="00226243"/>
    <w:rsid w:val="00226617"/>
    <w:rsid w:val="00226DCD"/>
    <w:rsid w:val="002272B4"/>
    <w:rsid w:val="00227B35"/>
    <w:rsid w:val="00230845"/>
    <w:rsid w:val="00230DBF"/>
    <w:rsid w:val="00230F37"/>
    <w:rsid w:val="002318F7"/>
    <w:rsid w:val="00232A9E"/>
    <w:rsid w:val="00232DB6"/>
    <w:rsid w:val="00232EDF"/>
    <w:rsid w:val="00232F2C"/>
    <w:rsid w:val="0023304D"/>
    <w:rsid w:val="002332CE"/>
    <w:rsid w:val="00233512"/>
    <w:rsid w:val="0023427D"/>
    <w:rsid w:val="0023428E"/>
    <w:rsid w:val="002343BB"/>
    <w:rsid w:val="00234D59"/>
    <w:rsid w:val="002350F5"/>
    <w:rsid w:val="0023510A"/>
    <w:rsid w:val="00235146"/>
    <w:rsid w:val="002353F4"/>
    <w:rsid w:val="00235F5B"/>
    <w:rsid w:val="0023614D"/>
    <w:rsid w:val="00236154"/>
    <w:rsid w:val="0023658A"/>
    <w:rsid w:val="002365B2"/>
    <w:rsid w:val="0023661F"/>
    <w:rsid w:val="00236676"/>
    <w:rsid w:val="002367A3"/>
    <w:rsid w:val="0023698B"/>
    <w:rsid w:val="00236B3B"/>
    <w:rsid w:val="00237406"/>
    <w:rsid w:val="002404DF"/>
    <w:rsid w:val="00240875"/>
    <w:rsid w:val="002408F7"/>
    <w:rsid w:val="00240C2D"/>
    <w:rsid w:val="00240C42"/>
    <w:rsid w:val="00241052"/>
    <w:rsid w:val="0024185D"/>
    <w:rsid w:val="00241D0F"/>
    <w:rsid w:val="00242AFD"/>
    <w:rsid w:val="002430CA"/>
    <w:rsid w:val="0024312F"/>
    <w:rsid w:val="002434F0"/>
    <w:rsid w:val="002439E1"/>
    <w:rsid w:val="00243A8E"/>
    <w:rsid w:val="00244466"/>
    <w:rsid w:val="002448CE"/>
    <w:rsid w:val="002448D0"/>
    <w:rsid w:val="0024503E"/>
    <w:rsid w:val="00245465"/>
    <w:rsid w:val="002456AF"/>
    <w:rsid w:val="00245A17"/>
    <w:rsid w:val="00245BEC"/>
    <w:rsid w:val="00246CBE"/>
    <w:rsid w:val="00246EF3"/>
    <w:rsid w:val="00247352"/>
    <w:rsid w:val="0024769D"/>
    <w:rsid w:val="0024776E"/>
    <w:rsid w:val="00247846"/>
    <w:rsid w:val="00247F8C"/>
    <w:rsid w:val="002500C4"/>
    <w:rsid w:val="00250150"/>
    <w:rsid w:val="00250706"/>
    <w:rsid w:val="00250960"/>
    <w:rsid w:val="00250A71"/>
    <w:rsid w:val="00250ABE"/>
    <w:rsid w:val="00250B61"/>
    <w:rsid w:val="00250D29"/>
    <w:rsid w:val="00250E05"/>
    <w:rsid w:val="0025104A"/>
    <w:rsid w:val="00251914"/>
    <w:rsid w:val="00251AE9"/>
    <w:rsid w:val="0025205A"/>
    <w:rsid w:val="0025237F"/>
    <w:rsid w:val="002526D0"/>
    <w:rsid w:val="00252EB5"/>
    <w:rsid w:val="00252F1C"/>
    <w:rsid w:val="00252F7D"/>
    <w:rsid w:val="0025310C"/>
    <w:rsid w:val="0025310F"/>
    <w:rsid w:val="0025384F"/>
    <w:rsid w:val="002538AC"/>
    <w:rsid w:val="00254158"/>
    <w:rsid w:val="00254222"/>
    <w:rsid w:val="0025497F"/>
    <w:rsid w:val="00254A57"/>
    <w:rsid w:val="0025591C"/>
    <w:rsid w:val="00255DAD"/>
    <w:rsid w:val="00255F66"/>
    <w:rsid w:val="002560DF"/>
    <w:rsid w:val="00256340"/>
    <w:rsid w:val="00256444"/>
    <w:rsid w:val="002564C4"/>
    <w:rsid w:val="00256647"/>
    <w:rsid w:val="00256D50"/>
    <w:rsid w:val="00256E16"/>
    <w:rsid w:val="00256FC8"/>
    <w:rsid w:val="002571B8"/>
    <w:rsid w:val="002574C1"/>
    <w:rsid w:val="002575EA"/>
    <w:rsid w:val="00260114"/>
    <w:rsid w:val="00260BF4"/>
    <w:rsid w:val="00260D1F"/>
    <w:rsid w:val="00260D51"/>
    <w:rsid w:val="00261070"/>
    <w:rsid w:val="002615AA"/>
    <w:rsid w:val="0026185B"/>
    <w:rsid w:val="00262079"/>
    <w:rsid w:val="00262086"/>
    <w:rsid w:val="002623D6"/>
    <w:rsid w:val="00262C23"/>
    <w:rsid w:val="00263289"/>
    <w:rsid w:val="002633AC"/>
    <w:rsid w:val="0026361D"/>
    <w:rsid w:val="0026362A"/>
    <w:rsid w:val="0026368D"/>
    <w:rsid w:val="0026370F"/>
    <w:rsid w:val="00263ADF"/>
    <w:rsid w:val="00264563"/>
    <w:rsid w:val="00264AB5"/>
    <w:rsid w:val="00264B29"/>
    <w:rsid w:val="002654F7"/>
    <w:rsid w:val="00266A7E"/>
    <w:rsid w:val="00266C5A"/>
    <w:rsid w:val="00266DE3"/>
    <w:rsid w:val="002674ED"/>
    <w:rsid w:val="00267646"/>
    <w:rsid w:val="002676F7"/>
    <w:rsid w:val="00270574"/>
    <w:rsid w:val="00270893"/>
    <w:rsid w:val="00270B92"/>
    <w:rsid w:val="00271268"/>
    <w:rsid w:val="0027152D"/>
    <w:rsid w:val="00271A47"/>
    <w:rsid w:val="0027260A"/>
    <w:rsid w:val="00272964"/>
    <w:rsid w:val="00272B61"/>
    <w:rsid w:val="00272FE1"/>
    <w:rsid w:val="00273076"/>
    <w:rsid w:val="00273CB6"/>
    <w:rsid w:val="00273D66"/>
    <w:rsid w:val="00273E11"/>
    <w:rsid w:val="0027431F"/>
    <w:rsid w:val="00274578"/>
    <w:rsid w:val="00275345"/>
    <w:rsid w:val="002754E1"/>
    <w:rsid w:val="00275E2C"/>
    <w:rsid w:val="00276012"/>
    <w:rsid w:val="002769F4"/>
    <w:rsid w:val="00277259"/>
    <w:rsid w:val="0027751E"/>
    <w:rsid w:val="0027754E"/>
    <w:rsid w:val="00277F6E"/>
    <w:rsid w:val="00280095"/>
    <w:rsid w:val="002800B0"/>
    <w:rsid w:val="0028096F"/>
    <w:rsid w:val="00280C12"/>
    <w:rsid w:val="00280CDC"/>
    <w:rsid w:val="00280E5A"/>
    <w:rsid w:val="002815EB"/>
    <w:rsid w:val="002816C5"/>
    <w:rsid w:val="00281C6C"/>
    <w:rsid w:val="00281CAA"/>
    <w:rsid w:val="00281DF2"/>
    <w:rsid w:val="00283402"/>
    <w:rsid w:val="00283490"/>
    <w:rsid w:val="002834B5"/>
    <w:rsid w:val="00283FD9"/>
    <w:rsid w:val="002851B4"/>
    <w:rsid w:val="00285635"/>
    <w:rsid w:val="0028598A"/>
    <w:rsid w:val="00285EC7"/>
    <w:rsid w:val="00286530"/>
    <w:rsid w:val="00286655"/>
    <w:rsid w:val="00287947"/>
    <w:rsid w:val="00287F9D"/>
    <w:rsid w:val="0029099A"/>
    <w:rsid w:val="00290D59"/>
    <w:rsid w:val="00290D65"/>
    <w:rsid w:val="0029180B"/>
    <w:rsid w:val="00291D99"/>
    <w:rsid w:val="00291EFD"/>
    <w:rsid w:val="00291F1F"/>
    <w:rsid w:val="0029223E"/>
    <w:rsid w:val="002927CB"/>
    <w:rsid w:val="0029280C"/>
    <w:rsid w:val="00292A29"/>
    <w:rsid w:val="00292B88"/>
    <w:rsid w:val="00292E61"/>
    <w:rsid w:val="0029305B"/>
    <w:rsid w:val="00293A33"/>
    <w:rsid w:val="002947C1"/>
    <w:rsid w:val="00294ADA"/>
    <w:rsid w:val="002951A2"/>
    <w:rsid w:val="00295989"/>
    <w:rsid w:val="0029675B"/>
    <w:rsid w:val="00296D23"/>
    <w:rsid w:val="00297875"/>
    <w:rsid w:val="00297C3B"/>
    <w:rsid w:val="00297F1D"/>
    <w:rsid w:val="00297F72"/>
    <w:rsid w:val="002A0215"/>
    <w:rsid w:val="002A0818"/>
    <w:rsid w:val="002A0B36"/>
    <w:rsid w:val="002A0C40"/>
    <w:rsid w:val="002A11E0"/>
    <w:rsid w:val="002A1765"/>
    <w:rsid w:val="002A1B78"/>
    <w:rsid w:val="002A1C01"/>
    <w:rsid w:val="002A27BC"/>
    <w:rsid w:val="002A2F77"/>
    <w:rsid w:val="002A31D5"/>
    <w:rsid w:val="002A367C"/>
    <w:rsid w:val="002A47A3"/>
    <w:rsid w:val="002A51B5"/>
    <w:rsid w:val="002A5991"/>
    <w:rsid w:val="002A6357"/>
    <w:rsid w:val="002A6359"/>
    <w:rsid w:val="002A69E2"/>
    <w:rsid w:val="002A6FCD"/>
    <w:rsid w:val="002A7C53"/>
    <w:rsid w:val="002B01B2"/>
    <w:rsid w:val="002B063D"/>
    <w:rsid w:val="002B06A0"/>
    <w:rsid w:val="002B0949"/>
    <w:rsid w:val="002B0A7F"/>
    <w:rsid w:val="002B0C1C"/>
    <w:rsid w:val="002B0D76"/>
    <w:rsid w:val="002B0E73"/>
    <w:rsid w:val="002B1186"/>
    <w:rsid w:val="002B14E8"/>
    <w:rsid w:val="002B2370"/>
    <w:rsid w:val="002B24C9"/>
    <w:rsid w:val="002B2633"/>
    <w:rsid w:val="002B266D"/>
    <w:rsid w:val="002B2A91"/>
    <w:rsid w:val="002B2AE9"/>
    <w:rsid w:val="002B3138"/>
    <w:rsid w:val="002B3470"/>
    <w:rsid w:val="002B3C34"/>
    <w:rsid w:val="002B3C7D"/>
    <w:rsid w:val="002B464D"/>
    <w:rsid w:val="002B4EC4"/>
    <w:rsid w:val="002B54E7"/>
    <w:rsid w:val="002B57C0"/>
    <w:rsid w:val="002B64C5"/>
    <w:rsid w:val="002B6A54"/>
    <w:rsid w:val="002B6DE1"/>
    <w:rsid w:val="002B706D"/>
    <w:rsid w:val="002B7411"/>
    <w:rsid w:val="002B76F8"/>
    <w:rsid w:val="002B7BDF"/>
    <w:rsid w:val="002B7D2A"/>
    <w:rsid w:val="002C0103"/>
    <w:rsid w:val="002C031D"/>
    <w:rsid w:val="002C0463"/>
    <w:rsid w:val="002C0DC5"/>
    <w:rsid w:val="002C1116"/>
    <w:rsid w:val="002C115F"/>
    <w:rsid w:val="002C19B1"/>
    <w:rsid w:val="002C2A6B"/>
    <w:rsid w:val="002C2FD3"/>
    <w:rsid w:val="002C303A"/>
    <w:rsid w:val="002C34F2"/>
    <w:rsid w:val="002C36A2"/>
    <w:rsid w:val="002C3E9C"/>
    <w:rsid w:val="002C4802"/>
    <w:rsid w:val="002C4A9A"/>
    <w:rsid w:val="002C4DD7"/>
    <w:rsid w:val="002C52BC"/>
    <w:rsid w:val="002C55E2"/>
    <w:rsid w:val="002C560D"/>
    <w:rsid w:val="002C564F"/>
    <w:rsid w:val="002C5A8C"/>
    <w:rsid w:val="002C5B6C"/>
    <w:rsid w:val="002C5CD8"/>
    <w:rsid w:val="002C5E16"/>
    <w:rsid w:val="002C63F4"/>
    <w:rsid w:val="002C7187"/>
    <w:rsid w:val="002C7568"/>
    <w:rsid w:val="002C75D8"/>
    <w:rsid w:val="002C7CCD"/>
    <w:rsid w:val="002D01DF"/>
    <w:rsid w:val="002D0A68"/>
    <w:rsid w:val="002D0DD5"/>
    <w:rsid w:val="002D1746"/>
    <w:rsid w:val="002D1C62"/>
    <w:rsid w:val="002D22EB"/>
    <w:rsid w:val="002D30BE"/>
    <w:rsid w:val="002D32BA"/>
    <w:rsid w:val="002D3535"/>
    <w:rsid w:val="002D3BA6"/>
    <w:rsid w:val="002D4473"/>
    <w:rsid w:val="002D5710"/>
    <w:rsid w:val="002D5C00"/>
    <w:rsid w:val="002D5E68"/>
    <w:rsid w:val="002D67B3"/>
    <w:rsid w:val="002D748A"/>
    <w:rsid w:val="002D7577"/>
    <w:rsid w:val="002D7849"/>
    <w:rsid w:val="002E0AA1"/>
    <w:rsid w:val="002E0DA5"/>
    <w:rsid w:val="002E0DC5"/>
    <w:rsid w:val="002E1131"/>
    <w:rsid w:val="002E19E0"/>
    <w:rsid w:val="002E210A"/>
    <w:rsid w:val="002E210F"/>
    <w:rsid w:val="002E3A9E"/>
    <w:rsid w:val="002E3FB8"/>
    <w:rsid w:val="002E48EC"/>
    <w:rsid w:val="002E496E"/>
    <w:rsid w:val="002E4E7C"/>
    <w:rsid w:val="002E509D"/>
    <w:rsid w:val="002E6412"/>
    <w:rsid w:val="002E6420"/>
    <w:rsid w:val="002E64CB"/>
    <w:rsid w:val="002E650F"/>
    <w:rsid w:val="002E68C6"/>
    <w:rsid w:val="002E6D66"/>
    <w:rsid w:val="002E737E"/>
    <w:rsid w:val="002E753E"/>
    <w:rsid w:val="002F0394"/>
    <w:rsid w:val="002F0469"/>
    <w:rsid w:val="002F0557"/>
    <w:rsid w:val="002F08F9"/>
    <w:rsid w:val="002F0B8A"/>
    <w:rsid w:val="002F1395"/>
    <w:rsid w:val="002F2050"/>
    <w:rsid w:val="002F2623"/>
    <w:rsid w:val="002F279B"/>
    <w:rsid w:val="002F2D35"/>
    <w:rsid w:val="002F2EB8"/>
    <w:rsid w:val="002F2F6B"/>
    <w:rsid w:val="002F39B6"/>
    <w:rsid w:val="002F39FD"/>
    <w:rsid w:val="002F3C07"/>
    <w:rsid w:val="002F3F72"/>
    <w:rsid w:val="002F439B"/>
    <w:rsid w:val="002F441C"/>
    <w:rsid w:val="002F461C"/>
    <w:rsid w:val="002F4B74"/>
    <w:rsid w:val="002F540C"/>
    <w:rsid w:val="002F575D"/>
    <w:rsid w:val="002F579B"/>
    <w:rsid w:val="002F57AD"/>
    <w:rsid w:val="002F733A"/>
    <w:rsid w:val="002F7897"/>
    <w:rsid w:val="002F7B50"/>
    <w:rsid w:val="002F7D8C"/>
    <w:rsid w:val="003009E7"/>
    <w:rsid w:val="00300A3A"/>
    <w:rsid w:val="00300AA6"/>
    <w:rsid w:val="00300E63"/>
    <w:rsid w:val="003016E9"/>
    <w:rsid w:val="003020C1"/>
    <w:rsid w:val="0030217F"/>
    <w:rsid w:val="00302465"/>
    <w:rsid w:val="0030270B"/>
    <w:rsid w:val="003036D0"/>
    <w:rsid w:val="00303727"/>
    <w:rsid w:val="00303FF6"/>
    <w:rsid w:val="003049A8"/>
    <w:rsid w:val="003053B6"/>
    <w:rsid w:val="0030698C"/>
    <w:rsid w:val="003071F0"/>
    <w:rsid w:val="00307276"/>
    <w:rsid w:val="0030736E"/>
    <w:rsid w:val="003073AF"/>
    <w:rsid w:val="003076B1"/>
    <w:rsid w:val="003104E6"/>
    <w:rsid w:val="0031052E"/>
    <w:rsid w:val="003106BA"/>
    <w:rsid w:val="00310B59"/>
    <w:rsid w:val="00310DD1"/>
    <w:rsid w:val="00310EE3"/>
    <w:rsid w:val="003113AB"/>
    <w:rsid w:val="00311899"/>
    <w:rsid w:val="00312EAE"/>
    <w:rsid w:val="00314063"/>
    <w:rsid w:val="003147D9"/>
    <w:rsid w:val="00314C32"/>
    <w:rsid w:val="00315048"/>
    <w:rsid w:val="003154FC"/>
    <w:rsid w:val="003155E1"/>
    <w:rsid w:val="00315616"/>
    <w:rsid w:val="00316105"/>
    <w:rsid w:val="003165C7"/>
    <w:rsid w:val="00316753"/>
    <w:rsid w:val="00316D00"/>
    <w:rsid w:val="00316EAC"/>
    <w:rsid w:val="003171EB"/>
    <w:rsid w:val="00317290"/>
    <w:rsid w:val="003178DA"/>
    <w:rsid w:val="00317F0D"/>
    <w:rsid w:val="003202A9"/>
    <w:rsid w:val="003206C3"/>
    <w:rsid w:val="003208E2"/>
    <w:rsid w:val="00320AA3"/>
    <w:rsid w:val="00320D40"/>
    <w:rsid w:val="00320D76"/>
    <w:rsid w:val="00321665"/>
    <w:rsid w:val="00321C4B"/>
    <w:rsid w:val="00321C4D"/>
    <w:rsid w:val="00321F41"/>
    <w:rsid w:val="003225B9"/>
    <w:rsid w:val="00322B58"/>
    <w:rsid w:val="00322B7D"/>
    <w:rsid w:val="00323C23"/>
    <w:rsid w:val="0032451D"/>
    <w:rsid w:val="003257B3"/>
    <w:rsid w:val="0032594E"/>
    <w:rsid w:val="00325B21"/>
    <w:rsid w:val="00326689"/>
    <w:rsid w:val="00326A88"/>
    <w:rsid w:val="003277B8"/>
    <w:rsid w:val="00327B1C"/>
    <w:rsid w:val="00327CD8"/>
    <w:rsid w:val="0033049E"/>
    <w:rsid w:val="003304A5"/>
    <w:rsid w:val="003306D7"/>
    <w:rsid w:val="0033094F"/>
    <w:rsid w:val="00330F28"/>
    <w:rsid w:val="00331065"/>
    <w:rsid w:val="003315FC"/>
    <w:rsid w:val="00332402"/>
    <w:rsid w:val="00332551"/>
    <w:rsid w:val="00332D3D"/>
    <w:rsid w:val="00332EFB"/>
    <w:rsid w:val="00332F3A"/>
    <w:rsid w:val="00332F87"/>
    <w:rsid w:val="00333214"/>
    <w:rsid w:val="003332CA"/>
    <w:rsid w:val="003338C4"/>
    <w:rsid w:val="003346C7"/>
    <w:rsid w:val="00334B5A"/>
    <w:rsid w:val="00334CE7"/>
    <w:rsid w:val="00334DC1"/>
    <w:rsid w:val="00335182"/>
    <w:rsid w:val="003355AA"/>
    <w:rsid w:val="00335719"/>
    <w:rsid w:val="003358B0"/>
    <w:rsid w:val="00335B78"/>
    <w:rsid w:val="00335EF8"/>
    <w:rsid w:val="00336425"/>
    <w:rsid w:val="00340658"/>
    <w:rsid w:val="00340808"/>
    <w:rsid w:val="00340823"/>
    <w:rsid w:val="00340866"/>
    <w:rsid w:val="003409EE"/>
    <w:rsid w:val="00340D6D"/>
    <w:rsid w:val="0034129C"/>
    <w:rsid w:val="0034183E"/>
    <w:rsid w:val="0034197A"/>
    <w:rsid w:val="00342401"/>
    <w:rsid w:val="00343753"/>
    <w:rsid w:val="003439B4"/>
    <w:rsid w:val="003439CB"/>
    <w:rsid w:val="00343FB5"/>
    <w:rsid w:val="003443A3"/>
    <w:rsid w:val="003449E4"/>
    <w:rsid w:val="003454C3"/>
    <w:rsid w:val="00345C9A"/>
    <w:rsid w:val="00346826"/>
    <w:rsid w:val="00346887"/>
    <w:rsid w:val="00346BEA"/>
    <w:rsid w:val="00346E2C"/>
    <w:rsid w:val="003475EB"/>
    <w:rsid w:val="003475F9"/>
    <w:rsid w:val="00347631"/>
    <w:rsid w:val="00347657"/>
    <w:rsid w:val="00347B0F"/>
    <w:rsid w:val="00347F17"/>
    <w:rsid w:val="00347F20"/>
    <w:rsid w:val="0035065C"/>
    <w:rsid w:val="00350A2E"/>
    <w:rsid w:val="00350A3F"/>
    <w:rsid w:val="00351A89"/>
    <w:rsid w:val="00351CD2"/>
    <w:rsid w:val="00351E5F"/>
    <w:rsid w:val="0035247F"/>
    <w:rsid w:val="003526CF"/>
    <w:rsid w:val="00353A86"/>
    <w:rsid w:val="00353F90"/>
    <w:rsid w:val="00354127"/>
    <w:rsid w:val="00354586"/>
    <w:rsid w:val="0035469F"/>
    <w:rsid w:val="00354A8C"/>
    <w:rsid w:val="00355806"/>
    <w:rsid w:val="003564EF"/>
    <w:rsid w:val="003564F0"/>
    <w:rsid w:val="00356B6F"/>
    <w:rsid w:val="00356E08"/>
    <w:rsid w:val="00357657"/>
    <w:rsid w:val="00357B36"/>
    <w:rsid w:val="00360338"/>
    <w:rsid w:val="003603DA"/>
    <w:rsid w:val="00360461"/>
    <w:rsid w:val="00360C7D"/>
    <w:rsid w:val="003613DD"/>
    <w:rsid w:val="00361DB7"/>
    <w:rsid w:val="00361F36"/>
    <w:rsid w:val="003622B2"/>
    <w:rsid w:val="00362B41"/>
    <w:rsid w:val="00362D77"/>
    <w:rsid w:val="00362D85"/>
    <w:rsid w:val="00362E88"/>
    <w:rsid w:val="00362FAD"/>
    <w:rsid w:val="00363078"/>
    <w:rsid w:val="00363791"/>
    <w:rsid w:val="003647ED"/>
    <w:rsid w:val="003649C4"/>
    <w:rsid w:val="003653C9"/>
    <w:rsid w:val="0036570C"/>
    <w:rsid w:val="00365765"/>
    <w:rsid w:val="0036581C"/>
    <w:rsid w:val="00365877"/>
    <w:rsid w:val="00365B59"/>
    <w:rsid w:val="00365FAF"/>
    <w:rsid w:val="00366305"/>
    <w:rsid w:val="0036643D"/>
    <w:rsid w:val="00366680"/>
    <w:rsid w:val="003667B5"/>
    <w:rsid w:val="00366A5A"/>
    <w:rsid w:val="00366D70"/>
    <w:rsid w:val="00367429"/>
    <w:rsid w:val="003678BD"/>
    <w:rsid w:val="00367BE4"/>
    <w:rsid w:val="00367FBD"/>
    <w:rsid w:val="00370914"/>
    <w:rsid w:val="00370954"/>
    <w:rsid w:val="003710BF"/>
    <w:rsid w:val="00371161"/>
    <w:rsid w:val="0037141C"/>
    <w:rsid w:val="00371851"/>
    <w:rsid w:val="00371AB1"/>
    <w:rsid w:val="00371AD6"/>
    <w:rsid w:val="00371B15"/>
    <w:rsid w:val="0037252D"/>
    <w:rsid w:val="003729DB"/>
    <w:rsid w:val="00372BB5"/>
    <w:rsid w:val="00372D1E"/>
    <w:rsid w:val="00372F7C"/>
    <w:rsid w:val="003731DF"/>
    <w:rsid w:val="00373413"/>
    <w:rsid w:val="003735E4"/>
    <w:rsid w:val="00373788"/>
    <w:rsid w:val="003738E7"/>
    <w:rsid w:val="00373D2D"/>
    <w:rsid w:val="00374464"/>
    <w:rsid w:val="00374D2D"/>
    <w:rsid w:val="0037506D"/>
    <w:rsid w:val="00375397"/>
    <w:rsid w:val="00375A51"/>
    <w:rsid w:val="00375A65"/>
    <w:rsid w:val="00375C95"/>
    <w:rsid w:val="00376B01"/>
    <w:rsid w:val="00376E3C"/>
    <w:rsid w:val="00376F5F"/>
    <w:rsid w:val="0037744C"/>
    <w:rsid w:val="0037785A"/>
    <w:rsid w:val="0038010B"/>
    <w:rsid w:val="00380208"/>
    <w:rsid w:val="00381151"/>
    <w:rsid w:val="00381F60"/>
    <w:rsid w:val="00381FC4"/>
    <w:rsid w:val="00382055"/>
    <w:rsid w:val="00382CDB"/>
    <w:rsid w:val="00383456"/>
    <w:rsid w:val="003837E9"/>
    <w:rsid w:val="003838D2"/>
    <w:rsid w:val="00383A13"/>
    <w:rsid w:val="00383F97"/>
    <w:rsid w:val="003845E9"/>
    <w:rsid w:val="00384D98"/>
    <w:rsid w:val="00384E2D"/>
    <w:rsid w:val="00384F61"/>
    <w:rsid w:val="00385123"/>
    <w:rsid w:val="00385355"/>
    <w:rsid w:val="00385551"/>
    <w:rsid w:val="003859AD"/>
    <w:rsid w:val="00385B0B"/>
    <w:rsid w:val="00386048"/>
    <w:rsid w:val="003860A3"/>
    <w:rsid w:val="0038682C"/>
    <w:rsid w:val="00386B45"/>
    <w:rsid w:val="00386F62"/>
    <w:rsid w:val="00387377"/>
    <w:rsid w:val="00390196"/>
    <w:rsid w:val="0039070C"/>
    <w:rsid w:val="00390C58"/>
    <w:rsid w:val="00391537"/>
    <w:rsid w:val="003915B7"/>
    <w:rsid w:val="003916A3"/>
    <w:rsid w:val="00391BC6"/>
    <w:rsid w:val="00391F75"/>
    <w:rsid w:val="00392100"/>
    <w:rsid w:val="003927C4"/>
    <w:rsid w:val="00392CD0"/>
    <w:rsid w:val="003931ED"/>
    <w:rsid w:val="00393D09"/>
    <w:rsid w:val="00393D8D"/>
    <w:rsid w:val="00393E87"/>
    <w:rsid w:val="00394A2C"/>
    <w:rsid w:val="00394C95"/>
    <w:rsid w:val="00394D96"/>
    <w:rsid w:val="00394E0F"/>
    <w:rsid w:val="003958BB"/>
    <w:rsid w:val="003960B1"/>
    <w:rsid w:val="003962B3"/>
    <w:rsid w:val="00396347"/>
    <w:rsid w:val="003965F4"/>
    <w:rsid w:val="003968F3"/>
    <w:rsid w:val="00396BC5"/>
    <w:rsid w:val="00396DE4"/>
    <w:rsid w:val="00396F7B"/>
    <w:rsid w:val="00397198"/>
    <w:rsid w:val="0039727F"/>
    <w:rsid w:val="003974C8"/>
    <w:rsid w:val="003978C9"/>
    <w:rsid w:val="00397C49"/>
    <w:rsid w:val="00397E93"/>
    <w:rsid w:val="003A065F"/>
    <w:rsid w:val="003A0D94"/>
    <w:rsid w:val="003A13AC"/>
    <w:rsid w:val="003A1ACF"/>
    <w:rsid w:val="003A2B63"/>
    <w:rsid w:val="003A3502"/>
    <w:rsid w:val="003A38EA"/>
    <w:rsid w:val="003A3B67"/>
    <w:rsid w:val="003A42E3"/>
    <w:rsid w:val="003A47F7"/>
    <w:rsid w:val="003A5448"/>
    <w:rsid w:val="003A59C5"/>
    <w:rsid w:val="003A5D7E"/>
    <w:rsid w:val="003A61C6"/>
    <w:rsid w:val="003A693D"/>
    <w:rsid w:val="003A710F"/>
    <w:rsid w:val="003A71C4"/>
    <w:rsid w:val="003A75B4"/>
    <w:rsid w:val="003A77EF"/>
    <w:rsid w:val="003A799D"/>
    <w:rsid w:val="003B0209"/>
    <w:rsid w:val="003B0247"/>
    <w:rsid w:val="003B05FA"/>
    <w:rsid w:val="003B1163"/>
    <w:rsid w:val="003B11BA"/>
    <w:rsid w:val="003B1494"/>
    <w:rsid w:val="003B15FE"/>
    <w:rsid w:val="003B18EF"/>
    <w:rsid w:val="003B19EA"/>
    <w:rsid w:val="003B1DC8"/>
    <w:rsid w:val="003B2304"/>
    <w:rsid w:val="003B250E"/>
    <w:rsid w:val="003B3AFD"/>
    <w:rsid w:val="003B3CCE"/>
    <w:rsid w:val="003B4124"/>
    <w:rsid w:val="003B48F7"/>
    <w:rsid w:val="003B4CEF"/>
    <w:rsid w:val="003B5165"/>
    <w:rsid w:val="003B51F9"/>
    <w:rsid w:val="003B53BF"/>
    <w:rsid w:val="003B5A0E"/>
    <w:rsid w:val="003B5ADD"/>
    <w:rsid w:val="003B5C16"/>
    <w:rsid w:val="003B6072"/>
    <w:rsid w:val="003B61B7"/>
    <w:rsid w:val="003B634A"/>
    <w:rsid w:val="003B657F"/>
    <w:rsid w:val="003B7187"/>
    <w:rsid w:val="003B7458"/>
    <w:rsid w:val="003B79A7"/>
    <w:rsid w:val="003C00EF"/>
    <w:rsid w:val="003C1A34"/>
    <w:rsid w:val="003C1CF1"/>
    <w:rsid w:val="003C1D41"/>
    <w:rsid w:val="003C1E6B"/>
    <w:rsid w:val="003C2060"/>
    <w:rsid w:val="003C2776"/>
    <w:rsid w:val="003C2993"/>
    <w:rsid w:val="003C2E2A"/>
    <w:rsid w:val="003C31C8"/>
    <w:rsid w:val="003C3316"/>
    <w:rsid w:val="003C37FF"/>
    <w:rsid w:val="003C3839"/>
    <w:rsid w:val="003C3BAE"/>
    <w:rsid w:val="003C43D5"/>
    <w:rsid w:val="003C4F29"/>
    <w:rsid w:val="003C5198"/>
    <w:rsid w:val="003C528E"/>
    <w:rsid w:val="003C5A21"/>
    <w:rsid w:val="003C5D43"/>
    <w:rsid w:val="003C602D"/>
    <w:rsid w:val="003C627D"/>
    <w:rsid w:val="003C6579"/>
    <w:rsid w:val="003C686C"/>
    <w:rsid w:val="003C7201"/>
    <w:rsid w:val="003C739E"/>
    <w:rsid w:val="003C742B"/>
    <w:rsid w:val="003C76B2"/>
    <w:rsid w:val="003C78FD"/>
    <w:rsid w:val="003D0245"/>
    <w:rsid w:val="003D09B3"/>
    <w:rsid w:val="003D11EB"/>
    <w:rsid w:val="003D1255"/>
    <w:rsid w:val="003D15A0"/>
    <w:rsid w:val="003D1D81"/>
    <w:rsid w:val="003D35A3"/>
    <w:rsid w:val="003D43B0"/>
    <w:rsid w:val="003D43CF"/>
    <w:rsid w:val="003D4479"/>
    <w:rsid w:val="003D4E79"/>
    <w:rsid w:val="003D5078"/>
    <w:rsid w:val="003D6519"/>
    <w:rsid w:val="003D656B"/>
    <w:rsid w:val="003D66E3"/>
    <w:rsid w:val="003D679A"/>
    <w:rsid w:val="003D7021"/>
    <w:rsid w:val="003D732B"/>
    <w:rsid w:val="003D7379"/>
    <w:rsid w:val="003D741F"/>
    <w:rsid w:val="003D74DF"/>
    <w:rsid w:val="003D7620"/>
    <w:rsid w:val="003D7D39"/>
    <w:rsid w:val="003E0015"/>
    <w:rsid w:val="003E0185"/>
    <w:rsid w:val="003E0A08"/>
    <w:rsid w:val="003E0B14"/>
    <w:rsid w:val="003E0BF3"/>
    <w:rsid w:val="003E0CEB"/>
    <w:rsid w:val="003E0D61"/>
    <w:rsid w:val="003E1714"/>
    <w:rsid w:val="003E1A35"/>
    <w:rsid w:val="003E2226"/>
    <w:rsid w:val="003E2764"/>
    <w:rsid w:val="003E2948"/>
    <w:rsid w:val="003E29F6"/>
    <w:rsid w:val="003E2ED6"/>
    <w:rsid w:val="003E2F0B"/>
    <w:rsid w:val="003E3CCF"/>
    <w:rsid w:val="003E5117"/>
    <w:rsid w:val="003E5150"/>
    <w:rsid w:val="003E5F6A"/>
    <w:rsid w:val="003E631D"/>
    <w:rsid w:val="003E6745"/>
    <w:rsid w:val="003E6EA9"/>
    <w:rsid w:val="003F0015"/>
    <w:rsid w:val="003F0329"/>
    <w:rsid w:val="003F04EB"/>
    <w:rsid w:val="003F0BDC"/>
    <w:rsid w:val="003F1371"/>
    <w:rsid w:val="003F1BE6"/>
    <w:rsid w:val="003F1ED9"/>
    <w:rsid w:val="003F25E4"/>
    <w:rsid w:val="003F274A"/>
    <w:rsid w:val="003F2895"/>
    <w:rsid w:val="003F2B47"/>
    <w:rsid w:val="003F2F0D"/>
    <w:rsid w:val="003F2FF1"/>
    <w:rsid w:val="003F346D"/>
    <w:rsid w:val="003F34B9"/>
    <w:rsid w:val="003F3638"/>
    <w:rsid w:val="003F3C2E"/>
    <w:rsid w:val="003F3D18"/>
    <w:rsid w:val="003F4011"/>
    <w:rsid w:val="003F40C0"/>
    <w:rsid w:val="003F44DD"/>
    <w:rsid w:val="003F49EA"/>
    <w:rsid w:val="003F4E8C"/>
    <w:rsid w:val="003F51B4"/>
    <w:rsid w:val="003F58F5"/>
    <w:rsid w:val="003F5AD7"/>
    <w:rsid w:val="003F5B92"/>
    <w:rsid w:val="003F5D74"/>
    <w:rsid w:val="003F65C8"/>
    <w:rsid w:val="003F6742"/>
    <w:rsid w:val="003F6BC0"/>
    <w:rsid w:val="003F6EC1"/>
    <w:rsid w:val="003F7016"/>
    <w:rsid w:val="003F7A1B"/>
    <w:rsid w:val="003F7A27"/>
    <w:rsid w:val="003F7CD9"/>
    <w:rsid w:val="004008E7"/>
    <w:rsid w:val="004010E2"/>
    <w:rsid w:val="004011CB"/>
    <w:rsid w:val="00401653"/>
    <w:rsid w:val="00401A89"/>
    <w:rsid w:val="00401B0B"/>
    <w:rsid w:val="00401C44"/>
    <w:rsid w:val="00401DBB"/>
    <w:rsid w:val="00401DF4"/>
    <w:rsid w:val="0040210D"/>
    <w:rsid w:val="004025C2"/>
    <w:rsid w:val="00402D2F"/>
    <w:rsid w:val="00402FCB"/>
    <w:rsid w:val="004037C7"/>
    <w:rsid w:val="004037CB"/>
    <w:rsid w:val="00403D0B"/>
    <w:rsid w:val="00403F89"/>
    <w:rsid w:val="0040449B"/>
    <w:rsid w:val="00404599"/>
    <w:rsid w:val="00405301"/>
    <w:rsid w:val="0040579B"/>
    <w:rsid w:val="004057B4"/>
    <w:rsid w:val="00405BFE"/>
    <w:rsid w:val="00405CAB"/>
    <w:rsid w:val="00405E7B"/>
    <w:rsid w:val="004063C5"/>
    <w:rsid w:val="0040641E"/>
    <w:rsid w:val="0040644A"/>
    <w:rsid w:val="004067AE"/>
    <w:rsid w:val="0040699D"/>
    <w:rsid w:val="00406D44"/>
    <w:rsid w:val="004073F0"/>
    <w:rsid w:val="004077D9"/>
    <w:rsid w:val="00407A4E"/>
    <w:rsid w:val="00410E32"/>
    <w:rsid w:val="004110DC"/>
    <w:rsid w:val="00411727"/>
    <w:rsid w:val="00411A29"/>
    <w:rsid w:val="00412AC8"/>
    <w:rsid w:val="00412F31"/>
    <w:rsid w:val="00412F6D"/>
    <w:rsid w:val="004138E1"/>
    <w:rsid w:val="00413967"/>
    <w:rsid w:val="00413A17"/>
    <w:rsid w:val="00413B7A"/>
    <w:rsid w:val="00413BC1"/>
    <w:rsid w:val="00413F32"/>
    <w:rsid w:val="004140B4"/>
    <w:rsid w:val="00414600"/>
    <w:rsid w:val="0041510D"/>
    <w:rsid w:val="004151FC"/>
    <w:rsid w:val="00415314"/>
    <w:rsid w:val="004155F8"/>
    <w:rsid w:val="00415983"/>
    <w:rsid w:val="00415D21"/>
    <w:rsid w:val="00416064"/>
    <w:rsid w:val="004167E3"/>
    <w:rsid w:val="004168FE"/>
    <w:rsid w:val="00416BBD"/>
    <w:rsid w:val="004172C6"/>
    <w:rsid w:val="00417981"/>
    <w:rsid w:val="00417E3C"/>
    <w:rsid w:val="00417EFA"/>
    <w:rsid w:val="00420473"/>
    <w:rsid w:val="004206FC"/>
    <w:rsid w:val="00420F2A"/>
    <w:rsid w:val="00421203"/>
    <w:rsid w:val="004212EA"/>
    <w:rsid w:val="00421657"/>
    <w:rsid w:val="00422097"/>
    <w:rsid w:val="00422216"/>
    <w:rsid w:val="00422C1D"/>
    <w:rsid w:val="00422D34"/>
    <w:rsid w:val="0042315B"/>
    <w:rsid w:val="004233D7"/>
    <w:rsid w:val="004237E2"/>
    <w:rsid w:val="00423822"/>
    <w:rsid w:val="00423CBD"/>
    <w:rsid w:val="00423E55"/>
    <w:rsid w:val="00423E84"/>
    <w:rsid w:val="00424203"/>
    <w:rsid w:val="004244CC"/>
    <w:rsid w:val="00424548"/>
    <w:rsid w:val="0042497D"/>
    <w:rsid w:val="00424C11"/>
    <w:rsid w:val="00425196"/>
    <w:rsid w:val="00425487"/>
    <w:rsid w:val="00425589"/>
    <w:rsid w:val="0042593C"/>
    <w:rsid w:val="00425F93"/>
    <w:rsid w:val="0042605A"/>
    <w:rsid w:val="004260D7"/>
    <w:rsid w:val="00426313"/>
    <w:rsid w:val="00426793"/>
    <w:rsid w:val="004269A4"/>
    <w:rsid w:val="00426C8D"/>
    <w:rsid w:val="0042744F"/>
    <w:rsid w:val="004274C8"/>
    <w:rsid w:val="00427B7D"/>
    <w:rsid w:val="00430423"/>
    <w:rsid w:val="004309AD"/>
    <w:rsid w:val="00430AAD"/>
    <w:rsid w:val="00430C99"/>
    <w:rsid w:val="00430F3C"/>
    <w:rsid w:val="00431936"/>
    <w:rsid w:val="0043199D"/>
    <w:rsid w:val="00431B84"/>
    <w:rsid w:val="00431C2E"/>
    <w:rsid w:val="00431C50"/>
    <w:rsid w:val="00431D21"/>
    <w:rsid w:val="00431F22"/>
    <w:rsid w:val="0043206F"/>
    <w:rsid w:val="00432145"/>
    <w:rsid w:val="004323C8"/>
    <w:rsid w:val="00432637"/>
    <w:rsid w:val="00432BAD"/>
    <w:rsid w:val="00432BDB"/>
    <w:rsid w:val="00432E23"/>
    <w:rsid w:val="004339EC"/>
    <w:rsid w:val="0043421B"/>
    <w:rsid w:val="004342ED"/>
    <w:rsid w:val="0043468D"/>
    <w:rsid w:val="00434CDA"/>
    <w:rsid w:val="00434D67"/>
    <w:rsid w:val="00434F73"/>
    <w:rsid w:val="00435600"/>
    <w:rsid w:val="00435F3C"/>
    <w:rsid w:val="00436BDF"/>
    <w:rsid w:val="00436E85"/>
    <w:rsid w:val="00436F38"/>
    <w:rsid w:val="00437B8C"/>
    <w:rsid w:val="00437BFE"/>
    <w:rsid w:val="00437DD4"/>
    <w:rsid w:val="00440945"/>
    <w:rsid w:val="004409DC"/>
    <w:rsid w:val="0044144E"/>
    <w:rsid w:val="00441695"/>
    <w:rsid w:val="0044184E"/>
    <w:rsid w:val="004424C3"/>
    <w:rsid w:val="0044292D"/>
    <w:rsid w:val="00442A9E"/>
    <w:rsid w:val="00442DA7"/>
    <w:rsid w:val="00443720"/>
    <w:rsid w:val="00443802"/>
    <w:rsid w:val="00443A39"/>
    <w:rsid w:val="00443F04"/>
    <w:rsid w:val="00443F79"/>
    <w:rsid w:val="00444505"/>
    <w:rsid w:val="00444F5D"/>
    <w:rsid w:val="004451C8"/>
    <w:rsid w:val="004457BB"/>
    <w:rsid w:val="00445C55"/>
    <w:rsid w:val="00445F14"/>
    <w:rsid w:val="004464E4"/>
    <w:rsid w:val="00446590"/>
    <w:rsid w:val="0044718E"/>
    <w:rsid w:val="004475FF"/>
    <w:rsid w:val="004477B6"/>
    <w:rsid w:val="00447F08"/>
    <w:rsid w:val="00450019"/>
    <w:rsid w:val="00450734"/>
    <w:rsid w:val="00451B82"/>
    <w:rsid w:val="00451C65"/>
    <w:rsid w:val="0045218C"/>
    <w:rsid w:val="004529B5"/>
    <w:rsid w:val="00453367"/>
    <w:rsid w:val="00453D4F"/>
    <w:rsid w:val="0045475E"/>
    <w:rsid w:val="00454899"/>
    <w:rsid w:val="00454CC9"/>
    <w:rsid w:val="004555DB"/>
    <w:rsid w:val="00455C22"/>
    <w:rsid w:val="0045622A"/>
    <w:rsid w:val="004568E4"/>
    <w:rsid w:val="00456A21"/>
    <w:rsid w:val="00456EB0"/>
    <w:rsid w:val="00457779"/>
    <w:rsid w:val="0045780E"/>
    <w:rsid w:val="00457D91"/>
    <w:rsid w:val="00457F53"/>
    <w:rsid w:val="00460028"/>
    <w:rsid w:val="004600B2"/>
    <w:rsid w:val="00460179"/>
    <w:rsid w:val="0046018A"/>
    <w:rsid w:val="004601F4"/>
    <w:rsid w:val="004603D9"/>
    <w:rsid w:val="004609FE"/>
    <w:rsid w:val="00460D30"/>
    <w:rsid w:val="00460DD2"/>
    <w:rsid w:val="0046102B"/>
    <w:rsid w:val="00461120"/>
    <w:rsid w:val="00461C26"/>
    <w:rsid w:val="00461E4B"/>
    <w:rsid w:val="00461FB4"/>
    <w:rsid w:val="004621E1"/>
    <w:rsid w:val="00462A2A"/>
    <w:rsid w:val="0046317A"/>
    <w:rsid w:val="0046321B"/>
    <w:rsid w:val="0046347B"/>
    <w:rsid w:val="004636C3"/>
    <w:rsid w:val="00463A26"/>
    <w:rsid w:val="00464DCF"/>
    <w:rsid w:val="004653F6"/>
    <w:rsid w:val="0046545B"/>
    <w:rsid w:val="00465644"/>
    <w:rsid w:val="004660AA"/>
    <w:rsid w:val="004664AF"/>
    <w:rsid w:val="0046663F"/>
    <w:rsid w:val="0046680E"/>
    <w:rsid w:val="00466CE9"/>
    <w:rsid w:val="00467450"/>
    <w:rsid w:val="004674BF"/>
    <w:rsid w:val="0046761D"/>
    <w:rsid w:val="004677B9"/>
    <w:rsid w:val="00470A3D"/>
    <w:rsid w:val="00470F81"/>
    <w:rsid w:val="00471310"/>
    <w:rsid w:val="004719BA"/>
    <w:rsid w:val="00471A97"/>
    <w:rsid w:val="00471A9D"/>
    <w:rsid w:val="00472008"/>
    <w:rsid w:val="004721FB"/>
    <w:rsid w:val="004722B0"/>
    <w:rsid w:val="0047235B"/>
    <w:rsid w:val="00472CA1"/>
    <w:rsid w:val="00472CA7"/>
    <w:rsid w:val="00472CEA"/>
    <w:rsid w:val="00472FA8"/>
    <w:rsid w:val="00473164"/>
    <w:rsid w:val="00473576"/>
    <w:rsid w:val="00474653"/>
    <w:rsid w:val="004746C6"/>
    <w:rsid w:val="00474955"/>
    <w:rsid w:val="0047579A"/>
    <w:rsid w:val="0047587E"/>
    <w:rsid w:val="004759B3"/>
    <w:rsid w:val="00475A3C"/>
    <w:rsid w:val="00475B15"/>
    <w:rsid w:val="00475B51"/>
    <w:rsid w:val="00475B59"/>
    <w:rsid w:val="00475C89"/>
    <w:rsid w:val="00475EE5"/>
    <w:rsid w:val="004764CD"/>
    <w:rsid w:val="00476529"/>
    <w:rsid w:val="00476E2A"/>
    <w:rsid w:val="004774D9"/>
    <w:rsid w:val="00477797"/>
    <w:rsid w:val="0048053C"/>
    <w:rsid w:val="00480550"/>
    <w:rsid w:val="00480C7C"/>
    <w:rsid w:val="00481E04"/>
    <w:rsid w:val="00481F4C"/>
    <w:rsid w:val="004821B1"/>
    <w:rsid w:val="00482476"/>
    <w:rsid w:val="00482EE3"/>
    <w:rsid w:val="00482F4B"/>
    <w:rsid w:val="00483125"/>
    <w:rsid w:val="0048312C"/>
    <w:rsid w:val="00483363"/>
    <w:rsid w:val="0048390F"/>
    <w:rsid w:val="00484227"/>
    <w:rsid w:val="00486474"/>
    <w:rsid w:val="0048650A"/>
    <w:rsid w:val="0048670E"/>
    <w:rsid w:val="00486DDE"/>
    <w:rsid w:val="00486F0D"/>
    <w:rsid w:val="00486F3E"/>
    <w:rsid w:val="004876ED"/>
    <w:rsid w:val="00487B47"/>
    <w:rsid w:val="00490AE2"/>
    <w:rsid w:val="0049141F"/>
    <w:rsid w:val="00491E12"/>
    <w:rsid w:val="004927F6"/>
    <w:rsid w:val="00492E31"/>
    <w:rsid w:val="0049314E"/>
    <w:rsid w:val="004932F7"/>
    <w:rsid w:val="004937D3"/>
    <w:rsid w:val="00493F61"/>
    <w:rsid w:val="00494406"/>
    <w:rsid w:val="004946DA"/>
    <w:rsid w:val="00494785"/>
    <w:rsid w:val="00494BCA"/>
    <w:rsid w:val="00495625"/>
    <w:rsid w:val="0049787D"/>
    <w:rsid w:val="004978FD"/>
    <w:rsid w:val="00497B2D"/>
    <w:rsid w:val="00497CA5"/>
    <w:rsid w:val="00497E3E"/>
    <w:rsid w:val="00497F1D"/>
    <w:rsid w:val="004A0002"/>
    <w:rsid w:val="004A09ED"/>
    <w:rsid w:val="004A0BC6"/>
    <w:rsid w:val="004A14B5"/>
    <w:rsid w:val="004A1570"/>
    <w:rsid w:val="004A18BB"/>
    <w:rsid w:val="004A1967"/>
    <w:rsid w:val="004A1D82"/>
    <w:rsid w:val="004A2737"/>
    <w:rsid w:val="004A29FE"/>
    <w:rsid w:val="004A3970"/>
    <w:rsid w:val="004A3D6A"/>
    <w:rsid w:val="004A45DF"/>
    <w:rsid w:val="004A4684"/>
    <w:rsid w:val="004A46AD"/>
    <w:rsid w:val="004A4D6B"/>
    <w:rsid w:val="004A5206"/>
    <w:rsid w:val="004A5429"/>
    <w:rsid w:val="004A5A86"/>
    <w:rsid w:val="004A5CF8"/>
    <w:rsid w:val="004A5E13"/>
    <w:rsid w:val="004A60AA"/>
    <w:rsid w:val="004A6452"/>
    <w:rsid w:val="004A761C"/>
    <w:rsid w:val="004A762A"/>
    <w:rsid w:val="004A78B7"/>
    <w:rsid w:val="004B028C"/>
    <w:rsid w:val="004B0B89"/>
    <w:rsid w:val="004B0CE9"/>
    <w:rsid w:val="004B1170"/>
    <w:rsid w:val="004B167C"/>
    <w:rsid w:val="004B1854"/>
    <w:rsid w:val="004B1AA9"/>
    <w:rsid w:val="004B1CCA"/>
    <w:rsid w:val="004B2043"/>
    <w:rsid w:val="004B22A4"/>
    <w:rsid w:val="004B24C1"/>
    <w:rsid w:val="004B272E"/>
    <w:rsid w:val="004B276E"/>
    <w:rsid w:val="004B2A4B"/>
    <w:rsid w:val="004B2C97"/>
    <w:rsid w:val="004B2E34"/>
    <w:rsid w:val="004B2F1B"/>
    <w:rsid w:val="004B334F"/>
    <w:rsid w:val="004B3FB8"/>
    <w:rsid w:val="004B48C5"/>
    <w:rsid w:val="004B51CC"/>
    <w:rsid w:val="004B5675"/>
    <w:rsid w:val="004B5E5C"/>
    <w:rsid w:val="004B5F12"/>
    <w:rsid w:val="004B60B0"/>
    <w:rsid w:val="004B6152"/>
    <w:rsid w:val="004B641D"/>
    <w:rsid w:val="004B6C46"/>
    <w:rsid w:val="004B7412"/>
    <w:rsid w:val="004B762D"/>
    <w:rsid w:val="004B7799"/>
    <w:rsid w:val="004B799B"/>
    <w:rsid w:val="004B7C70"/>
    <w:rsid w:val="004C0BD1"/>
    <w:rsid w:val="004C13E0"/>
    <w:rsid w:val="004C1973"/>
    <w:rsid w:val="004C1B53"/>
    <w:rsid w:val="004C1F0D"/>
    <w:rsid w:val="004C233C"/>
    <w:rsid w:val="004C23C0"/>
    <w:rsid w:val="004C280F"/>
    <w:rsid w:val="004C2820"/>
    <w:rsid w:val="004C2C2A"/>
    <w:rsid w:val="004C2E4F"/>
    <w:rsid w:val="004C2F5D"/>
    <w:rsid w:val="004C32DF"/>
    <w:rsid w:val="004C3D99"/>
    <w:rsid w:val="004C3E2C"/>
    <w:rsid w:val="004C4B4B"/>
    <w:rsid w:val="004C50E0"/>
    <w:rsid w:val="004C54CB"/>
    <w:rsid w:val="004C5C35"/>
    <w:rsid w:val="004C5C42"/>
    <w:rsid w:val="004C5DDF"/>
    <w:rsid w:val="004C6112"/>
    <w:rsid w:val="004C61C2"/>
    <w:rsid w:val="004C6295"/>
    <w:rsid w:val="004C6A66"/>
    <w:rsid w:val="004C6DC3"/>
    <w:rsid w:val="004C6E0E"/>
    <w:rsid w:val="004C7027"/>
    <w:rsid w:val="004C7D84"/>
    <w:rsid w:val="004C7E2E"/>
    <w:rsid w:val="004D0044"/>
    <w:rsid w:val="004D03F5"/>
    <w:rsid w:val="004D0C29"/>
    <w:rsid w:val="004D0CF8"/>
    <w:rsid w:val="004D115C"/>
    <w:rsid w:val="004D1199"/>
    <w:rsid w:val="004D1837"/>
    <w:rsid w:val="004D1B08"/>
    <w:rsid w:val="004D1FA8"/>
    <w:rsid w:val="004D20AE"/>
    <w:rsid w:val="004D277A"/>
    <w:rsid w:val="004D310B"/>
    <w:rsid w:val="004D3CB6"/>
    <w:rsid w:val="004D46BE"/>
    <w:rsid w:val="004D48C0"/>
    <w:rsid w:val="004D4946"/>
    <w:rsid w:val="004D4CBB"/>
    <w:rsid w:val="004D53E3"/>
    <w:rsid w:val="004D5631"/>
    <w:rsid w:val="004D588A"/>
    <w:rsid w:val="004D592F"/>
    <w:rsid w:val="004D5B01"/>
    <w:rsid w:val="004D66F3"/>
    <w:rsid w:val="004D6CF9"/>
    <w:rsid w:val="004D70DB"/>
    <w:rsid w:val="004D76AE"/>
    <w:rsid w:val="004D79EE"/>
    <w:rsid w:val="004E0218"/>
    <w:rsid w:val="004E0D3B"/>
    <w:rsid w:val="004E0F5F"/>
    <w:rsid w:val="004E12F9"/>
    <w:rsid w:val="004E15E6"/>
    <w:rsid w:val="004E1CB8"/>
    <w:rsid w:val="004E1EAA"/>
    <w:rsid w:val="004E24EF"/>
    <w:rsid w:val="004E2595"/>
    <w:rsid w:val="004E29BC"/>
    <w:rsid w:val="004E2F61"/>
    <w:rsid w:val="004E2FB9"/>
    <w:rsid w:val="004E34AE"/>
    <w:rsid w:val="004E3A11"/>
    <w:rsid w:val="004E4308"/>
    <w:rsid w:val="004E4726"/>
    <w:rsid w:val="004E50CD"/>
    <w:rsid w:val="004E5571"/>
    <w:rsid w:val="004E569F"/>
    <w:rsid w:val="004E56AD"/>
    <w:rsid w:val="004E580F"/>
    <w:rsid w:val="004E6068"/>
    <w:rsid w:val="004E62CE"/>
    <w:rsid w:val="004E64C4"/>
    <w:rsid w:val="004E66EF"/>
    <w:rsid w:val="004E675D"/>
    <w:rsid w:val="004E6DC6"/>
    <w:rsid w:val="004E6E85"/>
    <w:rsid w:val="004E7A8A"/>
    <w:rsid w:val="004E7B99"/>
    <w:rsid w:val="004F0077"/>
    <w:rsid w:val="004F05B7"/>
    <w:rsid w:val="004F05CF"/>
    <w:rsid w:val="004F0D37"/>
    <w:rsid w:val="004F1982"/>
    <w:rsid w:val="004F24C6"/>
    <w:rsid w:val="004F4351"/>
    <w:rsid w:val="004F461A"/>
    <w:rsid w:val="004F4F86"/>
    <w:rsid w:val="004F52CA"/>
    <w:rsid w:val="004F5303"/>
    <w:rsid w:val="004F5446"/>
    <w:rsid w:val="004F69A5"/>
    <w:rsid w:val="004F6A38"/>
    <w:rsid w:val="004F6A3F"/>
    <w:rsid w:val="004F6F55"/>
    <w:rsid w:val="004F7339"/>
    <w:rsid w:val="004F7AA7"/>
    <w:rsid w:val="004F7D83"/>
    <w:rsid w:val="004F7E5E"/>
    <w:rsid w:val="004F7E9A"/>
    <w:rsid w:val="004F7F93"/>
    <w:rsid w:val="00500703"/>
    <w:rsid w:val="00500B4C"/>
    <w:rsid w:val="00500D35"/>
    <w:rsid w:val="00501258"/>
    <w:rsid w:val="0050128F"/>
    <w:rsid w:val="0050141A"/>
    <w:rsid w:val="005014D2"/>
    <w:rsid w:val="005017F6"/>
    <w:rsid w:val="00502548"/>
    <w:rsid w:val="00502CE6"/>
    <w:rsid w:val="00503166"/>
    <w:rsid w:val="00503382"/>
    <w:rsid w:val="00503591"/>
    <w:rsid w:val="00503FB2"/>
    <w:rsid w:val="005042D1"/>
    <w:rsid w:val="005047E1"/>
    <w:rsid w:val="00504A29"/>
    <w:rsid w:val="005056E5"/>
    <w:rsid w:val="00505EE1"/>
    <w:rsid w:val="00506D3C"/>
    <w:rsid w:val="00507018"/>
    <w:rsid w:val="00507190"/>
    <w:rsid w:val="00507362"/>
    <w:rsid w:val="00507824"/>
    <w:rsid w:val="0050793C"/>
    <w:rsid w:val="00507A27"/>
    <w:rsid w:val="00507BB5"/>
    <w:rsid w:val="00507D77"/>
    <w:rsid w:val="0051043E"/>
    <w:rsid w:val="005107F4"/>
    <w:rsid w:val="00510B4C"/>
    <w:rsid w:val="00510C3C"/>
    <w:rsid w:val="00510E3D"/>
    <w:rsid w:val="00510FA2"/>
    <w:rsid w:val="005118F9"/>
    <w:rsid w:val="00511B0B"/>
    <w:rsid w:val="0051215C"/>
    <w:rsid w:val="005123C0"/>
    <w:rsid w:val="005127D5"/>
    <w:rsid w:val="00512FA9"/>
    <w:rsid w:val="00513304"/>
    <w:rsid w:val="005134B4"/>
    <w:rsid w:val="00513B8A"/>
    <w:rsid w:val="00514794"/>
    <w:rsid w:val="0051485B"/>
    <w:rsid w:val="00515208"/>
    <w:rsid w:val="005152AB"/>
    <w:rsid w:val="0051546F"/>
    <w:rsid w:val="0051575F"/>
    <w:rsid w:val="0051596F"/>
    <w:rsid w:val="00516287"/>
    <w:rsid w:val="0051672F"/>
    <w:rsid w:val="00516853"/>
    <w:rsid w:val="00516B0A"/>
    <w:rsid w:val="00516C32"/>
    <w:rsid w:val="00516F0F"/>
    <w:rsid w:val="00517074"/>
    <w:rsid w:val="005174F4"/>
    <w:rsid w:val="005176D6"/>
    <w:rsid w:val="005179EC"/>
    <w:rsid w:val="00517E2D"/>
    <w:rsid w:val="0052015B"/>
    <w:rsid w:val="005203D0"/>
    <w:rsid w:val="005211A9"/>
    <w:rsid w:val="00521668"/>
    <w:rsid w:val="00521AAE"/>
    <w:rsid w:val="00521F22"/>
    <w:rsid w:val="00521FF6"/>
    <w:rsid w:val="005227F5"/>
    <w:rsid w:val="00523001"/>
    <w:rsid w:val="00523278"/>
    <w:rsid w:val="005232FB"/>
    <w:rsid w:val="005233CA"/>
    <w:rsid w:val="0052348B"/>
    <w:rsid w:val="00523D47"/>
    <w:rsid w:val="00524046"/>
    <w:rsid w:val="00524085"/>
    <w:rsid w:val="00524204"/>
    <w:rsid w:val="0052476F"/>
    <w:rsid w:val="00524A30"/>
    <w:rsid w:val="00524A65"/>
    <w:rsid w:val="00524C9D"/>
    <w:rsid w:val="00525362"/>
    <w:rsid w:val="00525426"/>
    <w:rsid w:val="00525539"/>
    <w:rsid w:val="00525570"/>
    <w:rsid w:val="00525DE9"/>
    <w:rsid w:val="00525EFE"/>
    <w:rsid w:val="0052697C"/>
    <w:rsid w:val="005269D2"/>
    <w:rsid w:val="005273A5"/>
    <w:rsid w:val="00527539"/>
    <w:rsid w:val="0052792F"/>
    <w:rsid w:val="00527B85"/>
    <w:rsid w:val="005300AC"/>
    <w:rsid w:val="00530715"/>
    <w:rsid w:val="00530F26"/>
    <w:rsid w:val="00531174"/>
    <w:rsid w:val="00531406"/>
    <w:rsid w:val="00531D7D"/>
    <w:rsid w:val="00532370"/>
    <w:rsid w:val="00532B2C"/>
    <w:rsid w:val="00533034"/>
    <w:rsid w:val="00533362"/>
    <w:rsid w:val="005333B3"/>
    <w:rsid w:val="005336E8"/>
    <w:rsid w:val="00533862"/>
    <w:rsid w:val="00533976"/>
    <w:rsid w:val="00534A19"/>
    <w:rsid w:val="00535285"/>
    <w:rsid w:val="005356FF"/>
    <w:rsid w:val="00535766"/>
    <w:rsid w:val="00535C98"/>
    <w:rsid w:val="00535F37"/>
    <w:rsid w:val="00535F99"/>
    <w:rsid w:val="00536410"/>
    <w:rsid w:val="0053644C"/>
    <w:rsid w:val="005365A4"/>
    <w:rsid w:val="00536D80"/>
    <w:rsid w:val="00536F14"/>
    <w:rsid w:val="005373BC"/>
    <w:rsid w:val="00537643"/>
    <w:rsid w:val="00537837"/>
    <w:rsid w:val="00540368"/>
    <w:rsid w:val="00540715"/>
    <w:rsid w:val="0054126F"/>
    <w:rsid w:val="005416B2"/>
    <w:rsid w:val="0054179C"/>
    <w:rsid w:val="00541AB2"/>
    <w:rsid w:val="00541F52"/>
    <w:rsid w:val="005423F5"/>
    <w:rsid w:val="0054262B"/>
    <w:rsid w:val="00542DF0"/>
    <w:rsid w:val="00543341"/>
    <w:rsid w:val="00543D3C"/>
    <w:rsid w:val="005444A3"/>
    <w:rsid w:val="0054497C"/>
    <w:rsid w:val="005449D2"/>
    <w:rsid w:val="00544AA5"/>
    <w:rsid w:val="00544E90"/>
    <w:rsid w:val="00545B2D"/>
    <w:rsid w:val="00545D66"/>
    <w:rsid w:val="00545D7D"/>
    <w:rsid w:val="00546120"/>
    <w:rsid w:val="00546EA0"/>
    <w:rsid w:val="00546FFB"/>
    <w:rsid w:val="005472F1"/>
    <w:rsid w:val="0054773F"/>
    <w:rsid w:val="005479A4"/>
    <w:rsid w:val="00547B9D"/>
    <w:rsid w:val="00547CA3"/>
    <w:rsid w:val="0055038E"/>
    <w:rsid w:val="00550A7B"/>
    <w:rsid w:val="00550CFE"/>
    <w:rsid w:val="00550D63"/>
    <w:rsid w:val="005514CC"/>
    <w:rsid w:val="00551906"/>
    <w:rsid w:val="00552A2C"/>
    <w:rsid w:val="00552C39"/>
    <w:rsid w:val="00552DD3"/>
    <w:rsid w:val="005532CF"/>
    <w:rsid w:val="005532FC"/>
    <w:rsid w:val="005534FC"/>
    <w:rsid w:val="0055370D"/>
    <w:rsid w:val="0055496D"/>
    <w:rsid w:val="00554AF3"/>
    <w:rsid w:val="0055537A"/>
    <w:rsid w:val="0055578E"/>
    <w:rsid w:val="00555AB6"/>
    <w:rsid w:val="00556025"/>
    <w:rsid w:val="005567BA"/>
    <w:rsid w:val="00556BC7"/>
    <w:rsid w:val="00556DEB"/>
    <w:rsid w:val="0055700E"/>
    <w:rsid w:val="0055757A"/>
    <w:rsid w:val="00557EF7"/>
    <w:rsid w:val="005607B6"/>
    <w:rsid w:val="00560D4D"/>
    <w:rsid w:val="00560F2C"/>
    <w:rsid w:val="0056162D"/>
    <w:rsid w:val="00561919"/>
    <w:rsid w:val="00561EB6"/>
    <w:rsid w:val="00561FEF"/>
    <w:rsid w:val="005623F1"/>
    <w:rsid w:val="00562742"/>
    <w:rsid w:val="00562845"/>
    <w:rsid w:val="00562858"/>
    <w:rsid w:val="005632D2"/>
    <w:rsid w:val="005642D9"/>
    <w:rsid w:val="00564F8C"/>
    <w:rsid w:val="00566044"/>
    <w:rsid w:val="0056665E"/>
    <w:rsid w:val="00566BF5"/>
    <w:rsid w:val="00566C18"/>
    <w:rsid w:val="00566EBC"/>
    <w:rsid w:val="00567157"/>
    <w:rsid w:val="00567993"/>
    <w:rsid w:val="00567A06"/>
    <w:rsid w:val="0057003E"/>
    <w:rsid w:val="00570044"/>
    <w:rsid w:val="005706B2"/>
    <w:rsid w:val="00570E41"/>
    <w:rsid w:val="005710F7"/>
    <w:rsid w:val="005715FE"/>
    <w:rsid w:val="005718C2"/>
    <w:rsid w:val="00572089"/>
    <w:rsid w:val="005722E8"/>
    <w:rsid w:val="00572FBD"/>
    <w:rsid w:val="0057365B"/>
    <w:rsid w:val="00573E13"/>
    <w:rsid w:val="00574EDA"/>
    <w:rsid w:val="005753B8"/>
    <w:rsid w:val="00575969"/>
    <w:rsid w:val="00575979"/>
    <w:rsid w:val="005759D8"/>
    <w:rsid w:val="00575D66"/>
    <w:rsid w:val="005762E8"/>
    <w:rsid w:val="00576731"/>
    <w:rsid w:val="005768CC"/>
    <w:rsid w:val="00576A8A"/>
    <w:rsid w:val="00577081"/>
    <w:rsid w:val="00577A44"/>
    <w:rsid w:val="00577B69"/>
    <w:rsid w:val="00577D4C"/>
    <w:rsid w:val="00577E21"/>
    <w:rsid w:val="00577F86"/>
    <w:rsid w:val="0058061B"/>
    <w:rsid w:val="00580835"/>
    <w:rsid w:val="00580ABB"/>
    <w:rsid w:val="00580DFA"/>
    <w:rsid w:val="0058112A"/>
    <w:rsid w:val="0058168B"/>
    <w:rsid w:val="00581968"/>
    <w:rsid w:val="00581A08"/>
    <w:rsid w:val="00581B77"/>
    <w:rsid w:val="00581B94"/>
    <w:rsid w:val="005820EE"/>
    <w:rsid w:val="00582221"/>
    <w:rsid w:val="005823BB"/>
    <w:rsid w:val="0058268A"/>
    <w:rsid w:val="00582868"/>
    <w:rsid w:val="00582E18"/>
    <w:rsid w:val="00583F08"/>
    <w:rsid w:val="00583FCB"/>
    <w:rsid w:val="00584261"/>
    <w:rsid w:val="005842F7"/>
    <w:rsid w:val="005847AD"/>
    <w:rsid w:val="00585057"/>
    <w:rsid w:val="005851C6"/>
    <w:rsid w:val="005852D4"/>
    <w:rsid w:val="005855C6"/>
    <w:rsid w:val="0058632C"/>
    <w:rsid w:val="0058698E"/>
    <w:rsid w:val="00586A2A"/>
    <w:rsid w:val="00587302"/>
    <w:rsid w:val="00587A8F"/>
    <w:rsid w:val="00587CEC"/>
    <w:rsid w:val="00587D39"/>
    <w:rsid w:val="00587E69"/>
    <w:rsid w:val="005904A9"/>
    <w:rsid w:val="005904C5"/>
    <w:rsid w:val="005905B8"/>
    <w:rsid w:val="00590652"/>
    <w:rsid w:val="005908D5"/>
    <w:rsid w:val="00590C24"/>
    <w:rsid w:val="00590F3B"/>
    <w:rsid w:val="005910D2"/>
    <w:rsid w:val="00591478"/>
    <w:rsid w:val="00591479"/>
    <w:rsid w:val="0059172F"/>
    <w:rsid w:val="0059179E"/>
    <w:rsid w:val="00591BCB"/>
    <w:rsid w:val="00591D31"/>
    <w:rsid w:val="0059241D"/>
    <w:rsid w:val="005925A6"/>
    <w:rsid w:val="005938AE"/>
    <w:rsid w:val="005945EB"/>
    <w:rsid w:val="005946D5"/>
    <w:rsid w:val="00594F5D"/>
    <w:rsid w:val="00595388"/>
    <w:rsid w:val="00595559"/>
    <w:rsid w:val="00595875"/>
    <w:rsid w:val="00595F8A"/>
    <w:rsid w:val="00596203"/>
    <w:rsid w:val="005962D2"/>
    <w:rsid w:val="005967DA"/>
    <w:rsid w:val="00596BE4"/>
    <w:rsid w:val="00596F27"/>
    <w:rsid w:val="00596FEF"/>
    <w:rsid w:val="005970F1"/>
    <w:rsid w:val="00597A5F"/>
    <w:rsid w:val="00597A93"/>
    <w:rsid w:val="00597D35"/>
    <w:rsid w:val="00597DED"/>
    <w:rsid w:val="00597EF5"/>
    <w:rsid w:val="005A024D"/>
    <w:rsid w:val="005A04AB"/>
    <w:rsid w:val="005A0732"/>
    <w:rsid w:val="005A07F7"/>
    <w:rsid w:val="005A0B27"/>
    <w:rsid w:val="005A1212"/>
    <w:rsid w:val="005A140E"/>
    <w:rsid w:val="005A163F"/>
    <w:rsid w:val="005A19D2"/>
    <w:rsid w:val="005A1B96"/>
    <w:rsid w:val="005A1D37"/>
    <w:rsid w:val="005A22A6"/>
    <w:rsid w:val="005A2557"/>
    <w:rsid w:val="005A27C7"/>
    <w:rsid w:val="005A2C27"/>
    <w:rsid w:val="005A3019"/>
    <w:rsid w:val="005A30DC"/>
    <w:rsid w:val="005A3D4B"/>
    <w:rsid w:val="005A3EA3"/>
    <w:rsid w:val="005A4132"/>
    <w:rsid w:val="005A4237"/>
    <w:rsid w:val="005A4340"/>
    <w:rsid w:val="005A47A3"/>
    <w:rsid w:val="005A485D"/>
    <w:rsid w:val="005A562A"/>
    <w:rsid w:val="005A6096"/>
    <w:rsid w:val="005A61F7"/>
    <w:rsid w:val="005A6881"/>
    <w:rsid w:val="005A6BCB"/>
    <w:rsid w:val="005A6E92"/>
    <w:rsid w:val="005A71CB"/>
    <w:rsid w:val="005A72FE"/>
    <w:rsid w:val="005A7A0B"/>
    <w:rsid w:val="005B097A"/>
    <w:rsid w:val="005B0D7F"/>
    <w:rsid w:val="005B0FBB"/>
    <w:rsid w:val="005B1D48"/>
    <w:rsid w:val="005B2249"/>
    <w:rsid w:val="005B310E"/>
    <w:rsid w:val="005B345E"/>
    <w:rsid w:val="005B54B4"/>
    <w:rsid w:val="005B5A8C"/>
    <w:rsid w:val="005B5CE6"/>
    <w:rsid w:val="005B5FD4"/>
    <w:rsid w:val="005B6864"/>
    <w:rsid w:val="005B6F7A"/>
    <w:rsid w:val="005B750C"/>
    <w:rsid w:val="005B7BC1"/>
    <w:rsid w:val="005B7C6F"/>
    <w:rsid w:val="005B7DEB"/>
    <w:rsid w:val="005C0855"/>
    <w:rsid w:val="005C0F56"/>
    <w:rsid w:val="005C16F1"/>
    <w:rsid w:val="005C1928"/>
    <w:rsid w:val="005C25C8"/>
    <w:rsid w:val="005C296D"/>
    <w:rsid w:val="005C2E56"/>
    <w:rsid w:val="005C3045"/>
    <w:rsid w:val="005C319B"/>
    <w:rsid w:val="005C340E"/>
    <w:rsid w:val="005C3546"/>
    <w:rsid w:val="005C361C"/>
    <w:rsid w:val="005C399D"/>
    <w:rsid w:val="005C3C09"/>
    <w:rsid w:val="005C3D95"/>
    <w:rsid w:val="005C3F11"/>
    <w:rsid w:val="005C44E9"/>
    <w:rsid w:val="005C47AE"/>
    <w:rsid w:val="005C4B4F"/>
    <w:rsid w:val="005C4C74"/>
    <w:rsid w:val="005C543E"/>
    <w:rsid w:val="005C5790"/>
    <w:rsid w:val="005C5AD0"/>
    <w:rsid w:val="005C66F5"/>
    <w:rsid w:val="005C7BA1"/>
    <w:rsid w:val="005D06A2"/>
    <w:rsid w:val="005D0C5A"/>
    <w:rsid w:val="005D0E63"/>
    <w:rsid w:val="005D0FE6"/>
    <w:rsid w:val="005D125B"/>
    <w:rsid w:val="005D1362"/>
    <w:rsid w:val="005D1506"/>
    <w:rsid w:val="005D1953"/>
    <w:rsid w:val="005D1FF3"/>
    <w:rsid w:val="005D2027"/>
    <w:rsid w:val="005D20B6"/>
    <w:rsid w:val="005D2264"/>
    <w:rsid w:val="005D22F3"/>
    <w:rsid w:val="005D2322"/>
    <w:rsid w:val="005D245E"/>
    <w:rsid w:val="005D274B"/>
    <w:rsid w:val="005D2855"/>
    <w:rsid w:val="005D290E"/>
    <w:rsid w:val="005D2D01"/>
    <w:rsid w:val="005D334C"/>
    <w:rsid w:val="005D3753"/>
    <w:rsid w:val="005D44BF"/>
    <w:rsid w:val="005D4795"/>
    <w:rsid w:val="005D5457"/>
    <w:rsid w:val="005D551B"/>
    <w:rsid w:val="005D57D4"/>
    <w:rsid w:val="005D5F15"/>
    <w:rsid w:val="005D61F8"/>
    <w:rsid w:val="005D62D9"/>
    <w:rsid w:val="005D6342"/>
    <w:rsid w:val="005D6863"/>
    <w:rsid w:val="005D68BF"/>
    <w:rsid w:val="005D6D41"/>
    <w:rsid w:val="005D6DCF"/>
    <w:rsid w:val="005D7813"/>
    <w:rsid w:val="005D7B2F"/>
    <w:rsid w:val="005D7D82"/>
    <w:rsid w:val="005D7EF5"/>
    <w:rsid w:val="005E02D4"/>
    <w:rsid w:val="005E0448"/>
    <w:rsid w:val="005E0787"/>
    <w:rsid w:val="005E10FB"/>
    <w:rsid w:val="005E11AB"/>
    <w:rsid w:val="005E1DFC"/>
    <w:rsid w:val="005E1E3B"/>
    <w:rsid w:val="005E20BD"/>
    <w:rsid w:val="005E292C"/>
    <w:rsid w:val="005E2995"/>
    <w:rsid w:val="005E29D6"/>
    <w:rsid w:val="005E2B83"/>
    <w:rsid w:val="005E2D1D"/>
    <w:rsid w:val="005E3744"/>
    <w:rsid w:val="005E3C3A"/>
    <w:rsid w:val="005E3D20"/>
    <w:rsid w:val="005E3FBE"/>
    <w:rsid w:val="005E4522"/>
    <w:rsid w:val="005E49B1"/>
    <w:rsid w:val="005E4D60"/>
    <w:rsid w:val="005E4E0B"/>
    <w:rsid w:val="005E50F9"/>
    <w:rsid w:val="005E5A28"/>
    <w:rsid w:val="005E709F"/>
    <w:rsid w:val="005E7A2E"/>
    <w:rsid w:val="005E7BEE"/>
    <w:rsid w:val="005F04F5"/>
    <w:rsid w:val="005F0892"/>
    <w:rsid w:val="005F0AF1"/>
    <w:rsid w:val="005F1103"/>
    <w:rsid w:val="005F1192"/>
    <w:rsid w:val="005F1369"/>
    <w:rsid w:val="005F1F0D"/>
    <w:rsid w:val="005F22BE"/>
    <w:rsid w:val="005F22DB"/>
    <w:rsid w:val="005F26E0"/>
    <w:rsid w:val="005F2C37"/>
    <w:rsid w:val="005F2D83"/>
    <w:rsid w:val="005F34FA"/>
    <w:rsid w:val="005F36A0"/>
    <w:rsid w:val="005F36D2"/>
    <w:rsid w:val="005F37DA"/>
    <w:rsid w:val="005F439A"/>
    <w:rsid w:val="005F44B0"/>
    <w:rsid w:val="005F4E20"/>
    <w:rsid w:val="005F579F"/>
    <w:rsid w:val="005F63C1"/>
    <w:rsid w:val="005F64F0"/>
    <w:rsid w:val="005F685B"/>
    <w:rsid w:val="005F695F"/>
    <w:rsid w:val="005F745C"/>
    <w:rsid w:val="005F7868"/>
    <w:rsid w:val="005F7E6F"/>
    <w:rsid w:val="005F7FDD"/>
    <w:rsid w:val="006005AE"/>
    <w:rsid w:val="006005F0"/>
    <w:rsid w:val="0060080F"/>
    <w:rsid w:val="00600867"/>
    <w:rsid w:val="006009CA"/>
    <w:rsid w:val="00600E66"/>
    <w:rsid w:val="00601449"/>
    <w:rsid w:val="00601763"/>
    <w:rsid w:val="0060189C"/>
    <w:rsid w:val="0060194C"/>
    <w:rsid w:val="00601D48"/>
    <w:rsid w:val="00601DC3"/>
    <w:rsid w:val="00602A00"/>
    <w:rsid w:val="00602A5C"/>
    <w:rsid w:val="0060301E"/>
    <w:rsid w:val="00603280"/>
    <w:rsid w:val="00603861"/>
    <w:rsid w:val="006038CA"/>
    <w:rsid w:val="00603D0C"/>
    <w:rsid w:val="006040EF"/>
    <w:rsid w:val="00604278"/>
    <w:rsid w:val="00604E8D"/>
    <w:rsid w:val="006054F6"/>
    <w:rsid w:val="006058E7"/>
    <w:rsid w:val="006061B1"/>
    <w:rsid w:val="00606BB4"/>
    <w:rsid w:val="00606CE5"/>
    <w:rsid w:val="00606EA4"/>
    <w:rsid w:val="006070AC"/>
    <w:rsid w:val="0060739B"/>
    <w:rsid w:val="00607C96"/>
    <w:rsid w:val="006106A2"/>
    <w:rsid w:val="00610FDE"/>
    <w:rsid w:val="00611296"/>
    <w:rsid w:val="00611F5F"/>
    <w:rsid w:val="0061271F"/>
    <w:rsid w:val="00612BD1"/>
    <w:rsid w:val="0061356A"/>
    <w:rsid w:val="006135FF"/>
    <w:rsid w:val="00613751"/>
    <w:rsid w:val="00613B75"/>
    <w:rsid w:val="0061401D"/>
    <w:rsid w:val="00614216"/>
    <w:rsid w:val="006145CF"/>
    <w:rsid w:val="0061468B"/>
    <w:rsid w:val="0061480B"/>
    <w:rsid w:val="0061528B"/>
    <w:rsid w:val="00615511"/>
    <w:rsid w:val="0061551D"/>
    <w:rsid w:val="00615598"/>
    <w:rsid w:val="0061569C"/>
    <w:rsid w:val="00615854"/>
    <w:rsid w:val="0061597E"/>
    <w:rsid w:val="00615A65"/>
    <w:rsid w:val="00615AFB"/>
    <w:rsid w:val="00616204"/>
    <w:rsid w:val="00616CA9"/>
    <w:rsid w:val="00616D8A"/>
    <w:rsid w:val="00616F85"/>
    <w:rsid w:val="00617573"/>
    <w:rsid w:val="006208B2"/>
    <w:rsid w:val="00620C92"/>
    <w:rsid w:val="00620CF4"/>
    <w:rsid w:val="006211B3"/>
    <w:rsid w:val="006213E4"/>
    <w:rsid w:val="00621837"/>
    <w:rsid w:val="00621891"/>
    <w:rsid w:val="0062198A"/>
    <w:rsid w:val="00621FEF"/>
    <w:rsid w:val="0062281B"/>
    <w:rsid w:val="006228FD"/>
    <w:rsid w:val="00622A84"/>
    <w:rsid w:val="00622AF9"/>
    <w:rsid w:val="00622B71"/>
    <w:rsid w:val="00622C6B"/>
    <w:rsid w:val="00622C6E"/>
    <w:rsid w:val="00622E4E"/>
    <w:rsid w:val="00622F9D"/>
    <w:rsid w:val="0062400F"/>
    <w:rsid w:val="006241E9"/>
    <w:rsid w:val="006245BD"/>
    <w:rsid w:val="00624914"/>
    <w:rsid w:val="00624C1E"/>
    <w:rsid w:val="00624E3B"/>
    <w:rsid w:val="006251AE"/>
    <w:rsid w:val="006254F6"/>
    <w:rsid w:val="00625590"/>
    <w:rsid w:val="006264EE"/>
    <w:rsid w:val="006267E7"/>
    <w:rsid w:val="00626CDC"/>
    <w:rsid w:val="006273C1"/>
    <w:rsid w:val="00627988"/>
    <w:rsid w:val="00627D7C"/>
    <w:rsid w:val="00627EC2"/>
    <w:rsid w:val="006302C4"/>
    <w:rsid w:val="00630768"/>
    <w:rsid w:val="0063116C"/>
    <w:rsid w:val="0063144C"/>
    <w:rsid w:val="006322EE"/>
    <w:rsid w:val="006325C8"/>
    <w:rsid w:val="006326A1"/>
    <w:rsid w:val="00632E09"/>
    <w:rsid w:val="0063419B"/>
    <w:rsid w:val="006344F2"/>
    <w:rsid w:val="0063486E"/>
    <w:rsid w:val="00635020"/>
    <w:rsid w:val="006351BE"/>
    <w:rsid w:val="00635307"/>
    <w:rsid w:val="0063549B"/>
    <w:rsid w:val="00635568"/>
    <w:rsid w:val="00635EC1"/>
    <w:rsid w:val="006364CC"/>
    <w:rsid w:val="006369F9"/>
    <w:rsid w:val="00636B94"/>
    <w:rsid w:val="0063721C"/>
    <w:rsid w:val="006374FB"/>
    <w:rsid w:val="00637723"/>
    <w:rsid w:val="006379FB"/>
    <w:rsid w:val="00637C20"/>
    <w:rsid w:val="00637C87"/>
    <w:rsid w:val="00637DE1"/>
    <w:rsid w:val="00637E26"/>
    <w:rsid w:val="00640AC6"/>
    <w:rsid w:val="00640F38"/>
    <w:rsid w:val="006412BC"/>
    <w:rsid w:val="00641D4A"/>
    <w:rsid w:val="00641FC9"/>
    <w:rsid w:val="00642BD4"/>
    <w:rsid w:val="006432A0"/>
    <w:rsid w:val="0064371D"/>
    <w:rsid w:val="00643AB8"/>
    <w:rsid w:val="00643B87"/>
    <w:rsid w:val="00643BB1"/>
    <w:rsid w:val="00643BC7"/>
    <w:rsid w:val="00643F2E"/>
    <w:rsid w:val="00644DFA"/>
    <w:rsid w:val="00644E2F"/>
    <w:rsid w:val="00645175"/>
    <w:rsid w:val="0064582E"/>
    <w:rsid w:val="00645928"/>
    <w:rsid w:val="00645C06"/>
    <w:rsid w:val="00646044"/>
    <w:rsid w:val="0064647B"/>
    <w:rsid w:val="00646716"/>
    <w:rsid w:val="00646CFE"/>
    <w:rsid w:val="00646FC5"/>
    <w:rsid w:val="0064714C"/>
    <w:rsid w:val="006473F9"/>
    <w:rsid w:val="006475AC"/>
    <w:rsid w:val="00647635"/>
    <w:rsid w:val="00650486"/>
    <w:rsid w:val="00650A1E"/>
    <w:rsid w:val="00650C8B"/>
    <w:rsid w:val="00650F21"/>
    <w:rsid w:val="00651313"/>
    <w:rsid w:val="006516BF"/>
    <w:rsid w:val="00651767"/>
    <w:rsid w:val="006519BA"/>
    <w:rsid w:val="00652525"/>
    <w:rsid w:val="006525F4"/>
    <w:rsid w:val="00652A3A"/>
    <w:rsid w:val="00652A8F"/>
    <w:rsid w:val="00652D4D"/>
    <w:rsid w:val="00653581"/>
    <w:rsid w:val="00653738"/>
    <w:rsid w:val="00653C5A"/>
    <w:rsid w:val="006541DE"/>
    <w:rsid w:val="006541EB"/>
    <w:rsid w:val="0065433A"/>
    <w:rsid w:val="0065446F"/>
    <w:rsid w:val="00654E10"/>
    <w:rsid w:val="0065500C"/>
    <w:rsid w:val="00655328"/>
    <w:rsid w:val="006558CD"/>
    <w:rsid w:val="00655C1F"/>
    <w:rsid w:val="00656830"/>
    <w:rsid w:val="00656C76"/>
    <w:rsid w:val="00657BB6"/>
    <w:rsid w:val="0066017D"/>
    <w:rsid w:val="00660695"/>
    <w:rsid w:val="006606C0"/>
    <w:rsid w:val="00660CA8"/>
    <w:rsid w:val="00661371"/>
    <w:rsid w:val="0066150B"/>
    <w:rsid w:val="00662244"/>
    <w:rsid w:val="006638E4"/>
    <w:rsid w:val="006639FD"/>
    <w:rsid w:val="00663A09"/>
    <w:rsid w:val="00664410"/>
    <w:rsid w:val="00664820"/>
    <w:rsid w:val="006649A8"/>
    <w:rsid w:val="00664A7E"/>
    <w:rsid w:val="00664B48"/>
    <w:rsid w:val="00664BBD"/>
    <w:rsid w:val="00665032"/>
    <w:rsid w:val="00665235"/>
    <w:rsid w:val="00665241"/>
    <w:rsid w:val="00665F7B"/>
    <w:rsid w:val="0066684E"/>
    <w:rsid w:val="00666B59"/>
    <w:rsid w:val="00666EBE"/>
    <w:rsid w:val="006670A9"/>
    <w:rsid w:val="00667474"/>
    <w:rsid w:val="0066788F"/>
    <w:rsid w:val="00670A0B"/>
    <w:rsid w:val="00670A29"/>
    <w:rsid w:val="00670AC7"/>
    <w:rsid w:val="0067272B"/>
    <w:rsid w:val="00672AEB"/>
    <w:rsid w:val="00672DD0"/>
    <w:rsid w:val="00672DE0"/>
    <w:rsid w:val="00672E1F"/>
    <w:rsid w:val="00673AFD"/>
    <w:rsid w:val="00673BC4"/>
    <w:rsid w:val="00673DAE"/>
    <w:rsid w:val="00673DE4"/>
    <w:rsid w:val="00673F27"/>
    <w:rsid w:val="0067406C"/>
    <w:rsid w:val="006744DA"/>
    <w:rsid w:val="0067477C"/>
    <w:rsid w:val="00675E8D"/>
    <w:rsid w:val="006760DA"/>
    <w:rsid w:val="00676113"/>
    <w:rsid w:val="00676386"/>
    <w:rsid w:val="006763BF"/>
    <w:rsid w:val="006766AA"/>
    <w:rsid w:val="006769F4"/>
    <w:rsid w:val="00676FAB"/>
    <w:rsid w:val="00677479"/>
    <w:rsid w:val="006776BF"/>
    <w:rsid w:val="00677E0F"/>
    <w:rsid w:val="00677F4F"/>
    <w:rsid w:val="0068081C"/>
    <w:rsid w:val="006813BC"/>
    <w:rsid w:val="0068142E"/>
    <w:rsid w:val="006814A7"/>
    <w:rsid w:val="006819A7"/>
    <w:rsid w:val="006833A8"/>
    <w:rsid w:val="006834AD"/>
    <w:rsid w:val="0068395F"/>
    <w:rsid w:val="00683E05"/>
    <w:rsid w:val="00683F06"/>
    <w:rsid w:val="00684A95"/>
    <w:rsid w:val="00684CE3"/>
    <w:rsid w:val="00684E11"/>
    <w:rsid w:val="00684F81"/>
    <w:rsid w:val="00685076"/>
    <w:rsid w:val="00685235"/>
    <w:rsid w:val="0068577E"/>
    <w:rsid w:val="00685C59"/>
    <w:rsid w:val="006869BD"/>
    <w:rsid w:val="00686F05"/>
    <w:rsid w:val="006871AB"/>
    <w:rsid w:val="006872CD"/>
    <w:rsid w:val="00687EA5"/>
    <w:rsid w:val="00687FFC"/>
    <w:rsid w:val="0069026A"/>
    <w:rsid w:val="00690F94"/>
    <w:rsid w:val="00691374"/>
    <w:rsid w:val="0069139C"/>
    <w:rsid w:val="006914C1"/>
    <w:rsid w:val="00691B2D"/>
    <w:rsid w:val="00691ED1"/>
    <w:rsid w:val="00691FAD"/>
    <w:rsid w:val="0069204F"/>
    <w:rsid w:val="00692063"/>
    <w:rsid w:val="00692558"/>
    <w:rsid w:val="00692588"/>
    <w:rsid w:val="006928DC"/>
    <w:rsid w:val="00692CEE"/>
    <w:rsid w:val="00692D72"/>
    <w:rsid w:val="00692E14"/>
    <w:rsid w:val="00693569"/>
    <w:rsid w:val="00693637"/>
    <w:rsid w:val="00693962"/>
    <w:rsid w:val="00693AD8"/>
    <w:rsid w:val="00694252"/>
    <w:rsid w:val="00694470"/>
    <w:rsid w:val="00694529"/>
    <w:rsid w:val="00695A56"/>
    <w:rsid w:val="00695F8A"/>
    <w:rsid w:val="00696906"/>
    <w:rsid w:val="00696A41"/>
    <w:rsid w:val="00696A84"/>
    <w:rsid w:val="0069732D"/>
    <w:rsid w:val="0069766A"/>
    <w:rsid w:val="006A06FF"/>
    <w:rsid w:val="006A0A9F"/>
    <w:rsid w:val="006A0BFA"/>
    <w:rsid w:val="006A0E69"/>
    <w:rsid w:val="006A140F"/>
    <w:rsid w:val="006A1687"/>
    <w:rsid w:val="006A171A"/>
    <w:rsid w:val="006A1A1A"/>
    <w:rsid w:val="006A1AAE"/>
    <w:rsid w:val="006A1B23"/>
    <w:rsid w:val="006A3B55"/>
    <w:rsid w:val="006A45CD"/>
    <w:rsid w:val="006A4645"/>
    <w:rsid w:val="006A4E97"/>
    <w:rsid w:val="006A4FD6"/>
    <w:rsid w:val="006A5135"/>
    <w:rsid w:val="006A51B7"/>
    <w:rsid w:val="006A60B5"/>
    <w:rsid w:val="006A663A"/>
    <w:rsid w:val="006A6679"/>
    <w:rsid w:val="006A68E7"/>
    <w:rsid w:val="006A6901"/>
    <w:rsid w:val="006A6A19"/>
    <w:rsid w:val="006A75E9"/>
    <w:rsid w:val="006A77AE"/>
    <w:rsid w:val="006A78AC"/>
    <w:rsid w:val="006A7F05"/>
    <w:rsid w:val="006B052E"/>
    <w:rsid w:val="006B0736"/>
    <w:rsid w:val="006B0C7F"/>
    <w:rsid w:val="006B0D1D"/>
    <w:rsid w:val="006B1054"/>
    <w:rsid w:val="006B1290"/>
    <w:rsid w:val="006B1399"/>
    <w:rsid w:val="006B169A"/>
    <w:rsid w:val="006B20A9"/>
    <w:rsid w:val="006B2632"/>
    <w:rsid w:val="006B26DF"/>
    <w:rsid w:val="006B2BF1"/>
    <w:rsid w:val="006B2D3B"/>
    <w:rsid w:val="006B371A"/>
    <w:rsid w:val="006B3747"/>
    <w:rsid w:val="006B3D29"/>
    <w:rsid w:val="006B4411"/>
    <w:rsid w:val="006B44AD"/>
    <w:rsid w:val="006B4E54"/>
    <w:rsid w:val="006B57FF"/>
    <w:rsid w:val="006B6608"/>
    <w:rsid w:val="006B6704"/>
    <w:rsid w:val="006B6C6A"/>
    <w:rsid w:val="006B6C81"/>
    <w:rsid w:val="006B6D17"/>
    <w:rsid w:val="006B70B5"/>
    <w:rsid w:val="006B70FB"/>
    <w:rsid w:val="006B7292"/>
    <w:rsid w:val="006B7749"/>
    <w:rsid w:val="006C01EA"/>
    <w:rsid w:val="006C0250"/>
    <w:rsid w:val="006C02C2"/>
    <w:rsid w:val="006C03F3"/>
    <w:rsid w:val="006C080B"/>
    <w:rsid w:val="006C0F54"/>
    <w:rsid w:val="006C18DF"/>
    <w:rsid w:val="006C1C04"/>
    <w:rsid w:val="006C1C41"/>
    <w:rsid w:val="006C1C7C"/>
    <w:rsid w:val="006C1D8F"/>
    <w:rsid w:val="006C2437"/>
    <w:rsid w:val="006C2AE9"/>
    <w:rsid w:val="006C2E8B"/>
    <w:rsid w:val="006C31C4"/>
    <w:rsid w:val="006C4428"/>
    <w:rsid w:val="006C45CD"/>
    <w:rsid w:val="006C4DC9"/>
    <w:rsid w:val="006C4DF0"/>
    <w:rsid w:val="006C5566"/>
    <w:rsid w:val="006C5B15"/>
    <w:rsid w:val="006C64F0"/>
    <w:rsid w:val="006C65DD"/>
    <w:rsid w:val="006C7094"/>
    <w:rsid w:val="006C7227"/>
    <w:rsid w:val="006C7558"/>
    <w:rsid w:val="006C7E29"/>
    <w:rsid w:val="006D0191"/>
    <w:rsid w:val="006D0796"/>
    <w:rsid w:val="006D0E21"/>
    <w:rsid w:val="006D10CE"/>
    <w:rsid w:val="006D1101"/>
    <w:rsid w:val="006D15B8"/>
    <w:rsid w:val="006D165D"/>
    <w:rsid w:val="006D16D3"/>
    <w:rsid w:val="006D22BD"/>
    <w:rsid w:val="006D338E"/>
    <w:rsid w:val="006D3A33"/>
    <w:rsid w:val="006D3A44"/>
    <w:rsid w:val="006D3D34"/>
    <w:rsid w:val="006D4846"/>
    <w:rsid w:val="006D49C8"/>
    <w:rsid w:val="006D4D18"/>
    <w:rsid w:val="006D5152"/>
    <w:rsid w:val="006D553A"/>
    <w:rsid w:val="006D5779"/>
    <w:rsid w:val="006D6749"/>
    <w:rsid w:val="006D7133"/>
    <w:rsid w:val="006D74D1"/>
    <w:rsid w:val="006D7684"/>
    <w:rsid w:val="006D7964"/>
    <w:rsid w:val="006E0C7B"/>
    <w:rsid w:val="006E1180"/>
    <w:rsid w:val="006E1A37"/>
    <w:rsid w:val="006E1CBA"/>
    <w:rsid w:val="006E1E6A"/>
    <w:rsid w:val="006E25DF"/>
    <w:rsid w:val="006E2A50"/>
    <w:rsid w:val="006E2BEC"/>
    <w:rsid w:val="006E32C4"/>
    <w:rsid w:val="006E45E3"/>
    <w:rsid w:val="006E4631"/>
    <w:rsid w:val="006E4F63"/>
    <w:rsid w:val="006E5144"/>
    <w:rsid w:val="006E5390"/>
    <w:rsid w:val="006E553F"/>
    <w:rsid w:val="006E5740"/>
    <w:rsid w:val="006E5871"/>
    <w:rsid w:val="006E592E"/>
    <w:rsid w:val="006E5BA7"/>
    <w:rsid w:val="006E5E95"/>
    <w:rsid w:val="006E61AE"/>
    <w:rsid w:val="006E65F3"/>
    <w:rsid w:val="006E6A1C"/>
    <w:rsid w:val="006E6F13"/>
    <w:rsid w:val="006E6FC7"/>
    <w:rsid w:val="006F00A3"/>
    <w:rsid w:val="006F0115"/>
    <w:rsid w:val="006F06BE"/>
    <w:rsid w:val="006F0DE8"/>
    <w:rsid w:val="006F1381"/>
    <w:rsid w:val="006F17E0"/>
    <w:rsid w:val="006F1B6D"/>
    <w:rsid w:val="006F1C03"/>
    <w:rsid w:val="006F241B"/>
    <w:rsid w:val="006F265E"/>
    <w:rsid w:val="006F2C38"/>
    <w:rsid w:val="006F2E8E"/>
    <w:rsid w:val="006F2FEF"/>
    <w:rsid w:val="006F34D5"/>
    <w:rsid w:val="006F3770"/>
    <w:rsid w:val="006F41E4"/>
    <w:rsid w:val="006F471F"/>
    <w:rsid w:val="006F4804"/>
    <w:rsid w:val="006F53E0"/>
    <w:rsid w:val="006F59F7"/>
    <w:rsid w:val="006F5A8D"/>
    <w:rsid w:val="006F5EA1"/>
    <w:rsid w:val="006F6888"/>
    <w:rsid w:val="006F7079"/>
    <w:rsid w:val="006F7A58"/>
    <w:rsid w:val="006F7CDC"/>
    <w:rsid w:val="006F7EDB"/>
    <w:rsid w:val="007005C8"/>
    <w:rsid w:val="007005F0"/>
    <w:rsid w:val="00700CB8"/>
    <w:rsid w:val="007010BF"/>
    <w:rsid w:val="00703341"/>
    <w:rsid w:val="00703447"/>
    <w:rsid w:val="0070396C"/>
    <w:rsid w:val="00703A41"/>
    <w:rsid w:val="00703E7E"/>
    <w:rsid w:val="00703F16"/>
    <w:rsid w:val="0070403B"/>
    <w:rsid w:val="0070451E"/>
    <w:rsid w:val="007046FE"/>
    <w:rsid w:val="00704D8F"/>
    <w:rsid w:val="00704DEE"/>
    <w:rsid w:val="007059EB"/>
    <w:rsid w:val="00706659"/>
    <w:rsid w:val="00706856"/>
    <w:rsid w:val="00706881"/>
    <w:rsid w:val="00706C63"/>
    <w:rsid w:val="00707185"/>
    <w:rsid w:val="00707634"/>
    <w:rsid w:val="00710235"/>
    <w:rsid w:val="007102D0"/>
    <w:rsid w:val="0071043D"/>
    <w:rsid w:val="007106CB"/>
    <w:rsid w:val="00710921"/>
    <w:rsid w:val="0071152D"/>
    <w:rsid w:val="00711807"/>
    <w:rsid w:val="0071181B"/>
    <w:rsid w:val="00712EDF"/>
    <w:rsid w:val="00712F5C"/>
    <w:rsid w:val="0071314C"/>
    <w:rsid w:val="00714DC9"/>
    <w:rsid w:val="00714DDE"/>
    <w:rsid w:val="00715CAD"/>
    <w:rsid w:val="0071649A"/>
    <w:rsid w:val="00716BD5"/>
    <w:rsid w:val="00716C66"/>
    <w:rsid w:val="00716EC1"/>
    <w:rsid w:val="00716F7A"/>
    <w:rsid w:val="007173A1"/>
    <w:rsid w:val="00717B30"/>
    <w:rsid w:val="007202BE"/>
    <w:rsid w:val="00720655"/>
    <w:rsid w:val="00720CFF"/>
    <w:rsid w:val="00720D04"/>
    <w:rsid w:val="0072193B"/>
    <w:rsid w:val="00721AA2"/>
    <w:rsid w:val="00721B7A"/>
    <w:rsid w:val="007221BD"/>
    <w:rsid w:val="00722900"/>
    <w:rsid w:val="00722A5C"/>
    <w:rsid w:val="00722D1F"/>
    <w:rsid w:val="00722D86"/>
    <w:rsid w:val="00722DBC"/>
    <w:rsid w:val="00723215"/>
    <w:rsid w:val="007232FE"/>
    <w:rsid w:val="00723E59"/>
    <w:rsid w:val="007243B9"/>
    <w:rsid w:val="007246DD"/>
    <w:rsid w:val="00724715"/>
    <w:rsid w:val="00724783"/>
    <w:rsid w:val="00724967"/>
    <w:rsid w:val="00725290"/>
    <w:rsid w:val="00725323"/>
    <w:rsid w:val="00725751"/>
    <w:rsid w:val="0072615B"/>
    <w:rsid w:val="00726420"/>
    <w:rsid w:val="00726764"/>
    <w:rsid w:val="00726E49"/>
    <w:rsid w:val="00727109"/>
    <w:rsid w:val="007274EE"/>
    <w:rsid w:val="00727B38"/>
    <w:rsid w:val="00730A1D"/>
    <w:rsid w:val="00730EDB"/>
    <w:rsid w:val="00730F2B"/>
    <w:rsid w:val="00730F6A"/>
    <w:rsid w:val="00731081"/>
    <w:rsid w:val="00731227"/>
    <w:rsid w:val="00731623"/>
    <w:rsid w:val="00731CEB"/>
    <w:rsid w:val="00731EE7"/>
    <w:rsid w:val="00732378"/>
    <w:rsid w:val="007325FC"/>
    <w:rsid w:val="0073266B"/>
    <w:rsid w:val="00733210"/>
    <w:rsid w:val="007337F8"/>
    <w:rsid w:val="00733DB0"/>
    <w:rsid w:val="007347A0"/>
    <w:rsid w:val="00734A67"/>
    <w:rsid w:val="00734C5C"/>
    <w:rsid w:val="00735369"/>
    <w:rsid w:val="007356C9"/>
    <w:rsid w:val="00735794"/>
    <w:rsid w:val="0073583D"/>
    <w:rsid w:val="00736D46"/>
    <w:rsid w:val="00736F16"/>
    <w:rsid w:val="0073756C"/>
    <w:rsid w:val="007377CB"/>
    <w:rsid w:val="007378E2"/>
    <w:rsid w:val="007403EE"/>
    <w:rsid w:val="00740C3F"/>
    <w:rsid w:val="00740F62"/>
    <w:rsid w:val="007416C2"/>
    <w:rsid w:val="0074204B"/>
    <w:rsid w:val="007427E8"/>
    <w:rsid w:val="00742D22"/>
    <w:rsid w:val="00743451"/>
    <w:rsid w:val="0074348B"/>
    <w:rsid w:val="007436BF"/>
    <w:rsid w:val="00743834"/>
    <w:rsid w:val="00743A22"/>
    <w:rsid w:val="0074405C"/>
    <w:rsid w:val="0074433E"/>
    <w:rsid w:val="00744A49"/>
    <w:rsid w:val="00744F55"/>
    <w:rsid w:val="00745350"/>
    <w:rsid w:val="00745498"/>
    <w:rsid w:val="00745500"/>
    <w:rsid w:val="00745836"/>
    <w:rsid w:val="00745BA5"/>
    <w:rsid w:val="00745BC3"/>
    <w:rsid w:val="00746CBD"/>
    <w:rsid w:val="007471AA"/>
    <w:rsid w:val="0074741A"/>
    <w:rsid w:val="007474AC"/>
    <w:rsid w:val="007477E2"/>
    <w:rsid w:val="007502FB"/>
    <w:rsid w:val="00750340"/>
    <w:rsid w:val="007505C2"/>
    <w:rsid w:val="0075080C"/>
    <w:rsid w:val="0075092F"/>
    <w:rsid w:val="00750A2C"/>
    <w:rsid w:val="00750AE5"/>
    <w:rsid w:val="00750E8D"/>
    <w:rsid w:val="007521C7"/>
    <w:rsid w:val="007521EE"/>
    <w:rsid w:val="0075246D"/>
    <w:rsid w:val="007529E1"/>
    <w:rsid w:val="00752C54"/>
    <w:rsid w:val="00752E09"/>
    <w:rsid w:val="00752E90"/>
    <w:rsid w:val="00753F70"/>
    <w:rsid w:val="0075455D"/>
    <w:rsid w:val="007546D5"/>
    <w:rsid w:val="0075484F"/>
    <w:rsid w:val="0075492A"/>
    <w:rsid w:val="00754E18"/>
    <w:rsid w:val="00755020"/>
    <w:rsid w:val="0075527B"/>
    <w:rsid w:val="00755363"/>
    <w:rsid w:val="0075562A"/>
    <w:rsid w:val="00755C15"/>
    <w:rsid w:val="00755FC4"/>
    <w:rsid w:val="00756063"/>
    <w:rsid w:val="007562D0"/>
    <w:rsid w:val="00756726"/>
    <w:rsid w:val="00756B37"/>
    <w:rsid w:val="00756C38"/>
    <w:rsid w:val="00757115"/>
    <w:rsid w:val="007571C8"/>
    <w:rsid w:val="00757267"/>
    <w:rsid w:val="0075758F"/>
    <w:rsid w:val="00757592"/>
    <w:rsid w:val="00757AD7"/>
    <w:rsid w:val="00757BC6"/>
    <w:rsid w:val="007601B0"/>
    <w:rsid w:val="0076020A"/>
    <w:rsid w:val="00760A56"/>
    <w:rsid w:val="00760AE4"/>
    <w:rsid w:val="007616E1"/>
    <w:rsid w:val="00762526"/>
    <w:rsid w:val="00762618"/>
    <w:rsid w:val="007629FC"/>
    <w:rsid w:val="00762F7B"/>
    <w:rsid w:val="00763BCB"/>
    <w:rsid w:val="00763C0A"/>
    <w:rsid w:val="0076408F"/>
    <w:rsid w:val="007640B3"/>
    <w:rsid w:val="007643C5"/>
    <w:rsid w:val="00764454"/>
    <w:rsid w:val="00764738"/>
    <w:rsid w:val="00764826"/>
    <w:rsid w:val="00764919"/>
    <w:rsid w:val="00765057"/>
    <w:rsid w:val="00765219"/>
    <w:rsid w:val="0076538B"/>
    <w:rsid w:val="00765445"/>
    <w:rsid w:val="00765893"/>
    <w:rsid w:val="00765A44"/>
    <w:rsid w:val="00765CEC"/>
    <w:rsid w:val="00765D65"/>
    <w:rsid w:val="00766AC8"/>
    <w:rsid w:val="00767181"/>
    <w:rsid w:val="007672A3"/>
    <w:rsid w:val="0077025B"/>
    <w:rsid w:val="00770624"/>
    <w:rsid w:val="00770835"/>
    <w:rsid w:val="00770B62"/>
    <w:rsid w:val="00770D32"/>
    <w:rsid w:val="00770EA4"/>
    <w:rsid w:val="007713AB"/>
    <w:rsid w:val="00771B44"/>
    <w:rsid w:val="00772284"/>
    <w:rsid w:val="00772397"/>
    <w:rsid w:val="0077251C"/>
    <w:rsid w:val="0077278C"/>
    <w:rsid w:val="00772E91"/>
    <w:rsid w:val="00773155"/>
    <w:rsid w:val="00773AFB"/>
    <w:rsid w:val="00773E3B"/>
    <w:rsid w:val="007749F3"/>
    <w:rsid w:val="007750E5"/>
    <w:rsid w:val="00775255"/>
    <w:rsid w:val="0077552B"/>
    <w:rsid w:val="00775802"/>
    <w:rsid w:val="00775A6A"/>
    <w:rsid w:val="00775D41"/>
    <w:rsid w:val="00776355"/>
    <w:rsid w:val="007764ED"/>
    <w:rsid w:val="00776EDB"/>
    <w:rsid w:val="00777428"/>
    <w:rsid w:val="00777B97"/>
    <w:rsid w:val="00777BD3"/>
    <w:rsid w:val="00777C04"/>
    <w:rsid w:val="00777F45"/>
    <w:rsid w:val="007817C2"/>
    <w:rsid w:val="0078199C"/>
    <w:rsid w:val="00781EC6"/>
    <w:rsid w:val="00781F91"/>
    <w:rsid w:val="007822A8"/>
    <w:rsid w:val="00782362"/>
    <w:rsid w:val="00782622"/>
    <w:rsid w:val="00782B73"/>
    <w:rsid w:val="0078360A"/>
    <w:rsid w:val="00784130"/>
    <w:rsid w:val="007846F1"/>
    <w:rsid w:val="00784BC7"/>
    <w:rsid w:val="00785803"/>
    <w:rsid w:val="00786084"/>
    <w:rsid w:val="007863F1"/>
    <w:rsid w:val="0078655A"/>
    <w:rsid w:val="00786761"/>
    <w:rsid w:val="00786B7C"/>
    <w:rsid w:val="00786CE2"/>
    <w:rsid w:val="00787874"/>
    <w:rsid w:val="00787D81"/>
    <w:rsid w:val="007904A3"/>
    <w:rsid w:val="00790970"/>
    <w:rsid w:val="007909C6"/>
    <w:rsid w:val="00790EDA"/>
    <w:rsid w:val="007911D4"/>
    <w:rsid w:val="007914E2"/>
    <w:rsid w:val="007917F3"/>
    <w:rsid w:val="00791CEE"/>
    <w:rsid w:val="00791D9E"/>
    <w:rsid w:val="00791FE4"/>
    <w:rsid w:val="007926BD"/>
    <w:rsid w:val="007926F0"/>
    <w:rsid w:val="00793F52"/>
    <w:rsid w:val="00794122"/>
    <w:rsid w:val="00794496"/>
    <w:rsid w:val="00794C1F"/>
    <w:rsid w:val="007955FD"/>
    <w:rsid w:val="00795684"/>
    <w:rsid w:val="00795A7D"/>
    <w:rsid w:val="00795E3C"/>
    <w:rsid w:val="00795EB3"/>
    <w:rsid w:val="00796863"/>
    <w:rsid w:val="00796E1C"/>
    <w:rsid w:val="0079713E"/>
    <w:rsid w:val="007974B5"/>
    <w:rsid w:val="00797CEC"/>
    <w:rsid w:val="00797E8F"/>
    <w:rsid w:val="007A0162"/>
    <w:rsid w:val="007A01EB"/>
    <w:rsid w:val="007A0CAC"/>
    <w:rsid w:val="007A0D6B"/>
    <w:rsid w:val="007A11D5"/>
    <w:rsid w:val="007A1A87"/>
    <w:rsid w:val="007A1E24"/>
    <w:rsid w:val="007A22C5"/>
    <w:rsid w:val="007A2493"/>
    <w:rsid w:val="007A263E"/>
    <w:rsid w:val="007A30CD"/>
    <w:rsid w:val="007A3389"/>
    <w:rsid w:val="007A3725"/>
    <w:rsid w:val="007A3AFD"/>
    <w:rsid w:val="007A3EAC"/>
    <w:rsid w:val="007A3EB6"/>
    <w:rsid w:val="007A424B"/>
    <w:rsid w:val="007A44FC"/>
    <w:rsid w:val="007A5210"/>
    <w:rsid w:val="007A5A11"/>
    <w:rsid w:val="007A634B"/>
    <w:rsid w:val="007A6604"/>
    <w:rsid w:val="007A6800"/>
    <w:rsid w:val="007A6A31"/>
    <w:rsid w:val="007A7367"/>
    <w:rsid w:val="007A7899"/>
    <w:rsid w:val="007A7CAF"/>
    <w:rsid w:val="007A7EA1"/>
    <w:rsid w:val="007B0549"/>
    <w:rsid w:val="007B15FD"/>
    <w:rsid w:val="007B1641"/>
    <w:rsid w:val="007B1BE6"/>
    <w:rsid w:val="007B1E24"/>
    <w:rsid w:val="007B27A7"/>
    <w:rsid w:val="007B2845"/>
    <w:rsid w:val="007B2875"/>
    <w:rsid w:val="007B2A42"/>
    <w:rsid w:val="007B3524"/>
    <w:rsid w:val="007B3A8C"/>
    <w:rsid w:val="007B3AE8"/>
    <w:rsid w:val="007B3E78"/>
    <w:rsid w:val="007B402D"/>
    <w:rsid w:val="007B48E1"/>
    <w:rsid w:val="007B4966"/>
    <w:rsid w:val="007B4F1E"/>
    <w:rsid w:val="007B52F0"/>
    <w:rsid w:val="007B5C39"/>
    <w:rsid w:val="007B61B2"/>
    <w:rsid w:val="007B64FF"/>
    <w:rsid w:val="007B6930"/>
    <w:rsid w:val="007B696C"/>
    <w:rsid w:val="007B72F0"/>
    <w:rsid w:val="007B730E"/>
    <w:rsid w:val="007B7956"/>
    <w:rsid w:val="007B7A63"/>
    <w:rsid w:val="007B7E96"/>
    <w:rsid w:val="007C010C"/>
    <w:rsid w:val="007C0336"/>
    <w:rsid w:val="007C04AD"/>
    <w:rsid w:val="007C0A76"/>
    <w:rsid w:val="007C0B2B"/>
    <w:rsid w:val="007C0BA4"/>
    <w:rsid w:val="007C10CD"/>
    <w:rsid w:val="007C18EB"/>
    <w:rsid w:val="007C19D1"/>
    <w:rsid w:val="007C1C15"/>
    <w:rsid w:val="007C2066"/>
    <w:rsid w:val="007C21AA"/>
    <w:rsid w:val="007C2E0F"/>
    <w:rsid w:val="007C2EDC"/>
    <w:rsid w:val="007C3F95"/>
    <w:rsid w:val="007C4084"/>
    <w:rsid w:val="007C42CD"/>
    <w:rsid w:val="007C439B"/>
    <w:rsid w:val="007C501A"/>
    <w:rsid w:val="007C5130"/>
    <w:rsid w:val="007C52AF"/>
    <w:rsid w:val="007C5545"/>
    <w:rsid w:val="007C593E"/>
    <w:rsid w:val="007C59EB"/>
    <w:rsid w:val="007C5AEF"/>
    <w:rsid w:val="007C5D99"/>
    <w:rsid w:val="007C5E87"/>
    <w:rsid w:val="007C6201"/>
    <w:rsid w:val="007C6DDD"/>
    <w:rsid w:val="007C6F43"/>
    <w:rsid w:val="007C6FEC"/>
    <w:rsid w:val="007C700A"/>
    <w:rsid w:val="007C7757"/>
    <w:rsid w:val="007C78DC"/>
    <w:rsid w:val="007C791A"/>
    <w:rsid w:val="007D000E"/>
    <w:rsid w:val="007D022B"/>
    <w:rsid w:val="007D0D3A"/>
    <w:rsid w:val="007D1DD5"/>
    <w:rsid w:val="007D215E"/>
    <w:rsid w:val="007D21E9"/>
    <w:rsid w:val="007D2AE5"/>
    <w:rsid w:val="007D2E13"/>
    <w:rsid w:val="007D3456"/>
    <w:rsid w:val="007D40A0"/>
    <w:rsid w:val="007D40AF"/>
    <w:rsid w:val="007D42AB"/>
    <w:rsid w:val="007D4336"/>
    <w:rsid w:val="007D472E"/>
    <w:rsid w:val="007D49AC"/>
    <w:rsid w:val="007D4BDC"/>
    <w:rsid w:val="007D4FDB"/>
    <w:rsid w:val="007D511B"/>
    <w:rsid w:val="007D5CE5"/>
    <w:rsid w:val="007D5DF2"/>
    <w:rsid w:val="007D5E73"/>
    <w:rsid w:val="007D6240"/>
    <w:rsid w:val="007D634A"/>
    <w:rsid w:val="007D671D"/>
    <w:rsid w:val="007D692D"/>
    <w:rsid w:val="007D70D5"/>
    <w:rsid w:val="007D7385"/>
    <w:rsid w:val="007D7735"/>
    <w:rsid w:val="007E042E"/>
    <w:rsid w:val="007E04E8"/>
    <w:rsid w:val="007E058E"/>
    <w:rsid w:val="007E0D6D"/>
    <w:rsid w:val="007E188F"/>
    <w:rsid w:val="007E1DF5"/>
    <w:rsid w:val="007E1E35"/>
    <w:rsid w:val="007E2074"/>
    <w:rsid w:val="007E22DF"/>
    <w:rsid w:val="007E238F"/>
    <w:rsid w:val="007E29DB"/>
    <w:rsid w:val="007E2A11"/>
    <w:rsid w:val="007E2D0F"/>
    <w:rsid w:val="007E308A"/>
    <w:rsid w:val="007E31D6"/>
    <w:rsid w:val="007E3316"/>
    <w:rsid w:val="007E3599"/>
    <w:rsid w:val="007E3749"/>
    <w:rsid w:val="007E38B8"/>
    <w:rsid w:val="007E3C4F"/>
    <w:rsid w:val="007E3D20"/>
    <w:rsid w:val="007E49CE"/>
    <w:rsid w:val="007E4D4F"/>
    <w:rsid w:val="007E5575"/>
    <w:rsid w:val="007E5BD1"/>
    <w:rsid w:val="007E7039"/>
    <w:rsid w:val="007E7095"/>
    <w:rsid w:val="007E7557"/>
    <w:rsid w:val="007F0884"/>
    <w:rsid w:val="007F0AAC"/>
    <w:rsid w:val="007F0E9D"/>
    <w:rsid w:val="007F0F1F"/>
    <w:rsid w:val="007F11CB"/>
    <w:rsid w:val="007F14CC"/>
    <w:rsid w:val="007F1B6F"/>
    <w:rsid w:val="007F21AB"/>
    <w:rsid w:val="007F2369"/>
    <w:rsid w:val="007F258B"/>
    <w:rsid w:val="007F2770"/>
    <w:rsid w:val="007F2827"/>
    <w:rsid w:val="007F29BF"/>
    <w:rsid w:val="007F2E66"/>
    <w:rsid w:val="007F3B8B"/>
    <w:rsid w:val="007F40A4"/>
    <w:rsid w:val="007F446F"/>
    <w:rsid w:val="007F4509"/>
    <w:rsid w:val="007F459E"/>
    <w:rsid w:val="007F4E86"/>
    <w:rsid w:val="007F4FA5"/>
    <w:rsid w:val="007F626B"/>
    <w:rsid w:val="007F64D4"/>
    <w:rsid w:val="007F6CF2"/>
    <w:rsid w:val="007F6EC3"/>
    <w:rsid w:val="007F719A"/>
    <w:rsid w:val="007F743C"/>
    <w:rsid w:val="00800B95"/>
    <w:rsid w:val="00800CD0"/>
    <w:rsid w:val="008015D7"/>
    <w:rsid w:val="0080174B"/>
    <w:rsid w:val="00801AA8"/>
    <w:rsid w:val="00801FB3"/>
    <w:rsid w:val="0080216F"/>
    <w:rsid w:val="0080233A"/>
    <w:rsid w:val="0080298B"/>
    <w:rsid w:val="00802F35"/>
    <w:rsid w:val="0080331B"/>
    <w:rsid w:val="00803523"/>
    <w:rsid w:val="008035A7"/>
    <w:rsid w:val="0080368F"/>
    <w:rsid w:val="00803C84"/>
    <w:rsid w:val="00804DB0"/>
    <w:rsid w:val="0080544F"/>
    <w:rsid w:val="00805A82"/>
    <w:rsid w:val="00806919"/>
    <w:rsid w:val="00806D02"/>
    <w:rsid w:val="00807055"/>
    <w:rsid w:val="008070CE"/>
    <w:rsid w:val="0080735F"/>
    <w:rsid w:val="008074FF"/>
    <w:rsid w:val="00807576"/>
    <w:rsid w:val="00807A13"/>
    <w:rsid w:val="00807DDC"/>
    <w:rsid w:val="0081004B"/>
    <w:rsid w:val="00810316"/>
    <w:rsid w:val="008104F1"/>
    <w:rsid w:val="00810740"/>
    <w:rsid w:val="0081109A"/>
    <w:rsid w:val="008114B6"/>
    <w:rsid w:val="008115C9"/>
    <w:rsid w:val="00811632"/>
    <w:rsid w:val="00811C32"/>
    <w:rsid w:val="00811CF6"/>
    <w:rsid w:val="00811F01"/>
    <w:rsid w:val="00812267"/>
    <w:rsid w:val="00812AD7"/>
    <w:rsid w:val="00812BDF"/>
    <w:rsid w:val="008132AA"/>
    <w:rsid w:val="008139DD"/>
    <w:rsid w:val="00814A2D"/>
    <w:rsid w:val="00814AA4"/>
    <w:rsid w:val="008151C6"/>
    <w:rsid w:val="00815B33"/>
    <w:rsid w:val="0081657E"/>
    <w:rsid w:val="0081691F"/>
    <w:rsid w:val="00816E39"/>
    <w:rsid w:val="0081779D"/>
    <w:rsid w:val="008177E4"/>
    <w:rsid w:val="00817A1F"/>
    <w:rsid w:val="00817C30"/>
    <w:rsid w:val="00820044"/>
    <w:rsid w:val="008200E2"/>
    <w:rsid w:val="00820DE9"/>
    <w:rsid w:val="008211D2"/>
    <w:rsid w:val="0082139E"/>
    <w:rsid w:val="00821625"/>
    <w:rsid w:val="00822273"/>
    <w:rsid w:val="008222CC"/>
    <w:rsid w:val="00823C69"/>
    <w:rsid w:val="00825253"/>
    <w:rsid w:val="00825296"/>
    <w:rsid w:val="00825619"/>
    <w:rsid w:val="00825DC2"/>
    <w:rsid w:val="00825FFA"/>
    <w:rsid w:val="00826B27"/>
    <w:rsid w:val="00827055"/>
    <w:rsid w:val="00827899"/>
    <w:rsid w:val="00827C05"/>
    <w:rsid w:val="00827CA4"/>
    <w:rsid w:val="0083068A"/>
    <w:rsid w:val="00830B3A"/>
    <w:rsid w:val="008314FC"/>
    <w:rsid w:val="00831BE1"/>
    <w:rsid w:val="00831DD2"/>
    <w:rsid w:val="0083210E"/>
    <w:rsid w:val="00833177"/>
    <w:rsid w:val="00833BE3"/>
    <w:rsid w:val="00833C85"/>
    <w:rsid w:val="0083449B"/>
    <w:rsid w:val="0083486B"/>
    <w:rsid w:val="00834DA4"/>
    <w:rsid w:val="0083511B"/>
    <w:rsid w:val="00835385"/>
    <w:rsid w:val="008358DA"/>
    <w:rsid w:val="00835C8C"/>
    <w:rsid w:val="00835FFE"/>
    <w:rsid w:val="008361D1"/>
    <w:rsid w:val="00836373"/>
    <w:rsid w:val="008363EA"/>
    <w:rsid w:val="0083659A"/>
    <w:rsid w:val="008367C6"/>
    <w:rsid w:val="008375ED"/>
    <w:rsid w:val="008402CF"/>
    <w:rsid w:val="008404D9"/>
    <w:rsid w:val="00840542"/>
    <w:rsid w:val="00840E03"/>
    <w:rsid w:val="00840F32"/>
    <w:rsid w:val="008413DB"/>
    <w:rsid w:val="00841B5B"/>
    <w:rsid w:val="00841B6A"/>
    <w:rsid w:val="00841CB6"/>
    <w:rsid w:val="00841CDE"/>
    <w:rsid w:val="008422EF"/>
    <w:rsid w:val="00842342"/>
    <w:rsid w:val="0084294F"/>
    <w:rsid w:val="0084297B"/>
    <w:rsid w:val="00842BCC"/>
    <w:rsid w:val="00843104"/>
    <w:rsid w:val="0084399E"/>
    <w:rsid w:val="00844337"/>
    <w:rsid w:val="008447C4"/>
    <w:rsid w:val="00845052"/>
    <w:rsid w:val="00845059"/>
    <w:rsid w:val="008458EA"/>
    <w:rsid w:val="00845984"/>
    <w:rsid w:val="008467A5"/>
    <w:rsid w:val="00846B22"/>
    <w:rsid w:val="00847271"/>
    <w:rsid w:val="00850192"/>
    <w:rsid w:val="008504B2"/>
    <w:rsid w:val="00850A85"/>
    <w:rsid w:val="00850BF7"/>
    <w:rsid w:val="00850F43"/>
    <w:rsid w:val="008512D3"/>
    <w:rsid w:val="00851336"/>
    <w:rsid w:val="00851907"/>
    <w:rsid w:val="00851A4A"/>
    <w:rsid w:val="0085234F"/>
    <w:rsid w:val="008529A0"/>
    <w:rsid w:val="00852E6E"/>
    <w:rsid w:val="00853274"/>
    <w:rsid w:val="008534B0"/>
    <w:rsid w:val="00853753"/>
    <w:rsid w:val="008537A0"/>
    <w:rsid w:val="00854402"/>
    <w:rsid w:val="0085441A"/>
    <w:rsid w:val="0085468F"/>
    <w:rsid w:val="00854CC9"/>
    <w:rsid w:val="00854D24"/>
    <w:rsid w:val="008554BE"/>
    <w:rsid w:val="00855559"/>
    <w:rsid w:val="008557C6"/>
    <w:rsid w:val="0085582F"/>
    <w:rsid w:val="00855C23"/>
    <w:rsid w:val="00856239"/>
    <w:rsid w:val="008563DB"/>
    <w:rsid w:val="00856579"/>
    <w:rsid w:val="00856760"/>
    <w:rsid w:val="00856962"/>
    <w:rsid w:val="00856A18"/>
    <w:rsid w:val="00856E17"/>
    <w:rsid w:val="00856EF7"/>
    <w:rsid w:val="0085761B"/>
    <w:rsid w:val="00857AA0"/>
    <w:rsid w:val="00857CE9"/>
    <w:rsid w:val="00860DD4"/>
    <w:rsid w:val="00860DE0"/>
    <w:rsid w:val="00860EDF"/>
    <w:rsid w:val="00860FD8"/>
    <w:rsid w:val="008618CC"/>
    <w:rsid w:val="00861D96"/>
    <w:rsid w:val="00862350"/>
    <w:rsid w:val="0086235F"/>
    <w:rsid w:val="008629F4"/>
    <w:rsid w:val="008630F0"/>
    <w:rsid w:val="00863764"/>
    <w:rsid w:val="00863A1A"/>
    <w:rsid w:val="00863D9E"/>
    <w:rsid w:val="00863F23"/>
    <w:rsid w:val="008644A3"/>
    <w:rsid w:val="00864CAB"/>
    <w:rsid w:val="00864D63"/>
    <w:rsid w:val="00865444"/>
    <w:rsid w:val="008654BC"/>
    <w:rsid w:val="008659AA"/>
    <w:rsid w:val="00866956"/>
    <w:rsid w:val="008670C8"/>
    <w:rsid w:val="00867217"/>
    <w:rsid w:val="0087006C"/>
    <w:rsid w:val="008701A2"/>
    <w:rsid w:val="0087104C"/>
    <w:rsid w:val="008717E4"/>
    <w:rsid w:val="0087246B"/>
    <w:rsid w:val="008726A6"/>
    <w:rsid w:val="00872EB9"/>
    <w:rsid w:val="00873658"/>
    <w:rsid w:val="008748A6"/>
    <w:rsid w:val="008755A1"/>
    <w:rsid w:val="0087620F"/>
    <w:rsid w:val="00876AEC"/>
    <w:rsid w:val="00876BA1"/>
    <w:rsid w:val="00876CC9"/>
    <w:rsid w:val="00876F34"/>
    <w:rsid w:val="00877401"/>
    <w:rsid w:val="008777BA"/>
    <w:rsid w:val="00877A99"/>
    <w:rsid w:val="00880D49"/>
    <w:rsid w:val="00881286"/>
    <w:rsid w:val="0088156E"/>
    <w:rsid w:val="00881604"/>
    <w:rsid w:val="00881891"/>
    <w:rsid w:val="00881C3C"/>
    <w:rsid w:val="00882037"/>
    <w:rsid w:val="008821DB"/>
    <w:rsid w:val="00882799"/>
    <w:rsid w:val="00882A19"/>
    <w:rsid w:val="00882FB2"/>
    <w:rsid w:val="0088477A"/>
    <w:rsid w:val="00884FDE"/>
    <w:rsid w:val="00885065"/>
    <w:rsid w:val="008853EB"/>
    <w:rsid w:val="00885456"/>
    <w:rsid w:val="00885538"/>
    <w:rsid w:val="00885A26"/>
    <w:rsid w:val="008872EA"/>
    <w:rsid w:val="0088747C"/>
    <w:rsid w:val="00887766"/>
    <w:rsid w:val="00887927"/>
    <w:rsid w:val="00887B7E"/>
    <w:rsid w:val="00887DB7"/>
    <w:rsid w:val="00887EF4"/>
    <w:rsid w:val="00887FE4"/>
    <w:rsid w:val="00890000"/>
    <w:rsid w:val="00890220"/>
    <w:rsid w:val="00890308"/>
    <w:rsid w:val="0089088F"/>
    <w:rsid w:val="00890D26"/>
    <w:rsid w:val="00891876"/>
    <w:rsid w:val="00891C99"/>
    <w:rsid w:val="008920E1"/>
    <w:rsid w:val="008929C2"/>
    <w:rsid w:val="00892AEC"/>
    <w:rsid w:val="00892B8A"/>
    <w:rsid w:val="00892CB7"/>
    <w:rsid w:val="008938E4"/>
    <w:rsid w:val="00893F8A"/>
    <w:rsid w:val="00894941"/>
    <w:rsid w:val="00894D6F"/>
    <w:rsid w:val="00894F71"/>
    <w:rsid w:val="008950A5"/>
    <w:rsid w:val="00895601"/>
    <w:rsid w:val="00895989"/>
    <w:rsid w:val="00895BE2"/>
    <w:rsid w:val="00895BEC"/>
    <w:rsid w:val="00896615"/>
    <w:rsid w:val="008967FC"/>
    <w:rsid w:val="00896AC8"/>
    <w:rsid w:val="00896D1A"/>
    <w:rsid w:val="00896F6C"/>
    <w:rsid w:val="00897B59"/>
    <w:rsid w:val="00897E1F"/>
    <w:rsid w:val="008A000E"/>
    <w:rsid w:val="008A02DB"/>
    <w:rsid w:val="008A168D"/>
    <w:rsid w:val="008A1DCA"/>
    <w:rsid w:val="008A20A2"/>
    <w:rsid w:val="008A23FD"/>
    <w:rsid w:val="008A254D"/>
    <w:rsid w:val="008A2987"/>
    <w:rsid w:val="008A2B25"/>
    <w:rsid w:val="008A2F51"/>
    <w:rsid w:val="008A313A"/>
    <w:rsid w:val="008A31A4"/>
    <w:rsid w:val="008A34AD"/>
    <w:rsid w:val="008A350E"/>
    <w:rsid w:val="008A35B4"/>
    <w:rsid w:val="008A3854"/>
    <w:rsid w:val="008A39E4"/>
    <w:rsid w:val="008A41B3"/>
    <w:rsid w:val="008A4566"/>
    <w:rsid w:val="008A46CC"/>
    <w:rsid w:val="008A5131"/>
    <w:rsid w:val="008A514B"/>
    <w:rsid w:val="008A5185"/>
    <w:rsid w:val="008A659A"/>
    <w:rsid w:val="008A6CA6"/>
    <w:rsid w:val="008A6FFA"/>
    <w:rsid w:val="008A7492"/>
    <w:rsid w:val="008B0011"/>
    <w:rsid w:val="008B02E4"/>
    <w:rsid w:val="008B1313"/>
    <w:rsid w:val="008B1AE3"/>
    <w:rsid w:val="008B1E56"/>
    <w:rsid w:val="008B27F4"/>
    <w:rsid w:val="008B2C41"/>
    <w:rsid w:val="008B2EB9"/>
    <w:rsid w:val="008B3259"/>
    <w:rsid w:val="008B39F4"/>
    <w:rsid w:val="008B3C50"/>
    <w:rsid w:val="008B41C9"/>
    <w:rsid w:val="008B427B"/>
    <w:rsid w:val="008B43D5"/>
    <w:rsid w:val="008B4581"/>
    <w:rsid w:val="008B4C6B"/>
    <w:rsid w:val="008B4D20"/>
    <w:rsid w:val="008B504C"/>
    <w:rsid w:val="008B5415"/>
    <w:rsid w:val="008B5429"/>
    <w:rsid w:val="008B5537"/>
    <w:rsid w:val="008B5C35"/>
    <w:rsid w:val="008B5C80"/>
    <w:rsid w:val="008B5E75"/>
    <w:rsid w:val="008B6018"/>
    <w:rsid w:val="008B62F1"/>
    <w:rsid w:val="008B6852"/>
    <w:rsid w:val="008B70FE"/>
    <w:rsid w:val="008B7301"/>
    <w:rsid w:val="008B74C7"/>
    <w:rsid w:val="008B7601"/>
    <w:rsid w:val="008B78B7"/>
    <w:rsid w:val="008B78BD"/>
    <w:rsid w:val="008B792E"/>
    <w:rsid w:val="008B79E8"/>
    <w:rsid w:val="008B7BF2"/>
    <w:rsid w:val="008B7DA3"/>
    <w:rsid w:val="008C078C"/>
    <w:rsid w:val="008C0915"/>
    <w:rsid w:val="008C09AD"/>
    <w:rsid w:val="008C0ED0"/>
    <w:rsid w:val="008C1121"/>
    <w:rsid w:val="008C114E"/>
    <w:rsid w:val="008C1CAC"/>
    <w:rsid w:val="008C1D51"/>
    <w:rsid w:val="008C21A6"/>
    <w:rsid w:val="008C2798"/>
    <w:rsid w:val="008C2B64"/>
    <w:rsid w:val="008C2DA8"/>
    <w:rsid w:val="008C2F85"/>
    <w:rsid w:val="008C336B"/>
    <w:rsid w:val="008C3E7F"/>
    <w:rsid w:val="008C4E9C"/>
    <w:rsid w:val="008C5004"/>
    <w:rsid w:val="008C6300"/>
    <w:rsid w:val="008C653B"/>
    <w:rsid w:val="008C715E"/>
    <w:rsid w:val="008C7739"/>
    <w:rsid w:val="008C7C7B"/>
    <w:rsid w:val="008D034E"/>
    <w:rsid w:val="008D05D6"/>
    <w:rsid w:val="008D0856"/>
    <w:rsid w:val="008D0A61"/>
    <w:rsid w:val="008D0B48"/>
    <w:rsid w:val="008D0C96"/>
    <w:rsid w:val="008D0CA3"/>
    <w:rsid w:val="008D0E48"/>
    <w:rsid w:val="008D235D"/>
    <w:rsid w:val="008D25CA"/>
    <w:rsid w:val="008D336A"/>
    <w:rsid w:val="008D3828"/>
    <w:rsid w:val="008D3BFE"/>
    <w:rsid w:val="008D4EE0"/>
    <w:rsid w:val="008D5538"/>
    <w:rsid w:val="008D5899"/>
    <w:rsid w:val="008D5B2A"/>
    <w:rsid w:val="008D6256"/>
    <w:rsid w:val="008D6397"/>
    <w:rsid w:val="008D6949"/>
    <w:rsid w:val="008D6A17"/>
    <w:rsid w:val="008D7026"/>
    <w:rsid w:val="008D7578"/>
    <w:rsid w:val="008D7B32"/>
    <w:rsid w:val="008E01C8"/>
    <w:rsid w:val="008E0B1A"/>
    <w:rsid w:val="008E0F1C"/>
    <w:rsid w:val="008E120E"/>
    <w:rsid w:val="008E14BB"/>
    <w:rsid w:val="008E1B1A"/>
    <w:rsid w:val="008E23FF"/>
    <w:rsid w:val="008E2756"/>
    <w:rsid w:val="008E2BEF"/>
    <w:rsid w:val="008E3319"/>
    <w:rsid w:val="008E3643"/>
    <w:rsid w:val="008E378B"/>
    <w:rsid w:val="008E404E"/>
    <w:rsid w:val="008E40FC"/>
    <w:rsid w:val="008E4D6C"/>
    <w:rsid w:val="008E5486"/>
    <w:rsid w:val="008E5E33"/>
    <w:rsid w:val="008E6807"/>
    <w:rsid w:val="008E6ADA"/>
    <w:rsid w:val="008E6E73"/>
    <w:rsid w:val="008E716D"/>
    <w:rsid w:val="008E71A6"/>
    <w:rsid w:val="008E751D"/>
    <w:rsid w:val="008E757B"/>
    <w:rsid w:val="008E7ACC"/>
    <w:rsid w:val="008E7AE1"/>
    <w:rsid w:val="008E7B68"/>
    <w:rsid w:val="008E7C48"/>
    <w:rsid w:val="008E7FEB"/>
    <w:rsid w:val="008F054C"/>
    <w:rsid w:val="008F0677"/>
    <w:rsid w:val="008F0B9E"/>
    <w:rsid w:val="008F114D"/>
    <w:rsid w:val="008F11D6"/>
    <w:rsid w:val="008F133C"/>
    <w:rsid w:val="008F1A81"/>
    <w:rsid w:val="008F1FDC"/>
    <w:rsid w:val="008F20DC"/>
    <w:rsid w:val="008F2140"/>
    <w:rsid w:val="008F21A2"/>
    <w:rsid w:val="008F23C5"/>
    <w:rsid w:val="008F2B35"/>
    <w:rsid w:val="008F30D5"/>
    <w:rsid w:val="008F3261"/>
    <w:rsid w:val="008F3C1D"/>
    <w:rsid w:val="008F3E63"/>
    <w:rsid w:val="008F424B"/>
    <w:rsid w:val="008F4673"/>
    <w:rsid w:val="008F4A38"/>
    <w:rsid w:val="008F4C25"/>
    <w:rsid w:val="008F5354"/>
    <w:rsid w:val="008F557C"/>
    <w:rsid w:val="008F5633"/>
    <w:rsid w:val="008F7C44"/>
    <w:rsid w:val="008F7F84"/>
    <w:rsid w:val="008F7FEF"/>
    <w:rsid w:val="009001A7"/>
    <w:rsid w:val="00900B6D"/>
    <w:rsid w:val="00900C6B"/>
    <w:rsid w:val="00900DE2"/>
    <w:rsid w:val="00900FEB"/>
    <w:rsid w:val="009014AD"/>
    <w:rsid w:val="00901640"/>
    <w:rsid w:val="00901737"/>
    <w:rsid w:val="009018AF"/>
    <w:rsid w:val="00901E5E"/>
    <w:rsid w:val="00902207"/>
    <w:rsid w:val="00902EDA"/>
    <w:rsid w:val="00903447"/>
    <w:rsid w:val="00903AF8"/>
    <w:rsid w:val="00903D82"/>
    <w:rsid w:val="00903E41"/>
    <w:rsid w:val="00903F20"/>
    <w:rsid w:val="00903FEC"/>
    <w:rsid w:val="00904816"/>
    <w:rsid w:val="00904905"/>
    <w:rsid w:val="00904A66"/>
    <w:rsid w:val="0090575B"/>
    <w:rsid w:val="009058D3"/>
    <w:rsid w:val="00906206"/>
    <w:rsid w:val="00906380"/>
    <w:rsid w:val="00907102"/>
    <w:rsid w:val="0090766F"/>
    <w:rsid w:val="00907A1F"/>
    <w:rsid w:val="00907C84"/>
    <w:rsid w:val="0091042B"/>
    <w:rsid w:val="009105C2"/>
    <w:rsid w:val="00910B66"/>
    <w:rsid w:val="00910DAB"/>
    <w:rsid w:val="00910E0C"/>
    <w:rsid w:val="009111B9"/>
    <w:rsid w:val="00911496"/>
    <w:rsid w:val="0091175B"/>
    <w:rsid w:val="0091244B"/>
    <w:rsid w:val="009126A7"/>
    <w:rsid w:val="00912E83"/>
    <w:rsid w:val="0091359B"/>
    <w:rsid w:val="009136A8"/>
    <w:rsid w:val="00913A40"/>
    <w:rsid w:val="00913FC8"/>
    <w:rsid w:val="009145E3"/>
    <w:rsid w:val="009145FD"/>
    <w:rsid w:val="00914BC7"/>
    <w:rsid w:val="009153F7"/>
    <w:rsid w:val="0091545F"/>
    <w:rsid w:val="00915660"/>
    <w:rsid w:val="009156BF"/>
    <w:rsid w:val="00915D73"/>
    <w:rsid w:val="00915DD7"/>
    <w:rsid w:val="00915DE1"/>
    <w:rsid w:val="00917415"/>
    <w:rsid w:val="00917690"/>
    <w:rsid w:val="00917C33"/>
    <w:rsid w:val="00917E6E"/>
    <w:rsid w:val="00920150"/>
    <w:rsid w:val="009201C4"/>
    <w:rsid w:val="00920A77"/>
    <w:rsid w:val="00920E98"/>
    <w:rsid w:val="00921292"/>
    <w:rsid w:val="00921324"/>
    <w:rsid w:val="009213EC"/>
    <w:rsid w:val="00921B71"/>
    <w:rsid w:val="00921FD7"/>
    <w:rsid w:val="00922CA8"/>
    <w:rsid w:val="00923118"/>
    <w:rsid w:val="00923411"/>
    <w:rsid w:val="00923B56"/>
    <w:rsid w:val="00923C5D"/>
    <w:rsid w:val="00924142"/>
    <w:rsid w:val="00924857"/>
    <w:rsid w:val="00925120"/>
    <w:rsid w:val="0092589B"/>
    <w:rsid w:val="00925985"/>
    <w:rsid w:val="0092688D"/>
    <w:rsid w:val="009268DA"/>
    <w:rsid w:val="009270A7"/>
    <w:rsid w:val="00927461"/>
    <w:rsid w:val="00927684"/>
    <w:rsid w:val="009277CA"/>
    <w:rsid w:val="0092784F"/>
    <w:rsid w:val="009278B0"/>
    <w:rsid w:val="00927976"/>
    <w:rsid w:val="00927B8A"/>
    <w:rsid w:val="00930129"/>
    <w:rsid w:val="009304B5"/>
    <w:rsid w:val="009305C4"/>
    <w:rsid w:val="009305F8"/>
    <w:rsid w:val="00930C3D"/>
    <w:rsid w:val="00930CE9"/>
    <w:rsid w:val="009312BF"/>
    <w:rsid w:val="009313F5"/>
    <w:rsid w:val="0093162B"/>
    <w:rsid w:val="00931C7D"/>
    <w:rsid w:val="009323B0"/>
    <w:rsid w:val="009325BF"/>
    <w:rsid w:val="009327C2"/>
    <w:rsid w:val="00932887"/>
    <w:rsid w:val="00932AA4"/>
    <w:rsid w:val="00932CAE"/>
    <w:rsid w:val="00933034"/>
    <w:rsid w:val="0093313C"/>
    <w:rsid w:val="00933376"/>
    <w:rsid w:val="0093364A"/>
    <w:rsid w:val="0093387B"/>
    <w:rsid w:val="0093522D"/>
    <w:rsid w:val="0093583A"/>
    <w:rsid w:val="00935B73"/>
    <w:rsid w:val="00935B80"/>
    <w:rsid w:val="00935C9C"/>
    <w:rsid w:val="00935D7A"/>
    <w:rsid w:val="00935E58"/>
    <w:rsid w:val="00936166"/>
    <w:rsid w:val="00936866"/>
    <w:rsid w:val="0093691F"/>
    <w:rsid w:val="00936CDE"/>
    <w:rsid w:val="009370BB"/>
    <w:rsid w:val="0093760F"/>
    <w:rsid w:val="00937968"/>
    <w:rsid w:val="00937F72"/>
    <w:rsid w:val="009403A8"/>
    <w:rsid w:val="009404B5"/>
    <w:rsid w:val="0094132C"/>
    <w:rsid w:val="00941583"/>
    <w:rsid w:val="009416E9"/>
    <w:rsid w:val="009418A9"/>
    <w:rsid w:val="00941D2C"/>
    <w:rsid w:val="00941F19"/>
    <w:rsid w:val="009422A6"/>
    <w:rsid w:val="009424CC"/>
    <w:rsid w:val="00942AE2"/>
    <w:rsid w:val="00942B0D"/>
    <w:rsid w:val="009432EA"/>
    <w:rsid w:val="0094337C"/>
    <w:rsid w:val="009437E6"/>
    <w:rsid w:val="00943C54"/>
    <w:rsid w:val="00944804"/>
    <w:rsid w:val="00944AB1"/>
    <w:rsid w:val="00944D97"/>
    <w:rsid w:val="00945175"/>
    <w:rsid w:val="009451B2"/>
    <w:rsid w:val="009457E9"/>
    <w:rsid w:val="009458B4"/>
    <w:rsid w:val="00945B1F"/>
    <w:rsid w:val="00945B2E"/>
    <w:rsid w:val="00946487"/>
    <w:rsid w:val="00946515"/>
    <w:rsid w:val="0094655F"/>
    <w:rsid w:val="009466D3"/>
    <w:rsid w:val="009468F3"/>
    <w:rsid w:val="00946A45"/>
    <w:rsid w:val="00946A7C"/>
    <w:rsid w:val="009470C7"/>
    <w:rsid w:val="0094769A"/>
    <w:rsid w:val="00947C11"/>
    <w:rsid w:val="0095066B"/>
    <w:rsid w:val="00950959"/>
    <w:rsid w:val="00950EED"/>
    <w:rsid w:val="00951476"/>
    <w:rsid w:val="0095152A"/>
    <w:rsid w:val="00951AC9"/>
    <w:rsid w:val="00951BDB"/>
    <w:rsid w:val="009525A0"/>
    <w:rsid w:val="009527C1"/>
    <w:rsid w:val="0095288B"/>
    <w:rsid w:val="00952C68"/>
    <w:rsid w:val="00952DE8"/>
    <w:rsid w:val="00952FAB"/>
    <w:rsid w:val="0095437D"/>
    <w:rsid w:val="00954C82"/>
    <w:rsid w:val="00955D1A"/>
    <w:rsid w:val="009574BA"/>
    <w:rsid w:val="00957821"/>
    <w:rsid w:val="00957CCA"/>
    <w:rsid w:val="00957E5B"/>
    <w:rsid w:val="00960068"/>
    <w:rsid w:val="0096090B"/>
    <w:rsid w:val="00960934"/>
    <w:rsid w:val="00961340"/>
    <w:rsid w:val="00961667"/>
    <w:rsid w:val="00961729"/>
    <w:rsid w:val="009619FB"/>
    <w:rsid w:val="0096209F"/>
    <w:rsid w:val="00962893"/>
    <w:rsid w:val="009628E4"/>
    <w:rsid w:val="00964879"/>
    <w:rsid w:val="00964D04"/>
    <w:rsid w:val="009650AB"/>
    <w:rsid w:val="00965C9A"/>
    <w:rsid w:val="009660D9"/>
    <w:rsid w:val="009664DE"/>
    <w:rsid w:val="00966B7A"/>
    <w:rsid w:val="00967049"/>
    <w:rsid w:val="00967D36"/>
    <w:rsid w:val="00967FD8"/>
    <w:rsid w:val="00970303"/>
    <w:rsid w:val="0097049A"/>
    <w:rsid w:val="0097061D"/>
    <w:rsid w:val="00970FAD"/>
    <w:rsid w:val="00971D4F"/>
    <w:rsid w:val="00973DFA"/>
    <w:rsid w:val="00973F24"/>
    <w:rsid w:val="00975055"/>
    <w:rsid w:val="00975298"/>
    <w:rsid w:val="00975760"/>
    <w:rsid w:val="00975E6D"/>
    <w:rsid w:val="009769D3"/>
    <w:rsid w:val="00976AA0"/>
    <w:rsid w:val="00977008"/>
    <w:rsid w:val="0097745B"/>
    <w:rsid w:val="0097772D"/>
    <w:rsid w:val="00977974"/>
    <w:rsid w:val="00977D4E"/>
    <w:rsid w:val="00980733"/>
    <w:rsid w:val="00980928"/>
    <w:rsid w:val="00980B15"/>
    <w:rsid w:val="00981345"/>
    <w:rsid w:val="00981899"/>
    <w:rsid w:val="00981B1E"/>
    <w:rsid w:val="00982358"/>
    <w:rsid w:val="009824E1"/>
    <w:rsid w:val="0098279C"/>
    <w:rsid w:val="00982BBB"/>
    <w:rsid w:val="00983009"/>
    <w:rsid w:val="00983803"/>
    <w:rsid w:val="009839EE"/>
    <w:rsid w:val="00983D10"/>
    <w:rsid w:val="00983EAA"/>
    <w:rsid w:val="009840C5"/>
    <w:rsid w:val="009841A9"/>
    <w:rsid w:val="009842C3"/>
    <w:rsid w:val="00984549"/>
    <w:rsid w:val="009847A9"/>
    <w:rsid w:val="00984908"/>
    <w:rsid w:val="00984CC0"/>
    <w:rsid w:val="009851D8"/>
    <w:rsid w:val="009852C4"/>
    <w:rsid w:val="009857CB"/>
    <w:rsid w:val="009859B4"/>
    <w:rsid w:val="009859F9"/>
    <w:rsid w:val="00985CA8"/>
    <w:rsid w:val="00985E79"/>
    <w:rsid w:val="00987011"/>
    <w:rsid w:val="00987165"/>
    <w:rsid w:val="009874B5"/>
    <w:rsid w:val="00987EBF"/>
    <w:rsid w:val="009901D5"/>
    <w:rsid w:val="009902E8"/>
    <w:rsid w:val="009903B5"/>
    <w:rsid w:val="00990522"/>
    <w:rsid w:val="009905E8"/>
    <w:rsid w:val="00990B81"/>
    <w:rsid w:val="009915B1"/>
    <w:rsid w:val="00991CA8"/>
    <w:rsid w:val="00991FE9"/>
    <w:rsid w:val="009926F4"/>
    <w:rsid w:val="00992B5A"/>
    <w:rsid w:val="00992C6C"/>
    <w:rsid w:val="009937AF"/>
    <w:rsid w:val="00993848"/>
    <w:rsid w:val="009941B0"/>
    <w:rsid w:val="00994895"/>
    <w:rsid w:val="00994F8F"/>
    <w:rsid w:val="00994F95"/>
    <w:rsid w:val="009959E5"/>
    <w:rsid w:val="00995D34"/>
    <w:rsid w:val="00996406"/>
    <w:rsid w:val="009966F6"/>
    <w:rsid w:val="00996E72"/>
    <w:rsid w:val="009971F4"/>
    <w:rsid w:val="009A0074"/>
    <w:rsid w:val="009A046F"/>
    <w:rsid w:val="009A0A43"/>
    <w:rsid w:val="009A1486"/>
    <w:rsid w:val="009A1CDA"/>
    <w:rsid w:val="009A1D46"/>
    <w:rsid w:val="009A1DFC"/>
    <w:rsid w:val="009A20D1"/>
    <w:rsid w:val="009A31BF"/>
    <w:rsid w:val="009A34A9"/>
    <w:rsid w:val="009A4734"/>
    <w:rsid w:val="009A4808"/>
    <w:rsid w:val="009A4B06"/>
    <w:rsid w:val="009A505D"/>
    <w:rsid w:val="009A510E"/>
    <w:rsid w:val="009A53A1"/>
    <w:rsid w:val="009A58F3"/>
    <w:rsid w:val="009A5ACF"/>
    <w:rsid w:val="009A62D8"/>
    <w:rsid w:val="009A645B"/>
    <w:rsid w:val="009A65A5"/>
    <w:rsid w:val="009A6D33"/>
    <w:rsid w:val="009A7032"/>
    <w:rsid w:val="009A718B"/>
    <w:rsid w:val="009A77DC"/>
    <w:rsid w:val="009A7F9D"/>
    <w:rsid w:val="009B04A6"/>
    <w:rsid w:val="009B0B1D"/>
    <w:rsid w:val="009B141F"/>
    <w:rsid w:val="009B1502"/>
    <w:rsid w:val="009B1773"/>
    <w:rsid w:val="009B1CC8"/>
    <w:rsid w:val="009B211B"/>
    <w:rsid w:val="009B2C1F"/>
    <w:rsid w:val="009B2DB1"/>
    <w:rsid w:val="009B2FB6"/>
    <w:rsid w:val="009B34BA"/>
    <w:rsid w:val="009B34C7"/>
    <w:rsid w:val="009B3B26"/>
    <w:rsid w:val="009B40D0"/>
    <w:rsid w:val="009B41D5"/>
    <w:rsid w:val="009B42F3"/>
    <w:rsid w:val="009B42F9"/>
    <w:rsid w:val="009B43C3"/>
    <w:rsid w:val="009B4D26"/>
    <w:rsid w:val="009B4D37"/>
    <w:rsid w:val="009B54C2"/>
    <w:rsid w:val="009B5532"/>
    <w:rsid w:val="009B5B35"/>
    <w:rsid w:val="009B5F96"/>
    <w:rsid w:val="009B62A1"/>
    <w:rsid w:val="009B6BA9"/>
    <w:rsid w:val="009B6E7D"/>
    <w:rsid w:val="009B7024"/>
    <w:rsid w:val="009B725B"/>
    <w:rsid w:val="009B7D6B"/>
    <w:rsid w:val="009C02C0"/>
    <w:rsid w:val="009C0357"/>
    <w:rsid w:val="009C0975"/>
    <w:rsid w:val="009C0B99"/>
    <w:rsid w:val="009C0C7D"/>
    <w:rsid w:val="009C1D32"/>
    <w:rsid w:val="009C1F33"/>
    <w:rsid w:val="009C23EC"/>
    <w:rsid w:val="009C2A32"/>
    <w:rsid w:val="009C2C29"/>
    <w:rsid w:val="009C2C79"/>
    <w:rsid w:val="009C3103"/>
    <w:rsid w:val="009C3413"/>
    <w:rsid w:val="009C34CA"/>
    <w:rsid w:val="009C34D5"/>
    <w:rsid w:val="009C3642"/>
    <w:rsid w:val="009C3A11"/>
    <w:rsid w:val="009C3FDA"/>
    <w:rsid w:val="009C4412"/>
    <w:rsid w:val="009C455F"/>
    <w:rsid w:val="009C4B0F"/>
    <w:rsid w:val="009C4E83"/>
    <w:rsid w:val="009C5115"/>
    <w:rsid w:val="009C55CE"/>
    <w:rsid w:val="009C5AE8"/>
    <w:rsid w:val="009C616B"/>
    <w:rsid w:val="009C6720"/>
    <w:rsid w:val="009C6ED5"/>
    <w:rsid w:val="009C6F7D"/>
    <w:rsid w:val="009C7521"/>
    <w:rsid w:val="009C7565"/>
    <w:rsid w:val="009C7D19"/>
    <w:rsid w:val="009D0070"/>
    <w:rsid w:val="009D03F5"/>
    <w:rsid w:val="009D040A"/>
    <w:rsid w:val="009D06FD"/>
    <w:rsid w:val="009D17FA"/>
    <w:rsid w:val="009D1964"/>
    <w:rsid w:val="009D1B13"/>
    <w:rsid w:val="009D2313"/>
    <w:rsid w:val="009D26B7"/>
    <w:rsid w:val="009D2786"/>
    <w:rsid w:val="009D2D9C"/>
    <w:rsid w:val="009D3146"/>
    <w:rsid w:val="009D361C"/>
    <w:rsid w:val="009D398D"/>
    <w:rsid w:val="009D3D44"/>
    <w:rsid w:val="009D3F60"/>
    <w:rsid w:val="009D412D"/>
    <w:rsid w:val="009D468F"/>
    <w:rsid w:val="009D47F1"/>
    <w:rsid w:val="009D4ABD"/>
    <w:rsid w:val="009D5204"/>
    <w:rsid w:val="009D5764"/>
    <w:rsid w:val="009D5B7E"/>
    <w:rsid w:val="009D5F02"/>
    <w:rsid w:val="009D6059"/>
    <w:rsid w:val="009D628D"/>
    <w:rsid w:val="009D64E2"/>
    <w:rsid w:val="009D6A5B"/>
    <w:rsid w:val="009D6D2C"/>
    <w:rsid w:val="009D7880"/>
    <w:rsid w:val="009D78B8"/>
    <w:rsid w:val="009D7995"/>
    <w:rsid w:val="009D7C55"/>
    <w:rsid w:val="009D7F36"/>
    <w:rsid w:val="009D7F54"/>
    <w:rsid w:val="009E00A6"/>
    <w:rsid w:val="009E03A2"/>
    <w:rsid w:val="009E0C40"/>
    <w:rsid w:val="009E0D7E"/>
    <w:rsid w:val="009E109C"/>
    <w:rsid w:val="009E1218"/>
    <w:rsid w:val="009E197E"/>
    <w:rsid w:val="009E1B25"/>
    <w:rsid w:val="009E3833"/>
    <w:rsid w:val="009E3D36"/>
    <w:rsid w:val="009E3EAA"/>
    <w:rsid w:val="009E4270"/>
    <w:rsid w:val="009E5077"/>
    <w:rsid w:val="009E5564"/>
    <w:rsid w:val="009E55BD"/>
    <w:rsid w:val="009E56DB"/>
    <w:rsid w:val="009E5F28"/>
    <w:rsid w:val="009E6331"/>
    <w:rsid w:val="009E647E"/>
    <w:rsid w:val="009E6E1B"/>
    <w:rsid w:val="009E6E45"/>
    <w:rsid w:val="009E79BF"/>
    <w:rsid w:val="009E79FF"/>
    <w:rsid w:val="009E7B05"/>
    <w:rsid w:val="009E7DB9"/>
    <w:rsid w:val="009F01A3"/>
    <w:rsid w:val="009F0ACD"/>
    <w:rsid w:val="009F0E5A"/>
    <w:rsid w:val="009F181B"/>
    <w:rsid w:val="009F185D"/>
    <w:rsid w:val="009F18DB"/>
    <w:rsid w:val="009F1D63"/>
    <w:rsid w:val="009F1DEE"/>
    <w:rsid w:val="009F2026"/>
    <w:rsid w:val="009F2610"/>
    <w:rsid w:val="009F30D4"/>
    <w:rsid w:val="009F3BCF"/>
    <w:rsid w:val="009F3E1E"/>
    <w:rsid w:val="009F4480"/>
    <w:rsid w:val="009F4493"/>
    <w:rsid w:val="009F49B2"/>
    <w:rsid w:val="009F4D35"/>
    <w:rsid w:val="009F4E2F"/>
    <w:rsid w:val="009F511F"/>
    <w:rsid w:val="009F555B"/>
    <w:rsid w:val="009F5679"/>
    <w:rsid w:val="009F5AEF"/>
    <w:rsid w:val="009F5C16"/>
    <w:rsid w:val="009F629E"/>
    <w:rsid w:val="009F63DF"/>
    <w:rsid w:val="009F6820"/>
    <w:rsid w:val="009F6B56"/>
    <w:rsid w:val="009F6B92"/>
    <w:rsid w:val="009F7D21"/>
    <w:rsid w:val="00A008A4"/>
    <w:rsid w:val="00A00DDB"/>
    <w:rsid w:val="00A01783"/>
    <w:rsid w:val="00A020FD"/>
    <w:rsid w:val="00A028A9"/>
    <w:rsid w:val="00A02B45"/>
    <w:rsid w:val="00A02BAE"/>
    <w:rsid w:val="00A0307C"/>
    <w:rsid w:val="00A033F0"/>
    <w:rsid w:val="00A038A9"/>
    <w:rsid w:val="00A03922"/>
    <w:rsid w:val="00A04760"/>
    <w:rsid w:val="00A05377"/>
    <w:rsid w:val="00A055FF"/>
    <w:rsid w:val="00A05A91"/>
    <w:rsid w:val="00A05C1A"/>
    <w:rsid w:val="00A06B3E"/>
    <w:rsid w:val="00A07423"/>
    <w:rsid w:val="00A077B6"/>
    <w:rsid w:val="00A07A89"/>
    <w:rsid w:val="00A07B0F"/>
    <w:rsid w:val="00A1014E"/>
    <w:rsid w:val="00A1027F"/>
    <w:rsid w:val="00A1038A"/>
    <w:rsid w:val="00A10475"/>
    <w:rsid w:val="00A10F4F"/>
    <w:rsid w:val="00A110E4"/>
    <w:rsid w:val="00A11240"/>
    <w:rsid w:val="00A115D5"/>
    <w:rsid w:val="00A116F0"/>
    <w:rsid w:val="00A11B7B"/>
    <w:rsid w:val="00A11BC8"/>
    <w:rsid w:val="00A11E62"/>
    <w:rsid w:val="00A1214F"/>
    <w:rsid w:val="00A12288"/>
    <w:rsid w:val="00A122D2"/>
    <w:rsid w:val="00A1254F"/>
    <w:rsid w:val="00A1289B"/>
    <w:rsid w:val="00A129CC"/>
    <w:rsid w:val="00A12AF6"/>
    <w:rsid w:val="00A1367F"/>
    <w:rsid w:val="00A144D1"/>
    <w:rsid w:val="00A1460E"/>
    <w:rsid w:val="00A14735"/>
    <w:rsid w:val="00A1478D"/>
    <w:rsid w:val="00A14978"/>
    <w:rsid w:val="00A15253"/>
    <w:rsid w:val="00A15801"/>
    <w:rsid w:val="00A15871"/>
    <w:rsid w:val="00A1597B"/>
    <w:rsid w:val="00A15FA4"/>
    <w:rsid w:val="00A1621E"/>
    <w:rsid w:val="00A16916"/>
    <w:rsid w:val="00A16970"/>
    <w:rsid w:val="00A16AFC"/>
    <w:rsid w:val="00A16B33"/>
    <w:rsid w:val="00A170AB"/>
    <w:rsid w:val="00A1754D"/>
    <w:rsid w:val="00A1771C"/>
    <w:rsid w:val="00A17D8A"/>
    <w:rsid w:val="00A2038F"/>
    <w:rsid w:val="00A20488"/>
    <w:rsid w:val="00A20A82"/>
    <w:rsid w:val="00A20F5D"/>
    <w:rsid w:val="00A21E6D"/>
    <w:rsid w:val="00A22292"/>
    <w:rsid w:val="00A22591"/>
    <w:rsid w:val="00A225A3"/>
    <w:rsid w:val="00A225DE"/>
    <w:rsid w:val="00A2264C"/>
    <w:rsid w:val="00A23094"/>
    <w:rsid w:val="00A232DB"/>
    <w:rsid w:val="00A2345A"/>
    <w:rsid w:val="00A235F4"/>
    <w:rsid w:val="00A239DB"/>
    <w:rsid w:val="00A23E58"/>
    <w:rsid w:val="00A2433E"/>
    <w:rsid w:val="00A244C6"/>
    <w:rsid w:val="00A2455C"/>
    <w:rsid w:val="00A24609"/>
    <w:rsid w:val="00A246C0"/>
    <w:rsid w:val="00A248E3"/>
    <w:rsid w:val="00A254B7"/>
    <w:rsid w:val="00A259AE"/>
    <w:rsid w:val="00A25A3B"/>
    <w:rsid w:val="00A25B7E"/>
    <w:rsid w:val="00A26071"/>
    <w:rsid w:val="00A26304"/>
    <w:rsid w:val="00A263EF"/>
    <w:rsid w:val="00A2645C"/>
    <w:rsid w:val="00A265AD"/>
    <w:rsid w:val="00A266D8"/>
    <w:rsid w:val="00A26956"/>
    <w:rsid w:val="00A269D1"/>
    <w:rsid w:val="00A2797E"/>
    <w:rsid w:val="00A279DD"/>
    <w:rsid w:val="00A30312"/>
    <w:rsid w:val="00A31126"/>
    <w:rsid w:val="00A31136"/>
    <w:rsid w:val="00A31217"/>
    <w:rsid w:val="00A31359"/>
    <w:rsid w:val="00A31B12"/>
    <w:rsid w:val="00A324AC"/>
    <w:rsid w:val="00A32645"/>
    <w:rsid w:val="00A32CFC"/>
    <w:rsid w:val="00A32FAC"/>
    <w:rsid w:val="00A338FE"/>
    <w:rsid w:val="00A33EEE"/>
    <w:rsid w:val="00A33FC0"/>
    <w:rsid w:val="00A346A7"/>
    <w:rsid w:val="00A349F9"/>
    <w:rsid w:val="00A34D51"/>
    <w:rsid w:val="00A3533E"/>
    <w:rsid w:val="00A35421"/>
    <w:rsid w:val="00A3589F"/>
    <w:rsid w:val="00A35966"/>
    <w:rsid w:val="00A35DF8"/>
    <w:rsid w:val="00A35FA1"/>
    <w:rsid w:val="00A3626D"/>
    <w:rsid w:val="00A36542"/>
    <w:rsid w:val="00A36926"/>
    <w:rsid w:val="00A36E67"/>
    <w:rsid w:val="00A3735E"/>
    <w:rsid w:val="00A373D8"/>
    <w:rsid w:val="00A37559"/>
    <w:rsid w:val="00A37873"/>
    <w:rsid w:val="00A37B02"/>
    <w:rsid w:val="00A40169"/>
    <w:rsid w:val="00A4050E"/>
    <w:rsid w:val="00A40F83"/>
    <w:rsid w:val="00A41146"/>
    <w:rsid w:val="00A42161"/>
    <w:rsid w:val="00A4255B"/>
    <w:rsid w:val="00A42EE4"/>
    <w:rsid w:val="00A43363"/>
    <w:rsid w:val="00A4346E"/>
    <w:rsid w:val="00A43A51"/>
    <w:rsid w:val="00A43DF3"/>
    <w:rsid w:val="00A4430B"/>
    <w:rsid w:val="00A44CB0"/>
    <w:rsid w:val="00A45391"/>
    <w:rsid w:val="00A45751"/>
    <w:rsid w:val="00A45B0C"/>
    <w:rsid w:val="00A4609E"/>
    <w:rsid w:val="00A46ABB"/>
    <w:rsid w:val="00A46C90"/>
    <w:rsid w:val="00A4709B"/>
    <w:rsid w:val="00A47104"/>
    <w:rsid w:val="00A472A2"/>
    <w:rsid w:val="00A473A9"/>
    <w:rsid w:val="00A47824"/>
    <w:rsid w:val="00A50931"/>
    <w:rsid w:val="00A50F70"/>
    <w:rsid w:val="00A513C8"/>
    <w:rsid w:val="00A514AB"/>
    <w:rsid w:val="00A514C3"/>
    <w:rsid w:val="00A51541"/>
    <w:rsid w:val="00A51590"/>
    <w:rsid w:val="00A52782"/>
    <w:rsid w:val="00A5292B"/>
    <w:rsid w:val="00A52FE4"/>
    <w:rsid w:val="00A531C5"/>
    <w:rsid w:val="00A5531E"/>
    <w:rsid w:val="00A55863"/>
    <w:rsid w:val="00A56102"/>
    <w:rsid w:val="00A56CE1"/>
    <w:rsid w:val="00A5707A"/>
    <w:rsid w:val="00A5771D"/>
    <w:rsid w:val="00A57802"/>
    <w:rsid w:val="00A60489"/>
    <w:rsid w:val="00A6193A"/>
    <w:rsid w:val="00A6278E"/>
    <w:rsid w:val="00A62D47"/>
    <w:rsid w:val="00A635A3"/>
    <w:rsid w:val="00A63D6A"/>
    <w:rsid w:val="00A63E28"/>
    <w:rsid w:val="00A63FCD"/>
    <w:rsid w:val="00A64277"/>
    <w:rsid w:val="00A6429A"/>
    <w:rsid w:val="00A65A2D"/>
    <w:rsid w:val="00A65A6A"/>
    <w:rsid w:val="00A66111"/>
    <w:rsid w:val="00A664E8"/>
    <w:rsid w:val="00A66645"/>
    <w:rsid w:val="00A66848"/>
    <w:rsid w:val="00A6731F"/>
    <w:rsid w:val="00A67427"/>
    <w:rsid w:val="00A6784A"/>
    <w:rsid w:val="00A67C10"/>
    <w:rsid w:val="00A67EA8"/>
    <w:rsid w:val="00A67F62"/>
    <w:rsid w:val="00A70017"/>
    <w:rsid w:val="00A7022E"/>
    <w:rsid w:val="00A70E77"/>
    <w:rsid w:val="00A70F5D"/>
    <w:rsid w:val="00A714B0"/>
    <w:rsid w:val="00A715D4"/>
    <w:rsid w:val="00A71667"/>
    <w:rsid w:val="00A7239D"/>
    <w:rsid w:val="00A7265D"/>
    <w:rsid w:val="00A7274F"/>
    <w:rsid w:val="00A72822"/>
    <w:rsid w:val="00A731F6"/>
    <w:rsid w:val="00A73C73"/>
    <w:rsid w:val="00A73E06"/>
    <w:rsid w:val="00A74335"/>
    <w:rsid w:val="00A749B3"/>
    <w:rsid w:val="00A74A93"/>
    <w:rsid w:val="00A74EF7"/>
    <w:rsid w:val="00A75A06"/>
    <w:rsid w:val="00A7623E"/>
    <w:rsid w:val="00A767FE"/>
    <w:rsid w:val="00A77353"/>
    <w:rsid w:val="00A77A55"/>
    <w:rsid w:val="00A77A8E"/>
    <w:rsid w:val="00A77DB4"/>
    <w:rsid w:val="00A80DC3"/>
    <w:rsid w:val="00A80DC6"/>
    <w:rsid w:val="00A80EDD"/>
    <w:rsid w:val="00A810DC"/>
    <w:rsid w:val="00A817D7"/>
    <w:rsid w:val="00A81840"/>
    <w:rsid w:val="00A8296C"/>
    <w:rsid w:val="00A8326F"/>
    <w:rsid w:val="00A83284"/>
    <w:rsid w:val="00A839B1"/>
    <w:rsid w:val="00A839BF"/>
    <w:rsid w:val="00A83B19"/>
    <w:rsid w:val="00A84BE5"/>
    <w:rsid w:val="00A84C34"/>
    <w:rsid w:val="00A853B7"/>
    <w:rsid w:val="00A85A04"/>
    <w:rsid w:val="00A85DC1"/>
    <w:rsid w:val="00A86507"/>
    <w:rsid w:val="00A86710"/>
    <w:rsid w:val="00A873AD"/>
    <w:rsid w:val="00A875E8"/>
    <w:rsid w:val="00A87637"/>
    <w:rsid w:val="00A90636"/>
    <w:rsid w:val="00A9077F"/>
    <w:rsid w:val="00A9089C"/>
    <w:rsid w:val="00A90A63"/>
    <w:rsid w:val="00A90CBC"/>
    <w:rsid w:val="00A90D95"/>
    <w:rsid w:val="00A90F02"/>
    <w:rsid w:val="00A91A46"/>
    <w:rsid w:val="00A91AAB"/>
    <w:rsid w:val="00A92BA6"/>
    <w:rsid w:val="00A935D7"/>
    <w:rsid w:val="00A94071"/>
    <w:rsid w:val="00A94324"/>
    <w:rsid w:val="00A944C1"/>
    <w:rsid w:val="00A94506"/>
    <w:rsid w:val="00A946D0"/>
    <w:rsid w:val="00A94AB8"/>
    <w:rsid w:val="00A95010"/>
    <w:rsid w:val="00A9531F"/>
    <w:rsid w:val="00A957D4"/>
    <w:rsid w:val="00A9594A"/>
    <w:rsid w:val="00A961DA"/>
    <w:rsid w:val="00A96436"/>
    <w:rsid w:val="00A9692D"/>
    <w:rsid w:val="00A96B67"/>
    <w:rsid w:val="00A96C93"/>
    <w:rsid w:val="00A96F31"/>
    <w:rsid w:val="00A96FB6"/>
    <w:rsid w:val="00A971A6"/>
    <w:rsid w:val="00A97AB0"/>
    <w:rsid w:val="00AA01D8"/>
    <w:rsid w:val="00AA0C38"/>
    <w:rsid w:val="00AA0EE7"/>
    <w:rsid w:val="00AA109F"/>
    <w:rsid w:val="00AA115D"/>
    <w:rsid w:val="00AA13A1"/>
    <w:rsid w:val="00AA1550"/>
    <w:rsid w:val="00AA1EA5"/>
    <w:rsid w:val="00AA1F89"/>
    <w:rsid w:val="00AA2868"/>
    <w:rsid w:val="00AA30A3"/>
    <w:rsid w:val="00AA3440"/>
    <w:rsid w:val="00AA3B02"/>
    <w:rsid w:val="00AA3D54"/>
    <w:rsid w:val="00AA46BB"/>
    <w:rsid w:val="00AA473F"/>
    <w:rsid w:val="00AA5187"/>
    <w:rsid w:val="00AA555F"/>
    <w:rsid w:val="00AA5640"/>
    <w:rsid w:val="00AA5C2F"/>
    <w:rsid w:val="00AA5E61"/>
    <w:rsid w:val="00AA6D87"/>
    <w:rsid w:val="00AA6E4E"/>
    <w:rsid w:val="00AA741F"/>
    <w:rsid w:val="00AA763A"/>
    <w:rsid w:val="00AA79E8"/>
    <w:rsid w:val="00AA7E2A"/>
    <w:rsid w:val="00AA7E44"/>
    <w:rsid w:val="00AB04B4"/>
    <w:rsid w:val="00AB07EE"/>
    <w:rsid w:val="00AB10BC"/>
    <w:rsid w:val="00AB147B"/>
    <w:rsid w:val="00AB1861"/>
    <w:rsid w:val="00AB1939"/>
    <w:rsid w:val="00AB1D28"/>
    <w:rsid w:val="00AB216B"/>
    <w:rsid w:val="00AB2332"/>
    <w:rsid w:val="00AB27C1"/>
    <w:rsid w:val="00AB3354"/>
    <w:rsid w:val="00AB342E"/>
    <w:rsid w:val="00AB3481"/>
    <w:rsid w:val="00AB3545"/>
    <w:rsid w:val="00AB3568"/>
    <w:rsid w:val="00AB370A"/>
    <w:rsid w:val="00AB40BF"/>
    <w:rsid w:val="00AB4E0F"/>
    <w:rsid w:val="00AB58CF"/>
    <w:rsid w:val="00AB5B12"/>
    <w:rsid w:val="00AB614B"/>
    <w:rsid w:val="00AB64B8"/>
    <w:rsid w:val="00AB684D"/>
    <w:rsid w:val="00AB68BD"/>
    <w:rsid w:val="00AB6C99"/>
    <w:rsid w:val="00AB6DC4"/>
    <w:rsid w:val="00AB6E74"/>
    <w:rsid w:val="00AB6F98"/>
    <w:rsid w:val="00AB7215"/>
    <w:rsid w:val="00AB729C"/>
    <w:rsid w:val="00AB7328"/>
    <w:rsid w:val="00AB76CD"/>
    <w:rsid w:val="00AB79AA"/>
    <w:rsid w:val="00AB7E68"/>
    <w:rsid w:val="00AB7F89"/>
    <w:rsid w:val="00AC02D2"/>
    <w:rsid w:val="00AC0CB7"/>
    <w:rsid w:val="00AC1005"/>
    <w:rsid w:val="00AC1164"/>
    <w:rsid w:val="00AC29D7"/>
    <w:rsid w:val="00AC3273"/>
    <w:rsid w:val="00AC3958"/>
    <w:rsid w:val="00AC3D4F"/>
    <w:rsid w:val="00AC3F03"/>
    <w:rsid w:val="00AC40C8"/>
    <w:rsid w:val="00AC43EE"/>
    <w:rsid w:val="00AC51EB"/>
    <w:rsid w:val="00AC584C"/>
    <w:rsid w:val="00AC5852"/>
    <w:rsid w:val="00AC58C9"/>
    <w:rsid w:val="00AC5E98"/>
    <w:rsid w:val="00AC648A"/>
    <w:rsid w:val="00AC6520"/>
    <w:rsid w:val="00AC67DC"/>
    <w:rsid w:val="00AC6DEA"/>
    <w:rsid w:val="00AC6F5B"/>
    <w:rsid w:val="00AD045B"/>
    <w:rsid w:val="00AD123B"/>
    <w:rsid w:val="00AD17BF"/>
    <w:rsid w:val="00AD1898"/>
    <w:rsid w:val="00AD2057"/>
    <w:rsid w:val="00AD2802"/>
    <w:rsid w:val="00AD2839"/>
    <w:rsid w:val="00AD2B78"/>
    <w:rsid w:val="00AD2B91"/>
    <w:rsid w:val="00AD2CF4"/>
    <w:rsid w:val="00AD3242"/>
    <w:rsid w:val="00AD3681"/>
    <w:rsid w:val="00AD3DBD"/>
    <w:rsid w:val="00AD3DDA"/>
    <w:rsid w:val="00AD3E4E"/>
    <w:rsid w:val="00AD3EFF"/>
    <w:rsid w:val="00AD43F9"/>
    <w:rsid w:val="00AD48A0"/>
    <w:rsid w:val="00AD57E3"/>
    <w:rsid w:val="00AD58AC"/>
    <w:rsid w:val="00AD5E22"/>
    <w:rsid w:val="00AD6373"/>
    <w:rsid w:val="00AD6553"/>
    <w:rsid w:val="00AD6646"/>
    <w:rsid w:val="00AD6BA4"/>
    <w:rsid w:val="00AD7B4C"/>
    <w:rsid w:val="00AD7CF6"/>
    <w:rsid w:val="00AE0D16"/>
    <w:rsid w:val="00AE17C8"/>
    <w:rsid w:val="00AE183E"/>
    <w:rsid w:val="00AE1A60"/>
    <w:rsid w:val="00AE1C39"/>
    <w:rsid w:val="00AE2037"/>
    <w:rsid w:val="00AE26E1"/>
    <w:rsid w:val="00AE2816"/>
    <w:rsid w:val="00AE2A55"/>
    <w:rsid w:val="00AE3359"/>
    <w:rsid w:val="00AE498F"/>
    <w:rsid w:val="00AE559E"/>
    <w:rsid w:val="00AE57AF"/>
    <w:rsid w:val="00AE5917"/>
    <w:rsid w:val="00AE59A5"/>
    <w:rsid w:val="00AE5B47"/>
    <w:rsid w:val="00AE5C4F"/>
    <w:rsid w:val="00AE5EEB"/>
    <w:rsid w:val="00AE639D"/>
    <w:rsid w:val="00AE68DE"/>
    <w:rsid w:val="00AE6CED"/>
    <w:rsid w:val="00AE7574"/>
    <w:rsid w:val="00AE7B2B"/>
    <w:rsid w:val="00AF00B3"/>
    <w:rsid w:val="00AF0A6A"/>
    <w:rsid w:val="00AF18E5"/>
    <w:rsid w:val="00AF1E75"/>
    <w:rsid w:val="00AF1EAE"/>
    <w:rsid w:val="00AF2007"/>
    <w:rsid w:val="00AF2422"/>
    <w:rsid w:val="00AF28B3"/>
    <w:rsid w:val="00AF2C6E"/>
    <w:rsid w:val="00AF3440"/>
    <w:rsid w:val="00AF398C"/>
    <w:rsid w:val="00AF3C7D"/>
    <w:rsid w:val="00AF3FE5"/>
    <w:rsid w:val="00AF42A7"/>
    <w:rsid w:val="00AF448D"/>
    <w:rsid w:val="00AF4535"/>
    <w:rsid w:val="00AF4574"/>
    <w:rsid w:val="00AF46B2"/>
    <w:rsid w:val="00AF4F2C"/>
    <w:rsid w:val="00AF53EC"/>
    <w:rsid w:val="00AF56BA"/>
    <w:rsid w:val="00AF5C08"/>
    <w:rsid w:val="00AF61C2"/>
    <w:rsid w:val="00AF6522"/>
    <w:rsid w:val="00AF6C71"/>
    <w:rsid w:val="00AF724C"/>
    <w:rsid w:val="00AF7282"/>
    <w:rsid w:val="00AF78FA"/>
    <w:rsid w:val="00AF79F5"/>
    <w:rsid w:val="00AF7A5E"/>
    <w:rsid w:val="00AF7BF8"/>
    <w:rsid w:val="00B00025"/>
    <w:rsid w:val="00B0013B"/>
    <w:rsid w:val="00B005D4"/>
    <w:rsid w:val="00B00D49"/>
    <w:rsid w:val="00B00E4B"/>
    <w:rsid w:val="00B010F8"/>
    <w:rsid w:val="00B02723"/>
    <w:rsid w:val="00B02731"/>
    <w:rsid w:val="00B029B2"/>
    <w:rsid w:val="00B02A05"/>
    <w:rsid w:val="00B02C47"/>
    <w:rsid w:val="00B0307E"/>
    <w:rsid w:val="00B034DF"/>
    <w:rsid w:val="00B036DB"/>
    <w:rsid w:val="00B043E6"/>
    <w:rsid w:val="00B046CD"/>
    <w:rsid w:val="00B04F85"/>
    <w:rsid w:val="00B0501D"/>
    <w:rsid w:val="00B05741"/>
    <w:rsid w:val="00B05BA4"/>
    <w:rsid w:val="00B05E50"/>
    <w:rsid w:val="00B05F70"/>
    <w:rsid w:val="00B06233"/>
    <w:rsid w:val="00B06997"/>
    <w:rsid w:val="00B072AB"/>
    <w:rsid w:val="00B108DA"/>
    <w:rsid w:val="00B10D47"/>
    <w:rsid w:val="00B1120E"/>
    <w:rsid w:val="00B112AB"/>
    <w:rsid w:val="00B1159F"/>
    <w:rsid w:val="00B11A42"/>
    <w:rsid w:val="00B11A54"/>
    <w:rsid w:val="00B11D6D"/>
    <w:rsid w:val="00B11DD6"/>
    <w:rsid w:val="00B12583"/>
    <w:rsid w:val="00B139FB"/>
    <w:rsid w:val="00B13C73"/>
    <w:rsid w:val="00B1406A"/>
    <w:rsid w:val="00B14097"/>
    <w:rsid w:val="00B14151"/>
    <w:rsid w:val="00B14409"/>
    <w:rsid w:val="00B1512A"/>
    <w:rsid w:val="00B15348"/>
    <w:rsid w:val="00B157EE"/>
    <w:rsid w:val="00B159DE"/>
    <w:rsid w:val="00B15DA3"/>
    <w:rsid w:val="00B16024"/>
    <w:rsid w:val="00B162B7"/>
    <w:rsid w:val="00B168CF"/>
    <w:rsid w:val="00B16902"/>
    <w:rsid w:val="00B16B01"/>
    <w:rsid w:val="00B16DDF"/>
    <w:rsid w:val="00B172DB"/>
    <w:rsid w:val="00B17A7D"/>
    <w:rsid w:val="00B17C2F"/>
    <w:rsid w:val="00B17F8E"/>
    <w:rsid w:val="00B209A2"/>
    <w:rsid w:val="00B22058"/>
    <w:rsid w:val="00B22B90"/>
    <w:rsid w:val="00B23106"/>
    <w:rsid w:val="00B2315C"/>
    <w:rsid w:val="00B2349A"/>
    <w:rsid w:val="00B2359F"/>
    <w:rsid w:val="00B23A99"/>
    <w:rsid w:val="00B23BD0"/>
    <w:rsid w:val="00B23F0C"/>
    <w:rsid w:val="00B246BE"/>
    <w:rsid w:val="00B24C61"/>
    <w:rsid w:val="00B2590F"/>
    <w:rsid w:val="00B26084"/>
    <w:rsid w:val="00B26783"/>
    <w:rsid w:val="00B26B3A"/>
    <w:rsid w:val="00B26F97"/>
    <w:rsid w:val="00B271F7"/>
    <w:rsid w:val="00B27C13"/>
    <w:rsid w:val="00B27FA5"/>
    <w:rsid w:val="00B30162"/>
    <w:rsid w:val="00B302A5"/>
    <w:rsid w:val="00B3063C"/>
    <w:rsid w:val="00B30AB4"/>
    <w:rsid w:val="00B30B0B"/>
    <w:rsid w:val="00B30D04"/>
    <w:rsid w:val="00B30E15"/>
    <w:rsid w:val="00B30FED"/>
    <w:rsid w:val="00B31170"/>
    <w:rsid w:val="00B315D1"/>
    <w:rsid w:val="00B318A6"/>
    <w:rsid w:val="00B3192B"/>
    <w:rsid w:val="00B3234B"/>
    <w:rsid w:val="00B32866"/>
    <w:rsid w:val="00B32A6F"/>
    <w:rsid w:val="00B32AB9"/>
    <w:rsid w:val="00B32C01"/>
    <w:rsid w:val="00B32D70"/>
    <w:rsid w:val="00B3327E"/>
    <w:rsid w:val="00B334BB"/>
    <w:rsid w:val="00B33869"/>
    <w:rsid w:val="00B34041"/>
    <w:rsid w:val="00B3454E"/>
    <w:rsid w:val="00B346FB"/>
    <w:rsid w:val="00B34BBC"/>
    <w:rsid w:val="00B35701"/>
    <w:rsid w:val="00B35B37"/>
    <w:rsid w:val="00B36323"/>
    <w:rsid w:val="00B36C81"/>
    <w:rsid w:val="00B375EA"/>
    <w:rsid w:val="00B3797F"/>
    <w:rsid w:val="00B413D8"/>
    <w:rsid w:val="00B41E83"/>
    <w:rsid w:val="00B426A0"/>
    <w:rsid w:val="00B426E4"/>
    <w:rsid w:val="00B42D29"/>
    <w:rsid w:val="00B42D2C"/>
    <w:rsid w:val="00B43507"/>
    <w:rsid w:val="00B43F4B"/>
    <w:rsid w:val="00B442AC"/>
    <w:rsid w:val="00B4451A"/>
    <w:rsid w:val="00B44858"/>
    <w:rsid w:val="00B4494D"/>
    <w:rsid w:val="00B44A80"/>
    <w:rsid w:val="00B44BE2"/>
    <w:rsid w:val="00B451F0"/>
    <w:rsid w:val="00B45304"/>
    <w:rsid w:val="00B45420"/>
    <w:rsid w:val="00B459DA"/>
    <w:rsid w:val="00B4613B"/>
    <w:rsid w:val="00B4624B"/>
    <w:rsid w:val="00B46CC6"/>
    <w:rsid w:val="00B46DB2"/>
    <w:rsid w:val="00B4712C"/>
    <w:rsid w:val="00B476B0"/>
    <w:rsid w:val="00B47B20"/>
    <w:rsid w:val="00B47E5A"/>
    <w:rsid w:val="00B5004F"/>
    <w:rsid w:val="00B50EA7"/>
    <w:rsid w:val="00B5107C"/>
    <w:rsid w:val="00B511F4"/>
    <w:rsid w:val="00B515EF"/>
    <w:rsid w:val="00B51762"/>
    <w:rsid w:val="00B51836"/>
    <w:rsid w:val="00B52880"/>
    <w:rsid w:val="00B53079"/>
    <w:rsid w:val="00B53190"/>
    <w:rsid w:val="00B53710"/>
    <w:rsid w:val="00B53B0F"/>
    <w:rsid w:val="00B53C6C"/>
    <w:rsid w:val="00B53D07"/>
    <w:rsid w:val="00B53DFA"/>
    <w:rsid w:val="00B54495"/>
    <w:rsid w:val="00B54CDC"/>
    <w:rsid w:val="00B54DFD"/>
    <w:rsid w:val="00B54E55"/>
    <w:rsid w:val="00B54EBC"/>
    <w:rsid w:val="00B55135"/>
    <w:rsid w:val="00B551D9"/>
    <w:rsid w:val="00B553DB"/>
    <w:rsid w:val="00B55456"/>
    <w:rsid w:val="00B55471"/>
    <w:rsid w:val="00B55607"/>
    <w:rsid w:val="00B559FD"/>
    <w:rsid w:val="00B55F39"/>
    <w:rsid w:val="00B56089"/>
    <w:rsid w:val="00B560D4"/>
    <w:rsid w:val="00B56115"/>
    <w:rsid w:val="00B5635A"/>
    <w:rsid w:val="00B5660D"/>
    <w:rsid w:val="00B5681D"/>
    <w:rsid w:val="00B569A2"/>
    <w:rsid w:val="00B56F09"/>
    <w:rsid w:val="00B5726A"/>
    <w:rsid w:val="00B57471"/>
    <w:rsid w:val="00B57626"/>
    <w:rsid w:val="00B57EE9"/>
    <w:rsid w:val="00B60096"/>
    <w:rsid w:val="00B601E1"/>
    <w:rsid w:val="00B60823"/>
    <w:rsid w:val="00B610B5"/>
    <w:rsid w:val="00B6181A"/>
    <w:rsid w:val="00B61D83"/>
    <w:rsid w:val="00B62035"/>
    <w:rsid w:val="00B6243A"/>
    <w:rsid w:val="00B6284D"/>
    <w:rsid w:val="00B62A90"/>
    <w:rsid w:val="00B62FA3"/>
    <w:rsid w:val="00B634F7"/>
    <w:rsid w:val="00B6404F"/>
    <w:rsid w:val="00B64308"/>
    <w:rsid w:val="00B64630"/>
    <w:rsid w:val="00B64723"/>
    <w:rsid w:val="00B64D6E"/>
    <w:rsid w:val="00B6563A"/>
    <w:rsid w:val="00B65966"/>
    <w:rsid w:val="00B66B00"/>
    <w:rsid w:val="00B6747F"/>
    <w:rsid w:val="00B67696"/>
    <w:rsid w:val="00B67DCD"/>
    <w:rsid w:val="00B70A94"/>
    <w:rsid w:val="00B70AB6"/>
    <w:rsid w:val="00B71454"/>
    <w:rsid w:val="00B72312"/>
    <w:rsid w:val="00B735D8"/>
    <w:rsid w:val="00B739AF"/>
    <w:rsid w:val="00B7400D"/>
    <w:rsid w:val="00B742BE"/>
    <w:rsid w:val="00B74385"/>
    <w:rsid w:val="00B746FD"/>
    <w:rsid w:val="00B74B88"/>
    <w:rsid w:val="00B75553"/>
    <w:rsid w:val="00B759B1"/>
    <w:rsid w:val="00B75A5D"/>
    <w:rsid w:val="00B75DE2"/>
    <w:rsid w:val="00B76215"/>
    <w:rsid w:val="00B76510"/>
    <w:rsid w:val="00B765D5"/>
    <w:rsid w:val="00B76D19"/>
    <w:rsid w:val="00B76FE8"/>
    <w:rsid w:val="00B770DF"/>
    <w:rsid w:val="00B77A3B"/>
    <w:rsid w:val="00B80445"/>
    <w:rsid w:val="00B80587"/>
    <w:rsid w:val="00B80BEF"/>
    <w:rsid w:val="00B80C68"/>
    <w:rsid w:val="00B80D1D"/>
    <w:rsid w:val="00B80D1F"/>
    <w:rsid w:val="00B81068"/>
    <w:rsid w:val="00B8153A"/>
    <w:rsid w:val="00B81C3E"/>
    <w:rsid w:val="00B83001"/>
    <w:rsid w:val="00B836E0"/>
    <w:rsid w:val="00B83873"/>
    <w:rsid w:val="00B83884"/>
    <w:rsid w:val="00B83C06"/>
    <w:rsid w:val="00B83EC3"/>
    <w:rsid w:val="00B84E47"/>
    <w:rsid w:val="00B850CD"/>
    <w:rsid w:val="00B863B8"/>
    <w:rsid w:val="00B86783"/>
    <w:rsid w:val="00B86892"/>
    <w:rsid w:val="00B86912"/>
    <w:rsid w:val="00B8700F"/>
    <w:rsid w:val="00B87182"/>
    <w:rsid w:val="00B874B8"/>
    <w:rsid w:val="00B87556"/>
    <w:rsid w:val="00B87C22"/>
    <w:rsid w:val="00B87D56"/>
    <w:rsid w:val="00B87DF6"/>
    <w:rsid w:val="00B901B5"/>
    <w:rsid w:val="00B9051F"/>
    <w:rsid w:val="00B90B95"/>
    <w:rsid w:val="00B90C11"/>
    <w:rsid w:val="00B90FD0"/>
    <w:rsid w:val="00B9117D"/>
    <w:rsid w:val="00B91839"/>
    <w:rsid w:val="00B91C00"/>
    <w:rsid w:val="00B9203F"/>
    <w:rsid w:val="00B9257C"/>
    <w:rsid w:val="00B92907"/>
    <w:rsid w:val="00B92A21"/>
    <w:rsid w:val="00B92BFE"/>
    <w:rsid w:val="00B92ECF"/>
    <w:rsid w:val="00B93515"/>
    <w:rsid w:val="00B93BF4"/>
    <w:rsid w:val="00B93C66"/>
    <w:rsid w:val="00B93D80"/>
    <w:rsid w:val="00B93DD4"/>
    <w:rsid w:val="00B952E3"/>
    <w:rsid w:val="00B95685"/>
    <w:rsid w:val="00B95782"/>
    <w:rsid w:val="00B95A56"/>
    <w:rsid w:val="00B964EC"/>
    <w:rsid w:val="00B96C09"/>
    <w:rsid w:val="00B96DAA"/>
    <w:rsid w:val="00B97199"/>
    <w:rsid w:val="00B9723D"/>
    <w:rsid w:val="00BA00AF"/>
    <w:rsid w:val="00BA04BC"/>
    <w:rsid w:val="00BA11D8"/>
    <w:rsid w:val="00BA15D9"/>
    <w:rsid w:val="00BA1611"/>
    <w:rsid w:val="00BA20BE"/>
    <w:rsid w:val="00BA23B7"/>
    <w:rsid w:val="00BA254F"/>
    <w:rsid w:val="00BA2C8A"/>
    <w:rsid w:val="00BA3116"/>
    <w:rsid w:val="00BA3161"/>
    <w:rsid w:val="00BA3B2E"/>
    <w:rsid w:val="00BA3D28"/>
    <w:rsid w:val="00BA4CAC"/>
    <w:rsid w:val="00BA55B4"/>
    <w:rsid w:val="00BA5836"/>
    <w:rsid w:val="00BA5968"/>
    <w:rsid w:val="00BA5F02"/>
    <w:rsid w:val="00BA6345"/>
    <w:rsid w:val="00BA63D8"/>
    <w:rsid w:val="00BA6928"/>
    <w:rsid w:val="00BA6AA2"/>
    <w:rsid w:val="00BA72E7"/>
    <w:rsid w:val="00BA7368"/>
    <w:rsid w:val="00BA73C3"/>
    <w:rsid w:val="00BA7D36"/>
    <w:rsid w:val="00BB03F1"/>
    <w:rsid w:val="00BB0778"/>
    <w:rsid w:val="00BB0A7F"/>
    <w:rsid w:val="00BB1EA0"/>
    <w:rsid w:val="00BB23DB"/>
    <w:rsid w:val="00BB2485"/>
    <w:rsid w:val="00BB2689"/>
    <w:rsid w:val="00BB2945"/>
    <w:rsid w:val="00BB3031"/>
    <w:rsid w:val="00BB30FC"/>
    <w:rsid w:val="00BB36B8"/>
    <w:rsid w:val="00BB3CE3"/>
    <w:rsid w:val="00BB3E3F"/>
    <w:rsid w:val="00BB3EC1"/>
    <w:rsid w:val="00BB4761"/>
    <w:rsid w:val="00BB4820"/>
    <w:rsid w:val="00BB4A0B"/>
    <w:rsid w:val="00BB5389"/>
    <w:rsid w:val="00BB5699"/>
    <w:rsid w:val="00BB5897"/>
    <w:rsid w:val="00BB5EA0"/>
    <w:rsid w:val="00BB6610"/>
    <w:rsid w:val="00BB691F"/>
    <w:rsid w:val="00BB6DE9"/>
    <w:rsid w:val="00BB70F1"/>
    <w:rsid w:val="00BB7644"/>
    <w:rsid w:val="00BB765D"/>
    <w:rsid w:val="00BB7E33"/>
    <w:rsid w:val="00BC0407"/>
    <w:rsid w:val="00BC07E5"/>
    <w:rsid w:val="00BC0937"/>
    <w:rsid w:val="00BC0BD6"/>
    <w:rsid w:val="00BC11E7"/>
    <w:rsid w:val="00BC1E5E"/>
    <w:rsid w:val="00BC20A4"/>
    <w:rsid w:val="00BC242B"/>
    <w:rsid w:val="00BC25BE"/>
    <w:rsid w:val="00BC2AB7"/>
    <w:rsid w:val="00BC32F2"/>
    <w:rsid w:val="00BC3487"/>
    <w:rsid w:val="00BC3808"/>
    <w:rsid w:val="00BC38B1"/>
    <w:rsid w:val="00BC43A9"/>
    <w:rsid w:val="00BC481D"/>
    <w:rsid w:val="00BC4CAB"/>
    <w:rsid w:val="00BC529D"/>
    <w:rsid w:val="00BC5669"/>
    <w:rsid w:val="00BC5693"/>
    <w:rsid w:val="00BC5B83"/>
    <w:rsid w:val="00BC5F1A"/>
    <w:rsid w:val="00BC6864"/>
    <w:rsid w:val="00BC69CB"/>
    <w:rsid w:val="00BC6D81"/>
    <w:rsid w:val="00BC75D2"/>
    <w:rsid w:val="00BC7882"/>
    <w:rsid w:val="00BD0142"/>
    <w:rsid w:val="00BD02E3"/>
    <w:rsid w:val="00BD081E"/>
    <w:rsid w:val="00BD0BF0"/>
    <w:rsid w:val="00BD0FC8"/>
    <w:rsid w:val="00BD10EC"/>
    <w:rsid w:val="00BD14EB"/>
    <w:rsid w:val="00BD196F"/>
    <w:rsid w:val="00BD1D23"/>
    <w:rsid w:val="00BD2036"/>
    <w:rsid w:val="00BD20E2"/>
    <w:rsid w:val="00BD2221"/>
    <w:rsid w:val="00BD23F9"/>
    <w:rsid w:val="00BD295C"/>
    <w:rsid w:val="00BD2FBA"/>
    <w:rsid w:val="00BD33A3"/>
    <w:rsid w:val="00BD4370"/>
    <w:rsid w:val="00BD44FD"/>
    <w:rsid w:val="00BD4A1B"/>
    <w:rsid w:val="00BD4E26"/>
    <w:rsid w:val="00BD5300"/>
    <w:rsid w:val="00BD59C4"/>
    <w:rsid w:val="00BD6229"/>
    <w:rsid w:val="00BD6281"/>
    <w:rsid w:val="00BD6645"/>
    <w:rsid w:val="00BD6A3A"/>
    <w:rsid w:val="00BD6BF5"/>
    <w:rsid w:val="00BD7009"/>
    <w:rsid w:val="00BD710A"/>
    <w:rsid w:val="00BD7B28"/>
    <w:rsid w:val="00BD7BCF"/>
    <w:rsid w:val="00BD7D55"/>
    <w:rsid w:val="00BE0087"/>
    <w:rsid w:val="00BE0385"/>
    <w:rsid w:val="00BE0B72"/>
    <w:rsid w:val="00BE0BED"/>
    <w:rsid w:val="00BE0D52"/>
    <w:rsid w:val="00BE0DD2"/>
    <w:rsid w:val="00BE0F1C"/>
    <w:rsid w:val="00BE0F41"/>
    <w:rsid w:val="00BE1172"/>
    <w:rsid w:val="00BE11FA"/>
    <w:rsid w:val="00BE16EC"/>
    <w:rsid w:val="00BE17EA"/>
    <w:rsid w:val="00BE1DE8"/>
    <w:rsid w:val="00BE1E2F"/>
    <w:rsid w:val="00BE1E64"/>
    <w:rsid w:val="00BE1EFA"/>
    <w:rsid w:val="00BE1F80"/>
    <w:rsid w:val="00BE20E4"/>
    <w:rsid w:val="00BE2C8E"/>
    <w:rsid w:val="00BE2E9E"/>
    <w:rsid w:val="00BE311A"/>
    <w:rsid w:val="00BE3433"/>
    <w:rsid w:val="00BE3448"/>
    <w:rsid w:val="00BE3D28"/>
    <w:rsid w:val="00BE5057"/>
    <w:rsid w:val="00BE544D"/>
    <w:rsid w:val="00BE554C"/>
    <w:rsid w:val="00BE58B4"/>
    <w:rsid w:val="00BE5906"/>
    <w:rsid w:val="00BE5CD2"/>
    <w:rsid w:val="00BE5E84"/>
    <w:rsid w:val="00BE633B"/>
    <w:rsid w:val="00BE65BF"/>
    <w:rsid w:val="00BE6632"/>
    <w:rsid w:val="00BE6D57"/>
    <w:rsid w:val="00BE7920"/>
    <w:rsid w:val="00BF0048"/>
    <w:rsid w:val="00BF00C8"/>
    <w:rsid w:val="00BF0113"/>
    <w:rsid w:val="00BF09A1"/>
    <w:rsid w:val="00BF0B8B"/>
    <w:rsid w:val="00BF0C41"/>
    <w:rsid w:val="00BF0FC2"/>
    <w:rsid w:val="00BF0FE7"/>
    <w:rsid w:val="00BF1824"/>
    <w:rsid w:val="00BF1B4E"/>
    <w:rsid w:val="00BF228C"/>
    <w:rsid w:val="00BF22AE"/>
    <w:rsid w:val="00BF23FF"/>
    <w:rsid w:val="00BF2682"/>
    <w:rsid w:val="00BF2962"/>
    <w:rsid w:val="00BF2A36"/>
    <w:rsid w:val="00BF2B2C"/>
    <w:rsid w:val="00BF2B97"/>
    <w:rsid w:val="00BF3472"/>
    <w:rsid w:val="00BF3580"/>
    <w:rsid w:val="00BF3BD1"/>
    <w:rsid w:val="00BF420B"/>
    <w:rsid w:val="00BF4420"/>
    <w:rsid w:val="00BF45CB"/>
    <w:rsid w:val="00BF4F67"/>
    <w:rsid w:val="00BF5731"/>
    <w:rsid w:val="00BF57CB"/>
    <w:rsid w:val="00BF59B5"/>
    <w:rsid w:val="00BF5B30"/>
    <w:rsid w:val="00BF6009"/>
    <w:rsid w:val="00BF60CC"/>
    <w:rsid w:val="00BF6F14"/>
    <w:rsid w:val="00BF72FF"/>
    <w:rsid w:val="00BF7584"/>
    <w:rsid w:val="00C01F79"/>
    <w:rsid w:val="00C037CA"/>
    <w:rsid w:val="00C0390F"/>
    <w:rsid w:val="00C0399C"/>
    <w:rsid w:val="00C042F1"/>
    <w:rsid w:val="00C04A84"/>
    <w:rsid w:val="00C04B43"/>
    <w:rsid w:val="00C04FB8"/>
    <w:rsid w:val="00C0509A"/>
    <w:rsid w:val="00C05D49"/>
    <w:rsid w:val="00C060B7"/>
    <w:rsid w:val="00C06157"/>
    <w:rsid w:val="00C062C7"/>
    <w:rsid w:val="00C062DE"/>
    <w:rsid w:val="00C0633F"/>
    <w:rsid w:val="00C0663B"/>
    <w:rsid w:val="00C06AB7"/>
    <w:rsid w:val="00C06EA9"/>
    <w:rsid w:val="00C070B5"/>
    <w:rsid w:val="00C102D8"/>
    <w:rsid w:val="00C1069A"/>
    <w:rsid w:val="00C10B6B"/>
    <w:rsid w:val="00C10BF7"/>
    <w:rsid w:val="00C10CBC"/>
    <w:rsid w:val="00C10EC5"/>
    <w:rsid w:val="00C10F1D"/>
    <w:rsid w:val="00C112FF"/>
    <w:rsid w:val="00C11C51"/>
    <w:rsid w:val="00C124A1"/>
    <w:rsid w:val="00C124FB"/>
    <w:rsid w:val="00C12B7D"/>
    <w:rsid w:val="00C12C9D"/>
    <w:rsid w:val="00C12E00"/>
    <w:rsid w:val="00C13089"/>
    <w:rsid w:val="00C1347B"/>
    <w:rsid w:val="00C14049"/>
    <w:rsid w:val="00C1406E"/>
    <w:rsid w:val="00C14077"/>
    <w:rsid w:val="00C148EB"/>
    <w:rsid w:val="00C14970"/>
    <w:rsid w:val="00C14A47"/>
    <w:rsid w:val="00C14C97"/>
    <w:rsid w:val="00C15132"/>
    <w:rsid w:val="00C15AB0"/>
    <w:rsid w:val="00C16105"/>
    <w:rsid w:val="00C16556"/>
    <w:rsid w:val="00C16D4B"/>
    <w:rsid w:val="00C175A8"/>
    <w:rsid w:val="00C2079B"/>
    <w:rsid w:val="00C2112C"/>
    <w:rsid w:val="00C2165A"/>
    <w:rsid w:val="00C219A9"/>
    <w:rsid w:val="00C21D78"/>
    <w:rsid w:val="00C22A74"/>
    <w:rsid w:val="00C23B2F"/>
    <w:rsid w:val="00C23D33"/>
    <w:rsid w:val="00C23DEE"/>
    <w:rsid w:val="00C23E48"/>
    <w:rsid w:val="00C24472"/>
    <w:rsid w:val="00C24582"/>
    <w:rsid w:val="00C24785"/>
    <w:rsid w:val="00C24865"/>
    <w:rsid w:val="00C24E26"/>
    <w:rsid w:val="00C25063"/>
    <w:rsid w:val="00C252CC"/>
    <w:rsid w:val="00C253BB"/>
    <w:rsid w:val="00C25A4B"/>
    <w:rsid w:val="00C25F13"/>
    <w:rsid w:val="00C263B7"/>
    <w:rsid w:val="00C26750"/>
    <w:rsid w:val="00C269F2"/>
    <w:rsid w:val="00C27370"/>
    <w:rsid w:val="00C27753"/>
    <w:rsid w:val="00C300CE"/>
    <w:rsid w:val="00C30128"/>
    <w:rsid w:val="00C302F6"/>
    <w:rsid w:val="00C30358"/>
    <w:rsid w:val="00C30765"/>
    <w:rsid w:val="00C30BCE"/>
    <w:rsid w:val="00C30D2F"/>
    <w:rsid w:val="00C30FA5"/>
    <w:rsid w:val="00C3104D"/>
    <w:rsid w:val="00C3143E"/>
    <w:rsid w:val="00C31571"/>
    <w:rsid w:val="00C317FD"/>
    <w:rsid w:val="00C31E4E"/>
    <w:rsid w:val="00C328AA"/>
    <w:rsid w:val="00C33B36"/>
    <w:rsid w:val="00C33D6A"/>
    <w:rsid w:val="00C3448D"/>
    <w:rsid w:val="00C348EE"/>
    <w:rsid w:val="00C34BB8"/>
    <w:rsid w:val="00C35981"/>
    <w:rsid w:val="00C35D90"/>
    <w:rsid w:val="00C35DD3"/>
    <w:rsid w:val="00C35DEA"/>
    <w:rsid w:val="00C3608D"/>
    <w:rsid w:val="00C363CF"/>
    <w:rsid w:val="00C36AC5"/>
    <w:rsid w:val="00C36B17"/>
    <w:rsid w:val="00C372A9"/>
    <w:rsid w:val="00C37B09"/>
    <w:rsid w:val="00C40065"/>
    <w:rsid w:val="00C40768"/>
    <w:rsid w:val="00C407B9"/>
    <w:rsid w:val="00C40D31"/>
    <w:rsid w:val="00C40D96"/>
    <w:rsid w:val="00C4113E"/>
    <w:rsid w:val="00C41904"/>
    <w:rsid w:val="00C41A0A"/>
    <w:rsid w:val="00C41F0F"/>
    <w:rsid w:val="00C42179"/>
    <w:rsid w:val="00C42375"/>
    <w:rsid w:val="00C4287C"/>
    <w:rsid w:val="00C42DD0"/>
    <w:rsid w:val="00C42F49"/>
    <w:rsid w:val="00C43159"/>
    <w:rsid w:val="00C431F9"/>
    <w:rsid w:val="00C439C7"/>
    <w:rsid w:val="00C43E3E"/>
    <w:rsid w:val="00C43EED"/>
    <w:rsid w:val="00C443E5"/>
    <w:rsid w:val="00C4463A"/>
    <w:rsid w:val="00C45128"/>
    <w:rsid w:val="00C45145"/>
    <w:rsid w:val="00C4625F"/>
    <w:rsid w:val="00C46776"/>
    <w:rsid w:val="00C46B4E"/>
    <w:rsid w:val="00C46E47"/>
    <w:rsid w:val="00C473D5"/>
    <w:rsid w:val="00C478BD"/>
    <w:rsid w:val="00C47A2F"/>
    <w:rsid w:val="00C50513"/>
    <w:rsid w:val="00C508E3"/>
    <w:rsid w:val="00C50A63"/>
    <w:rsid w:val="00C50E11"/>
    <w:rsid w:val="00C518BF"/>
    <w:rsid w:val="00C5238C"/>
    <w:rsid w:val="00C523FE"/>
    <w:rsid w:val="00C525CD"/>
    <w:rsid w:val="00C52D55"/>
    <w:rsid w:val="00C52EF5"/>
    <w:rsid w:val="00C5417F"/>
    <w:rsid w:val="00C54900"/>
    <w:rsid w:val="00C549F6"/>
    <w:rsid w:val="00C54B8D"/>
    <w:rsid w:val="00C551CC"/>
    <w:rsid w:val="00C559D4"/>
    <w:rsid w:val="00C55C7D"/>
    <w:rsid w:val="00C55F2E"/>
    <w:rsid w:val="00C56528"/>
    <w:rsid w:val="00C56662"/>
    <w:rsid w:val="00C56D2C"/>
    <w:rsid w:val="00C571E5"/>
    <w:rsid w:val="00C573CE"/>
    <w:rsid w:val="00C57519"/>
    <w:rsid w:val="00C5761C"/>
    <w:rsid w:val="00C57A7E"/>
    <w:rsid w:val="00C57C01"/>
    <w:rsid w:val="00C57C72"/>
    <w:rsid w:val="00C57D04"/>
    <w:rsid w:val="00C606EC"/>
    <w:rsid w:val="00C6098A"/>
    <w:rsid w:val="00C609C4"/>
    <w:rsid w:val="00C60EA0"/>
    <w:rsid w:val="00C61000"/>
    <w:rsid w:val="00C6208A"/>
    <w:rsid w:val="00C622C8"/>
    <w:rsid w:val="00C623E3"/>
    <w:rsid w:val="00C62BE5"/>
    <w:rsid w:val="00C62E3F"/>
    <w:rsid w:val="00C6357B"/>
    <w:rsid w:val="00C63585"/>
    <w:rsid w:val="00C63609"/>
    <w:rsid w:val="00C63687"/>
    <w:rsid w:val="00C63F06"/>
    <w:rsid w:val="00C63FBB"/>
    <w:rsid w:val="00C64090"/>
    <w:rsid w:val="00C643EA"/>
    <w:rsid w:val="00C645DC"/>
    <w:rsid w:val="00C647B0"/>
    <w:rsid w:val="00C64C54"/>
    <w:rsid w:val="00C65123"/>
    <w:rsid w:val="00C657DB"/>
    <w:rsid w:val="00C65D61"/>
    <w:rsid w:val="00C6620E"/>
    <w:rsid w:val="00C6674B"/>
    <w:rsid w:val="00C66E5A"/>
    <w:rsid w:val="00C67AAD"/>
    <w:rsid w:val="00C67C2F"/>
    <w:rsid w:val="00C67DFC"/>
    <w:rsid w:val="00C70906"/>
    <w:rsid w:val="00C70ABB"/>
    <w:rsid w:val="00C70E45"/>
    <w:rsid w:val="00C71180"/>
    <w:rsid w:val="00C7169B"/>
    <w:rsid w:val="00C71979"/>
    <w:rsid w:val="00C71D7B"/>
    <w:rsid w:val="00C71E93"/>
    <w:rsid w:val="00C72A40"/>
    <w:rsid w:val="00C72AA9"/>
    <w:rsid w:val="00C7327B"/>
    <w:rsid w:val="00C73599"/>
    <w:rsid w:val="00C7386E"/>
    <w:rsid w:val="00C73B14"/>
    <w:rsid w:val="00C74202"/>
    <w:rsid w:val="00C74F9D"/>
    <w:rsid w:val="00C75744"/>
    <w:rsid w:val="00C75860"/>
    <w:rsid w:val="00C7592F"/>
    <w:rsid w:val="00C75FDA"/>
    <w:rsid w:val="00C76283"/>
    <w:rsid w:val="00C76300"/>
    <w:rsid w:val="00C76338"/>
    <w:rsid w:val="00C76714"/>
    <w:rsid w:val="00C76AB9"/>
    <w:rsid w:val="00C76FD0"/>
    <w:rsid w:val="00C8076C"/>
    <w:rsid w:val="00C807A1"/>
    <w:rsid w:val="00C808F6"/>
    <w:rsid w:val="00C80957"/>
    <w:rsid w:val="00C80D1A"/>
    <w:rsid w:val="00C814C8"/>
    <w:rsid w:val="00C81551"/>
    <w:rsid w:val="00C81862"/>
    <w:rsid w:val="00C8194F"/>
    <w:rsid w:val="00C819FD"/>
    <w:rsid w:val="00C81A68"/>
    <w:rsid w:val="00C81E7D"/>
    <w:rsid w:val="00C81ED3"/>
    <w:rsid w:val="00C827F9"/>
    <w:rsid w:val="00C82D46"/>
    <w:rsid w:val="00C832CE"/>
    <w:rsid w:val="00C83483"/>
    <w:rsid w:val="00C83508"/>
    <w:rsid w:val="00C8362D"/>
    <w:rsid w:val="00C839E9"/>
    <w:rsid w:val="00C83AF0"/>
    <w:rsid w:val="00C83B6E"/>
    <w:rsid w:val="00C83BD8"/>
    <w:rsid w:val="00C83E83"/>
    <w:rsid w:val="00C83FE8"/>
    <w:rsid w:val="00C84106"/>
    <w:rsid w:val="00C84639"/>
    <w:rsid w:val="00C84826"/>
    <w:rsid w:val="00C84945"/>
    <w:rsid w:val="00C850F0"/>
    <w:rsid w:val="00C8517A"/>
    <w:rsid w:val="00C85612"/>
    <w:rsid w:val="00C85ED9"/>
    <w:rsid w:val="00C862F4"/>
    <w:rsid w:val="00C86A3C"/>
    <w:rsid w:val="00C8720F"/>
    <w:rsid w:val="00C87214"/>
    <w:rsid w:val="00C87256"/>
    <w:rsid w:val="00C878AC"/>
    <w:rsid w:val="00C90182"/>
    <w:rsid w:val="00C9018C"/>
    <w:rsid w:val="00C902A4"/>
    <w:rsid w:val="00C9070B"/>
    <w:rsid w:val="00C90951"/>
    <w:rsid w:val="00C91825"/>
    <w:rsid w:val="00C91A7C"/>
    <w:rsid w:val="00C91BE4"/>
    <w:rsid w:val="00C9251D"/>
    <w:rsid w:val="00C92934"/>
    <w:rsid w:val="00C93504"/>
    <w:rsid w:val="00C93568"/>
    <w:rsid w:val="00C935FE"/>
    <w:rsid w:val="00C93D45"/>
    <w:rsid w:val="00C93F97"/>
    <w:rsid w:val="00C945F0"/>
    <w:rsid w:val="00C947BE"/>
    <w:rsid w:val="00C9553D"/>
    <w:rsid w:val="00C9564F"/>
    <w:rsid w:val="00C95788"/>
    <w:rsid w:val="00C9667E"/>
    <w:rsid w:val="00C9671E"/>
    <w:rsid w:val="00C96E1C"/>
    <w:rsid w:val="00C96FDE"/>
    <w:rsid w:val="00C97526"/>
    <w:rsid w:val="00C97A77"/>
    <w:rsid w:val="00C97F7D"/>
    <w:rsid w:val="00CA08F8"/>
    <w:rsid w:val="00CA0A52"/>
    <w:rsid w:val="00CA10C4"/>
    <w:rsid w:val="00CA1FF4"/>
    <w:rsid w:val="00CA30AF"/>
    <w:rsid w:val="00CA3B59"/>
    <w:rsid w:val="00CA3ED2"/>
    <w:rsid w:val="00CA3FA1"/>
    <w:rsid w:val="00CA4106"/>
    <w:rsid w:val="00CA4314"/>
    <w:rsid w:val="00CA44D0"/>
    <w:rsid w:val="00CA45F2"/>
    <w:rsid w:val="00CA4786"/>
    <w:rsid w:val="00CA4C2A"/>
    <w:rsid w:val="00CA5007"/>
    <w:rsid w:val="00CA5ADE"/>
    <w:rsid w:val="00CA5D72"/>
    <w:rsid w:val="00CA5DBC"/>
    <w:rsid w:val="00CA63C1"/>
    <w:rsid w:val="00CA6988"/>
    <w:rsid w:val="00CA6D78"/>
    <w:rsid w:val="00CA6FDA"/>
    <w:rsid w:val="00CA76AA"/>
    <w:rsid w:val="00CB0814"/>
    <w:rsid w:val="00CB083B"/>
    <w:rsid w:val="00CB2760"/>
    <w:rsid w:val="00CB27D3"/>
    <w:rsid w:val="00CB2905"/>
    <w:rsid w:val="00CB2A44"/>
    <w:rsid w:val="00CB2AC8"/>
    <w:rsid w:val="00CB3783"/>
    <w:rsid w:val="00CB3914"/>
    <w:rsid w:val="00CB3964"/>
    <w:rsid w:val="00CB3EF2"/>
    <w:rsid w:val="00CB419E"/>
    <w:rsid w:val="00CB43AA"/>
    <w:rsid w:val="00CB4514"/>
    <w:rsid w:val="00CB4AAE"/>
    <w:rsid w:val="00CB587B"/>
    <w:rsid w:val="00CB5ED0"/>
    <w:rsid w:val="00CB6298"/>
    <w:rsid w:val="00CB686A"/>
    <w:rsid w:val="00CB6990"/>
    <w:rsid w:val="00CB6AE4"/>
    <w:rsid w:val="00CB6C81"/>
    <w:rsid w:val="00CB73A4"/>
    <w:rsid w:val="00CB73E3"/>
    <w:rsid w:val="00CB753E"/>
    <w:rsid w:val="00CB77DA"/>
    <w:rsid w:val="00CB79E6"/>
    <w:rsid w:val="00CB7A03"/>
    <w:rsid w:val="00CB7DE6"/>
    <w:rsid w:val="00CC03E0"/>
    <w:rsid w:val="00CC0747"/>
    <w:rsid w:val="00CC099C"/>
    <w:rsid w:val="00CC0B92"/>
    <w:rsid w:val="00CC11D4"/>
    <w:rsid w:val="00CC1370"/>
    <w:rsid w:val="00CC13D7"/>
    <w:rsid w:val="00CC199B"/>
    <w:rsid w:val="00CC1AD3"/>
    <w:rsid w:val="00CC2818"/>
    <w:rsid w:val="00CC3255"/>
    <w:rsid w:val="00CC33FC"/>
    <w:rsid w:val="00CC37D0"/>
    <w:rsid w:val="00CC3A05"/>
    <w:rsid w:val="00CC3D43"/>
    <w:rsid w:val="00CC3F65"/>
    <w:rsid w:val="00CC4345"/>
    <w:rsid w:val="00CC4C52"/>
    <w:rsid w:val="00CC4DBF"/>
    <w:rsid w:val="00CC50EC"/>
    <w:rsid w:val="00CC5116"/>
    <w:rsid w:val="00CC5319"/>
    <w:rsid w:val="00CC5F39"/>
    <w:rsid w:val="00CC610D"/>
    <w:rsid w:val="00CC6180"/>
    <w:rsid w:val="00CC69B8"/>
    <w:rsid w:val="00CC6A03"/>
    <w:rsid w:val="00CC6AA8"/>
    <w:rsid w:val="00CC6E76"/>
    <w:rsid w:val="00CC6FBD"/>
    <w:rsid w:val="00CC720F"/>
    <w:rsid w:val="00CC770A"/>
    <w:rsid w:val="00CC7AC4"/>
    <w:rsid w:val="00CC7D8A"/>
    <w:rsid w:val="00CC7EAF"/>
    <w:rsid w:val="00CD03EE"/>
    <w:rsid w:val="00CD074A"/>
    <w:rsid w:val="00CD082D"/>
    <w:rsid w:val="00CD0C8C"/>
    <w:rsid w:val="00CD1323"/>
    <w:rsid w:val="00CD151A"/>
    <w:rsid w:val="00CD15A4"/>
    <w:rsid w:val="00CD1627"/>
    <w:rsid w:val="00CD1985"/>
    <w:rsid w:val="00CD1D24"/>
    <w:rsid w:val="00CD218A"/>
    <w:rsid w:val="00CD26CE"/>
    <w:rsid w:val="00CD2A09"/>
    <w:rsid w:val="00CD2AEF"/>
    <w:rsid w:val="00CD2E38"/>
    <w:rsid w:val="00CD366C"/>
    <w:rsid w:val="00CD3F73"/>
    <w:rsid w:val="00CD44C8"/>
    <w:rsid w:val="00CD49BC"/>
    <w:rsid w:val="00CD4D75"/>
    <w:rsid w:val="00CD4D7D"/>
    <w:rsid w:val="00CD5268"/>
    <w:rsid w:val="00CD5289"/>
    <w:rsid w:val="00CD52B8"/>
    <w:rsid w:val="00CD5B41"/>
    <w:rsid w:val="00CD5D25"/>
    <w:rsid w:val="00CD5F80"/>
    <w:rsid w:val="00CD6625"/>
    <w:rsid w:val="00CD6B0D"/>
    <w:rsid w:val="00CD76A4"/>
    <w:rsid w:val="00CD7CCC"/>
    <w:rsid w:val="00CE0182"/>
    <w:rsid w:val="00CE05A6"/>
    <w:rsid w:val="00CE0792"/>
    <w:rsid w:val="00CE0F9B"/>
    <w:rsid w:val="00CE2233"/>
    <w:rsid w:val="00CE2262"/>
    <w:rsid w:val="00CE25FC"/>
    <w:rsid w:val="00CE27E0"/>
    <w:rsid w:val="00CE298A"/>
    <w:rsid w:val="00CE2F90"/>
    <w:rsid w:val="00CE3188"/>
    <w:rsid w:val="00CE36CE"/>
    <w:rsid w:val="00CE372B"/>
    <w:rsid w:val="00CE3807"/>
    <w:rsid w:val="00CE395F"/>
    <w:rsid w:val="00CE396A"/>
    <w:rsid w:val="00CE3EB5"/>
    <w:rsid w:val="00CE4341"/>
    <w:rsid w:val="00CE4350"/>
    <w:rsid w:val="00CE4668"/>
    <w:rsid w:val="00CE46B5"/>
    <w:rsid w:val="00CE5190"/>
    <w:rsid w:val="00CE5252"/>
    <w:rsid w:val="00CE55E1"/>
    <w:rsid w:val="00CE5C9D"/>
    <w:rsid w:val="00CE5CD7"/>
    <w:rsid w:val="00CE63F0"/>
    <w:rsid w:val="00CE664C"/>
    <w:rsid w:val="00CE71DD"/>
    <w:rsid w:val="00CE7211"/>
    <w:rsid w:val="00CE736A"/>
    <w:rsid w:val="00CE75EB"/>
    <w:rsid w:val="00CE7637"/>
    <w:rsid w:val="00CE766C"/>
    <w:rsid w:val="00CE768D"/>
    <w:rsid w:val="00CE7965"/>
    <w:rsid w:val="00CE7A24"/>
    <w:rsid w:val="00CE7A9E"/>
    <w:rsid w:val="00CF018A"/>
    <w:rsid w:val="00CF069A"/>
    <w:rsid w:val="00CF0823"/>
    <w:rsid w:val="00CF0D4C"/>
    <w:rsid w:val="00CF15F9"/>
    <w:rsid w:val="00CF1935"/>
    <w:rsid w:val="00CF1DAE"/>
    <w:rsid w:val="00CF22B3"/>
    <w:rsid w:val="00CF246B"/>
    <w:rsid w:val="00CF2A9F"/>
    <w:rsid w:val="00CF2F7A"/>
    <w:rsid w:val="00CF3499"/>
    <w:rsid w:val="00CF386B"/>
    <w:rsid w:val="00CF3F12"/>
    <w:rsid w:val="00CF41CB"/>
    <w:rsid w:val="00CF427C"/>
    <w:rsid w:val="00CF437F"/>
    <w:rsid w:val="00CF449A"/>
    <w:rsid w:val="00CF4AF8"/>
    <w:rsid w:val="00CF4D0E"/>
    <w:rsid w:val="00CF5EE2"/>
    <w:rsid w:val="00CF62EB"/>
    <w:rsid w:val="00CF691B"/>
    <w:rsid w:val="00CF6BF6"/>
    <w:rsid w:val="00CF6C34"/>
    <w:rsid w:val="00CF735E"/>
    <w:rsid w:val="00CF73CD"/>
    <w:rsid w:val="00CF74BC"/>
    <w:rsid w:val="00CF7736"/>
    <w:rsid w:val="00CF7F7D"/>
    <w:rsid w:val="00D00C42"/>
    <w:rsid w:val="00D00CC2"/>
    <w:rsid w:val="00D00E28"/>
    <w:rsid w:val="00D00FFF"/>
    <w:rsid w:val="00D01717"/>
    <w:rsid w:val="00D018E7"/>
    <w:rsid w:val="00D0286A"/>
    <w:rsid w:val="00D02AF0"/>
    <w:rsid w:val="00D02B2A"/>
    <w:rsid w:val="00D033A9"/>
    <w:rsid w:val="00D03402"/>
    <w:rsid w:val="00D04033"/>
    <w:rsid w:val="00D043D8"/>
    <w:rsid w:val="00D04DDC"/>
    <w:rsid w:val="00D05332"/>
    <w:rsid w:val="00D05762"/>
    <w:rsid w:val="00D05949"/>
    <w:rsid w:val="00D05999"/>
    <w:rsid w:val="00D05D27"/>
    <w:rsid w:val="00D06149"/>
    <w:rsid w:val="00D062FC"/>
    <w:rsid w:val="00D064B9"/>
    <w:rsid w:val="00D0678B"/>
    <w:rsid w:val="00D06E4F"/>
    <w:rsid w:val="00D070D3"/>
    <w:rsid w:val="00D07187"/>
    <w:rsid w:val="00D0745A"/>
    <w:rsid w:val="00D10066"/>
    <w:rsid w:val="00D107B5"/>
    <w:rsid w:val="00D108D2"/>
    <w:rsid w:val="00D10ABE"/>
    <w:rsid w:val="00D10C1D"/>
    <w:rsid w:val="00D11C2D"/>
    <w:rsid w:val="00D11CEB"/>
    <w:rsid w:val="00D12A67"/>
    <w:rsid w:val="00D12BB8"/>
    <w:rsid w:val="00D148BE"/>
    <w:rsid w:val="00D14DD3"/>
    <w:rsid w:val="00D15392"/>
    <w:rsid w:val="00D154EC"/>
    <w:rsid w:val="00D160F5"/>
    <w:rsid w:val="00D16A3C"/>
    <w:rsid w:val="00D176A8"/>
    <w:rsid w:val="00D177F7"/>
    <w:rsid w:val="00D17B11"/>
    <w:rsid w:val="00D17EF3"/>
    <w:rsid w:val="00D20451"/>
    <w:rsid w:val="00D20554"/>
    <w:rsid w:val="00D207DE"/>
    <w:rsid w:val="00D21108"/>
    <w:rsid w:val="00D214C7"/>
    <w:rsid w:val="00D21A1C"/>
    <w:rsid w:val="00D22261"/>
    <w:rsid w:val="00D22308"/>
    <w:rsid w:val="00D2307B"/>
    <w:rsid w:val="00D23418"/>
    <w:rsid w:val="00D236A4"/>
    <w:rsid w:val="00D23B8F"/>
    <w:rsid w:val="00D247CD"/>
    <w:rsid w:val="00D24D26"/>
    <w:rsid w:val="00D250F8"/>
    <w:rsid w:val="00D258D4"/>
    <w:rsid w:val="00D2609C"/>
    <w:rsid w:val="00D2652C"/>
    <w:rsid w:val="00D26582"/>
    <w:rsid w:val="00D26C56"/>
    <w:rsid w:val="00D26FE6"/>
    <w:rsid w:val="00D27392"/>
    <w:rsid w:val="00D278CC"/>
    <w:rsid w:val="00D27989"/>
    <w:rsid w:val="00D27AB6"/>
    <w:rsid w:val="00D27CDB"/>
    <w:rsid w:val="00D27F4D"/>
    <w:rsid w:val="00D30390"/>
    <w:rsid w:val="00D30E7D"/>
    <w:rsid w:val="00D3162A"/>
    <w:rsid w:val="00D31A19"/>
    <w:rsid w:val="00D32030"/>
    <w:rsid w:val="00D32238"/>
    <w:rsid w:val="00D324FF"/>
    <w:rsid w:val="00D3257A"/>
    <w:rsid w:val="00D32616"/>
    <w:rsid w:val="00D326F2"/>
    <w:rsid w:val="00D32A98"/>
    <w:rsid w:val="00D32EAC"/>
    <w:rsid w:val="00D33935"/>
    <w:rsid w:val="00D33946"/>
    <w:rsid w:val="00D341B4"/>
    <w:rsid w:val="00D349B5"/>
    <w:rsid w:val="00D354AE"/>
    <w:rsid w:val="00D3579A"/>
    <w:rsid w:val="00D359E7"/>
    <w:rsid w:val="00D35BC6"/>
    <w:rsid w:val="00D36068"/>
    <w:rsid w:val="00D361E1"/>
    <w:rsid w:val="00D365CE"/>
    <w:rsid w:val="00D36766"/>
    <w:rsid w:val="00D36DB7"/>
    <w:rsid w:val="00D370A0"/>
    <w:rsid w:val="00D37247"/>
    <w:rsid w:val="00D3757E"/>
    <w:rsid w:val="00D375A3"/>
    <w:rsid w:val="00D37866"/>
    <w:rsid w:val="00D37BF3"/>
    <w:rsid w:val="00D37EA0"/>
    <w:rsid w:val="00D37F59"/>
    <w:rsid w:val="00D37FA7"/>
    <w:rsid w:val="00D402A8"/>
    <w:rsid w:val="00D41906"/>
    <w:rsid w:val="00D41CE1"/>
    <w:rsid w:val="00D41E40"/>
    <w:rsid w:val="00D4296C"/>
    <w:rsid w:val="00D42C55"/>
    <w:rsid w:val="00D42F57"/>
    <w:rsid w:val="00D43379"/>
    <w:rsid w:val="00D43432"/>
    <w:rsid w:val="00D435BC"/>
    <w:rsid w:val="00D43B6B"/>
    <w:rsid w:val="00D43F0B"/>
    <w:rsid w:val="00D43F9A"/>
    <w:rsid w:val="00D44207"/>
    <w:rsid w:val="00D445F7"/>
    <w:rsid w:val="00D44C68"/>
    <w:rsid w:val="00D44D9A"/>
    <w:rsid w:val="00D44F52"/>
    <w:rsid w:val="00D4568E"/>
    <w:rsid w:val="00D45E3D"/>
    <w:rsid w:val="00D46117"/>
    <w:rsid w:val="00D4653F"/>
    <w:rsid w:val="00D465A1"/>
    <w:rsid w:val="00D465FE"/>
    <w:rsid w:val="00D467A8"/>
    <w:rsid w:val="00D46885"/>
    <w:rsid w:val="00D46EC3"/>
    <w:rsid w:val="00D4714E"/>
    <w:rsid w:val="00D47248"/>
    <w:rsid w:val="00D4732F"/>
    <w:rsid w:val="00D474AF"/>
    <w:rsid w:val="00D5034C"/>
    <w:rsid w:val="00D506A4"/>
    <w:rsid w:val="00D51588"/>
    <w:rsid w:val="00D515C8"/>
    <w:rsid w:val="00D519BD"/>
    <w:rsid w:val="00D51E9C"/>
    <w:rsid w:val="00D51F9F"/>
    <w:rsid w:val="00D5264F"/>
    <w:rsid w:val="00D52BAE"/>
    <w:rsid w:val="00D52C0C"/>
    <w:rsid w:val="00D5362B"/>
    <w:rsid w:val="00D5363A"/>
    <w:rsid w:val="00D5367D"/>
    <w:rsid w:val="00D53F0E"/>
    <w:rsid w:val="00D546DF"/>
    <w:rsid w:val="00D54782"/>
    <w:rsid w:val="00D54847"/>
    <w:rsid w:val="00D54934"/>
    <w:rsid w:val="00D54BC6"/>
    <w:rsid w:val="00D54E66"/>
    <w:rsid w:val="00D55148"/>
    <w:rsid w:val="00D552F4"/>
    <w:rsid w:val="00D556F0"/>
    <w:rsid w:val="00D5599D"/>
    <w:rsid w:val="00D55F4A"/>
    <w:rsid w:val="00D56351"/>
    <w:rsid w:val="00D564E8"/>
    <w:rsid w:val="00D5653B"/>
    <w:rsid w:val="00D568E8"/>
    <w:rsid w:val="00D56B80"/>
    <w:rsid w:val="00D56C04"/>
    <w:rsid w:val="00D571DB"/>
    <w:rsid w:val="00D57625"/>
    <w:rsid w:val="00D57FD8"/>
    <w:rsid w:val="00D60008"/>
    <w:rsid w:val="00D60514"/>
    <w:rsid w:val="00D60E61"/>
    <w:rsid w:val="00D60E6E"/>
    <w:rsid w:val="00D6163A"/>
    <w:rsid w:val="00D61915"/>
    <w:rsid w:val="00D6203D"/>
    <w:rsid w:val="00D6211B"/>
    <w:rsid w:val="00D62138"/>
    <w:rsid w:val="00D621FB"/>
    <w:rsid w:val="00D624D3"/>
    <w:rsid w:val="00D6298C"/>
    <w:rsid w:val="00D63560"/>
    <w:rsid w:val="00D6359A"/>
    <w:rsid w:val="00D63629"/>
    <w:rsid w:val="00D63FBC"/>
    <w:rsid w:val="00D64060"/>
    <w:rsid w:val="00D6457F"/>
    <w:rsid w:val="00D64694"/>
    <w:rsid w:val="00D64E62"/>
    <w:rsid w:val="00D64F09"/>
    <w:rsid w:val="00D65C27"/>
    <w:rsid w:val="00D65C38"/>
    <w:rsid w:val="00D65E9D"/>
    <w:rsid w:val="00D65FF1"/>
    <w:rsid w:val="00D66018"/>
    <w:rsid w:val="00D6608C"/>
    <w:rsid w:val="00D66A1F"/>
    <w:rsid w:val="00D66AF1"/>
    <w:rsid w:val="00D66BB8"/>
    <w:rsid w:val="00D66C9C"/>
    <w:rsid w:val="00D67078"/>
    <w:rsid w:val="00D676E1"/>
    <w:rsid w:val="00D67819"/>
    <w:rsid w:val="00D679A0"/>
    <w:rsid w:val="00D7012C"/>
    <w:rsid w:val="00D7093D"/>
    <w:rsid w:val="00D70C3F"/>
    <w:rsid w:val="00D70C66"/>
    <w:rsid w:val="00D70D52"/>
    <w:rsid w:val="00D70EFF"/>
    <w:rsid w:val="00D710E0"/>
    <w:rsid w:val="00D7112E"/>
    <w:rsid w:val="00D71211"/>
    <w:rsid w:val="00D71557"/>
    <w:rsid w:val="00D71FE3"/>
    <w:rsid w:val="00D7203F"/>
    <w:rsid w:val="00D7308A"/>
    <w:rsid w:val="00D737FD"/>
    <w:rsid w:val="00D738EE"/>
    <w:rsid w:val="00D740D9"/>
    <w:rsid w:val="00D74982"/>
    <w:rsid w:val="00D74BD3"/>
    <w:rsid w:val="00D74C7D"/>
    <w:rsid w:val="00D7551C"/>
    <w:rsid w:val="00D757DC"/>
    <w:rsid w:val="00D758FF"/>
    <w:rsid w:val="00D75BC7"/>
    <w:rsid w:val="00D75CDC"/>
    <w:rsid w:val="00D761E9"/>
    <w:rsid w:val="00D77279"/>
    <w:rsid w:val="00D772BF"/>
    <w:rsid w:val="00D77933"/>
    <w:rsid w:val="00D80E57"/>
    <w:rsid w:val="00D810B2"/>
    <w:rsid w:val="00D81494"/>
    <w:rsid w:val="00D81914"/>
    <w:rsid w:val="00D81982"/>
    <w:rsid w:val="00D82235"/>
    <w:rsid w:val="00D830E3"/>
    <w:rsid w:val="00D834FC"/>
    <w:rsid w:val="00D83DFB"/>
    <w:rsid w:val="00D83F7D"/>
    <w:rsid w:val="00D840B4"/>
    <w:rsid w:val="00D846B6"/>
    <w:rsid w:val="00D85196"/>
    <w:rsid w:val="00D8526C"/>
    <w:rsid w:val="00D85913"/>
    <w:rsid w:val="00D86EAE"/>
    <w:rsid w:val="00D87292"/>
    <w:rsid w:val="00D87C10"/>
    <w:rsid w:val="00D90495"/>
    <w:rsid w:val="00D90557"/>
    <w:rsid w:val="00D90634"/>
    <w:rsid w:val="00D90B52"/>
    <w:rsid w:val="00D90FB0"/>
    <w:rsid w:val="00D90FB8"/>
    <w:rsid w:val="00D91303"/>
    <w:rsid w:val="00D915D9"/>
    <w:rsid w:val="00D91821"/>
    <w:rsid w:val="00D920EB"/>
    <w:rsid w:val="00D92A55"/>
    <w:rsid w:val="00D92B4D"/>
    <w:rsid w:val="00D92E35"/>
    <w:rsid w:val="00D92E70"/>
    <w:rsid w:val="00D9309A"/>
    <w:rsid w:val="00D93423"/>
    <w:rsid w:val="00D93B4A"/>
    <w:rsid w:val="00D93E83"/>
    <w:rsid w:val="00D940C1"/>
    <w:rsid w:val="00D94567"/>
    <w:rsid w:val="00D94ECD"/>
    <w:rsid w:val="00D94ED7"/>
    <w:rsid w:val="00D95407"/>
    <w:rsid w:val="00D95CA5"/>
    <w:rsid w:val="00D95E2E"/>
    <w:rsid w:val="00D95EE8"/>
    <w:rsid w:val="00D96A71"/>
    <w:rsid w:val="00D97644"/>
    <w:rsid w:val="00D97A98"/>
    <w:rsid w:val="00D97E0E"/>
    <w:rsid w:val="00DA01E4"/>
    <w:rsid w:val="00DA0202"/>
    <w:rsid w:val="00DA0600"/>
    <w:rsid w:val="00DA0722"/>
    <w:rsid w:val="00DA07AE"/>
    <w:rsid w:val="00DA10FE"/>
    <w:rsid w:val="00DA1530"/>
    <w:rsid w:val="00DA17C6"/>
    <w:rsid w:val="00DA17CA"/>
    <w:rsid w:val="00DA18A3"/>
    <w:rsid w:val="00DA19FF"/>
    <w:rsid w:val="00DA1BD4"/>
    <w:rsid w:val="00DA21D1"/>
    <w:rsid w:val="00DA2615"/>
    <w:rsid w:val="00DA27D7"/>
    <w:rsid w:val="00DA2D25"/>
    <w:rsid w:val="00DA38A3"/>
    <w:rsid w:val="00DA45BD"/>
    <w:rsid w:val="00DA4848"/>
    <w:rsid w:val="00DA4D67"/>
    <w:rsid w:val="00DA50A3"/>
    <w:rsid w:val="00DA50B5"/>
    <w:rsid w:val="00DA5402"/>
    <w:rsid w:val="00DA55ED"/>
    <w:rsid w:val="00DA5743"/>
    <w:rsid w:val="00DA5DFE"/>
    <w:rsid w:val="00DA64F8"/>
    <w:rsid w:val="00DA6503"/>
    <w:rsid w:val="00DA6A0A"/>
    <w:rsid w:val="00DA6DAC"/>
    <w:rsid w:val="00DA716D"/>
    <w:rsid w:val="00DA71AA"/>
    <w:rsid w:val="00DA7450"/>
    <w:rsid w:val="00DA77BE"/>
    <w:rsid w:val="00DA7A56"/>
    <w:rsid w:val="00DA7FD4"/>
    <w:rsid w:val="00DB0048"/>
    <w:rsid w:val="00DB0A8E"/>
    <w:rsid w:val="00DB0AF8"/>
    <w:rsid w:val="00DB0D86"/>
    <w:rsid w:val="00DB0FD9"/>
    <w:rsid w:val="00DB1469"/>
    <w:rsid w:val="00DB1609"/>
    <w:rsid w:val="00DB1759"/>
    <w:rsid w:val="00DB1C26"/>
    <w:rsid w:val="00DB1EB1"/>
    <w:rsid w:val="00DB1EE0"/>
    <w:rsid w:val="00DB327E"/>
    <w:rsid w:val="00DB390F"/>
    <w:rsid w:val="00DB3D8C"/>
    <w:rsid w:val="00DB3EB6"/>
    <w:rsid w:val="00DB43F2"/>
    <w:rsid w:val="00DB4AED"/>
    <w:rsid w:val="00DB4B19"/>
    <w:rsid w:val="00DB5A9E"/>
    <w:rsid w:val="00DB5D00"/>
    <w:rsid w:val="00DB6733"/>
    <w:rsid w:val="00DB6D7C"/>
    <w:rsid w:val="00DB7F38"/>
    <w:rsid w:val="00DC0028"/>
    <w:rsid w:val="00DC00DC"/>
    <w:rsid w:val="00DC0A6C"/>
    <w:rsid w:val="00DC1806"/>
    <w:rsid w:val="00DC1827"/>
    <w:rsid w:val="00DC18A4"/>
    <w:rsid w:val="00DC29A5"/>
    <w:rsid w:val="00DC2A76"/>
    <w:rsid w:val="00DC388D"/>
    <w:rsid w:val="00DC3F6F"/>
    <w:rsid w:val="00DC44CC"/>
    <w:rsid w:val="00DC4AB4"/>
    <w:rsid w:val="00DC4D0B"/>
    <w:rsid w:val="00DC4FE6"/>
    <w:rsid w:val="00DC5026"/>
    <w:rsid w:val="00DC51CC"/>
    <w:rsid w:val="00DC525F"/>
    <w:rsid w:val="00DC56EF"/>
    <w:rsid w:val="00DC5830"/>
    <w:rsid w:val="00DC5E27"/>
    <w:rsid w:val="00DC6233"/>
    <w:rsid w:val="00DC6448"/>
    <w:rsid w:val="00DC6B96"/>
    <w:rsid w:val="00DC77F1"/>
    <w:rsid w:val="00DC79BB"/>
    <w:rsid w:val="00DC7CF1"/>
    <w:rsid w:val="00DC7EC5"/>
    <w:rsid w:val="00DD006D"/>
    <w:rsid w:val="00DD0144"/>
    <w:rsid w:val="00DD07C6"/>
    <w:rsid w:val="00DD1323"/>
    <w:rsid w:val="00DD133F"/>
    <w:rsid w:val="00DD215C"/>
    <w:rsid w:val="00DD246E"/>
    <w:rsid w:val="00DD2588"/>
    <w:rsid w:val="00DD2B85"/>
    <w:rsid w:val="00DD2FAE"/>
    <w:rsid w:val="00DD3BB0"/>
    <w:rsid w:val="00DD3C4E"/>
    <w:rsid w:val="00DD4912"/>
    <w:rsid w:val="00DD50E6"/>
    <w:rsid w:val="00DD53BD"/>
    <w:rsid w:val="00DD59D9"/>
    <w:rsid w:val="00DD5A12"/>
    <w:rsid w:val="00DD5B0A"/>
    <w:rsid w:val="00DD5B22"/>
    <w:rsid w:val="00DD5D6C"/>
    <w:rsid w:val="00DD5F25"/>
    <w:rsid w:val="00DD6183"/>
    <w:rsid w:val="00DD67F3"/>
    <w:rsid w:val="00DD6B17"/>
    <w:rsid w:val="00DD6BA3"/>
    <w:rsid w:val="00DD7133"/>
    <w:rsid w:val="00DD73B6"/>
    <w:rsid w:val="00DD7400"/>
    <w:rsid w:val="00DD7683"/>
    <w:rsid w:val="00DD7841"/>
    <w:rsid w:val="00DD7E72"/>
    <w:rsid w:val="00DE04EB"/>
    <w:rsid w:val="00DE105C"/>
    <w:rsid w:val="00DE1770"/>
    <w:rsid w:val="00DE1819"/>
    <w:rsid w:val="00DE18B4"/>
    <w:rsid w:val="00DE1E6C"/>
    <w:rsid w:val="00DE20DC"/>
    <w:rsid w:val="00DE23EC"/>
    <w:rsid w:val="00DE23F2"/>
    <w:rsid w:val="00DE25A2"/>
    <w:rsid w:val="00DE2BEB"/>
    <w:rsid w:val="00DE30AF"/>
    <w:rsid w:val="00DE3919"/>
    <w:rsid w:val="00DE3D18"/>
    <w:rsid w:val="00DE45EE"/>
    <w:rsid w:val="00DE4DA4"/>
    <w:rsid w:val="00DE5316"/>
    <w:rsid w:val="00DE5411"/>
    <w:rsid w:val="00DE5B6D"/>
    <w:rsid w:val="00DE5B86"/>
    <w:rsid w:val="00DE61C1"/>
    <w:rsid w:val="00DE693F"/>
    <w:rsid w:val="00DE6A19"/>
    <w:rsid w:val="00DE6A3C"/>
    <w:rsid w:val="00DE6DAB"/>
    <w:rsid w:val="00DE72ED"/>
    <w:rsid w:val="00DE75DF"/>
    <w:rsid w:val="00DE7AB9"/>
    <w:rsid w:val="00DE7D85"/>
    <w:rsid w:val="00DE7E85"/>
    <w:rsid w:val="00DF0C53"/>
    <w:rsid w:val="00DF12B8"/>
    <w:rsid w:val="00DF16E9"/>
    <w:rsid w:val="00DF196D"/>
    <w:rsid w:val="00DF1CBA"/>
    <w:rsid w:val="00DF21F0"/>
    <w:rsid w:val="00DF2258"/>
    <w:rsid w:val="00DF2570"/>
    <w:rsid w:val="00DF27B4"/>
    <w:rsid w:val="00DF2854"/>
    <w:rsid w:val="00DF2BEB"/>
    <w:rsid w:val="00DF2EEF"/>
    <w:rsid w:val="00DF2F7C"/>
    <w:rsid w:val="00DF349D"/>
    <w:rsid w:val="00DF39F8"/>
    <w:rsid w:val="00DF3C26"/>
    <w:rsid w:val="00DF3CFD"/>
    <w:rsid w:val="00DF3DC3"/>
    <w:rsid w:val="00DF3F32"/>
    <w:rsid w:val="00DF4082"/>
    <w:rsid w:val="00DF4100"/>
    <w:rsid w:val="00DF4310"/>
    <w:rsid w:val="00DF4985"/>
    <w:rsid w:val="00DF4A03"/>
    <w:rsid w:val="00DF5146"/>
    <w:rsid w:val="00DF5149"/>
    <w:rsid w:val="00DF56E3"/>
    <w:rsid w:val="00DF5DBA"/>
    <w:rsid w:val="00DF5E49"/>
    <w:rsid w:val="00DF5FF6"/>
    <w:rsid w:val="00DF605D"/>
    <w:rsid w:val="00DF60DA"/>
    <w:rsid w:val="00DF6E0C"/>
    <w:rsid w:val="00DF6F1D"/>
    <w:rsid w:val="00DF746A"/>
    <w:rsid w:val="00DF761C"/>
    <w:rsid w:val="00DF7766"/>
    <w:rsid w:val="00DF7B85"/>
    <w:rsid w:val="00E0013C"/>
    <w:rsid w:val="00E00AF7"/>
    <w:rsid w:val="00E00C77"/>
    <w:rsid w:val="00E00F73"/>
    <w:rsid w:val="00E01522"/>
    <w:rsid w:val="00E01618"/>
    <w:rsid w:val="00E01E12"/>
    <w:rsid w:val="00E01F5B"/>
    <w:rsid w:val="00E02856"/>
    <w:rsid w:val="00E03683"/>
    <w:rsid w:val="00E0368B"/>
    <w:rsid w:val="00E03F05"/>
    <w:rsid w:val="00E03F54"/>
    <w:rsid w:val="00E04855"/>
    <w:rsid w:val="00E052D9"/>
    <w:rsid w:val="00E0537C"/>
    <w:rsid w:val="00E05E34"/>
    <w:rsid w:val="00E05E93"/>
    <w:rsid w:val="00E0634A"/>
    <w:rsid w:val="00E063DF"/>
    <w:rsid w:val="00E06476"/>
    <w:rsid w:val="00E06CF9"/>
    <w:rsid w:val="00E06E14"/>
    <w:rsid w:val="00E06FAB"/>
    <w:rsid w:val="00E07A6A"/>
    <w:rsid w:val="00E07DF0"/>
    <w:rsid w:val="00E07FCC"/>
    <w:rsid w:val="00E07FD7"/>
    <w:rsid w:val="00E1010C"/>
    <w:rsid w:val="00E101C2"/>
    <w:rsid w:val="00E10678"/>
    <w:rsid w:val="00E1092E"/>
    <w:rsid w:val="00E10E2A"/>
    <w:rsid w:val="00E11BF4"/>
    <w:rsid w:val="00E12545"/>
    <w:rsid w:val="00E126F8"/>
    <w:rsid w:val="00E13B4E"/>
    <w:rsid w:val="00E14B62"/>
    <w:rsid w:val="00E15170"/>
    <w:rsid w:val="00E15E2E"/>
    <w:rsid w:val="00E164EB"/>
    <w:rsid w:val="00E16572"/>
    <w:rsid w:val="00E16575"/>
    <w:rsid w:val="00E166EA"/>
    <w:rsid w:val="00E16A3F"/>
    <w:rsid w:val="00E16DB2"/>
    <w:rsid w:val="00E16EAD"/>
    <w:rsid w:val="00E17514"/>
    <w:rsid w:val="00E17744"/>
    <w:rsid w:val="00E2022E"/>
    <w:rsid w:val="00E20950"/>
    <w:rsid w:val="00E21136"/>
    <w:rsid w:val="00E219FB"/>
    <w:rsid w:val="00E21A4D"/>
    <w:rsid w:val="00E21D1E"/>
    <w:rsid w:val="00E21DC2"/>
    <w:rsid w:val="00E21EBD"/>
    <w:rsid w:val="00E22775"/>
    <w:rsid w:val="00E22A61"/>
    <w:rsid w:val="00E22C29"/>
    <w:rsid w:val="00E22EAB"/>
    <w:rsid w:val="00E23128"/>
    <w:rsid w:val="00E234D1"/>
    <w:rsid w:val="00E2357F"/>
    <w:rsid w:val="00E24060"/>
    <w:rsid w:val="00E24B11"/>
    <w:rsid w:val="00E24EB7"/>
    <w:rsid w:val="00E2523D"/>
    <w:rsid w:val="00E256CF"/>
    <w:rsid w:val="00E258D1"/>
    <w:rsid w:val="00E259DD"/>
    <w:rsid w:val="00E25A90"/>
    <w:rsid w:val="00E25B19"/>
    <w:rsid w:val="00E25B66"/>
    <w:rsid w:val="00E2679F"/>
    <w:rsid w:val="00E267B9"/>
    <w:rsid w:val="00E26ACE"/>
    <w:rsid w:val="00E26D62"/>
    <w:rsid w:val="00E2708D"/>
    <w:rsid w:val="00E27846"/>
    <w:rsid w:val="00E30441"/>
    <w:rsid w:val="00E306EC"/>
    <w:rsid w:val="00E30753"/>
    <w:rsid w:val="00E312C6"/>
    <w:rsid w:val="00E3159C"/>
    <w:rsid w:val="00E3175C"/>
    <w:rsid w:val="00E31993"/>
    <w:rsid w:val="00E3210C"/>
    <w:rsid w:val="00E32744"/>
    <w:rsid w:val="00E32807"/>
    <w:rsid w:val="00E334E5"/>
    <w:rsid w:val="00E337CB"/>
    <w:rsid w:val="00E33BC2"/>
    <w:rsid w:val="00E33D36"/>
    <w:rsid w:val="00E33D5E"/>
    <w:rsid w:val="00E3454F"/>
    <w:rsid w:val="00E346D7"/>
    <w:rsid w:val="00E346E3"/>
    <w:rsid w:val="00E346F8"/>
    <w:rsid w:val="00E356B4"/>
    <w:rsid w:val="00E35B2C"/>
    <w:rsid w:val="00E35CD0"/>
    <w:rsid w:val="00E35E77"/>
    <w:rsid w:val="00E36865"/>
    <w:rsid w:val="00E36DF5"/>
    <w:rsid w:val="00E37096"/>
    <w:rsid w:val="00E374E4"/>
    <w:rsid w:val="00E37657"/>
    <w:rsid w:val="00E37716"/>
    <w:rsid w:val="00E377A1"/>
    <w:rsid w:val="00E37851"/>
    <w:rsid w:val="00E37D74"/>
    <w:rsid w:val="00E409D5"/>
    <w:rsid w:val="00E41084"/>
    <w:rsid w:val="00E41B06"/>
    <w:rsid w:val="00E41EAA"/>
    <w:rsid w:val="00E4213E"/>
    <w:rsid w:val="00E42675"/>
    <w:rsid w:val="00E43086"/>
    <w:rsid w:val="00E433FD"/>
    <w:rsid w:val="00E43506"/>
    <w:rsid w:val="00E4354D"/>
    <w:rsid w:val="00E436A3"/>
    <w:rsid w:val="00E43C69"/>
    <w:rsid w:val="00E43E65"/>
    <w:rsid w:val="00E44004"/>
    <w:rsid w:val="00E440EC"/>
    <w:rsid w:val="00E444C1"/>
    <w:rsid w:val="00E4486A"/>
    <w:rsid w:val="00E448C8"/>
    <w:rsid w:val="00E44C09"/>
    <w:rsid w:val="00E44CFF"/>
    <w:rsid w:val="00E44F4A"/>
    <w:rsid w:val="00E44FE1"/>
    <w:rsid w:val="00E45B98"/>
    <w:rsid w:val="00E45C43"/>
    <w:rsid w:val="00E4610C"/>
    <w:rsid w:val="00E4633D"/>
    <w:rsid w:val="00E46BEE"/>
    <w:rsid w:val="00E47FDF"/>
    <w:rsid w:val="00E50555"/>
    <w:rsid w:val="00E50A8E"/>
    <w:rsid w:val="00E50E02"/>
    <w:rsid w:val="00E510E4"/>
    <w:rsid w:val="00E5159A"/>
    <w:rsid w:val="00E5175B"/>
    <w:rsid w:val="00E51C51"/>
    <w:rsid w:val="00E51CCD"/>
    <w:rsid w:val="00E52259"/>
    <w:rsid w:val="00E52295"/>
    <w:rsid w:val="00E5306F"/>
    <w:rsid w:val="00E53204"/>
    <w:rsid w:val="00E532BC"/>
    <w:rsid w:val="00E53BFB"/>
    <w:rsid w:val="00E53C45"/>
    <w:rsid w:val="00E54D15"/>
    <w:rsid w:val="00E54E89"/>
    <w:rsid w:val="00E5506D"/>
    <w:rsid w:val="00E55773"/>
    <w:rsid w:val="00E55F8A"/>
    <w:rsid w:val="00E56138"/>
    <w:rsid w:val="00E562FF"/>
    <w:rsid w:val="00E563D6"/>
    <w:rsid w:val="00E567B2"/>
    <w:rsid w:val="00E568C9"/>
    <w:rsid w:val="00E57662"/>
    <w:rsid w:val="00E57A6C"/>
    <w:rsid w:val="00E57E7F"/>
    <w:rsid w:val="00E60615"/>
    <w:rsid w:val="00E60669"/>
    <w:rsid w:val="00E607E3"/>
    <w:rsid w:val="00E607FA"/>
    <w:rsid w:val="00E60A98"/>
    <w:rsid w:val="00E6129C"/>
    <w:rsid w:val="00E612F8"/>
    <w:rsid w:val="00E614A4"/>
    <w:rsid w:val="00E61719"/>
    <w:rsid w:val="00E61BB2"/>
    <w:rsid w:val="00E626A6"/>
    <w:rsid w:val="00E63447"/>
    <w:rsid w:val="00E637B0"/>
    <w:rsid w:val="00E64004"/>
    <w:rsid w:val="00E66556"/>
    <w:rsid w:val="00E66969"/>
    <w:rsid w:val="00E66A52"/>
    <w:rsid w:val="00E66E33"/>
    <w:rsid w:val="00E67531"/>
    <w:rsid w:val="00E67FB5"/>
    <w:rsid w:val="00E70176"/>
    <w:rsid w:val="00E71082"/>
    <w:rsid w:val="00E71101"/>
    <w:rsid w:val="00E71B07"/>
    <w:rsid w:val="00E71F4E"/>
    <w:rsid w:val="00E722A1"/>
    <w:rsid w:val="00E72792"/>
    <w:rsid w:val="00E73087"/>
    <w:rsid w:val="00E731BF"/>
    <w:rsid w:val="00E73524"/>
    <w:rsid w:val="00E73599"/>
    <w:rsid w:val="00E73F42"/>
    <w:rsid w:val="00E74187"/>
    <w:rsid w:val="00E7494C"/>
    <w:rsid w:val="00E75156"/>
    <w:rsid w:val="00E75CF0"/>
    <w:rsid w:val="00E75F28"/>
    <w:rsid w:val="00E76252"/>
    <w:rsid w:val="00E76BA8"/>
    <w:rsid w:val="00E76DF2"/>
    <w:rsid w:val="00E76E03"/>
    <w:rsid w:val="00E771D6"/>
    <w:rsid w:val="00E779F9"/>
    <w:rsid w:val="00E77AD8"/>
    <w:rsid w:val="00E77B9D"/>
    <w:rsid w:val="00E77DCD"/>
    <w:rsid w:val="00E77F6C"/>
    <w:rsid w:val="00E80430"/>
    <w:rsid w:val="00E8080B"/>
    <w:rsid w:val="00E808B1"/>
    <w:rsid w:val="00E80A23"/>
    <w:rsid w:val="00E80F40"/>
    <w:rsid w:val="00E815A4"/>
    <w:rsid w:val="00E81848"/>
    <w:rsid w:val="00E81E44"/>
    <w:rsid w:val="00E82280"/>
    <w:rsid w:val="00E823DC"/>
    <w:rsid w:val="00E82D69"/>
    <w:rsid w:val="00E83371"/>
    <w:rsid w:val="00E8357B"/>
    <w:rsid w:val="00E83C48"/>
    <w:rsid w:val="00E83D64"/>
    <w:rsid w:val="00E843BC"/>
    <w:rsid w:val="00E84652"/>
    <w:rsid w:val="00E84BB7"/>
    <w:rsid w:val="00E84DFD"/>
    <w:rsid w:val="00E851E5"/>
    <w:rsid w:val="00E85902"/>
    <w:rsid w:val="00E85E11"/>
    <w:rsid w:val="00E862DF"/>
    <w:rsid w:val="00E86A07"/>
    <w:rsid w:val="00E86B2D"/>
    <w:rsid w:val="00E86EFF"/>
    <w:rsid w:val="00E870AD"/>
    <w:rsid w:val="00E8710F"/>
    <w:rsid w:val="00E87153"/>
    <w:rsid w:val="00E8767E"/>
    <w:rsid w:val="00E87BC7"/>
    <w:rsid w:val="00E9023D"/>
    <w:rsid w:val="00E902F7"/>
    <w:rsid w:val="00E90F78"/>
    <w:rsid w:val="00E90FF2"/>
    <w:rsid w:val="00E91194"/>
    <w:rsid w:val="00E91B59"/>
    <w:rsid w:val="00E91B7B"/>
    <w:rsid w:val="00E92D1F"/>
    <w:rsid w:val="00E92F69"/>
    <w:rsid w:val="00E93069"/>
    <w:rsid w:val="00E9310E"/>
    <w:rsid w:val="00E9320A"/>
    <w:rsid w:val="00E9408D"/>
    <w:rsid w:val="00E96025"/>
    <w:rsid w:val="00E967E4"/>
    <w:rsid w:val="00E96994"/>
    <w:rsid w:val="00E96EDC"/>
    <w:rsid w:val="00E970A0"/>
    <w:rsid w:val="00E9715E"/>
    <w:rsid w:val="00E97EE7"/>
    <w:rsid w:val="00EA11F1"/>
    <w:rsid w:val="00EA11FE"/>
    <w:rsid w:val="00EA1D9C"/>
    <w:rsid w:val="00EA2014"/>
    <w:rsid w:val="00EA219B"/>
    <w:rsid w:val="00EA21EB"/>
    <w:rsid w:val="00EA22C8"/>
    <w:rsid w:val="00EA22D8"/>
    <w:rsid w:val="00EA24B7"/>
    <w:rsid w:val="00EA34C5"/>
    <w:rsid w:val="00EA3611"/>
    <w:rsid w:val="00EA3CA9"/>
    <w:rsid w:val="00EA3D82"/>
    <w:rsid w:val="00EA430D"/>
    <w:rsid w:val="00EA436B"/>
    <w:rsid w:val="00EA4B22"/>
    <w:rsid w:val="00EA4B8C"/>
    <w:rsid w:val="00EA4DEE"/>
    <w:rsid w:val="00EA4FF8"/>
    <w:rsid w:val="00EA50A0"/>
    <w:rsid w:val="00EA51D1"/>
    <w:rsid w:val="00EA54FF"/>
    <w:rsid w:val="00EA58B1"/>
    <w:rsid w:val="00EA5F95"/>
    <w:rsid w:val="00EA67E2"/>
    <w:rsid w:val="00EA6964"/>
    <w:rsid w:val="00EA7271"/>
    <w:rsid w:val="00EA7421"/>
    <w:rsid w:val="00EA7C7E"/>
    <w:rsid w:val="00EA7FF7"/>
    <w:rsid w:val="00EB008E"/>
    <w:rsid w:val="00EB0540"/>
    <w:rsid w:val="00EB0C9A"/>
    <w:rsid w:val="00EB0F60"/>
    <w:rsid w:val="00EB13D0"/>
    <w:rsid w:val="00EB1412"/>
    <w:rsid w:val="00EB1486"/>
    <w:rsid w:val="00EB177F"/>
    <w:rsid w:val="00EB1908"/>
    <w:rsid w:val="00EB2651"/>
    <w:rsid w:val="00EB32AB"/>
    <w:rsid w:val="00EB342D"/>
    <w:rsid w:val="00EB34A4"/>
    <w:rsid w:val="00EB3636"/>
    <w:rsid w:val="00EB3CC7"/>
    <w:rsid w:val="00EB3F48"/>
    <w:rsid w:val="00EB4D9A"/>
    <w:rsid w:val="00EB4FF8"/>
    <w:rsid w:val="00EB5088"/>
    <w:rsid w:val="00EB548D"/>
    <w:rsid w:val="00EB57F8"/>
    <w:rsid w:val="00EB592B"/>
    <w:rsid w:val="00EB5CF4"/>
    <w:rsid w:val="00EB5D68"/>
    <w:rsid w:val="00EB5DC1"/>
    <w:rsid w:val="00EB6222"/>
    <w:rsid w:val="00EB6550"/>
    <w:rsid w:val="00EB66C8"/>
    <w:rsid w:val="00EB6723"/>
    <w:rsid w:val="00EB7179"/>
    <w:rsid w:val="00EB732A"/>
    <w:rsid w:val="00EB7346"/>
    <w:rsid w:val="00EB73B0"/>
    <w:rsid w:val="00EB7728"/>
    <w:rsid w:val="00EB7B4E"/>
    <w:rsid w:val="00EB7B6F"/>
    <w:rsid w:val="00EC00E2"/>
    <w:rsid w:val="00EC0623"/>
    <w:rsid w:val="00EC06FF"/>
    <w:rsid w:val="00EC0920"/>
    <w:rsid w:val="00EC0969"/>
    <w:rsid w:val="00EC11B8"/>
    <w:rsid w:val="00EC121C"/>
    <w:rsid w:val="00EC12BD"/>
    <w:rsid w:val="00EC1CAC"/>
    <w:rsid w:val="00EC20C9"/>
    <w:rsid w:val="00EC2880"/>
    <w:rsid w:val="00EC2BDD"/>
    <w:rsid w:val="00EC2E66"/>
    <w:rsid w:val="00EC36F1"/>
    <w:rsid w:val="00EC399E"/>
    <w:rsid w:val="00EC3CAD"/>
    <w:rsid w:val="00EC40D8"/>
    <w:rsid w:val="00EC4E72"/>
    <w:rsid w:val="00EC4ED1"/>
    <w:rsid w:val="00EC55CE"/>
    <w:rsid w:val="00EC60E0"/>
    <w:rsid w:val="00EC63CD"/>
    <w:rsid w:val="00EC643F"/>
    <w:rsid w:val="00EC6821"/>
    <w:rsid w:val="00EC6DCE"/>
    <w:rsid w:val="00EC7A86"/>
    <w:rsid w:val="00ED00D7"/>
    <w:rsid w:val="00ED0A32"/>
    <w:rsid w:val="00ED1420"/>
    <w:rsid w:val="00ED1732"/>
    <w:rsid w:val="00ED17AE"/>
    <w:rsid w:val="00ED18EE"/>
    <w:rsid w:val="00ED1B7E"/>
    <w:rsid w:val="00ED1E83"/>
    <w:rsid w:val="00ED274C"/>
    <w:rsid w:val="00ED3166"/>
    <w:rsid w:val="00ED37A5"/>
    <w:rsid w:val="00ED3BB7"/>
    <w:rsid w:val="00ED4253"/>
    <w:rsid w:val="00ED4982"/>
    <w:rsid w:val="00ED4999"/>
    <w:rsid w:val="00ED4FDF"/>
    <w:rsid w:val="00ED5203"/>
    <w:rsid w:val="00ED5DA3"/>
    <w:rsid w:val="00ED6C72"/>
    <w:rsid w:val="00ED6CC3"/>
    <w:rsid w:val="00ED7E13"/>
    <w:rsid w:val="00EE0C17"/>
    <w:rsid w:val="00EE0E6E"/>
    <w:rsid w:val="00EE1058"/>
    <w:rsid w:val="00EE1988"/>
    <w:rsid w:val="00EE2AD6"/>
    <w:rsid w:val="00EE303C"/>
    <w:rsid w:val="00EE314A"/>
    <w:rsid w:val="00EE3730"/>
    <w:rsid w:val="00EE3EA1"/>
    <w:rsid w:val="00EE430A"/>
    <w:rsid w:val="00EE43DD"/>
    <w:rsid w:val="00EE4C49"/>
    <w:rsid w:val="00EE4C88"/>
    <w:rsid w:val="00EE513C"/>
    <w:rsid w:val="00EE54B2"/>
    <w:rsid w:val="00EE5701"/>
    <w:rsid w:val="00EE5AE2"/>
    <w:rsid w:val="00EE5E8C"/>
    <w:rsid w:val="00EE6122"/>
    <w:rsid w:val="00EE6824"/>
    <w:rsid w:val="00EE71FA"/>
    <w:rsid w:val="00EE732F"/>
    <w:rsid w:val="00EE74F8"/>
    <w:rsid w:val="00EE7E76"/>
    <w:rsid w:val="00EF0344"/>
    <w:rsid w:val="00EF09D9"/>
    <w:rsid w:val="00EF1099"/>
    <w:rsid w:val="00EF1F63"/>
    <w:rsid w:val="00EF1FBB"/>
    <w:rsid w:val="00EF22D7"/>
    <w:rsid w:val="00EF2717"/>
    <w:rsid w:val="00EF2A7D"/>
    <w:rsid w:val="00EF34C0"/>
    <w:rsid w:val="00EF3B1B"/>
    <w:rsid w:val="00EF3E16"/>
    <w:rsid w:val="00EF4086"/>
    <w:rsid w:val="00EF41DE"/>
    <w:rsid w:val="00EF4395"/>
    <w:rsid w:val="00EF4595"/>
    <w:rsid w:val="00EF4B87"/>
    <w:rsid w:val="00EF5558"/>
    <w:rsid w:val="00EF5636"/>
    <w:rsid w:val="00EF6509"/>
    <w:rsid w:val="00EF67AC"/>
    <w:rsid w:val="00EF6BB7"/>
    <w:rsid w:val="00EF6CC6"/>
    <w:rsid w:val="00EF7607"/>
    <w:rsid w:val="00EF78C7"/>
    <w:rsid w:val="00EF7BC5"/>
    <w:rsid w:val="00F00A08"/>
    <w:rsid w:val="00F00CC5"/>
    <w:rsid w:val="00F00ECE"/>
    <w:rsid w:val="00F0122D"/>
    <w:rsid w:val="00F019C5"/>
    <w:rsid w:val="00F019D4"/>
    <w:rsid w:val="00F01CA6"/>
    <w:rsid w:val="00F0222A"/>
    <w:rsid w:val="00F026C2"/>
    <w:rsid w:val="00F02845"/>
    <w:rsid w:val="00F02D32"/>
    <w:rsid w:val="00F032DA"/>
    <w:rsid w:val="00F03DFE"/>
    <w:rsid w:val="00F03FFF"/>
    <w:rsid w:val="00F0436B"/>
    <w:rsid w:val="00F045E3"/>
    <w:rsid w:val="00F04766"/>
    <w:rsid w:val="00F047BD"/>
    <w:rsid w:val="00F04D25"/>
    <w:rsid w:val="00F0500B"/>
    <w:rsid w:val="00F0580D"/>
    <w:rsid w:val="00F05DE1"/>
    <w:rsid w:val="00F06490"/>
    <w:rsid w:val="00F066C6"/>
    <w:rsid w:val="00F06FD8"/>
    <w:rsid w:val="00F07253"/>
    <w:rsid w:val="00F075CC"/>
    <w:rsid w:val="00F077E5"/>
    <w:rsid w:val="00F07851"/>
    <w:rsid w:val="00F07FF2"/>
    <w:rsid w:val="00F10005"/>
    <w:rsid w:val="00F106D3"/>
    <w:rsid w:val="00F108F0"/>
    <w:rsid w:val="00F11005"/>
    <w:rsid w:val="00F114A5"/>
    <w:rsid w:val="00F119E6"/>
    <w:rsid w:val="00F11B4C"/>
    <w:rsid w:val="00F12116"/>
    <w:rsid w:val="00F12DE8"/>
    <w:rsid w:val="00F13188"/>
    <w:rsid w:val="00F1357D"/>
    <w:rsid w:val="00F13956"/>
    <w:rsid w:val="00F14825"/>
    <w:rsid w:val="00F1495E"/>
    <w:rsid w:val="00F149C5"/>
    <w:rsid w:val="00F14D88"/>
    <w:rsid w:val="00F14FCB"/>
    <w:rsid w:val="00F15D08"/>
    <w:rsid w:val="00F16614"/>
    <w:rsid w:val="00F16957"/>
    <w:rsid w:val="00F16B61"/>
    <w:rsid w:val="00F16D6C"/>
    <w:rsid w:val="00F171AD"/>
    <w:rsid w:val="00F174DC"/>
    <w:rsid w:val="00F175DF"/>
    <w:rsid w:val="00F17ABA"/>
    <w:rsid w:val="00F17F54"/>
    <w:rsid w:val="00F2014F"/>
    <w:rsid w:val="00F209C7"/>
    <w:rsid w:val="00F21E19"/>
    <w:rsid w:val="00F224BA"/>
    <w:rsid w:val="00F224F3"/>
    <w:rsid w:val="00F22EB5"/>
    <w:rsid w:val="00F22EC9"/>
    <w:rsid w:val="00F23454"/>
    <w:rsid w:val="00F2363E"/>
    <w:rsid w:val="00F2386D"/>
    <w:rsid w:val="00F23B4B"/>
    <w:rsid w:val="00F23F4A"/>
    <w:rsid w:val="00F248ED"/>
    <w:rsid w:val="00F25ACB"/>
    <w:rsid w:val="00F25B1B"/>
    <w:rsid w:val="00F2657D"/>
    <w:rsid w:val="00F269B1"/>
    <w:rsid w:val="00F26C18"/>
    <w:rsid w:val="00F26DD7"/>
    <w:rsid w:val="00F272B1"/>
    <w:rsid w:val="00F2749C"/>
    <w:rsid w:val="00F27F45"/>
    <w:rsid w:val="00F27F5A"/>
    <w:rsid w:val="00F312B7"/>
    <w:rsid w:val="00F31497"/>
    <w:rsid w:val="00F31AF3"/>
    <w:rsid w:val="00F3218F"/>
    <w:rsid w:val="00F32B2D"/>
    <w:rsid w:val="00F32C20"/>
    <w:rsid w:val="00F32F47"/>
    <w:rsid w:val="00F33678"/>
    <w:rsid w:val="00F33DBF"/>
    <w:rsid w:val="00F34236"/>
    <w:rsid w:val="00F347DA"/>
    <w:rsid w:val="00F349DC"/>
    <w:rsid w:val="00F34AC1"/>
    <w:rsid w:val="00F34AC7"/>
    <w:rsid w:val="00F35D40"/>
    <w:rsid w:val="00F3603B"/>
    <w:rsid w:val="00F361DE"/>
    <w:rsid w:val="00F363FC"/>
    <w:rsid w:val="00F36413"/>
    <w:rsid w:val="00F364CD"/>
    <w:rsid w:val="00F365B9"/>
    <w:rsid w:val="00F36A45"/>
    <w:rsid w:val="00F36AFE"/>
    <w:rsid w:val="00F36B29"/>
    <w:rsid w:val="00F36EAC"/>
    <w:rsid w:val="00F3784B"/>
    <w:rsid w:val="00F37AF5"/>
    <w:rsid w:val="00F37B93"/>
    <w:rsid w:val="00F40688"/>
    <w:rsid w:val="00F41209"/>
    <w:rsid w:val="00F416CE"/>
    <w:rsid w:val="00F41843"/>
    <w:rsid w:val="00F419FF"/>
    <w:rsid w:val="00F41E31"/>
    <w:rsid w:val="00F42531"/>
    <w:rsid w:val="00F42969"/>
    <w:rsid w:val="00F4322D"/>
    <w:rsid w:val="00F4369F"/>
    <w:rsid w:val="00F43ED9"/>
    <w:rsid w:val="00F44148"/>
    <w:rsid w:val="00F441F9"/>
    <w:rsid w:val="00F44208"/>
    <w:rsid w:val="00F4437E"/>
    <w:rsid w:val="00F4575F"/>
    <w:rsid w:val="00F45A99"/>
    <w:rsid w:val="00F45E9B"/>
    <w:rsid w:val="00F46190"/>
    <w:rsid w:val="00F46CE9"/>
    <w:rsid w:val="00F476E4"/>
    <w:rsid w:val="00F47BFE"/>
    <w:rsid w:val="00F47E2F"/>
    <w:rsid w:val="00F50439"/>
    <w:rsid w:val="00F50945"/>
    <w:rsid w:val="00F50F70"/>
    <w:rsid w:val="00F51D58"/>
    <w:rsid w:val="00F52A52"/>
    <w:rsid w:val="00F533E4"/>
    <w:rsid w:val="00F53755"/>
    <w:rsid w:val="00F5469C"/>
    <w:rsid w:val="00F549A3"/>
    <w:rsid w:val="00F5518B"/>
    <w:rsid w:val="00F55323"/>
    <w:rsid w:val="00F55C61"/>
    <w:rsid w:val="00F55D6C"/>
    <w:rsid w:val="00F55D88"/>
    <w:rsid w:val="00F5676D"/>
    <w:rsid w:val="00F5698C"/>
    <w:rsid w:val="00F569D9"/>
    <w:rsid w:val="00F56AFE"/>
    <w:rsid w:val="00F5733F"/>
    <w:rsid w:val="00F57697"/>
    <w:rsid w:val="00F577F2"/>
    <w:rsid w:val="00F60964"/>
    <w:rsid w:val="00F60B5F"/>
    <w:rsid w:val="00F60C69"/>
    <w:rsid w:val="00F61801"/>
    <w:rsid w:val="00F61CA7"/>
    <w:rsid w:val="00F61EF3"/>
    <w:rsid w:val="00F62388"/>
    <w:rsid w:val="00F629B5"/>
    <w:rsid w:val="00F63338"/>
    <w:rsid w:val="00F63782"/>
    <w:rsid w:val="00F639B2"/>
    <w:rsid w:val="00F63EAF"/>
    <w:rsid w:val="00F64487"/>
    <w:rsid w:val="00F64877"/>
    <w:rsid w:val="00F64959"/>
    <w:rsid w:val="00F64BC7"/>
    <w:rsid w:val="00F64C5C"/>
    <w:rsid w:val="00F64DF7"/>
    <w:rsid w:val="00F65ACD"/>
    <w:rsid w:val="00F65B42"/>
    <w:rsid w:val="00F65FFC"/>
    <w:rsid w:val="00F6620C"/>
    <w:rsid w:val="00F668F0"/>
    <w:rsid w:val="00F66C32"/>
    <w:rsid w:val="00F66D2D"/>
    <w:rsid w:val="00F66E03"/>
    <w:rsid w:val="00F6743B"/>
    <w:rsid w:val="00F67963"/>
    <w:rsid w:val="00F67C7B"/>
    <w:rsid w:val="00F67F57"/>
    <w:rsid w:val="00F70175"/>
    <w:rsid w:val="00F705C0"/>
    <w:rsid w:val="00F705E1"/>
    <w:rsid w:val="00F70B41"/>
    <w:rsid w:val="00F70BB9"/>
    <w:rsid w:val="00F71623"/>
    <w:rsid w:val="00F71B41"/>
    <w:rsid w:val="00F7210A"/>
    <w:rsid w:val="00F72524"/>
    <w:rsid w:val="00F726BA"/>
    <w:rsid w:val="00F72F9A"/>
    <w:rsid w:val="00F730D6"/>
    <w:rsid w:val="00F73965"/>
    <w:rsid w:val="00F73BFE"/>
    <w:rsid w:val="00F73C5D"/>
    <w:rsid w:val="00F74146"/>
    <w:rsid w:val="00F75623"/>
    <w:rsid w:val="00F75DC8"/>
    <w:rsid w:val="00F75F83"/>
    <w:rsid w:val="00F76641"/>
    <w:rsid w:val="00F76A93"/>
    <w:rsid w:val="00F77030"/>
    <w:rsid w:val="00F771F2"/>
    <w:rsid w:val="00F77938"/>
    <w:rsid w:val="00F77E4C"/>
    <w:rsid w:val="00F77F91"/>
    <w:rsid w:val="00F80A57"/>
    <w:rsid w:val="00F80B8E"/>
    <w:rsid w:val="00F80DAE"/>
    <w:rsid w:val="00F80F95"/>
    <w:rsid w:val="00F81487"/>
    <w:rsid w:val="00F814C1"/>
    <w:rsid w:val="00F81875"/>
    <w:rsid w:val="00F81DD6"/>
    <w:rsid w:val="00F81E4D"/>
    <w:rsid w:val="00F82314"/>
    <w:rsid w:val="00F82501"/>
    <w:rsid w:val="00F82ED9"/>
    <w:rsid w:val="00F833FB"/>
    <w:rsid w:val="00F8386A"/>
    <w:rsid w:val="00F83A84"/>
    <w:rsid w:val="00F84227"/>
    <w:rsid w:val="00F843B4"/>
    <w:rsid w:val="00F84979"/>
    <w:rsid w:val="00F84DB9"/>
    <w:rsid w:val="00F850E4"/>
    <w:rsid w:val="00F857A0"/>
    <w:rsid w:val="00F85944"/>
    <w:rsid w:val="00F86128"/>
    <w:rsid w:val="00F86A63"/>
    <w:rsid w:val="00F872C5"/>
    <w:rsid w:val="00F8795C"/>
    <w:rsid w:val="00F87D0F"/>
    <w:rsid w:val="00F87EF0"/>
    <w:rsid w:val="00F90568"/>
    <w:rsid w:val="00F9082A"/>
    <w:rsid w:val="00F909B8"/>
    <w:rsid w:val="00F91008"/>
    <w:rsid w:val="00F910C8"/>
    <w:rsid w:val="00F915A0"/>
    <w:rsid w:val="00F91C59"/>
    <w:rsid w:val="00F91DE9"/>
    <w:rsid w:val="00F92955"/>
    <w:rsid w:val="00F92E34"/>
    <w:rsid w:val="00F93255"/>
    <w:rsid w:val="00F93B17"/>
    <w:rsid w:val="00F94105"/>
    <w:rsid w:val="00F94C2F"/>
    <w:rsid w:val="00F94CB5"/>
    <w:rsid w:val="00F94DD4"/>
    <w:rsid w:val="00F94E39"/>
    <w:rsid w:val="00F9516F"/>
    <w:rsid w:val="00F957BE"/>
    <w:rsid w:val="00F9587E"/>
    <w:rsid w:val="00F9590A"/>
    <w:rsid w:val="00F96506"/>
    <w:rsid w:val="00F96858"/>
    <w:rsid w:val="00F969A2"/>
    <w:rsid w:val="00F96E51"/>
    <w:rsid w:val="00F9745C"/>
    <w:rsid w:val="00F974C1"/>
    <w:rsid w:val="00F974C9"/>
    <w:rsid w:val="00F975E8"/>
    <w:rsid w:val="00FA02FB"/>
    <w:rsid w:val="00FA054E"/>
    <w:rsid w:val="00FA0981"/>
    <w:rsid w:val="00FA09B5"/>
    <w:rsid w:val="00FA0B5A"/>
    <w:rsid w:val="00FA0C78"/>
    <w:rsid w:val="00FA1354"/>
    <w:rsid w:val="00FA160C"/>
    <w:rsid w:val="00FA1D8E"/>
    <w:rsid w:val="00FA23EF"/>
    <w:rsid w:val="00FA2865"/>
    <w:rsid w:val="00FA29FE"/>
    <w:rsid w:val="00FA2B61"/>
    <w:rsid w:val="00FA311F"/>
    <w:rsid w:val="00FA36E9"/>
    <w:rsid w:val="00FA3844"/>
    <w:rsid w:val="00FA3E00"/>
    <w:rsid w:val="00FA597C"/>
    <w:rsid w:val="00FA6253"/>
    <w:rsid w:val="00FA6460"/>
    <w:rsid w:val="00FA70AB"/>
    <w:rsid w:val="00FA7136"/>
    <w:rsid w:val="00FA79EF"/>
    <w:rsid w:val="00FB0786"/>
    <w:rsid w:val="00FB0A53"/>
    <w:rsid w:val="00FB0E73"/>
    <w:rsid w:val="00FB1C57"/>
    <w:rsid w:val="00FB2351"/>
    <w:rsid w:val="00FB23F5"/>
    <w:rsid w:val="00FB253C"/>
    <w:rsid w:val="00FB2545"/>
    <w:rsid w:val="00FB2775"/>
    <w:rsid w:val="00FB2948"/>
    <w:rsid w:val="00FB2BDB"/>
    <w:rsid w:val="00FB36C3"/>
    <w:rsid w:val="00FB37BF"/>
    <w:rsid w:val="00FB38A9"/>
    <w:rsid w:val="00FB3C3B"/>
    <w:rsid w:val="00FB3F5A"/>
    <w:rsid w:val="00FB4B2D"/>
    <w:rsid w:val="00FB4F3A"/>
    <w:rsid w:val="00FB5537"/>
    <w:rsid w:val="00FB571A"/>
    <w:rsid w:val="00FB691C"/>
    <w:rsid w:val="00FB7A9E"/>
    <w:rsid w:val="00FC0137"/>
    <w:rsid w:val="00FC01D6"/>
    <w:rsid w:val="00FC057D"/>
    <w:rsid w:val="00FC0632"/>
    <w:rsid w:val="00FC0845"/>
    <w:rsid w:val="00FC1136"/>
    <w:rsid w:val="00FC2208"/>
    <w:rsid w:val="00FC22D1"/>
    <w:rsid w:val="00FC2917"/>
    <w:rsid w:val="00FC2DC2"/>
    <w:rsid w:val="00FC3375"/>
    <w:rsid w:val="00FC33B0"/>
    <w:rsid w:val="00FC3F9D"/>
    <w:rsid w:val="00FC40F0"/>
    <w:rsid w:val="00FC435B"/>
    <w:rsid w:val="00FC4418"/>
    <w:rsid w:val="00FC547D"/>
    <w:rsid w:val="00FC611A"/>
    <w:rsid w:val="00FC69D2"/>
    <w:rsid w:val="00FC6B12"/>
    <w:rsid w:val="00FC7041"/>
    <w:rsid w:val="00FC719E"/>
    <w:rsid w:val="00FC7A5B"/>
    <w:rsid w:val="00FC7A66"/>
    <w:rsid w:val="00FC7B19"/>
    <w:rsid w:val="00FC7BC5"/>
    <w:rsid w:val="00FC7F8A"/>
    <w:rsid w:val="00FC7F93"/>
    <w:rsid w:val="00FD074D"/>
    <w:rsid w:val="00FD0D62"/>
    <w:rsid w:val="00FD0E0D"/>
    <w:rsid w:val="00FD103F"/>
    <w:rsid w:val="00FD1359"/>
    <w:rsid w:val="00FD159E"/>
    <w:rsid w:val="00FD26E5"/>
    <w:rsid w:val="00FD26FF"/>
    <w:rsid w:val="00FD2AEF"/>
    <w:rsid w:val="00FD31B6"/>
    <w:rsid w:val="00FD3221"/>
    <w:rsid w:val="00FD324E"/>
    <w:rsid w:val="00FD4521"/>
    <w:rsid w:val="00FD4930"/>
    <w:rsid w:val="00FD4C81"/>
    <w:rsid w:val="00FD4CAB"/>
    <w:rsid w:val="00FD4CF4"/>
    <w:rsid w:val="00FD4EFA"/>
    <w:rsid w:val="00FD51BB"/>
    <w:rsid w:val="00FD6FD7"/>
    <w:rsid w:val="00FD7359"/>
    <w:rsid w:val="00FD7850"/>
    <w:rsid w:val="00FD796D"/>
    <w:rsid w:val="00FD7A54"/>
    <w:rsid w:val="00FE0095"/>
    <w:rsid w:val="00FE0107"/>
    <w:rsid w:val="00FE0232"/>
    <w:rsid w:val="00FE02EF"/>
    <w:rsid w:val="00FE0726"/>
    <w:rsid w:val="00FE09B6"/>
    <w:rsid w:val="00FE0B6A"/>
    <w:rsid w:val="00FE0E38"/>
    <w:rsid w:val="00FE1649"/>
    <w:rsid w:val="00FE19BE"/>
    <w:rsid w:val="00FE1A65"/>
    <w:rsid w:val="00FE1EC7"/>
    <w:rsid w:val="00FE253D"/>
    <w:rsid w:val="00FE2C51"/>
    <w:rsid w:val="00FE2DA0"/>
    <w:rsid w:val="00FE3770"/>
    <w:rsid w:val="00FE37BB"/>
    <w:rsid w:val="00FE3AB6"/>
    <w:rsid w:val="00FE46EF"/>
    <w:rsid w:val="00FE484B"/>
    <w:rsid w:val="00FE4C3F"/>
    <w:rsid w:val="00FE4DED"/>
    <w:rsid w:val="00FE57A1"/>
    <w:rsid w:val="00FE5DA2"/>
    <w:rsid w:val="00FE6931"/>
    <w:rsid w:val="00FE6E34"/>
    <w:rsid w:val="00FE6FAC"/>
    <w:rsid w:val="00FE6FAD"/>
    <w:rsid w:val="00FE773D"/>
    <w:rsid w:val="00FE7D6F"/>
    <w:rsid w:val="00FF0806"/>
    <w:rsid w:val="00FF0922"/>
    <w:rsid w:val="00FF0B27"/>
    <w:rsid w:val="00FF0B2C"/>
    <w:rsid w:val="00FF0B9B"/>
    <w:rsid w:val="00FF1075"/>
    <w:rsid w:val="00FF10E4"/>
    <w:rsid w:val="00FF116E"/>
    <w:rsid w:val="00FF129F"/>
    <w:rsid w:val="00FF12F7"/>
    <w:rsid w:val="00FF140E"/>
    <w:rsid w:val="00FF175B"/>
    <w:rsid w:val="00FF1ED4"/>
    <w:rsid w:val="00FF238D"/>
    <w:rsid w:val="00FF26B3"/>
    <w:rsid w:val="00FF26CF"/>
    <w:rsid w:val="00FF289C"/>
    <w:rsid w:val="00FF2CB8"/>
    <w:rsid w:val="00FF2E20"/>
    <w:rsid w:val="00FF333B"/>
    <w:rsid w:val="00FF3398"/>
    <w:rsid w:val="00FF3870"/>
    <w:rsid w:val="00FF4157"/>
    <w:rsid w:val="00FF4343"/>
    <w:rsid w:val="00FF444D"/>
    <w:rsid w:val="00FF49E0"/>
    <w:rsid w:val="00FF4A1A"/>
    <w:rsid w:val="00FF4E55"/>
    <w:rsid w:val="00FF5321"/>
    <w:rsid w:val="00FF569E"/>
    <w:rsid w:val="00FF5C3D"/>
    <w:rsid w:val="00FF5EB4"/>
    <w:rsid w:val="00FF640F"/>
    <w:rsid w:val="00FF675D"/>
    <w:rsid w:val="00FF6A05"/>
    <w:rsid w:val="00FF6D2C"/>
    <w:rsid w:val="00FF717F"/>
    <w:rsid w:val="00FF73D6"/>
    <w:rsid w:val="00FF74CF"/>
    <w:rsid w:val="00FF78B2"/>
    <w:rsid w:val="00FF7D6E"/>
    <w:rsid w:val="013BD5FD"/>
    <w:rsid w:val="0155A947"/>
    <w:rsid w:val="01B9573E"/>
    <w:rsid w:val="032BC08A"/>
    <w:rsid w:val="03702001"/>
    <w:rsid w:val="039E4C73"/>
    <w:rsid w:val="0402C4B3"/>
    <w:rsid w:val="043B90BD"/>
    <w:rsid w:val="04C3FA7E"/>
    <w:rsid w:val="067174F5"/>
    <w:rsid w:val="08344E8B"/>
    <w:rsid w:val="0922B4A9"/>
    <w:rsid w:val="0A45A02D"/>
    <w:rsid w:val="0B06ADBF"/>
    <w:rsid w:val="0C83F8EE"/>
    <w:rsid w:val="0C9D541C"/>
    <w:rsid w:val="0CB00409"/>
    <w:rsid w:val="0DE54F9C"/>
    <w:rsid w:val="0F44DFE2"/>
    <w:rsid w:val="0F6A5580"/>
    <w:rsid w:val="107514C6"/>
    <w:rsid w:val="11CC53DA"/>
    <w:rsid w:val="1284A000"/>
    <w:rsid w:val="14DE4C2D"/>
    <w:rsid w:val="14EACC3F"/>
    <w:rsid w:val="1599C034"/>
    <w:rsid w:val="15C8FC3A"/>
    <w:rsid w:val="15DAC5F4"/>
    <w:rsid w:val="16671B4F"/>
    <w:rsid w:val="17B33B17"/>
    <w:rsid w:val="17D6B877"/>
    <w:rsid w:val="187FC204"/>
    <w:rsid w:val="18FE25E4"/>
    <w:rsid w:val="1A70709E"/>
    <w:rsid w:val="1C65CA23"/>
    <w:rsid w:val="1D4B469C"/>
    <w:rsid w:val="1D533327"/>
    <w:rsid w:val="1ED1489F"/>
    <w:rsid w:val="1FC9D0EF"/>
    <w:rsid w:val="206436D1"/>
    <w:rsid w:val="22B55785"/>
    <w:rsid w:val="230EADB5"/>
    <w:rsid w:val="2461669E"/>
    <w:rsid w:val="25367289"/>
    <w:rsid w:val="2643E7A6"/>
    <w:rsid w:val="2771020C"/>
    <w:rsid w:val="28489194"/>
    <w:rsid w:val="28CA9E05"/>
    <w:rsid w:val="28D8DD77"/>
    <w:rsid w:val="291D43F6"/>
    <w:rsid w:val="2A1A870B"/>
    <w:rsid w:val="2A999306"/>
    <w:rsid w:val="2C773182"/>
    <w:rsid w:val="2CB04082"/>
    <w:rsid w:val="2E05EBFF"/>
    <w:rsid w:val="2F3DDB98"/>
    <w:rsid w:val="2F509F9F"/>
    <w:rsid w:val="2F51307F"/>
    <w:rsid w:val="308A4A2B"/>
    <w:rsid w:val="30E0F9FA"/>
    <w:rsid w:val="30F66CCA"/>
    <w:rsid w:val="31411529"/>
    <w:rsid w:val="3196810E"/>
    <w:rsid w:val="33F2C789"/>
    <w:rsid w:val="34B269BD"/>
    <w:rsid w:val="34F235AD"/>
    <w:rsid w:val="386F002F"/>
    <w:rsid w:val="38927C94"/>
    <w:rsid w:val="3A26F7E2"/>
    <w:rsid w:val="3A9BC31B"/>
    <w:rsid w:val="3B8526F2"/>
    <w:rsid w:val="3B950078"/>
    <w:rsid w:val="3BCA80FE"/>
    <w:rsid w:val="3CCE1F01"/>
    <w:rsid w:val="3E057722"/>
    <w:rsid w:val="3EFA045E"/>
    <w:rsid w:val="3F364479"/>
    <w:rsid w:val="3FE07CF6"/>
    <w:rsid w:val="40049C66"/>
    <w:rsid w:val="4326C8D9"/>
    <w:rsid w:val="4395FDA4"/>
    <w:rsid w:val="440B1662"/>
    <w:rsid w:val="443813E4"/>
    <w:rsid w:val="4476B1DF"/>
    <w:rsid w:val="449B5D34"/>
    <w:rsid w:val="44BA79DE"/>
    <w:rsid w:val="45691311"/>
    <w:rsid w:val="472080D8"/>
    <w:rsid w:val="48AD66B6"/>
    <w:rsid w:val="498CEEE2"/>
    <w:rsid w:val="4B8F9F00"/>
    <w:rsid w:val="4BA39695"/>
    <w:rsid w:val="4C97F6C9"/>
    <w:rsid w:val="4CEA3718"/>
    <w:rsid w:val="4D0C8A69"/>
    <w:rsid w:val="4D15204B"/>
    <w:rsid w:val="4D3817AC"/>
    <w:rsid w:val="4EA95208"/>
    <w:rsid w:val="4EF10B7E"/>
    <w:rsid w:val="4F85DF43"/>
    <w:rsid w:val="510D48A0"/>
    <w:rsid w:val="51AB3E74"/>
    <w:rsid w:val="51BCAC1C"/>
    <w:rsid w:val="51EAD88E"/>
    <w:rsid w:val="5283D634"/>
    <w:rsid w:val="52BBC176"/>
    <w:rsid w:val="52CD8319"/>
    <w:rsid w:val="52E0C690"/>
    <w:rsid w:val="5381CC17"/>
    <w:rsid w:val="539E3DB5"/>
    <w:rsid w:val="53B40B18"/>
    <w:rsid w:val="54AEBE77"/>
    <w:rsid w:val="55768007"/>
    <w:rsid w:val="560D856F"/>
    <w:rsid w:val="566978B1"/>
    <w:rsid w:val="567E7DC1"/>
    <w:rsid w:val="58DB1E4B"/>
    <w:rsid w:val="594ED924"/>
    <w:rsid w:val="5962E11A"/>
    <w:rsid w:val="5A621D68"/>
    <w:rsid w:val="5AF6C4F0"/>
    <w:rsid w:val="5B2F08FC"/>
    <w:rsid w:val="5C1BA8B2"/>
    <w:rsid w:val="5C6DE901"/>
    <w:rsid w:val="5C7B335C"/>
    <w:rsid w:val="5CEE8893"/>
    <w:rsid w:val="5DE729FD"/>
    <w:rsid w:val="5DF87E8B"/>
    <w:rsid w:val="6042E81F"/>
    <w:rsid w:val="6060D5D9"/>
    <w:rsid w:val="60750608"/>
    <w:rsid w:val="60FFB7ED"/>
    <w:rsid w:val="611AB691"/>
    <w:rsid w:val="6150220F"/>
    <w:rsid w:val="61B47D85"/>
    <w:rsid w:val="61E806CC"/>
    <w:rsid w:val="6407BF92"/>
    <w:rsid w:val="64B70169"/>
    <w:rsid w:val="64FFA4F0"/>
    <w:rsid w:val="653E5F91"/>
    <w:rsid w:val="6582A514"/>
    <w:rsid w:val="65D19AC0"/>
    <w:rsid w:val="66A51219"/>
    <w:rsid w:val="66EAA080"/>
    <w:rsid w:val="671DB0D1"/>
    <w:rsid w:val="686CB207"/>
    <w:rsid w:val="68964AF2"/>
    <w:rsid w:val="68BB2918"/>
    <w:rsid w:val="6CA7BCFC"/>
    <w:rsid w:val="6D04D47D"/>
    <w:rsid w:val="6EF4519F"/>
    <w:rsid w:val="6FC2D0CA"/>
    <w:rsid w:val="700B90F7"/>
    <w:rsid w:val="7165C468"/>
    <w:rsid w:val="71E06FAD"/>
    <w:rsid w:val="7204F3C2"/>
    <w:rsid w:val="725A837A"/>
    <w:rsid w:val="72CBADA2"/>
    <w:rsid w:val="736C3427"/>
    <w:rsid w:val="753CEE95"/>
    <w:rsid w:val="75EC5211"/>
    <w:rsid w:val="76132875"/>
    <w:rsid w:val="767575A6"/>
    <w:rsid w:val="768A1514"/>
    <w:rsid w:val="773BD575"/>
    <w:rsid w:val="773CE851"/>
    <w:rsid w:val="79D2F0AD"/>
    <w:rsid w:val="7A5427B7"/>
    <w:rsid w:val="7B35832C"/>
    <w:rsid w:val="7B4DAC26"/>
    <w:rsid w:val="7D867B66"/>
    <w:rsid w:val="7ED7F2D9"/>
    <w:rsid w:val="7EF4D9DC"/>
    <w:rsid w:val="7F3939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DCCD6"/>
  <w15:chartTrackingRefBased/>
  <w15:docId w15:val="{7E123D41-1595-4E8A-8AD4-53CCBD9AA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ill Sans Nova" w:eastAsia="SimSun" w:hAnsi="Gill Sans Nova"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A81"/>
    <w:rPr>
      <w:lang w:val="en-US"/>
    </w:rPr>
  </w:style>
  <w:style w:type="paragraph" w:styleId="Heading1">
    <w:name w:val="heading 1"/>
    <w:basedOn w:val="Normal"/>
    <w:next w:val="Normal"/>
    <w:link w:val="Heading1Char"/>
    <w:uiPriority w:val="9"/>
    <w:qFormat/>
    <w:rsid w:val="00FC2DC2"/>
    <w:pPr>
      <w:outlineLvl w:val="0"/>
    </w:pPr>
    <w:rPr>
      <w:b/>
      <w:bCs/>
      <w:sz w:val="36"/>
      <w:szCs w:val="36"/>
    </w:rPr>
  </w:style>
  <w:style w:type="paragraph" w:styleId="Heading2">
    <w:name w:val="heading 2"/>
    <w:basedOn w:val="Heading1"/>
    <w:next w:val="Normal"/>
    <w:link w:val="Heading2Char"/>
    <w:uiPriority w:val="9"/>
    <w:unhideWhenUsed/>
    <w:qFormat/>
    <w:rsid w:val="00413A17"/>
    <w:pPr>
      <w:outlineLvl w:val="1"/>
    </w:pPr>
    <w:rPr>
      <w:sz w:val="28"/>
      <w:szCs w:val="28"/>
    </w:rPr>
  </w:style>
  <w:style w:type="paragraph" w:styleId="Heading3">
    <w:name w:val="heading 3"/>
    <w:basedOn w:val="Normal"/>
    <w:next w:val="Normal"/>
    <w:link w:val="Heading3Char"/>
    <w:uiPriority w:val="9"/>
    <w:unhideWhenUsed/>
    <w:rsid w:val="00A10F4F"/>
    <w:pPr>
      <w:keepNext/>
      <w:keepLines/>
      <w:spacing w:before="40"/>
      <w:outlineLvl w:val="2"/>
    </w:pPr>
    <w:rPr>
      <w:rFonts w:asciiTheme="majorHAnsi" w:eastAsiaTheme="majorEastAsia" w:hAnsiTheme="majorHAnsi" w:cstheme="majorBidi"/>
      <w:color w:val="70110D" w:themeColor="accent1" w:themeShade="7F"/>
    </w:rPr>
  </w:style>
  <w:style w:type="paragraph" w:styleId="Heading4">
    <w:name w:val="heading 4"/>
    <w:basedOn w:val="Normal"/>
    <w:next w:val="Normal"/>
    <w:link w:val="Heading4Char"/>
    <w:uiPriority w:val="9"/>
    <w:unhideWhenUsed/>
    <w:qFormat/>
    <w:rsid w:val="00540368"/>
    <w:pPr>
      <w:keepNext/>
      <w:keepLines/>
      <w:spacing w:before="40"/>
      <w:outlineLvl w:val="3"/>
    </w:pPr>
    <w:rPr>
      <w:rFonts w:asciiTheme="majorHAnsi" w:eastAsiaTheme="majorEastAsia" w:hAnsiTheme="majorHAnsi" w:cstheme="majorBidi"/>
      <w:i/>
      <w:iCs/>
      <w:color w:val="A9191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98F"/>
    <w:pPr>
      <w:tabs>
        <w:tab w:val="center" w:pos="4680"/>
        <w:tab w:val="right" w:pos="9360"/>
      </w:tabs>
    </w:pPr>
  </w:style>
  <w:style w:type="character" w:customStyle="1" w:styleId="HeaderChar">
    <w:name w:val="Header Char"/>
    <w:basedOn w:val="DefaultParagraphFont"/>
    <w:link w:val="Header"/>
    <w:uiPriority w:val="99"/>
    <w:rsid w:val="00AE498F"/>
  </w:style>
  <w:style w:type="paragraph" w:styleId="Footer">
    <w:name w:val="footer"/>
    <w:basedOn w:val="Normal"/>
    <w:link w:val="FooterChar"/>
    <w:uiPriority w:val="99"/>
    <w:unhideWhenUsed/>
    <w:rsid w:val="00AE498F"/>
    <w:pPr>
      <w:tabs>
        <w:tab w:val="center" w:pos="4680"/>
        <w:tab w:val="right" w:pos="9360"/>
      </w:tabs>
    </w:pPr>
  </w:style>
  <w:style w:type="character" w:customStyle="1" w:styleId="FooterChar">
    <w:name w:val="Footer Char"/>
    <w:basedOn w:val="DefaultParagraphFont"/>
    <w:link w:val="Footer"/>
    <w:uiPriority w:val="99"/>
    <w:rsid w:val="00AE498F"/>
  </w:style>
  <w:style w:type="character" w:customStyle="1" w:styleId="Heading1Char">
    <w:name w:val="Heading 1 Char"/>
    <w:basedOn w:val="DefaultParagraphFont"/>
    <w:link w:val="Heading1"/>
    <w:uiPriority w:val="9"/>
    <w:rsid w:val="00FC2DC2"/>
    <w:rPr>
      <w:b/>
      <w:bCs/>
      <w:sz w:val="36"/>
      <w:szCs w:val="36"/>
      <w:lang w:val="en-US"/>
    </w:rPr>
  </w:style>
  <w:style w:type="paragraph" w:styleId="Title">
    <w:name w:val="Title"/>
    <w:basedOn w:val="Normal"/>
    <w:next w:val="Normal"/>
    <w:link w:val="TitleChar"/>
    <w:uiPriority w:val="10"/>
    <w:qFormat/>
    <w:rsid w:val="002241C2"/>
    <w:rPr>
      <w:b/>
      <w:caps/>
      <w:sz w:val="60"/>
      <w:szCs w:val="60"/>
    </w:rPr>
  </w:style>
  <w:style w:type="character" w:customStyle="1" w:styleId="TitleChar">
    <w:name w:val="Title Char"/>
    <w:basedOn w:val="DefaultParagraphFont"/>
    <w:link w:val="Title"/>
    <w:uiPriority w:val="10"/>
    <w:rsid w:val="002241C2"/>
    <w:rPr>
      <w:b/>
      <w:caps/>
      <w:sz w:val="60"/>
      <w:szCs w:val="60"/>
      <w:lang w:val="en-US"/>
    </w:rPr>
  </w:style>
  <w:style w:type="paragraph" w:styleId="Quote">
    <w:name w:val="Quote"/>
    <w:aliases w:val="Feature Quote"/>
    <w:basedOn w:val="Normal"/>
    <w:next w:val="Normal"/>
    <w:link w:val="QuoteChar"/>
    <w:uiPriority w:val="29"/>
    <w:qFormat/>
    <w:rsid w:val="00B87C22"/>
    <w:pPr>
      <w:ind w:left="851" w:right="851"/>
      <w:jc w:val="center"/>
    </w:pPr>
    <w:rPr>
      <w:i/>
      <w:iCs/>
      <w:color w:val="465762" w:themeColor="text2"/>
    </w:rPr>
  </w:style>
  <w:style w:type="character" w:customStyle="1" w:styleId="QuoteChar">
    <w:name w:val="Quote Char"/>
    <w:aliases w:val="Feature Quote Char"/>
    <w:basedOn w:val="DefaultParagraphFont"/>
    <w:link w:val="Quote"/>
    <w:uiPriority w:val="29"/>
    <w:rsid w:val="00B87C22"/>
    <w:rPr>
      <w:i/>
      <w:iCs/>
      <w:color w:val="465762" w:themeColor="text2"/>
      <w:lang w:val="en-US"/>
    </w:rPr>
  </w:style>
  <w:style w:type="paragraph" w:styleId="IntenseQuote">
    <w:name w:val="Intense Quote"/>
    <w:aliases w:val="Breakout Box"/>
    <w:basedOn w:val="Normal"/>
    <w:next w:val="Normal"/>
    <w:link w:val="IntenseQuoteChar"/>
    <w:uiPriority w:val="30"/>
    <w:qFormat/>
    <w:rsid w:val="00434CDA"/>
    <w:pPr>
      <w:pBdr>
        <w:top w:val="single" w:sz="4" w:space="7" w:color="CFD9DD" w:themeColor="background2" w:themeShade="E6"/>
        <w:left w:val="single" w:sz="4" w:space="7" w:color="CFD9DD" w:themeColor="background2" w:themeShade="E6"/>
        <w:bottom w:val="single" w:sz="4" w:space="7" w:color="CFD9DD" w:themeColor="background2" w:themeShade="E6"/>
        <w:right w:val="single" w:sz="4" w:space="7" w:color="CFD9DD" w:themeColor="background2" w:themeShade="E6"/>
      </w:pBdr>
      <w:shd w:val="clear" w:color="auto" w:fill="EBEFF1" w:themeFill="background2"/>
      <w:ind w:left="851" w:right="851"/>
    </w:pPr>
    <w:rPr>
      <w:iCs/>
      <w:color w:val="000000" w:themeColor="text1"/>
    </w:rPr>
  </w:style>
  <w:style w:type="character" w:customStyle="1" w:styleId="IntenseQuoteChar">
    <w:name w:val="Intense Quote Char"/>
    <w:aliases w:val="Breakout Box Char"/>
    <w:basedOn w:val="DefaultParagraphFont"/>
    <w:link w:val="IntenseQuote"/>
    <w:uiPriority w:val="30"/>
    <w:rsid w:val="00434CDA"/>
    <w:rPr>
      <w:iCs/>
      <w:color w:val="000000" w:themeColor="text1"/>
      <w:shd w:val="clear" w:color="auto" w:fill="EBEFF1" w:themeFill="background2"/>
      <w:lang w:val="en-US"/>
    </w:rPr>
  </w:style>
  <w:style w:type="character" w:customStyle="1" w:styleId="Heading2Char">
    <w:name w:val="Heading 2 Char"/>
    <w:basedOn w:val="DefaultParagraphFont"/>
    <w:link w:val="Heading2"/>
    <w:uiPriority w:val="9"/>
    <w:rsid w:val="00413A17"/>
    <w:rPr>
      <w:b/>
      <w:bCs/>
      <w:sz w:val="28"/>
      <w:szCs w:val="28"/>
      <w:lang w:val="en-US"/>
    </w:rPr>
  </w:style>
  <w:style w:type="paragraph" w:styleId="Subtitle">
    <w:name w:val="Subtitle"/>
    <w:basedOn w:val="Normal"/>
    <w:next w:val="Normal"/>
    <w:link w:val="SubtitleChar"/>
    <w:uiPriority w:val="11"/>
    <w:qFormat/>
    <w:rsid w:val="002241C2"/>
    <w:rPr>
      <w:sz w:val="36"/>
      <w:szCs w:val="36"/>
    </w:rPr>
  </w:style>
  <w:style w:type="character" w:customStyle="1" w:styleId="SubtitleChar">
    <w:name w:val="Subtitle Char"/>
    <w:basedOn w:val="DefaultParagraphFont"/>
    <w:link w:val="Subtitle"/>
    <w:uiPriority w:val="11"/>
    <w:rsid w:val="002241C2"/>
    <w:rPr>
      <w:sz w:val="36"/>
      <w:szCs w:val="36"/>
      <w:lang w:val="en-US"/>
    </w:rPr>
  </w:style>
  <w:style w:type="paragraph" w:styleId="TOCHeading">
    <w:name w:val="TOC Heading"/>
    <w:basedOn w:val="Heading1"/>
    <w:next w:val="Normal"/>
    <w:uiPriority w:val="39"/>
    <w:unhideWhenUsed/>
    <w:qFormat/>
    <w:rsid w:val="001A4928"/>
    <w:pPr>
      <w:keepNext/>
      <w:keepLines/>
      <w:spacing w:before="240" w:line="259" w:lineRule="auto"/>
      <w:outlineLvl w:val="9"/>
    </w:pPr>
    <w:rPr>
      <w:rFonts w:asciiTheme="majorHAnsi" w:eastAsiaTheme="majorEastAsia" w:hAnsiTheme="majorHAnsi" w:cstheme="majorBidi"/>
      <w:b w:val="0"/>
      <w:bCs w:val="0"/>
      <w:color w:val="A91913" w:themeColor="accent1" w:themeShade="BF"/>
      <w:kern w:val="0"/>
      <w:sz w:val="32"/>
      <w:szCs w:val="32"/>
      <w14:ligatures w14:val="none"/>
    </w:rPr>
  </w:style>
  <w:style w:type="paragraph" w:styleId="TOC1">
    <w:name w:val="toc 1"/>
    <w:basedOn w:val="Normal"/>
    <w:next w:val="Normal"/>
    <w:autoRedefine/>
    <w:uiPriority w:val="39"/>
    <w:unhideWhenUsed/>
    <w:rsid w:val="00AB40BF"/>
    <w:pPr>
      <w:tabs>
        <w:tab w:val="left" w:pos="480"/>
        <w:tab w:val="right" w:leader="dot" w:pos="9622"/>
      </w:tabs>
      <w:spacing w:after="100"/>
    </w:pPr>
  </w:style>
  <w:style w:type="paragraph" w:styleId="TOC2">
    <w:name w:val="toc 2"/>
    <w:basedOn w:val="Normal"/>
    <w:next w:val="Normal"/>
    <w:autoRedefine/>
    <w:uiPriority w:val="39"/>
    <w:unhideWhenUsed/>
    <w:rsid w:val="001A4928"/>
    <w:pPr>
      <w:spacing w:after="100"/>
      <w:ind w:left="240"/>
    </w:pPr>
  </w:style>
  <w:style w:type="character" w:styleId="Hyperlink">
    <w:name w:val="Hyperlink"/>
    <w:basedOn w:val="DefaultParagraphFont"/>
    <w:uiPriority w:val="99"/>
    <w:unhideWhenUsed/>
    <w:rsid w:val="001A4928"/>
    <w:rPr>
      <w:color w:val="1E428A" w:themeColor="hyperlink"/>
      <w:u w:val="single"/>
    </w:rPr>
  </w:style>
  <w:style w:type="paragraph" w:styleId="ListParagraph">
    <w:name w:val="List Paragraph"/>
    <w:aliases w:val="Recommendation,figure text numbered,List Paragraph1,List Paragraph11,List Paragraph Number,Bullet point,L,CV text,Table text,F5 List Paragraph,Dot pt,Medium Grid 1 - Accent 21,Numbered Paragraph,List Paragraph111,List Paragraph2,Number,列出"/>
    <w:basedOn w:val="Normal"/>
    <w:link w:val="ListParagraphChar"/>
    <w:uiPriority w:val="34"/>
    <w:qFormat/>
    <w:rsid w:val="003B5ADD"/>
    <w:pPr>
      <w:spacing w:after="160" w:line="259" w:lineRule="auto"/>
      <w:ind w:left="720"/>
      <w:contextualSpacing/>
    </w:pPr>
    <w:rPr>
      <w:rFonts w:asciiTheme="minorHAnsi" w:hAnsiTheme="minorHAnsi"/>
      <w:sz w:val="22"/>
      <w:szCs w:val="22"/>
      <w:lang w:val="en-AU"/>
    </w:rPr>
  </w:style>
  <w:style w:type="character" w:customStyle="1" w:styleId="ListParagraphChar">
    <w:name w:val="List Paragraph Char"/>
    <w:aliases w:val="Recommendation Char,figure text numbered Char,List Paragraph1 Char,List Paragraph11 Char,List Paragraph Number Char,Bullet point Char,L Char,CV text Char,Table text Char,F5 List Paragraph Char,Dot pt Char,Numbered Paragraph Char"/>
    <w:basedOn w:val="DefaultParagraphFont"/>
    <w:link w:val="ListParagraph"/>
    <w:uiPriority w:val="34"/>
    <w:qFormat/>
    <w:locked/>
    <w:rsid w:val="003B5ADD"/>
    <w:rPr>
      <w:rFonts w:asciiTheme="minorHAnsi" w:hAnsiTheme="minorHAnsi"/>
      <w:sz w:val="22"/>
      <w:szCs w:val="22"/>
    </w:rPr>
  </w:style>
  <w:style w:type="character" w:customStyle="1" w:styleId="normaltextrun">
    <w:name w:val="normaltextrun"/>
    <w:basedOn w:val="DefaultParagraphFont"/>
    <w:rsid w:val="00332F3A"/>
  </w:style>
  <w:style w:type="character" w:styleId="CommentReference">
    <w:name w:val="annotation reference"/>
    <w:basedOn w:val="DefaultParagraphFont"/>
    <w:uiPriority w:val="99"/>
    <w:semiHidden/>
    <w:unhideWhenUsed/>
    <w:rsid w:val="005D1953"/>
    <w:rPr>
      <w:sz w:val="16"/>
      <w:szCs w:val="16"/>
    </w:rPr>
  </w:style>
  <w:style w:type="paragraph" w:styleId="CommentText">
    <w:name w:val="annotation text"/>
    <w:basedOn w:val="Normal"/>
    <w:link w:val="CommentTextChar"/>
    <w:uiPriority w:val="99"/>
    <w:unhideWhenUsed/>
    <w:rsid w:val="005D1953"/>
    <w:rPr>
      <w:sz w:val="20"/>
      <w:szCs w:val="20"/>
    </w:rPr>
  </w:style>
  <w:style w:type="character" w:customStyle="1" w:styleId="CommentTextChar">
    <w:name w:val="Comment Text Char"/>
    <w:basedOn w:val="DefaultParagraphFont"/>
    <w:link w:val="CommentText"/>
    <w:uiPriority w:val="99"/>
    <w:rsid w:val="005D1953"/>
    <w:rPr>
      <w:sz w:val="20"/>
      <w:szCs w:val="20"/>
      <w:lang w:val="en-US"/>
    </w:rPr>
  </w:style>
  <w:style w:type="paragraph" w:styleId="CommentSubject">
    <w:name w:val="annotation subject"/>
    <w:basedOn w:val="CommentText"/>
    <w:next w:val="CommentText"/>
    <w:link w:val="CommentSubjectChar"/>
    <w:uiPriority w:val="99"/>
    <w:semiHidden/>
    <w:unhideWhenUsed/>
    <w:rsid w:val="005D1953"/>
    <w:rPr>
      <w:b/>
      <w:bCs/>
    </w:rPr>
  </w:style>
  <w:style w:type="character" w:customStyle="1" w:styleId="CommentSubjectChar">
    <w:name w:val="Comment Subject Char"/>
    <w:basedOn w:val="CommentTextChar"/>
    <w:link w:val="CommentSubject"/>
    <w:uiPriority w:val="99"/>
    <w:semiHidden/>
    <w:rsid w:val="005D1953"/>
    <w:rPr>
      <w:b/>
      <w:bCs/>
      <w:sz w:val="20"/>
      <w:szCs w:val="20"/>
      <w:lang w:val="en-US"/>
    </w:rPr>
  </w:style>
  <w:style w:type="paragraph" w:styleId="FootnoteText">
    <w:name w:val="footnote text"/>
    <w:basedOn w:val="Normal"/>
    <w:link w:val="FootnoteTextChar"/>
    <w:rsid w:val="000F2A45"/>
    <w:pPr>
      <w:tabs>
        <w:tab w:val="left" w:pos="320"/>
      </w:tabs>
      <w:ind w:left="284" w:hanging="284"/>
    </w:pPr>
    <w:rPr>
      <w:rFonts w:asciiTheme="minorHAnsi" w:eastAsia="Times New Roman" w:hAnsiTheme="minorHAnsi" w:cs="Times New Roman"/>
      <w:snapToGrid w:val="0"/>
      <w:color w:val="465762" w:themeColor="text2"/>
      <w:spacing w:val="-3"/>
      <w:kern w:val="0"/>
      <w:sz w:val="14"/>
      <w:szCs w:val="16"/>
      <w:lang w:val="en-AU" w:eastAsia="en-AU"/>
      <w14:ligatures w14:val="none"/>
    </w:rPr>
  </w:style>
  <w:style w:type="character" w:customStyle="1" w:styleId="FootnoteTextChar">
    <w:name w:val="Footnote Text Char"/>
    <w:basedOn w:val="DefaultParagraphFont"/>
    <w:link w:val="FootnoteText"/>
    <w:rsid w:val="000F2A45"/>
    <w:rPr>
      <w:rFonts w:asciiTheme="minorHAnsi" w:eastAsia="Times New Roman" w:hAnsiTheme="minorHAnsi" w:cs="Times New Roman"/>
      <w:snapToGrid w:val="0"/>
      <w:color w:val="465762" w:themeColor="text2"/>
      <w:spacing w:val="-3"/>
      <w:kern w:val="0"/>
      <w:sz w:val="14"/>
      <w:szCs w:val="16"/>
      <w:lang w:eastAsia="en-AU"/>
      <w14:ligatures w14:val="none"/>
    </w:rPr>
  </w:style>
  <w:style w:type="character" w:styleId="FootnoteReference">
    <w:name w:val="footnote reference"/>
    <w:basedOn w:val="DefaultParagraphFont"/>
    <w:semiHidden/>
    <w:rsid w:val="000F2A45"/>
    <w:rPr>
      <w:rFonts w:asciiTheme="minorHAnsi" w:hAnsiTheme="minorHAnsi" w:cstheme="minorHAnsi"/>
      <w:vertAlign w:val="superscript"/>
    </w:rPr>
  </w:style>
  <w:style w:type="table" w:styleId="PlainTable5">
    <w:name w:val="Plain Table 5"/>
    <w:basedOn w:val="TableNormal"/>
    <w:uiPriority w:val="45"/>
    <w:rsid w:val="006D3A44"/>
    <w:rPr>
      <w:rFonts w:asciiTheme="minorHAnsi" w:hAnsiTheme="min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8E0F1C"/>
    <w:rPr>
      <w:lang w:val="en-US"/>
    </w:rPr>
  </w:style>
  <w:style w:type="character" w:styleId="Mention">
    <w:name w:val="Mention"/>
    <w:basedOn w:val="DefaultParagraphFont"/>
    <w:uiPriority w:val="99"/>
    <w:unhideWhenUsed/>
    <w:rsid w:val="00223217"/>
    <w:rPr>
      <w:color w:val="2B579A"/>
      <w:shd w:val="clear" w:color="auto" w:fill="E1DFDD"/>
    </w:rPr>
  </w:style>
  <w:style w:type="paragraph" w:customStyle="1" w:styleId="pf0">
    <w:name w:val="pf0"/>
    <w:basedOn w:val="Normal"/>
    <w:rsid w:val="00451C65"/>
    <w:pPr>
      <w:spacing w:before="100" w:beforeAutospacing="1" w:after="100" w:afterAutospacing="1"/>
    </w:pPr>
    <w:rPr>
      <w:rFonts w:ascii="Times New Roman" w:eastAsia="Times New Roman" w:hAnsi="Times New Roman" w:cs="Times New Roman"/>
      <w:kern w:val="0"/>
      <w:lang w:val="en-AU" w:eastAsia="en-AU"/>
      <w14:ligatures w14:val="none"/>
    </w:rPr>
  </w:style>
  <w:style w:type="character" w:customStyle="1" w:styleId="cf01">
    <w:name w:val="cf01"/>
    <w:basedOn w:val="DefaultParagraphFont"/>
    <w:rsid w:val="00451C65"/>
    <w:rPr>
      <w:rFonts w:ascii="Segoe UI" w:hAnsi="Segoe UI" w:cs="Segoe UI" w:hint="default"/>
      <w:sz w:val="18"/>
      <w:szCs w:val="18"/>
    </w:rPr>
  </w:style>
  <w:style w:type="character" w:styleId="Emphasis">
    <w:name w:val="Emphasis"/>
    <w:basedOn w:val="DefaultParagraphFont"/>
    <w:uiPriority w:val="20"/>
    <w:qFormat/>
    <w:rsid w:val="002332CE"/>
    <w:rPr>
      <w:i/>
      <w:iCs/>
    </w:rPr>
  </w:style>
  <w:style w:type="table" w:styleId="TableGrid">
    <w:name w:val="Table Grid"/>
    <w:basedOn w:val="TableNormal"/>
    <w:uiPriority w:val="39"/>
    <w:rsid w:val="001C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6E17"/>
    <w:rPr>
      <w:color w:val="605E5C"/>
      <w:shd w:val="clear" w:color="auto" w:fill="E1DFDD"/>
    </w:rPr>
  </w:style>
  <w:style w:type="paragraph" w:styleId="TOC3">
    <w:name w:val="toc 3"/>
    <w:basedOn w:val="Normal"/>
    <w:next w:val="Normal"/>
    <w:autoRedefine/>
    <w:uiPriority w:val="39"/>
    <w:unhideWhenUsed/>
    <w:rsid w:val="000C6116"/>
    <w:pPr>
      <w:spacing w:after="100" w:line="259" w:lineRule="auto"/>
      <w:ind w:left="440"/>
    </w:pPr>
    <w:rPr>
      <w:rFonts w:asciiTheme="minorHAnsi" w:eastAsiaTheme="minorEastAsia" w:hAnsiTheme="minorHAnsi" w:cs="Times New Roman"/>
      <w:kern w:val="0"/>
      <w:sz w:val="22"/>
      <w:szCs w:val="22"/>
      <w:lang w:val="en-AU" w:eastAsia="en-AU"/>
      <w14:ligatures w14:val="none"/>
    </w:rPr>
  </w:style>
  <w:style w:type="paragraph" w:styleId="NormalWeb">
    <w:name w:val="Normal (Web)"/>
    <w:basedOn w:val="Normal"/>
    <w:uiPriority w:val="99"/>
    <w:unhideWhenUsed/>
    <w:rsid w:val="00BC6D81"/>
    <w:pPr>
      <w:spacing w:before="100" w:beforeAutospacing="1" w:after="100" w:afterAutospacing="1"/>
    </w:pPr>
    <w:rPr>
      <w:rFonts w:ascii="Times New Roman" w:eastAsia="Times New Roman" w:hAnsi="Times New Roman" w:cs="Times New Roman"/>
      <w:kern w:val="0"/>
      <w:lang w:val="en-AU" w:eastAsia="en-AU"/>
      <w14:ligatures w14:val="none"/>
    </w:rPr>
  </w:style>
  <w:style w:type="paragraph" w:styleId="NoSpacing">
    <w:name w:val="No Spacing"/>
    <w:uiPriority w:val="1"/>
    <w:qFormat/>
    <w:rsid w:val="0073756C"/>
    <w:rPr>
      <w:rFonts w:asciiTheme="minorHAnsi" w:eastAsiaTheme="minorHAnsi" w:hAnsiTheme="minorHAnsi"/>
      <w:color w:val="465762" w:themeColor="text2"/>
      <w:kern w:val="0"/>
      <w:sz w:val="20"/>
      <w:szCs w:val="20"/>
      <w:lang w:val="en-US"/>
      <w14:ligatures w14:val="none"/>
    </w:rPr>
  </w:style>
  <w:style w:type="character" w:styleId="FollowedHyperlink">
    <w:name w:val="FollowedHyperlink"/>
    <w:basedOn w:val="DefaultParagraphFont"/>
    <w:uiPriority w:val="99"/>
    <w:semiHidden/>
    <w:unhideWhenUsed/>
    <w:rsid w:val="00A16B33"/>
    <w:rPr>
      <w:color w:val="465762" w:themeColor="followedHyperlink"/>
      <w:u w:val="single"/>
    </w:rPr>
  </w:style>
  <w:style w:type="character" w:customStyle="1" w:styleId="Heading3Char">
    <w:name w:val="Heading 3 Char"/>
    <w:basedOn w:val="DefaultParagraphFont"/>
    <w:link w:val="Heading3"/>
    <w:uiPriority w:val="9"/>
    <w:rsid w:val="00A10F4F"/>
    <w:rPr>
      <w:rFonts w:asciiTheme="majorHAnsi" w:eastAsiaTheme="majorEastAsia" w:hAnsiTheme="majorHAnsi" w:cstheme="majorBidi"/>
      <w:color w:val="70110D" w:themeColor="accent1" w:themeShade="7F"/>
      <w:lang w:val="en-US"/>
    </w:rPr>
  </w:style>
  <w:style w:type="character" w:customStyle="1" w:styleId="Heading4Char">
    <w:name w:val="Heading 4 Char"/>
    <w:basedOn w:val="DefaultParagraphFont"/>
    <w:link w:val="Heading4"/>
    <w:uiPriority w:val="9"/>
    <w:rsid w:val="00540368"/>
    <w:rPr>
      <w:rFonts w:asciiTheme="majorHAnsi" w:eastAsiaTheme="majorEastAsia" w:hAnsiTheme="majorHAnsi" w:cstheme="majorBidi"/>
      <w:i/>
      <w:iCs/>
      <w:color w:val="A91913"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387909">
      <w:bodyDiv w:val="1"/>
      <w:marLeft w:val="0"/>
      <w:marRight w:val="0"/>
      <w:marTop w:val="0"/>
      <w:marBottom w:val="0"/>
      <w:divBdr>
        <w:top w:val="none" w:sz="0" w:space="0" w:color="auto"/>
        <w:left w:val="none" w:sz="0" w:space="0" w:color="auto"/>
        <w:bottom w:val="none" w:sz="0" w:space="0" w:color="auto"/>
        <w:right w:val="none" w:sz="0" w:space="0" w:color="auto"/>
      </w:divBdr>
    </w:div>
    <w:div w:id="150414339">
      <w:bodyDiv w:val="1"/>
      <w:marLeft w:val="0"/>
      <w:marRight w:val="0"/>
      <w:marTop w:val="0"/>
      <w:marBottom w:val="0"/>
      <w:divBdr>
        <w:top w:val="none" w:sz="0" w:space="0" w:color="auto"/>
        <w:left w:val="none" w:sz="0" w:space="0" w:color="auto"/>
        <w:bottom w:val="none" w:sz="0" w:space="0" w:color="auto"/>
        <w:right w:val="none" w:sz="0" w:space="0" w:color="auto"/>
      </w:divBdr>
      <w:divsChild>
        <w:div w:id="970282724">
          <w:marLeft w:val="274"/>
          <w:marRight w:val="0"/>
          <w:marTop w:val="0"/>
          <w:marBottom w:val="0"/>
          <w:divBdr>
            <w:top w:val="none" w:sz="0" w:space="0" w:color="auto"/>
            <w:left w:val="none" w:sz="0" w:space="0" w:color="auto"/>
            <w:bottom w:val="none" w:sz="0" w:space="0" w:color="auto"/>
            <w:right w:val="none" w:sz="0" w:space="0" w:color="auto"/>
          </w:divBdr>
        </w:div>
      </w:divsChild>
    </w:div>
    <w:div w:id="166989090">
      <w:bodyDiv w:val="1"/>
      <w:marLeft w:val="0"/>
      <w:marRight w:val="0"/>
      <w:marTop w:val="0"/>
      <w:marBottom w:val="0"/>
      <w:divBdr>
        <w:top w:val="none" w:sz="0" w:space="0" w:color="auto"/>
        <w:left w:val="none" w:sz="0" w:space="0" w:color="auto"/>
        <w:bottom w:val="none" w:sz="0" w:space="0" w:color="auto"/>
        <w:right w:val="none" w:sz="0" w:space="0" w:color="auto"/>
      </w:divBdr>
      <w:divsChild>
        <w:div w:id="1195459014">
          <w:marLeft w:val="274"/>
          <w:marRight w:val="0"/>
          <w:marTop w:val="0"/>
          <w:marBottom w:val="0"/>
          <w:divBdr>
            <w:top w:val="none" w:sz="0" w:space="0" w:color="auto"/>
            <w:left w:val="none" w:sz="0" w:space="0" w:color="auto"/>
            <w:bottom w:val="none" w:sz="0" w:space="0" w:color="auto"/>
            <w:right w:val="none" w:sz="0" w:space="0" w:color="auto"/>
          </w:divBdr>
        </w:div>
        <w:div w:id="1606959205">
          <w:marLeft w:val="274"/>
          <w:marRight w:val="0"/>
          <w:marTop w:val="0"/>
          <w:marBottom w:val="0"/>
          <w:divBdr>
            <w:top w:val="none" w:sz="0" w:space="0" w:color="auto"/>
            <w:left w:val="none" w:sz="0" w:space="0" w:color="auto"/>
            <w:bottom w:val="none" w:sz="0" w:space="0" w:color="auto"/>
            <w:right w:val="none" w:sz="0" w:space="0" w:color="auto"/>
          </w:divBdr>
        </w:div>
      </w:divsChild>
    </w:div>
    <w:div w:id="318071429">
      <w:bodyDiv w:val="1"/>
      <w:marLeft w:val="0"/>
      <w:marRight w:val="0"/>
      <w:marTop w:val="0"/>
      <w:marBottom w:val="0"/>
      <w:divBdr>
        <w:top w:val="none" w:sz="0" w:space="0" w:color="auto"/>
        <w:left w:val="none" w:sz="0" w:space="0" w:color="auto"/>
        <w:bottom w:val="none" w:sz="0" w:space="0" w:color="auto"/>
        <w:right w:val="none" w:sz="0" w:space="0" w:color="auto"/>
      </w:divBdr>
    </w:div>
    <w:div w:id="387339869">
      <w:bodyDiv w:val="1"/>
      <w:marLeft w:val="0"/>
      <w:marRight w:val="0"/>
      <w:marTop w:val="0"/>
      <w:marBottom w:val="0"/>
      <w:divBdr>
        <w:top w:val="none" w:sz="0" w:space="0" w:color="auto"/>
        <w:left w:val="none" w:sz="0" w:space="0" w:color="auto"/>
        <w:bottom w:val="none" w:sz="0" w:space="0" w:color="auto"/>
        <w:right w:val="none" w:sz="0" w:space="0" w:color="auto"/>
      </w:divBdr>
    </w:div>
    <w:div w:id="444035401">
      <w:bodyDiv w:val="1"/>
      <w:marLeft w:val="0"/>
      <w:marRight w:val="0"/>
      <w:marTop w:val="0"/>
      <w:marBottom w:val="0"/>
      <w:divBdr>
        <w:top w:val="none" w:sz="0" w:space="0" w:color="auto"/>
        <w:left w:val="none" w:sz="0" w:space="0" w:color="auto"/>
        <w:bottom w:val="none" w:sz="0" w:space="0" w:color="auto"/>
        <w:right w:val="none" w:sz="0" w:space="0" w:color="auto"/>
      </w:divBdr>
    </w:div>
    <w:div w:id="505172386">
      <w:bodyDiv w:val="1"/>
      <w:marLeft w:val="0"/>
      <w:marRight w:val="0"/>
      <w:marTop w:val="0"/>
      <w:marBottom w:val="0"/>
      <w:divBdr>
        <w:top w:val="none" w:sz="0" w:space="0" w:color="auto"/>
        <w:left w:val="none" w:sz="0" w:space="0" w:color="auto"/>
        <w:bottom w:val="none" w:sz="0" w:space="0" w:color="auto"/>
        <w:right w:val="none" w:sz="0" w:space="0" w:color="auto"/>
      </w:divBdr>
      <w:divsChild>
        <w:div w:id="512653101">
          <w:marLeft w:val="274"/>
          <w:marRight w:val="0"/>
          <w:marTop w:val="0"/>
          <w:marBottom w:val="0"/>
          <w:divBdr>
            <w:top w:val="none" w:sz="0" w:space="0" w:color="auto"/>
            <w:left w:val="none" w:sz="0" w:space="0" w:color="auto"/>
            <w:bottom w:val="none" w:sz="0" w:space="0" w:color="auto"/>
            <w:right w:val="none" w:sz="0" w:space="0" w:color="auto"/>
          </w:divBdr>
        </w:div>
        <w:div w:id="2111773244">
          <w:marLeft w:val="274"/>
          <w:marRight w:val="0"/>
          <w:marTop w:val="0"/>
          <w:marBottom w:val="0"/>
          <w:divBdr>
            <w:top w:val="none" w:sz="0" w:space="0" w:color="auto"/>
            <w:left w:val="none" w:sz="0" w:space="0" w:color="auto"/>
            <w:bottom w:val="none" w:sz="0" w:space="0" w:color="auto"/>
            <w:right w:val="none" w:sz="0" w:space="0" w:color="auto"/>
          </w:divBdr>
        </w:div>
      </w:divsChild>
    </w:div>
    <w:div w:id="518740991">
      <w:bodyDiv w:val="1"/>
      <w:marLeft w:val="0"/>
      <w:marRight w:val="0"/>
      <w:marTop w:val="0"/>
      <w:marBottom w:val="0"/>
      <w:divBdr>
        <w:top w:val="none" w:sz="0" w:space="0" w:color="auto"/>
        <w:left w:val="none" w:sz="0" w:space="0" w:color="auto"/>
        <w:bottom w:val="none" w:sz="0" w:space="0" w:color="auto"/>
        <w:right w:val="none" w:sz="0" w:space="0" w:color="auto"/>
      </w:divBdr>
      <w:divsChild>
        <w:div w:id="377436906">
          <w:marLeft w:val="274"/>
          <w:marRight w:val="0"/>
          <w:marTop w:val="0"/>
          <w:marBottom w:val="0"/>
          <w:divBdr>
            <w:top w:val="none" w:sz="0" w:space="0" w:color="auto"/>
            <w:left w:val="none" w:sz="0" w:space="0" w:color="auto"/>
            <w:bottom w:val="none" w:sz="0" w:space="0" w:color="auto"/>
            <w:right w:val="none" w:sz="0" w:space="0" w:color="auto"/>
          </w:divBdr>
        </w:div>
        <w:div w:id="1114249599">
          <w:marLeft w:val="274"/>
          <w:marRight w:val="0"/>
          <w:marTop w:val="0"/>
          <w:marBottom w:val="0"/>
          <w:divBdr>
            <w:top w:val="none" w:sz="0" w:space="0" w:color="auto"/>
            <w:left w:val="none" w:sz="0" w:space="0" w:color="auto"/>
            <w:bottom w:val="none" w:sz="0" w:space="0" w:color="auto"/>
            <w:right w:val="none" w:sz="0" w:space="0" w:color="auto"/>
          </w:divBdr>
        </w:div>
        <w:div w:id="1272665193">
          <w:marLeft w:val="274"/>
          <w:marRight w:val="0"/>
          <w:marTop w:val="0"/>
          <w:marBottom w:val="0"/>
          <w:divBdr>
            <w:top w:val="none" w:sz="0" w:space="0" w:color="auto"/>
            <w:left w:val="none" w:sz="0" w:space="0" w:color="auto"/>
            <w:bottom w:val="none" w:sz="0" w:space="0" w:color="auto"/>
            <w:right w:val="none" w:sz="0" w:space="0" w:color="auto"/>
          </w:divBdr>
        </w:div>
        <w:div w:id="1793741478">
          <w:marLeft w:val="274"/>
          <w:marRight w:val="0"/>
          <w:marTop w:val="0"/>
          <w:marBottom w:val="0"/>
          <w:divBdr>
            <w:top w:val="none" w:sz="0" w:space="0" w:color="auto"/>
            <w:left w:val="none" w:sz="0" w:space="0" w:color="auto"/>
            <w:bottom w:val="none" w:sz="0" w:space="0" w:color="auto"/>
            <w:right w:val="none" w:sz="0" w:space="0" w:color="auto"/>
          </w:divBdr>
        </w:div>
        <w:div w:id="1963881600">
          <w:marLeft w:val="274"/>
          <w:marRight w:val="0"/>
          <w:marTop w:val="0"/>
          <w:marBottom w:val="0"/>
          <w:divBdr>
            <w:top w:val="none" w:sz="0" w:space="0" w:color="auto"/>
            <w:left w:val="none" w:sz="0" w:space="0" w:color="auto"/>
            <w:bottom w:val="none" w:sz="0" w:space="0" w:color="auto"/>
            <w:right w:val="none" w:sz="0" w:space="0" w:color="auto"/>
          </w:divBdr>
        </w:div>
      </w:divsChild>
    </w:div>
    <w:div w:id="524101804">
      <w:bodyDiv w:val="1"/>
      <w:marLeft w:val="0"/>
      <w:marRight w:val="0"/>
      <w:marTop w:val="0"/>
      <w:marBottom w:val="0"/>
      <w:divBdr>
        <w:top w:val="none" w:sz="0" w:space="0" w:color="auto"/>
        <w:left w:val="none" w:sz="0" w:space="0" w:color="auto"/>
        <w:bottom w:val="none" w:sz="0" w:space="0" w:color="auto"/>
        <w:right w:val="none" w:sz="0" w:space="0" w:color="auto"/>
      </w:divBdr>
    </w:div>
    <w:div w:id="592124435">
      <w:bodyDiv w:val="1"/>
      <w:marLeft w:val="0"/>
      <w:marRight w:val="0"/>
      <w:marTop w:val="0"/>
      <w:marBottom w:val="0"/>
      <w:divBdr>
        <w:top w:val="none" w:sz="0" w:space="0" w:color="auto"/>
        <w:left w:val="none" w:sz="0" w:space="0" w:color="auto"/>
        <w:bottom w:val="none" w:sz="0" w:space="0" w:color="auto"/>
        <w:right w:val="none" w:sz="0" w:space="0" w:color="auto"/>
      </w:divBdr>
      <w:divsChild>
        <w:div w:id="693775361">
          <w:marLeft w:val="274"/>
          <w:marRight w:val="0"/>
          <w:marTop w:val="0"/>
          <w:marBottom w:val="0"/>
          <w:divBdr>
            <w:top w:val="none" w:sz="0" w:space="0" w:color="auto"/>
            <w:left w:val="none" w:sz="0" w:space="0" w:color="auto"/>
            <w:bottom w:val="none" w:sz="0" w:space="0" w:color="auto"/>
            <w:right w:val="none" w:sz="0" w:space="0" w:color="auto"/>
          </w:divBdr>
        </w:div>
        <w:div w:id="1314914515">
          <w:marLeft w:val="274"/>
          <w:marRight w:val="0"/>
          <w:marTop w:val="0"/>
          <w:marBottom w:val="0"/>
          <w:divBdr>
            <w:top w:val="none" w:sz="0" w:space="0" w:color="auto"/>
            <w:left w:val="none" w:sz="0" w:space="0" w:color="auto"/>
            <w:bottom w:val="none" w:sz="0" w:space="0" w:color="auto"/>
            <w:right w:val="none" w:sz="0" w:space="0" w:color="auto"/>
          </w:divBdr>
        </w:div>
      </w:divsChild>
    </w:div>
    <w:div w:id="652217009">
      <w:bodyDiv w:val="1"/>
      <w:marLeft w:val="0"/>
      <w:marRight w:val="0"/>
      <w:marTop w:val="0"/>
      <w:marBottom w:val="0"/>
      <w:divBdr>
        <w:top w:val="none" w:sz="0" w:space="0" w:color="auto"/>
        <w:left w:val="none" w:sz="0" w:space="0" w:color="auto"/>
        <w:bottom w:val="none" w:sz="0" w:space="0" w:color="auto"/>
        <w:right w:val="none" w:sz="0" w:space="0" w:color="auto"/>
      </w:divBdr>
    </w:div>
    <w:div w:id="684669503">
      <w:bodyDiv w:val="1"/>
      <w:marLeft w:val="0"/>
      <w:marRight w:val="0"/>
      <w:marTop w:val="0"/>
      <w:marBottom w:val="0"/>
      <w:divBdr>
        <w:top w:val="none" w:sz="0" w:space="0" w:color="auto"/>
        <w:left w:val="none" w:sz="0" w:space="0" w:color="auto"/>
        <w:bottom w:val="none" w:sz="0" w:space="0" w:color="auto"/>
        <w:right w:val="none" w:sz="0" w:space="0" w:color="auto"/>
      </w:divBdr>
    </w:div>
    <w:div w:id="691103622">
      <w:bodyDiv w:val="1"/>
      <w:marLeft w:val="0"/>
      <w:marRight w:val="0"/>
      <w:marTop w:val="0"/>
      <w:marBottom w:val="0"/>
      <w:divBdr>
        <w:top w:val="none" w:sz="0" w:space="0" w:color="auto"/>
        <w:left w:val="none" w:sz="0" w:space="0" w:color="auto"/>
        <w:bottom w:val="none" w:sz="0" w:space="0" w:color="auto"/>
        <w:right w:val="none" w:sz="0" w:space="0" w:color="auto"/>
      </w:divBdr>
      <w:divsChild>
        <w:div w:id="314650848">
          <w:marLeft w:val="274"/>
          <w:marRight w:val="0"/>
          <w:marTop w:val="0"/>
          <w:marBottom w:val="0"/>
          <w:divBdr>
            <w:top w:val="none" w:sz="0" w:space="0" w:color="auto"/>
            <w:left w:val="none" w:sz="0" w:space="0" w:color="auto"/>
            <w:bottom w:val="none" w:sz="0" w:space="0" w:color="auto"/>
            <w:right w:val="none" w:sz="0" w:space="0" w:color="auto"/>
          </w:divBdr>
        </w:div>
        <w:div w:id="435559425">
          <w:marLeft w:val="274"/>
          <w:marRight w:val="0"/>
          <w:marTop w:val="0"/>
          <w:marBottom w:val="0"/>
          <w:divBdr>
            <w:top w:val="none" w:sz="0" w:space="0" w:color="auto"/>
            <w:left w:val="none" w:sz="0" w:space="0" w:color="auto"/>
            <w:bottom w:val="none" w:sz="0" w:space="0" w:color="auto"/>
            <w:right w:val="none" w:sz="0" w:space="0" w:color="auto"/>
          </w:divBdr>
        </w:div>
        <w:div w:id="1097747006">
          <w:marLeft w:val="274"/>
          <w:marRight w:val="0"/>
          <w:marTop w:val="0"/>
          <w:marBottom w:val="0"/>
          <w:divBdr>
            <w:top w:val="none" w:sz="0" w:space="0" w:color="auto"/>
            <w:left w:val="none" w:sz="0" w:space="0" w:color="auto"/>
            <w:bottom w:val="none" w:sz="0" w:space="0" w:color="auto"/>
            <w:right w:val="none" w:sz="0" w:space="0" w:color="auto"/>
          </w:divBdr>
        </w:div>
      </w:divsChild>
    </w:div>
    <w:div w:id="702369687">
      <w:bodyDiv w:val="1"/>
      <w:marLeft w:val="0"/>
      <w:marRight w:val="0"/>
      <w:marTop w:val="0"/>
      <w:marBottom w:val="0"/>
      <w:divBdr>
        <w:top w:val="none" w:sz="0" w:space="0" w:color="auto"/>
        <w:left w:val="none" w:sz="0" w:space="0" w:color="auto"/>
        <w:bottom w:val="none" w:sz="0" w:space="0" w:color="auto"/>
        <w:right w:val="none" w:sz="0" w:space="0" w:color="auto"/>
      </w:divBdr>
    </w:div>
    <w:div w:id="810364486">
      <w:bodyDiv w:val="1"/>
      <w:marLeft w:val="0"/>
      <w:marRight w:val="0"/>
      <w:marTop w:val="0"/>
      <w:marBottom w:val="0"/>
      <w:divBdr>
        <w:top w:val="none" w:sz="0" w:space="0" w:color="auto"/>
        <w:left w:val="none" w:sz="0" w:space="0" w:color="auto"/>
        <w:bottom w:val="none" w:sz="0" w:space="0" w:color="auto"/>
        <w:right w:val="none" w:sz="0" w:space="0" w:color="auto"/>
      </w:divBdr>
    </w:div>
    <w:div w:id="837766033">
      <w:bodyDiv w:val="1"/>
      <w:marLeft w:val="0"/>
      <w:marRight w:val="0"/>
      <w:marTop w:val="0"/>
      <w:marBottom w:val="0"/>
      <w:divBdr>
        <w:top w:val="none" w:sz="0" w:space="0" w:color="auto"/>
        <w:left w:val="none" w:sz="0" w:space="0" w:color="auto"/>
        <w:bottom w:val="none" w:sz="0" w:space="0" w:color="auto"/>
        <w:right w:val="none" w:sz="0" w:space="0" w:color="auto"/>
      </w:divBdr>
    </w:div>
    <w:div w:id="842935272">
      <w:bodyDiv w:val="1"/>
      <w:marLeft w:val="0"/>
      <w:marRight w:val="0"/>
      <w:marTop w:val="0"/>
      <w:marBottom w:val="0"/>
      <w:divBdr>
        <w:top w:val="none" w:sz="0" w:space="0" w:color="auto"/>
        <w:left w:val="none" w:sz="0" w:space="0" w:color="auto"/>
        <w:bottom w:val="none" w:sz="0" w:space="0" w:color="auto"/>
        <w:right w:val="none" w:sz="0" w:space="0" w:color="auto"/>
      </w:divBdr>
      <w:divsChild>
        <w:div w:id="866019256">
          <w:marLeft w:val="274"/>
          <w:marRight w:val="0"/>
          <w:marTop w:val="0"/>
          <w:marBottom w:val="0"/>
          <w:divBdr>
            <w:top w:val="none" w:sz="0" w:space="0" w:color="auto"/>
            <w:left w:val="none" w:sz="0" w:space="0" w:color="auto"/>
            <w:bottom w:val="none" w:sz="0" w:space="0" w:color="auto"/>
            <w:right w:val="none" w:sz="0" w:space="0" w:color="auto"/>
          </w:divBdr>
        </w:div>
      </w:divsChild>
    </w:div>
    <w:div w:id="847525058">
      <w:bodyDiv w:val="1"/>
      <w:marLeft w:val="0"/>
      <w:marRight w:val="0"/>
      <w:marTop w:val="0"/>
      <w:marBottom w:val="0"/>
      <w:divBdr>
        <w:top w:val="none" w:sz="0" w:space="0" w:color="auto"/>
        <w:left w:val="none" w:sz="0" w:space="0" w:color="auto"/>
        <w:bottom w:val="none" w:sz="0" w:space="0" w:color="auto"/>
        <w:right w:val="none" w:sz="0" w:space="0" w:color="auto"/>
      </w:divBdr>
    </w:div>
    <w:div w:id="850072039">
      <w:bodyDiv w:val="1"/>
      <w:marLeft w:val="0"/>
      <w:marRight w:val="0"/>
      <w:marTop w:val="0"/>
      <w:marBottom w:val="0"/>
      <w:divBdr>
        <w:top w:val="none" w:sz="0" w:space="0" w:color="auto"/>
        <w:left w:val="none" w:sz="0" w:space="0" w:color="auto"/>
        <w:bottom w:val="none" w:sz="0" w:space="0" w:color="auto"/>
        <w:right w:val="none" w:sz="0" w:space="0" w:color="auto"/>
      </w:divBdr>
    </w:div>
    <w:div w:id="865993199">
      <w:bodyDiv w:val="1"/>
      <w:marLeft w:val="0"/>
      <w:marRight w:val="0"/>
      <w:marTop w:val="0"/>
      <w:marBottom w:val="0"/>
      <w:divBdr>
        <w:top w:val="none" w:sz="0" w:space="0" w:color="auto"/>
        <w:left w:val="none" w:sz="0" w:space="0" w:color="auto"/>
        <w:bottom w:val="none" w:sz="0" w:space="0" w:color="auto"/>
        <w:right w:val="none" w:sz="0" w:space="0" w:color="auto"/>
      </w:divBdr>
    </w:div>
    <w:div w:id="876314063">
      <w:bodyDiv w:val="1"/>
      <w:marLeft w:val="0"/>
      <w:marRight w:val="0"/>
      <w:marTop w:val="0"/>
      <w:marBottom w:val="0"/>
      <w:divBdr>
        <w:top w:val="none" w:sz="0" w:space="0" w:color="auto"/>
        <w:left w:val="none" w:sz="0" w:space="0" w:color="auto"/>
        <w:bottom w:val="none" w:sz="0" w:space="0" w:color="auto"/>
        <w:right w:val="none" w:sz="0" w:space="0" w:color="auto"/>
      </w:divBdr>
      <w:divsChild>
        <w:div w:id="1071737965">
          <w:marLeft w:val="274"/>
          <w:marRight w:val="0"/>
          <w:marTop w:val="0"/>
          <w:marBottom w:val="0"/>
          <w:divBdr>
            <w:top w:val="none" w:sz="0" w:space="0" w:color="auto"/>
            <w:left w:val="none" w:sz="0" w:space="0" w:color="auto"/>
            <w:bottom w:val="none" w:sz="0" w:space="0" w:color="auto"/>
            <w:right w:val="none" w:sz="0" w:space="0" w:color="auto"/>
          </w:divBdr>
        </w:div>
        <w:div w:id="1473911050">
          <w:marLeft w:val="274"/>
          <w:marRight w:val="0"/>
          <w:marTop w:val="0"/>
          <w:marBottom w:val="0"/>
          <w:divBdr>
            <w:top w:val="none" w:sz="0" w:space="0" w:color="auto"/>
            <w:left w:val="none" w:sz="0" w:space="0" w:color="auto"/>
            <w:bottom w:val="none" w:sz="0" w:space="0" w:color="auto"/>
            <w:right w:val="none" w:sz="0" w:space="0" w:color="auto"/>
          </w:divBdr>
        </w:div>
        <w:div w:id="1511795958">
          <w:marLeft w:val="274"/>
          <w:marRight w:val="0"/>
          <w:marTop w:val="0"/>
          <w:marBottom w:val="0"/>
          <w:divBdr>
            <w:top w:val="none" w:sz="0" w:space="0" w:color="auto"/>
            <w:left w:val="none" w:sz="0" w:space="0" w:color="auto"/>
            <w:bottom w:val="none" w:sz="0" w:space="0" w:color="auto"/>
            <w:right w:val="none" w:sz="0" w:space="0" w:color="auto"/>
          </w:divBdr>
        </w:div>
        <w:div w:id="1728994782">
          <w:marLeft w:val="274"/>
          <w:marRight w:val="0"/>
          <w:marTop w:val="0"/>
          <w:marBottom w:val="0"/>
          <w:divBdr>
            <w:top w:val="none" w:sz="0" w:space="0" w:color="auto"/>
            <w:left w:val="none" w:sz="0" w:space="0" w:color="auto"/>
            <w:bottom w:val="none" w:sz="0" w:space="0" w:color="auto"/>
            <w:right w:val="none" w:sz="0" w:space="0" w:color="auto"/>
          </w:divBdr>
        </w:div>
      </w:divsChild>
    </w:div>
    <w:div w:id="1174614896">
      <w:bodyDiv w:val="1"/>
      <w:marLeft w:val="0"/>
      <w:marRight w:val="0"/>
      <w:marTop w:val="0"/>
      <w:marBottom w:val="0"/>
      <w:divBdr>
        <w:top w:val="none" w:sz="0" w:space="0" w:color="auto"/>
        <w:left w:val="none" w:sz="0" w:space="0" w:color="auto"/>
        <w:bottom w:val="none" w:sz="0" w:space="0" w:color="auto"/>
        <w:right w:val="none" w:sz="0" w:space="0" w:color="auto"/>
      </w:divBdr>
    </w:div>
    <w:div w:id="1202792408">
      <w:bodyDiv w:val="1"/>
      <w:marLeft w:val="0"/>
      <w:marRight w:val="0"/>
      <w:marTop w:val="0"/>
      <w:marBottom w:val="0"/>
      <w:divBdr>
        <w:top w:val="none" w:sz="0" w:space="0" w:color="auto"/>
        <w:left w:val="none" w:sz="0" w:space="0" w:color="auto"/>
        <w:bottom w:val="none" w:sz="0" w:space="0" w:color="auto"/>
        <w:right w:val="none" w:sz="0" w:space="0" w:color="auto"/>
      </w:divBdr>
      <w:divsChild>
        <w:div w:id="1979452672">
          <w:marLeft w:val="274"/>
          <w:marRight w:val="0"/>
          <w:marTop w:val="0"/>
          <w:marBottom w:val="0"/>
          <w:divBdr>
            <w:top w:val="none" w:sz="0" w:space="0" w:color="auto"/>
            <w:left w:val="none" w:sz="0" w:space="0" w:color="auto"/>
            <w:bottom w:val="none" w:sz="0" w:space="0" w:color="auto"/>
            <w:right w:val="none" w:sz="0" w:space="0" w:color="auto"/>
          </w:divBdr>
        </w:div>
      </w:divsChild>
    </w:div>
    <w:div w:id="1224373690">
      <w:bodyDiv w:val="1"/>
      <w:marLeft w:val="0"/>
      <w:marRight w:val="0"/>
      <w:marTop w:val="0"/>
      <w:marBottom w:val="0"/>
      <w:divBdr>
        <w:top w:val="none" w:sz="0" w:space="0" w:color="auto"/>
        <w:left w:val="none" w:sz="0" w:space="0" w:color="auto"/>
        <w:bottom w:val="none" w:sz="0" w:space="0" w:color="auto"/>
        <w:right w:val="none" w:sz="0" w:space="0" w:color="auto"/>
      </w:divBdr>
      <w:divsChild>
        <w:div w:id="656957455">
          <w:marLeft w:val="274"/>
          <w:marRight w:val="0"/>
          <w:marTop w:val="0"/>
          <w:marBottom w:val="0"/>
          <w:divBdr>
            <w:top w:val="none" w:sz="0" w:space="0" w:color="auto"/>
            <w:left w:val="none" w:sz="0" w:space="0" w:color="auto"/>
            <w:bottom w:val="none" w:sz="0" w:space="0" w:color="auto"/>
            <w:right w:val="none" w:sz="0" w:space="0" w:color="auto"/>
          </w:divBdr>
        </w:div>
        <w:div w:id="1434738420">
          <w:marLeft w:val="274"/>
          <w:marRight w:val="0"/>
          <w:marTop w:val="0"/>
          <w:marBottom w:val="0"/>
          <w:divBdr>
            <w:top w:val="none" w:sz="0" w:space="0" w:color="auto"/>
            <w:left w:val="none" w:sz="0" w:space="0" w:color="auto"/>
            <w:bottom w:val="none" w:sz="0" w:space="0" w:color="auto"/>
            <w:right w:val="none" w:sz="0" w:space="0" w:color="auto"/>
          </w:divBdr>
        </w:div>
        <w:div w:id="1701467206">
          <w:marLeft w:val="274"/>
          <w:marRight w:val="0"/>
          <w:marTop w:val="0"/>
          <w:marBottom w:val="0"/>
          <w:divBdr>
            <w:top w:val="none" w:sz="0" w:space="0" w:color="auto"/>
            <w:left w:val="none" w:sz="0" w:space="0" w:color="auto"/>
            <w:bottom w:val="none" w:sz="0" w:space="0" w:color="auto"/>
            <w:right w:val="none" w:sz="0" w:space="0" w:color="auto"/>
          </w:divBdr>
        </w:div>
        <w:div w:id="1897230506">
          <w:marLeft w:val="274"/>
          <w:marRight w:val="0"/>
          <w:marTop w:val="0"/>
          <w:marBottom w:val="0"/>
          <w:divBdr>
            <w:top w:val="none" w:sz="0" w:space="0" w:color="auto"/>
            <w:left w:val="none" w:sz="0" w:space="0" w:color="auto"/>
            <w:bottom w:val="none" w:sz="0" w:space="0" w:color="auto"/>
            <w:right w:val="none" w:sz="0" w:space="0" w:color="auto"/>
          </w:divBdr>
        </w:div>
      </w:divsChild>
    </w:div>
    <w:div w:id="1245341976">
      <w:bodyDiv w:val="1"/>
      <w:marLeft w:val="0"/>
      <w:marRight w:val="0"/>
      <w:marTop w:val="0"/>
      <w:marBottom w:val="0"/>
      <w:divBdr>
        <w:top w:val="none" w:sz="0" w:space="0" w:color="auto"/>
        <w:left w:val="none" w:sz="0" w:space="0" w:color="auto"/>
        <w:bottom w:val="none" w:sz="0" w:space="0" w:color="auto"/>
        <w:right w:val="none" w:sz="0" w:space="0" w:color="auto"/>
      </w:divBdr>
      <w:divsChild>
        <w:div w:id="895242151">
          <w:marLeft w:val="274"/>
          <w:marRight w:val="0"/>
          <w:marTop w:val="0"/>
          <w:marBottom w:val="0"/>
          <w:divBdr>
            <w:top w:val="none" w:sz="0" w:space="0" w:color="auto"/>
            <w:left w:val="none" w:sz="0" w:space="0" w:color="auto"/>
            <w:bottom w:val="none" w:sz="0" w:space="0" w:color="auto"/>
            <w:right w:val="none" w:sz="0" w:space="0" w:color="auto"/>
          </w:divBdr>
        </w:div>
      </w:divsChild>
    </w:div>
    <w:div w:id="1289433335">
      <w:bodyDiv w:val="1"/>
      <w:marLeft w:val="0"/>
      <w:marRight w:val="0"/>
      <w:marTop w:val="0"/>
      <w:marBottom w:val="0"/>
      <w:divBdr>
        <w:top w:val="none" w:sz="0" w:space="0" w:color="auto"/>
        <w:left w:val="none" w:sz="0" w:space="0" w:color="auto"/>
        <w:bottom w:val="none" w:sz="0" w:space="0" w:color="auto"/>
        <w:right w:val="none" w:sz="0" w:space="0" w:color="auto"/>
      </w:divBdr>
      <w:divsChild>
        <w:div w:id="114714875">
          <w:marLeft w:val="274"/>
          <w:marRight w:val="0"/>
          <w:marTop w:val="0"/>
          <w:marBottom w:val="0"/>
          <w:divBdr>
            <w:top w:val="none" w:sz="0" w:space="0" w:color="auto"/>
            <w:left w:val="none" w:sz="0" w:space="0" w:color="auto"/>
            <w:bottom w:val="none" w:sz="0" w:space="0" w:color="auto"/>
            <w:right w:val="none" w:sz="0" w:space="0" w:color="auto"/>
          </w:divBdr>
        </w:div>
        <w:div w:id="959534556">
          <w:marLeft w:val="274"/>
          <w:marRight w:val="0"/>
          <w:marTop w:val="0"/>
          <w:marBottom w:val="0"/>
          <w:divBdr>
            <w:top w:val="none" w:sz="0" w:space="0" w:color="auto"/>
            <w:left w:val="none" w:sz="0" w:space="0" w:color="auto"/>
            <w:bottom w:val="none" w:sz="0" w:space="0" w:color="auto"/>
            <w:right w:val="none" w:sz="0" w:space="0" w:color="auto"/>
          </w:divBdr>
        </w:div>
        <w:div w:id="964232845">
          <w:marLeft w:val="274"/>
          <w:marRight w:val="0"/>
          <w:marTop w:val="0"/>
          <w:marBottom w:val="0"/>
          <w:divBdr>
            <w:top w:val="none" w:sz="0" w:space="0" w:color="auto"/>
            <w:left w:val="none" w:sz="0" w:space="0" w:color="auto"/>
            <w:bottom w:val="none" w:sz="0" w:space="0" w:color="auto"/>
            <w:right w:val="none" w:sz="0" w:space="0" w:color="auto"/>
          </w:divBdr>
        </w:div>
        <w:div w:id="1950428517">
          <w:marLeft w:val="274"/>
          <w:marRight w:val="0"/>
          <w:marTop w:val="0"/>
          <w:marBottom w:val="0"/>
          <w:divBdr>
            <w:top w:val="none" w:sz="0" w:space="0" w:color="auto"/>
            <w:left w:val="none" w:sz="0" w:space="0" w:color="auto"/>
            <w:bottom w:val="none" w:sz="0" w:space="0" w:color="auto"/>
            <w:right w:val="none" w:sz="0" w:space="0" w:color="auto"/>
          </w:divBdr>
        </w:div>
      </w:divsChild>
    </w:div>
    <w:div w:id="1291740300">
      <w:bodyDiv w:val="1"/>
      <w:marLeft w:val="0"/>
      <w:marRight w:val="0"/>
      <w:marTop w:val="0"/>
      <w:marBottom w:val="0"/>
      <w:divBdr>
        <w:top w:val="none" w:sz="0" w:space="0" w:color="auto"/>
        <w:left w:val="none" w:sz="0" w:space="0" w:color="auto"/>
        <w:bottom w:val="none" w:sz="0" w:space="0" w:color="auto"/>
        <w:right w:val="none" w:sz="0" w:space="0" w:color="auto"/>
      </w:divBdr>
    </w:div>
    <w:div w:id="1306469099">
      <w:bodyDiv w:val="1"/>
      <w:marLeft w:val="0"/>
      <w:marRight w:val="0"/>
      <w:marTop w:val="0"/>
      <w:marBottom w:val="0"/>
      <w:divBdr>
        <w:top w:val="none" w:sz="0" w:space="0" w:color="auto"/>
        <w:left w:val="none" w:sz="0" w:space="0" w:color="auto"/>
        <w:bottom w:val="none" w:sz="0" w:space="0" w:color="auto"/>
        <w:right w:val="none" w:sz="0" w:space="0" w:color="auto"/>
      </w:divBdr>
    </w:div>
    <w:div w:id="1437794737">
      <w:bodyDiv w:val="1"/>
      <w:marLeft w:val="0"/>
      <w:marRight w:val="0"/>
      <w:marTop w:val="0"/>
      <w:marBottom w:val="0"/>
      <w:divBdr>
        <w:top w:val="none" w:sz="0" w:space="0" w:color="auto"/>
        <w:left w:val="none" w:sz="0" w:space="0" w:color="auto"/>
        <w:bottom w:val="none" w:sz="0" w:space="0" w:color="auto"/>
        <w:right w:val="none" w:sz="0" w:space="0" w:color="auto"/>
      </w:divBdr>
      <w:divsChild>
        <w:div w:id="1376005002">
          <w:marLeft w:val="274"/>
          <w:marRight w:val="0"/>
          <w:marTop w:val="0"/>
          <w:marBottom w:val="0"/>
          <w:divBdr>
            <w:top w:val="none" w:sz="0" w:space="0" w:color="auto"/>
            <w:left w:val="none" w:sz="0" w:space="0" w:color="auto"/>
            <w:bottom w:val="none" w:sz="0" w:space="0" w:color="auto"/>
            <w:right w:val="none" w:sz="0" w:space="0" w:color="auto"/>
          </w:divBdr>
        </w:div>
      </w:divsChild>
    </w:div>
    <w:div w:id="1460613689">
      <w:bodyDiv w:val="1"/>
      <w:marLeft w:val="0"/>
      <w:marRight w:val="0"/>
      <w:marTop w:val="0"/>
      <w:marBottom w:val="0"/>
      <w:divBdr>
        <w:top w:val="none" w:sz="0" w:space="0" w:color="auto"/>
        <w:left w:val="none" w:sz="0" w:space="0" w:color="auto"/>
        <w:bottom w:val="none" w:sz="0" w:space="0" w:color="auto"/>
        <w:right w:val="none" w:sz="0" w:space="0" w:color="auto"/>
      </w:divBdr>
    </w:div>
    <w:div w:id="1476491676">
      <w:bodyDiv w:val="1"/>
      <w:marLeft w:val="0"/>
      <w:marRight w:val="0"/>
      <w:marTop w:val="0"/>
      <w:marBottom w:val="0"/>
      <w:divBdr>
        <w:top w:val="none" w:sz="0" w:space="0" w:color="auto"/>
        <w:left w:val="none" w:sz="0" w:space="0" w:color="auto"/>
        <w:bottom w:val="none" w:sz="0" w:space="0" w:color="auto"/>
        <w:right w:val="none" w:sz="0" w:space="0" w:color="auto"/>
      </w:divBdr>
    </w:div>
    <w:div w:id="1505826574">
      <w:bodyDiv w:val="1"/>
      <w:marLeft w:val="0"/>
      <w:marRight w:val="0"/>
      <w:marTop w:val="0"/>
      <w:marBottom w:val="0"/>
      <w:divBdr>
        <w:top w:val="none" w:sz="0" w:space="0" w:color="auto"/>
        <w:left w:val="none" w:sz="0" w:space="0" w:color="auto"/>
        <w:bottom w:val="none" w:sz="0" w:space="0" w:color="auto"/>
        <w:right w:val="none" w:sz="0" w:space="0" w:color="auto"/>
      </w:divBdr>
    </w:div>
    <w:div w:id="1554776256">
      <w:bodyDiv w:val="1"/>
      <w:marLeft w:val="0"/>
      <w:marRight w:val="0"/>
      <w:marTop w:val="0"/>
      <w:marBottom w:val="0"/>
      <w:divBdr>
        <w:top w:val="none" w:sz="0" w:space="0" w:color="auto"/>
        <w:left w:val="none" w:sz="0" w:space="0" w:color="auto"/>
        <w:bottom w:val="none" w:sz="0" w:space="0" w:color="auto"/>
        <w:right w:val="none" w:sz="0" w:space="0" w:color="auto"/>
      </w:divBdr>
      <w:divsChild>
        <w:div w:id="976641354">
          <w:marLeft w:val="274"/>
          <w:marRight w:val="0"/>
          <w:marTop w:val="0"/>
          <w:marBottom w:val="160"/>
          <w:divBdr>
            <w:top w:val="none" w:sz="0" w:space="0" w:color="auto"/>
            <w:left w:val="none" w:sz="0" w:space="0" w:color="auto"/>
            <w:bottom w:val="none" w:sz="0" w:space="0" w:color="auto"/>
            <w:right w:val="none" w:sz="0" w:space="0" w:color="auto"/>
          </w:divBdr>
        </w:div>
        <w:div w:id="1220676233">
          <w:marLeft w:val="274"/>
          <w:marRight w:val="0"/>
          <w:marTop w:val="0"/>
          <w:marBottom w:val="160"/>
          <w:divBdr>
            <w:top w:val="none" w:sz="0" w:space="0" w:color="auto"/>
            <w:left w:val="none" w:sz="0" w:space="0" w:color="auto"/>
            <w:bottom w:val="none" w:sz="0" w:space="0" w:color="auto"/>
            <w:right w:val="none" w:sz="0" w:space="0" w:color="auto"/>
          </w:divBdr>
        </w:div>
        <w:div w:id="1708404955">
          <w:marLeft w:val="274"/>
          <w:marRight w:val="0"/>
          <w:marTop w:val="0"/>
          <w:marBottom w:val="160"/>
          <w:divBdr>
            <w:top w:val="none" w:sz="0" w:space="0" w:color="auto"/>
            <w:left w:val="none" w:sz="0" w:space="0" w:color="auto"/>
            <w:bottom w:val="none" w:sz="0" w:space="0" w:color="auto"/>
            <w:right w:val="none" w:sz="0" w:space="0" w:color="auto"/>
          </w:divBdr>
        </w:div>
        <w:div w:id="2067529807">
          <w:marLeft w:val="274"/>
          <w:marRight w:val="0"/>
          <w:marTop w:val="0"/>
          <w:marBottom w:val="160"/>
          <w:divBdr>
            <w:top w:val="none" w:sz="0" w:space="0" w:color="auto"/>
            <w:left w:val="none" w:sz="0" w:space="0" w:color="auto"/>
            <w:bottom w:val="none" w:sz="0" w:space="0" w:color="auto"/>
            <w:right w:val="none" w:sz="0" w:space="0" w:color="auto"/>
          </w:divBdr>
        </w:div>
      </w:divsChild>
    </w:div>
    <w:div w:id="1658996241">
      <w:bodyDiv w:val="1"/>
      <w:marLeft w:val="0"/>
      <w:marRight w:val="0"/>
      <w:marTop w:val="0"/>
      <w:marBottom w:val="0"/>
      <w:divBdr>
        <w:top w:val="none" w:sz="0" w:space="0" w:color="auto"/>
        <w:left w:val="none" w:sz="0" w:space="0" w:color="auto"/>
        <w:bottom w:val="none" w:sz="0" w:space="0" w:color="auto"/>
        <w:right w:val="none" w:sz="0" w:space="0" w:color="auto"/>
      </w:divBdr>
    </w:div>
    <w:div w:id="1669864696">
      <w:bodyDiv w:val="1"/>
      <w:marLeft w:val="0"/>
      <w:marRight w:val="0"/>
      <w:marTop w:val="0"/>
      <w:marBottom w:val="0"/>
      <w:divBdr>
        <w:top w:val="none" w:sz="0" w:space="0" w:color="auto"/>
        <w:left w:val="none" w:sz="0" w:space="0" w:color="auto"/>
        <w:bottom w:val="none" w:sz="0" w:space="0" w:color="auto"/>
        <w:right w:val="none" w:sz="0" w:space="0" w:color="auto"/>
      </w:divBdr>
    </w:div>
    <w:div w:id="1899246372">
      <w:bodyDiv w:val="1"/>
      <w:marLeft w:val="0"/>
      <w:marRight w:val="0"/>
      <w:marTop w:val="0"/>
      <w:marBottom w:val="0"/>
      <w:divBdr>
        <w:top w:val="none" w:sz="0" w:space="0" w:color="auto"/>
        <w:left w:val="none" w:sz="0" w:space="0" w:color="auto"/>
        <w:bottom w:val="none" w:sz="0" w:space="0" w:color="auto"/>
        <w:right w:val="none" w:sz="0" w:space="0" w:color="auto"/>
      </w:divBdr>
      <w:divsChild>
        <w:div w:id="366295550">
          <w:marLeft w:val="274"/>
          <w:marRight w:val="0"/>
          <w:marTop w:val="0"/>
          <w:marBottom w:val="0"/>
          <w:divBdr>
            <w:top w:val="none" w:sz="0" w:space="0" w:color="auto"/>
            <w:left w:val="none" w:sz="0" w:space="0" w:color="auto"/>
            <w:bottom w:val="none" w:sz="0" w:space="0" w:color="auto"/>
            <w:right w:val="none" w:sz="0" w:space="0" w:color="auto"/>
          </w:divBdr>
        </w:div>
      </w:divsChild>
    </w:div>
    <w:div w:id="1899392458">
      <w:bodyDiv w:val="1"/>
      <w:marLeft w:val="0"/>
      <w:marRight w:val="0"/>
      <w:marTop w:val="0"/>
      <w:marBottom w:val="0"/>
      <w:divBdr>
        <w:top w:val="none" w:sz="0" w:space="0" w:color="auto"/>
        <w:left w:val="none" w:sz="0" w:space="0" w:color="auto"/>
        <w:bottom w:val="none" w:sz="0" w:space="0" w:color="auto"/>
        <w:right w:val="none" w:sz="0" w:space="0" w:color="auto"/>
      </w:divBdr>
      <w:divsChild>
        <w:div w:id="106236825">
          <w:marLeft w:val="274"/>
          <w:marRight w:val="0"/>
          <w:marTop w:val="0"/>
          <w:marBottom w:val="0"/>
          <w:divBdr>
            <w:top w:val="none" w:sz="0" w:space="0" w:color="auto"/>
            <w:left w:val="none" w:sz="0" w:space="0" w:color="auto"/>
            <w:bottom w:val="none" w:sz="0" w:space="0" w:color="auto"/>
            <w:right w:val="none" w:sz="0" w:space="0" w:color="auto"/>
          </w:divBdr>
        </w:div>
      </w:divsChild>
    </w:div>
    <w:div w:id="2024436982">
      <w:bodyDiv w:val="1"/>
      <w:marLeft w:val="0"/>
      <w:marRight w:val="0"/>
      <w:marTop w:val="0"/>
      <w:marBottom w:val="0"/>
      <w:divBdr>
        <w:top w:val="none" w:sz="0" w:space="0" w:color="auto"/>
        <w:left w:val="none" w:sz="0" w:space="0" w:color="auto"/>
        <w:bottom w:val="none" w:sz="0" w:space="0" w:color="auto"/>
        <w:right w:val="none" w:sz="0" w:space="0" w:color="auto"/>
      </w:divBdr>
      <w:divsChild>
        <w:div w:id="1016077147">
          <w:marLeft w:val="274"/>
          <w:marRight w:val="0"/>
          <w:marTop w:val="0"/>
          <w:marBottom w:val="0"/>
          <w:divBdr>
            <w:top w:val="none" w:sz="0" w:space="0" w:color="auto"/>
            <w:left w:val="none" w:sz="0" w:space="0" w:color="auto"/>
            <w:bottom w:val="none" w:sz="0" w:space="0" w:color="auto"/>
            <w:right w:val="none" w:sz="0" w:space="0" w:color="auto"/>
          </w:divBdr>
        </w:div>
        <w:div w:id="1267425440">
          <w:marLeft w:val="274"/>
          <w:marRight w:val="0"/>
          <w:marTop w:val="0"/>
          <w:marBottom w:val="0"/>
          <w:divBdr>
            <w:top w:val="none" w:sz="0" w:space="0" w:color="auto"/>
            <w:left w:val="none" w:sz="0" w:space="0" w:color="auto"/>
            <w:bottom w:val="none" w:sz="0" w:space="0" w:color="auto"/>
            <w:right w:val="none" w:sz="0" w:space="0" w:color="auto"/>
          </w:divBdr>
        </w:div>
      </w:divsChild>
    </w:div>
    <w:div w:id="209678122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snaicc.org.au"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losingthegap.gov.au/sites/default/files/files/national-agreement-ctg.pdf" TargetMode="External"/><Relationship Id="rId3" Type="http://schemas.openxmlformats.org/officeDocument/2006/relationships/hyperlink" Target="https://www.lowitja.org.au/news/taking-control-of-our-data-a-discussion-paper-on-indigenous-data-governance-for-aboriginal-and-torres-strait-islander-people-and-communities/" TargetMode="External"/><Relationship Id="rId7" Type="http://schemas.openxmlformats.org/officeDocument/2006/relationships/hyperlink" Target="https://www.csiro.au/en/about/Policies/Science-and-Delivery-Policy/Indigenous-Cultural-and-Intellectual-Property-Principles" TargetMode="External"/><Relationship Id="rId12" Type="http://schemas.openxmlformats.org/officeDocument/2006/relationships/hyperlink" Target="https://www.dss.gov.au/families-and-children-programs-services-children-protecting-australias-children-safe-and-supported-the-national-framework-for-protecting-australias-children-2021-2031/safe-and-supported-aboriginal-and-torres-strait-islander-first-action-plan-2023-2026" TargetMode="External"/><Relationship Id="rId2" Type="http://schemas.openxmlformats.org/officeDocument/2006/relationships/hyperlink" Target="https://www.closingthegap.gov.au/sites/default/files/files/national-agreement-ctg.pdf" TargetMode="External"/><Relationship Id="rId1" Type="http://schemas.openxmlformats.org/officeDocument/2006/relationships/hyperlink" Target="https://www.dss.gov.au/families-and-children-programs-services-children-protecting-australias-children-safe-and-supported-the-national-framework-for-protecting-australias-children-2021-2031/safe-and-supported-aboriginal-and-torres-strait-islander-first-action-plan-2023-2026" TargetMode="External"/><Relationship Id="rId6" Type="http://schemas.openxmlformats.org/officeDocument/2006/relationships/hyperlink" Target="https://www.closingthegap.gov.au/sites/default/files/files/national-agreement-ctg.pdf" TargetMode="External"/><Relationship Id="rId11" Type="http://schemas.openxmlformats.org/officeDocument/2006/relationships/hyperlink" Target="https://www.lowitja.org.au/news/taking-control-of-our-data-a-discussion-paper-on-indigenous-data-governance-for-aboriginal-and-torres-strait-islander-people-and-communities/" TargetMode="External"/><Relationship Id="rId5" Type="http://schemas.openxmlformats.org/officeDocument/2006/relationships/hyperlink" Target="https://aiatsis.gov.au/sites/default/files/2022-02/aiatsis-guide-code-ethics-jan22.pdf" TargetMode="External"/><Relationship Id="rId10" Type="http://schemas.openxmlformats.org/officeDocument/2006/relationships/hyperlink" Target="https://www.closingthegap.gov.au/sites/default/files/files/national-agreement-ctg.pdf" TargetMode="External"/><Relationship Id="rId4" Type="http://schemas.openxmlformats.org/officeDocument/2006/relationships/hyperlink" Target="https://www.maiamnayriwingara.org/s/Communique-Indigenous-Data-Sovereignty-Summit-x5rk.pdf" TargetMode="External"/><Relationship Id="rId9" Type="http://schemas.openxmlformats.org/officeDocument/2006/relationships/hyperlink" Target="https://www.closingthegap.gov.au/sites/default/files/files/national-agreement-ct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NAICC - National Voice for our Children">
      <a:dk1>
        <a:srgbClr val="000000"/>
      </a:dk1>
      <a:lt1>
        <a:sysClr val="window" lastClr="FFFFFF"/>
      </a:lt1>
      <a:dk2>
        <a:srgbClr val="465762"/>
      </a:dk2>
      <a:lt2>
        <a:srgbClr val="EBEFF1"/>
      </a:lt2>
      <a:accent1>
        <a:srgbClr val="E2231A"/>
      </a:accent1>
      <a:accent2>
        <a:srgbClr val="FCE205"/>
      </a:accent2>
      <a:accent3>
        <a:srgbClr val="1E428A"/>
      </a:accent3>
      <a:accent4>
        <a:srgbClr val="00783E"/>
      </a:accent4>
      <a:accent5>
        <a:srgbClr val="675039"/>
      </a:accent5>
      <a:accent6>
        <a:srgbClr val="7A205C"/>
      </a:accent6>
      <a:hlink>
        <a:srgbClr val="1E428A"/>
      </a:hlink>
      <a:folHlink>
        <a:srgbClr val="465762"/>
      </a:folHlink>
    </a:clrScheme>
    <a:fontScheme name="SNAICC - National Voice for our Children">
      <a:majorFont>
        <a:latin typeface="Gill Sans Nov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cb026fd-893f-4169-b48a-69c108ae21d4">
      <UserInfo>
        <DisplayName>Ren Flannery</DisplayName>
        <AccountId>2549</AccountId>
        <AccountType/>
      </UserInfo>
      <UserInfo>
        <DisplayName>Michael Davis</DisplayName>
        <AccountId>2337</AccountId>
        <AccountType/>
      </UserInfo>
    </SharedWithUsers>
    <lcf76f155ced4ddcb4097134ff3c332f xmlns="ab40108b-c4a0-4f49-b785-bb3ec36845ad">
      <Terms xmlns="http://schemas.microsoft.com/office/infopath/2007/PartnerControls"/>
    </lcf76f155ced4ddcb4097134ff3c332f>
    <TaxCatchAll xmlns="2cb026fd-893f-4169-b48a-69c108ae21d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C4EC2B39BD8B4A857D836EAEA45484" ma:contentTypeVersion="18" ma:contentTypeDescription="Create a new document." ma:contentTypeScope="" ma:versionID="0072aa34dc1dcef6356bdad83d42a070">
  <xsd:schema xmlns:xsd="http://www.w3.org/2001/XMLSchema" xmlns:xs="http://www.w3.org/2001/XMLSchema" xmlns:p="http://schemas.microsoft.com/office/2006/metadata/properties" xmlns:ns2="2cb026fd-893f-4169-b48a-69c108ae21d4" xmlns:ns3="ab40108b-c4a0-4f49-b785-bb3ec36845ad" targetNamespace="http://schemas.microsoft.com/office/2006/metadata/properties" ma:root="true" ma:fieldsID="0994c0f0589a2077d1a8a9d509593d6c" ns2:_="" ns3:_="">
    <xsd:import namespace="2cb026fd-893f-4169-b48a-69c108ae21d4"/>
    <xsd:import namespace="ab40108b-c4a0-4f49-b785-bb3ec36845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026fd-893f-4169-b48a-69c108ae21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38c972-1ff2-4f1d-939c-f0d5c88715c2}" ma:internalName="TaxCatchAll" ma:showField="CatchAllData" ma:web="2cb026fd-893f-4169-b48a-69c108ae21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40108b-c4a0-4f49-b785-bb3ec36845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3bb5c18-f2c1-40ef-93a7-3a47403f9f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5F226F-12A4-4140-BAE1-529ADCB47930}">
  <ds:schemaRefs>
    <ds:schemaRef ds:uri="http://schemas.microsoft.com/sharepoint/v3/contenttype/forms"/>
  </ds:schemaRefs>
</ds:datastoreItem>
</file>

<file path=customXml/itemProps2.xml><?xml version="1.0" encoding="utf-8"?>
<ds:datastoreItem xmlns:ds="http://schemas.openxmlformats.org/officeDocument/2006/customXml" ds:itemID="{81A6A513-484E-4E5A-95BE-0B12BE1AD6AD}">
  <ds:schemaRefs>
    <ds:schemaRef ds:uri="http://schemas.openxmlformats.org/officeDocument/2006/bibliography"/>
  </ds:schemaRefs>
</ds:datastoreItem>
</file>

<file path=customXml/itemProps3.xml><?xml version="1.0" encoding="utf-8"?>
<ds:datastoreItem xmlns:ds="http://schemas.openxmlformats.org/officeDocument/2006/customXml" ds:itemID="{CD4B5918-FCAD-42A8-9781-40DDEE411049}">
  <ds:schemaRefs>
    <ds:schemaRef ds:uri="http://schemas.microsoft.com/office/2006/metadata/properties"/>
    <ds:schemaRef ds:uri="http://schemas.microsoft.com/office/infopath/2007/PartnerControls"/>
    <ds:schemaRef ds:uri="2cb026fd-893f-4169-b48a-69c108ae21d4"/>
    <ds:schemaRef ds:uri="ab40108b-c4a0-4f49-b785-bb3ec36845ad"/>
  </ds:schemaRefs>
</ds:datastoreItem>
</file>

<file path=customXml/itemProps4.xml><?xml version="1.0" encoding="utf-8"?>
<ds:datastoreItem xmlns:ds="http://schemas.openxmlformats.org/officeDocument/2006/customXml" ds:itemID="{76076B9D-4403-4CC2-A1DC-A397E3414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026fd-893f-4169-b48a-69c108ae21d4"/>
    <ds:schemaRef ds:uri="ab40108b-c4a0-4f49-b785-bb3ec3684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12809</Words>
  <Characters>78907</Characters>
  <Application>Microsoft Office Word</Application>
  <DocSecurity>0</DocSecurity>
  <Lines>1360</Lines>
  <Paragraphs>599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91117</CharactersWithSpaces>
  <SharedDoc>false</SharedDoc>
  <HLinks>
    <vt:vector size="204" baseType="variant">
      <vt:variant>
        <vt:i4>6094941</vt:i4>
      </vt:variant>
      <vt:variant>
        <vt:i4>129</vt:i4>
      </vt:variant>
      <vt:variant>
        <vt:i4>0</vt:i4>
      </vt:variant>
      <vt:variant>
        <vt:i4>5</vt:i4>
      </vt:variant>
      <vt:variant>
        <vt:lpwstr>http://www.snaicc.org.au/</vt:lpwstr>
      </vt:variant>
      <vt:variant>
        <vt:lpwstr/>
      </vt:variant>
      <vt:variant>
        <vt:i4>1835068</vt:i4>
      </vt:variant>
      <vt:variant>
        <vt:i4>122</vt:i4>
      </vt:variant>
      <vt:variant>
        <vt:i4>0</vt:i4>
      </vt:variant>
      <vt:variant>
        <vt:i4>5</vt:i4>
      </vt:variant>
      <vt:variant>
        <vt:lpwstr/>
      </vt:variant>
      <vt:variant>
        <vt:lpwstr>_Toc178256089</vt:lpwstr>
      </vt:variant>
      <vt:variant>
        <vt:i4>1835068</vt:i4>
      </vt:variant>
      <vt:variant>
        <vt:i4>116</vt:i4>
      </vt:variant>
      <vt:variant>
        <vt:i4>0</vt:i4>
      </vt:variant>
      <vt:variant>
        <vt:i4>5</vt:i4>
      </vt:variant>
      <vt:variant>
        <vt:lpwstr/>
      </vt:variant>
      <vt:variant>
        <vt:lpwstr>_Toc178256088</vt:lpwstr>
      </vt:variant>
      <vt:variant>
        <vt:i4>1835068</vt:i4>
      </vt:variant>
      <vt:variant>
        <vt:i4>110</vt:i4>
      </vt:variant>
      <vt:variant>
        <vt:i4>0</vt:i4>
      </vt:variant>
      <vt:variant>
        <vt:i4>5</vt:i4>
      </vt:variant>
      <vt:variant>
        <vt:lpwstr/>
      </vt:variant>
      <vt:variant>
        <vt:lpwstr>_Toc178256087</vt:lpwstr>
      </vt:variant>
      <vt:variant>
        <vt:i4>1835068</vt:i4>
      </vt:variant>
      <vt:variant>
        <vt:i4>104</vt:i4>
      </vt:variant>
      <vt:variant>
        <vt:i4>0</vt:i4>
      </vt:variant>
      <vt:variant>
        <vt:i4>5</vt:i4>
      </vt:variant>
      <vt:variant>
        <vt:lpwstr/>
      </vt:variant>
      <vt:variant>
        <vt:lpwstr>_Toc178256086</vt:lpwstr>
      </vt:variant>
      <vt:variant>
        <vt:i4>1835068</vt:i4>
      </vt:variant>
      <vt:variant>
        <vt:i4>98</vt:i4>
      </vt:variant>
      <vt:variant>
        <vt:i4>0</vt:i4>
      </vt:variant>
      <vt:variant>
        <vt:i4>5</vt:i4>
      </vt:variant>
      <vt:variant>
        <vt:lpwstr/>
      </vt:variant>
      <vt:variant>
        <vt:lpwstr>_Toc178256085</vt:lpwstr>
      </vt:variant>
      <vt:variant>
        <vt:i4>1835068</vt:i4>
      </vt:variant>
      <vt:variant>
        <vt:i4>92</vt:i4>
      </vt:variant>
      <vt:variant>
        <vt:i4>0</vt:i4>
      </vt:variant>
      <vt:variant>
        <vt:i4>5</vt:i4>
      </vt:variant>
      <vt:variant>
        <vt:lpwstr/>
      </vt:variant>
      <vt:variant>
        <vt:lpwstr>_Toc178256084</vt:lpwstr>
      </vt:variant>
      <vt:variant>
        <vt:i4>1835068</vt:i4>
      </vt:variant>
      <vt:variant>
        <vt:i4>86</vt:i4>
      </vt:variant>
      <vt:variant>
        <vt:i4>0</vt:i4>
      </vt:variant>
      <vt:variant>
        <vt:i4>5</vt:i4>
      </vt:variant>
      <vt:variant>
        <vt:lpwstr/>
      </vt:variant>
      <vt:variant>
        <vt:lpwstr>_Toc178256083</vt:lpwstr>
      </vt:variant>
      <vt:variant>
        <vt:i4>1835068</vt:i4>
      </vt:variant>
      <vt:variant>
        <vt:i4>80</vt:i4>
      </vt:variant>
      <vt:variant>
        <vt:i4>0</vt:i4>
      </vt:variant>
      <vt:variant>
        <vt:i4>5</vt:i4>
      </vt:variant>
      <vt:variant>
        <vt:lpwstr/>
      </vt:variant>
      <vt:variant>
        <vt:lpwstr>_Toc178256082</vt:lpwstr>
      </vt:variant>
      <vt:variant>
        <vt:i4>1835068</vt:i4>
      </vt:variant>
      <vt:variant>
        <vt:i4>74</vt:i4>
      </vt:variant>
      <vt:variant>
        <vt:i4>0</vt:i4>
      </vt:variant>
      <vt:variant>
        <vt:i4>5</vt:i4>
      </vt:variant>
      <vt:variant>
        <vt:lpwstr/>
      </vt:variant>
      <vt:variant>
        <vt:lpwstr>_Toc178256081</vt:lpwstr>
      </vt:variant>
      <vt:variant>
        <vt:i4>1835068</vt:i4>
      </vt:variant>
      <vt:variant>
        <vt:i4>68</vt:i4>
      </vt:variant>
      <vt:variant>
        <vt:i4>0</vt:i4>
      </vt:variant>
      <vt:variant>
        <vt:i4>5</vt:i4>
      </vt:variant>
      <vt:variant>
        <vt:lpwstr/>
      </vt:variant>
      <vt:variant>
        <vt:lpwstr>_Toc178256080</vt:lpwstr>
      </vt:variant>
      <vt:variant>
        <vt:i4>1245244</vt:i4>
      </vt:variant>
      <vt:variant>
        <vt:i4>62</vt:i4>
      </vt:variant>
      <vt:variant>
        <vt:i4>0</vt:i4>
      </vt:variant>
      <vt:variant>
        <vt:i4>5</vt:i4>
      </vt:variant>
      <vt:variant>
        <vt:lpwstr/>
      </vt:variant>
      <vt:variant>
        <vt:lpwstr>_Toc178256079</vt:lpwstr>
      </vt:variant>
      <vt:variant>
        <vt:i4>1245244</vt:i4>
      </vt:variant>
      <vt:variant>
        <vt:i4>56</vt:i4>
      </vt:variant>
      <vt:variant>
        <vt:i4>0</vt:i4>
      </vt:variant>
      <vt:variant>
        <vt:i4>5</vt:i4>
      </vt:variant>
      <vt:variant>
        <vt:lpwstr/>
      </vt:variant>
      <vt:variant>
        <vt:lpwstr>_Toc178256078</vt:lpwstr>
      </vt:variant>
      <vt:variant>
        <vt:i4>1245244</vt:i4>
      </vt:variant>
      <vt:variant>
        <vt:i4>50</vt:i4>
      </vt:variant>
      <vt:variant>
        <vt:i4>0</vt:i4>
      </vt:variant>
      <vt:variant>
        <vt:i4>5</vt:i4>
      </vt:variant>
      <vt:variant>
        <vt:lpwstr/>
      </vt:variant>
      <vt:variant>
        <vt:lpwstr>_Toc178256077</vt:lpwstr>
      </vt:variant>
      <vt:variant>
        <vt:i4>1245244</vt:i4>
      </vt:variant>
      <vt:variant>
        <vt:i4>44</vt:i4>
      </vt:variant>
      <vt:variant>
        <vt:i4>0</vt:i4>
      </vt:variant>
      <vt:variant>
        <vt:i4>5</vt:i4>
      </vt:variant>
      <vt:variant>
        <vt:lpwstr/>
      </vt:variant>
      <vt:variant>
        <vt:lpwstr>_Toc178256076</vt:lpwstr>
      </vt:variant>
      <vt:variant>
        <vt:i4>1245244</vt:i4>
      </vt:variant>
      <vt:variant>
        <vt:i4>38</vt:i4>
      </vt:variant>
      <vt:variant>
        <vt:i4>0</vt:i4>
      </vt:variant>
      <vt:variant>
        <vt:i4>5</vt:i4>
      </vt:variant>
      <vt:variant>
        <vt:lpwstr/>
      </vt:variant>
      <vt:variant>
        <vt:lpwstr>_Toc178256075</vt:lpwstr>
      </vt:variant>
      <vt:variant>
        <vt:i4>1245244</vt:i4>
      </vt:variant>
      <vt:variant>
        <vt:i4>32</vt:i4>
      </vt:variant>
      <vt:variant>
        <vt:i4>0</vt:i4>
      </vt:variant>
      <vt:variant>
        <vt:i4>5</vt:i4>
      </vt:variant>
      <vt:variant>
        <vt:lpwstr/>
      </vt:variant>
      <vt:variant>
        <vt:lpwstr>_Toc178256074</vt:lpwstr>
      </vt:variant>
      <vt:variant>
        <vt:i4>1245244</vt:i4>
      </vt:variant>
      <vt:variant>
        <vt:i4>26</vt:i4>
      </vt:variant>
      <vt:variant>
        <vt:i4>0</vt:i4>
      </vt:variant>
      <vt:variant>
        <vt:i4>5</vt:i4>
      </vt:variant>
      <vt:variant>
        <vt:lpwstr/>
      </vt:variant>
      <vt:variant>
        <vt:lpwstr>_Toc178256073</vt:lpwstr>
      </vt:variant>
      <vt:variant>
        <vt:i4>1245244</vt:i4>
      </vt:variant>
      <vt:variant>
        <vt:i4>20</vt:i4>
      </vt:variant>
      <vt:variant>
        <vt:i4>0</vt:i4>
      </vt:variant>
      <vt:variant>
        <vt:i4>5</vt:i4>
      </vt:variant>
      <vt:variant>
        <vt:lpwstr/>
      </vt:variant>
      <vt:variant>
        <vt:lpwstr>_Toc178256072</vt:lpwstr>
      </vt:variant>
      <vt:variant>
        <vt:i4>1245244</vt:i4>
      </vt:variant>
      <vt:variant>
        <vt:i4>14</vt:i4>
      </vt:variant>
      <vt:variant>
        <vt:i4>0</vt:i4>
      </vt:variant>
      <vt:variant>
        <vt:i4>5</vt:i4>
      </vt:variant>
      <vt:variant>
        <vt:lpwstr/>
      </vt:variant>
      <vt:variant>
        <vt:lpwstr>_Toc178256071</vt:lpwstr>
      </vt:variant>
      <vt:variant>
        <vt:i4>1245244</vt:i4>
      </vt:variant>
      <vt:variant>
        <vt:i4>8</vt:i4>
      </vt:variant>
      <vt:variant>
        <vt:i4>0</vt:i4>
      </vt:variant>
      <vt:variant>
        <vt:i4>5</vt:i4>
      </vt:variant>
      <vt:variant>
        <vt:lpwstr/>
      </vt:variant>
      <vt:variant>
        <vt:lpwstr>_Toc178256070</vt:lpwstr>
      </vt:variant>
      <vt:variant>
        <vt:i4>1179708</vt:i4>
      </vt:variant>
      <vt:variant>
        <vt:i4>2</vt:i4>
      </vt:variant>
      <vt:variant>
        <vt:i4>0</vt:i4>
      </vt:variant>
      <vt:variant>
        <vt:i4>5</vt:i4>
      </vt:variant>
      <vt:variant>
        <vt:lpwstr/>
      </vt:variant>
      <vt:variant>
        <vt:lpwstr>_Toc178256069</vt:lpwstr>
      </vt:variant>
      <vt:variant>
        <vt:i4>8060967</vt:i4>
      </vt:variant>
      <vt:variant>
        <vt:i4>33</vt:i4>
      </vt:variant>
      <vt:variant>
        <vt:i4>0</vt:i4>
      </vt:variant>
      <vt:variant>
        <vt:i4>5</vt:i4>
      </vt:variant>
      <vt:variant>
        <vt:lpwstr>https://www.dss.gov.au/families-and-children-programs-services-children-protecting-australias-children-safe-and-supported-the-national-framework-for-protecting-australias-children-2021-2031/safe-and-supported-aboriginal-and-torres-strait-islander-first-action-plan-2023-2026</vt:lpwstr>
      </vt:variant>
      <vt:variant>
        <vt:lpwstr/>
      </vt:variant>
      <vt:variant>
        <vt:i4>5570632</vt:i4>
      </vt:variant>
      <vt:variant>
        <vt:i4>30</vt:i4>
      </vt:variant>
      <vt:variant>
        <vt:i4>0</vt:i4>
      </vt:variant>
      <vt:variant>
        <vt:i4>5</vt:i4>
      </vt:variant>
      <vt:variant>
        <vt:lpwstr>https://www.lowitja.org.au/news/taking-control-of-our-data-a-discussion-paper-on-indigenous-data-governance-for-aboriginal-and-torres-strait-islander-people-and-communities/</vt:lpwstr>
      </vt:variant>
      <vt:variant>
        <vt:lpwstr/>
      </vt:variant>
      <vt:variant>
        <vt:i4>983071</vt:i4>
      </vt:variant>
      <vt:variant>
        <vt:i4>27</vt:i4>
      </vt:variant>
      <vt:variant>
        <vt:i4>0</vt:i4>
      </vt:variant>
      <vt:variant>
        <vt:i4>5</vt:i4>
      </vt:variant>
      <vt:variant>
        <vt:lpwstr>https://www.closingthegap.gov.au/sites/default/files/files/national-agreement-ctg.pdf</vt:lpwstr>
      </vt:variant>
      <vt:variant>
        <vt:lpwstr/>
      </vt:variant>
      <vt:variant>
        <vt:i4>983071</vt:i4>
      </vt:variant>
      <vt:variant>
        <vt:i4>24</vt:i4>
      </vt:variant>
      <vt:variant>
        <vt:i4>0</vt:i4>
      </vt:variant>
      <vt:variant>
        <vt:i4>5</vt:i4>
      </vt:variant>
      <vt:variant>
        <vt:lpwstr>https://www.closingthegap.gov.au/sites/default/files/files/national-agreement-ctg.pdf</vt:lpwstr>
      </vt:variant>
      <vt:variant>
        <vt:lpwstr/>
      </vt:variant>
      <vt:variant>
        <vt:i4>983071</vt:i4>
      </vt:variant>
      <vt:variant>
        <vt:i4>21</vt:i4>
      </vt:variant>
      <vt:variant>
        <vt:i4>0</vt:i4>
      </vt:variant>
      <vt:variant>
        <vt:i4>5</vt:i4>
      </vt:variant>
      <vt:variant>
        <vt:lpwstr>https://www.closingthegap.gov.au/sites/default/files/files/national-agreement-ctg.pdf</vt:lpwstr>
      </vt:variant>
      <vt:variant>
        <vt:lpwstr/>
      </vt:variant>
      <vt:variant>
        <vt:i4>3801133</vt:i4>
      </vt:variant>
      <vt:variant>
        <vt:i4>18</vt:i4>
      </vt:variant>
      <vt:variant>
        <vt:i4>0</vt:i4>
      </vt:variant>
      <vt:variant>
        <vt:i4>5</vt:i4>
      </vt:variant>
      <vt:variant>
        <vt:lpwstr>https://www.csiro.au/en/about/Policies/Science-and-Delivery-Policy/Indigenous-Cultural-and-Intellectual-Property-Principles</vt:lpwstr>
      </vt:variant>
      <vt:variant>
        <vt:lpwstr/>
      </vt:variant>
      <vt:variant>
        <vt:i4>983071</vt:i4>
      </vt:variant>
      <vt:variant>
        <vt:i4>15</vt:i4>
      </vt:variant>
      <vt:variant>
        <vt:i4>0</vt:i4>
      </vt:variant>
      <vt:variant>
        <vt:i4>5</vt:i4>
      </vt:variant>
      <vt:variant>
        <vt:lpwstr>https://www.closingthegap.gov.au/sites/default/files/files/national-agreement-ctg.pdf</vt:lpwstr>
      </vt:variant>
      <vt:variant>
        <vt:lpwstr/>
      </vt:variant>
      <vt:variant>
        <vt:i4>6357104</vt:i4>
      </vt:variant>
      <vt:variant>
        <vt:i4>12</vt:i4>
      </vt:variant>
      <vt:variant>
        <vt:i4>0</vt:i4>
      </vt:variant>
      <vt:variant>
        <vt:i4>5</vt:i4>
      </vt:variant>
      <vt:variant>
        <vt:lpwstr>https://aiatsis.gov.au/sites/default/files/2022-02/aiatsis-guide-code-ethics-jan22.pdf</vt:lpwstr>
      </vt:variant>
      <vt:variant>
        <vt:lpwstr/>
      </vt:variant>
      <vt:variant>
        <vt:i4>2687020</vt:i4>
      </vt:variant>
      <vt:variant>
        <vt:i4>9</vt:i4>
      </vt:variant>
      <vt:variant>
        <vt:i4>0</vt:i4>
      </vt:variant>
      <vt:variant>
        <vt:i4>5</vt:i4>
      </vt:variant>
      <vt:variant>
        <vt:lpwstr>https://www.maiamnayriwingara.org/s/Communique-Indigenous-Data-Sovereignty-Summit-x5rk.pdf</vt:lpwstr>
      </vt:variant>
      <vt:variant>
        <vt:lpwstr/>
      </vt:variant>
      <vt:variant>
        <vt:i4>5570632</vt:i4>
      </vt:variant>
      <vt:variant>
        <vt:i4>6</vt:i4>
      </vt:variant>
      <vt:variant>
        <vt:i4>0</vt:i4>
      </vt:variant>
      <vt:variant>
        <vt:i4>5</vt:i4>
      </vt:variant>
      <vt:variant>
        <vt:lpwstr>https://www.lowitja.org.au/news/taking-control-of-our-data-a-discussion-paper-on-indigenous-data-governance-for-aboriginal-and-torres-strait-islander-people-and-communities/</vt:lpwstr>
      </vt:variant>
      <vt:variant>
        <vt:lpwstr/>
      </vt:variant>
      <vt:variant>
        <vt:i4>983071</vt:i4>
      </vt:variant>
      <vt:variant>
        <vt:i4>3</vt:i4>
      </vt:variant>
      <vt:variant>
        <vt:i4>0</vt:i4>
      </vt:variant>
      <vt:variant>
        <vt:i4>5</vt:i4>
      </vt:variant>
      <vt:variant>
        <vt:lpwstr>https://www.closingthegap.gov.au/sites/default/files/files/national-agreement-ctg.pdf</vt:lpwstr>
      </vt:variant>
      <vt:variant>
        <vt:lpwstr/>
      </vt:variant>
      <vt:variant>
        <vt:i4>8060967</vt:i4>
      </vt:variant>
      <vt:variant>
        <vt:i4>0</vt:i4>
      </vt:variant>
      <vt:variant>
        <vt:i4>0</vt:i4>
      </vt:variant>
      <vt:variant>
        <vt:i4>5</vt:i4>
      </vt:variant>
      <vt:variant>
        <vt:lpwstr>https://www.dss.gov.au/families-and-children-programs-services-children-protecting-australias-children-safe-and-supported-the-national-framework-for-protecting-australias-children-2021-2031/safe-and-supported-aboriginal-and-torres-strait-islander-first-action-plan-2023-2026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Design Report - Centre for Excellence</dc:title>
  <dc:subject/>
  <dc:creator>The Brennans X-box 11</dc:creator>
  <cp:keywords>[SEC=OFFICIAL]</cp:keywords>
  <dc:description/>
  <cp:lastModifiedBy>SAEED, Humaira</cp:lastModifiedBy>
  <cp:revision>3</cp:revision>
  <cp:lastPrinted>2024-11-10T23:54:00Z</cp:lastPrinted>
  <dcterms:created xsi:type="dcterms:W3CDTF">2024-11-10T23:54:00Z</dcterms:created>
  <dcterms:modified xsi:type="dcterms:W3CDTF">2024-11-10T23:54:00Z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PM_Namespace">
    <vt:lpwstr>gov.au</vt:lpwstr>
  </property>
  <property fmtid="{D5CDD505-2E9C-101B-9397-08002B2CF9AE}" pid="4" name="PM_Caveats_Count">
    <vt:lpwstr>0</vt:lpwstr>
  </property>
  <property fmtid="{D5CDD505-2E9C-101B-9397-08002B2CF9AE}" pid="5" name="PM_Version">
    <vt:lpwstr>2018.4</vt:lpwstr>
  </property>
  <property fmtid="{D5CDD505-2E9C-101B-9397-08002B2CF9AE}" pid="6" name="PM_Note">
    <vt:lpwstr/>
  </property>
  <property fmtid="{D5CDD505-2E9C-101B-9397-08002B2CF9AE}" pid="7" name="MSIP_Label_eb34d90b-fc41-464d-af60-f74d721d0790_Name">
    <vt:lpwstr>OFFICIAL</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2024-08-26T04:56:48Z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2024-08-26T04:56:48Z</vt:lpwstr>
  </property>
  <property fmtid="{D5CDD505-2E9C-101B-9397-08002B2CF9AE}" pid="18" name="MSIP_Label_eb34d90b-fc41-464d-af60-f74d721d0790_Method">
    <vt:lpwstr>Privileged</vt:lpwstr>
  </property>
  <property fmtid="{D5CDD505-2E9C-101B-9397-08002B2CF9AE}" pid="19" name="PM_InsertionValue">
    <vt:lpwstr>OFFICIAL</vt:lpwstr>
  </property>
  <property fmtid="{D5CDD505-2E9C-101B-9397-08002B2CF9AE}" pid="20" name="PM_DisplayValueSecClassificationWithQualifier">
    <vt:lpwstr>OFFICIAL</vt:lpwstr>
  </property>
  <property fmtid="{D5CDD505-2E9C-101B-9397-08002B2CF9AE}" pid="21" name="PM_Originating_FileId">
    <vt:lpwstr>0F33391533AA48F7B91DC7E1225E68AC</vt:lpwstr>
  </property>
  <property fmtid="{D5CDD505-2E9C-101B-9397-08002B2CF9AE}" pid="22" name="PM_ProtectiveMarkingValue_Footer">
    <vt:lpwstr>OFFICIAL</vt:lpwstr>
  </property>
  <property fmtid="{D5CDD505-2E9C-101B-9397-08002B2CF9AE}" pid="23" name="PM_ProtectiveMarkingImage_Header">
    <vt:lpwstr>C:\Program Files (x86)\Common Files\janusNET Shared\janusSEAL\Images\DocumentSlashBlue.png</vt:lpwstr>
  </property>
  <property fmtid="{D5CDD505-2E9C-101B-9397-08002B2CF9AE}" pid="24" name="PM_Display">
    <vt:lpwstr>OFFICIAL</vt:lpwstr>
  </property>
  <property fmtid="{D5CDD505-2E9C-101B-9397-08002B2CF9AE}" pid="25" name="PM_OriginatorDomainName_SHA256">
    <vt:lpwstr>E83A2A66C4061446A7E3732E8D44762184B6B377D962B96C83DC624302585857</vt:lpwstr>
  </property>
  <property fmtid="{D5CDD505-2E9C-101B-9397-08002B2CF9AE}" pid="26" name="PMUuid">
    <vt:lpwstr>v=2022.2;d=gov.au;g=46DD6D7C-8107-577B-BC6E-F348953B2E44</vt:lpwstr>
  </property>
  <property fmtid="{D5CDD505-2E9C-101B-9397-08002B2CF9AE}" pid="27" name="PM_Hash_Version">
    <vt:lpwstr>2022.1</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HMAC">
    <vt:lpwstr>v=2022.1;a=SHA256;h=49A1E414C887D8743ABCE97E936EACE684AFA3FB5AD1053A337FD2FD1881B598</vt:lpwstr>
  </property>
  <property fmtid="{D5CDD505-2E9C-101B-9397-08002B2CF9AE}" pid="31" name="MSIP_Label_eb34d90b-fc41-464d-af60-f74d721d0790_ActionId">
    <vt:lpwstr>bd6c50f07fcd4ad88c4829be2df21200</vt:lpwstr>
  </property>
  <property fmtid="{D5CDD505-2E9C-101B-9397-08002B2CF9AE}" pid="32" name="PM_Originator_Hash_SHA1">
    <vt:lpwstr>4BD8F64F3F582C544CDD8E9C4CDE9A13995A175D</vt:lpwstr>
  </property>
  <property fmtid="{D5CDD505-2E9C-101B-9397-08002B2CF9AE}" pid="33" name="PM_OriginatorUserAccountName_SHA256">
    <vt:lpwstr>5E04B23DF7FF292F1F97570CF3DBB6A212060B0DF95A4F4D926FC68A341AA74F</vt:lpwstr>
  </property>
  <property fmtid="{D5CDD505-2E9C-101B-9397-08002B2CF9AE}" pid="34" name="PM_Hash_Salt_Prev">
    <vt:lpwstr>A3EF37E814284CE07C377974871402B6</vt:lpwstr>
  </property>
  <property fmtid="{D5CDD505-2E9C-101B-9397-08002B2CF9AE}" pid="35" name="PM_Hash_Salt">
    <vt:lpwstr>2E06FECEB17DC09567C1E0BAE0BFE223</vt:lpwstr>
  </property>
  <property fmtid="{D5CDD505-2E9C-101B-9397-08002B2CF9AE}" pid="36" name="PM_Hash_SHA1">
    <vt:lpwstr>5F88DB1E27BF467F1C1D9BBBD1AABA0356D62857</vt:lpwstr>
  </property>
  <property fmtid="{D5CDD505-2E9C-101B-9397-08002B2CF9AE}" pid="37" name="ContentTypeId">
    <vt:lpwstr>0x010100D7C4EC2B39BD8B4A857D836EAEA45484</vt:lpwstr>
  </property>
</Properties>
</file>