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4D" w:rsidRPr="00474C4D" w:rsidRDefault="00474C4D" w:rsidP="00474C4D">
      <w:pPr>
        <w:pStyle w:val="Header"/>
        <w:tabs>
          <w:tab w:val="clear" w:pos="4153"/>
          <w:tab w:val="clear" w:pos="8306"/>
          <w:tab w:val="right" w:pos="9639"/>
        </w:tabs>
        <w:spacing w:after="0"/>
        <w:contextualSpacing w:val="0"/>
        <w:jc w:val="right"/>
        <w:rPr>
          <w:rFonts w:ascii="Arial" w:hAnsi="Arial"/>
          <w:noProof/>
          <w:color w:val="auto"/>
        </w:rPr>
      </w:pPr>
      <w:r>
        <w:rPr>
          <w:color w:val="7030A0"/>
        </w:rPr>
        <w:tab/>
      </w:r>
      <w:r>
        <w:rPr>
          <w:rFonts w:ascii="Arial" w:hAnsi="Arial"/>
          <w:noProof/>
          <w:color w:val="auto"/>
        </w:rPr>
        <w:t>Research summary: No.</w:t>
      </w:r>
      <w:r w:rsidR="007A2A8E">
        <w:rPr>
          <w:rFonts w:ascii="Arial" w:hAnsi="Arial"/>
          <w:noProof/>
          <w:color w:val="auto"/>
        </w:rPr>
        <w:t>3</w:t>
      </w:r>
      <w:r>
        <w:rPr>
          <w:rFonts w:ascii="Arial" w:hAnsi="Arial"/>
          <w:noProof/>
          <w:color w:val="auto"/>
        </w:rPr>
        <w:t>/2015</w:t>
      </w:r>
    </w:p>
    <w:p w:rsidR="008466A1" w:rsidRPr="00474C4D" w:rsidRDefault="00333723" w:rsidP="003F6C3F">
      <w:pPr>
        <w:pStyle w:val="Heading1"/>
        <w:rPr>
          <w:b w:val="0"/>
        </w:rPr>
      </w:pPr>
      <w:r w:rsidRPr="00474C4D">
        <w:t>P</w:t>
      </w:r>
      <w:r w:rsidR="00E54A8C" w:rsidRPr="00474C4D">
        <w:t>artner violence</w:t>
      </w:r>
      <w:r w:rsidR="00923B72" w:rsidRPr="00474C4D">
        <w:t xml:space="preserve"> </w:t>
      </w:r>
      <w:r w:rsidR="002136CA" w:rsidRPr="00474C4D">
        <w:t>in</w:t>
      </w:r>
      <w:r w:rsidR="00474C4D">
        <w:t xml:space="preserve"> </w:t>
      </w:r>
      <w:r w:rsidR="002136CA" w:rsidRPr="00474C4D">
        <w:t>t</w:t>
      </w:r>
      <w:r w:rsidR="00923B72" w:rsidRPr="00474C4D">
        <w:t xml:space="preserve">he </w:t>
      </w:r>
      <w:r w:rsidR="00474C4D">
        <w:t xml:space="preserve">Longitudinal Study of </w:t>
      </w:r>
      <w:r w:rsidR="00923B72" w:rsidRPr="00474C4D">
        <w:t>Indigenous Children (LSIC)</w:t>
      </w:r>
    </w:p>
    <w:p w:rsidR="00474C4D" w:rsidRPr="00474C4D" w:rsidRDefault="00923B72" w:rsidP="00FD29B2">
      <w:pPr>
        <w:jc w:val="both"/>
        <w:rPr>
          <w:color w:val="7030A0"/>
        </w:rPr>
      </w:pPr>
      <w:r>
        <w:rPr>
          <w:color w:val="7030A0"/>
        </w:rPr>
        <w:t>Laura Bennetts Kneebone</w:t>
      </w:r>
      <w:r w:rsidR="005C7E40">
        <w:rPr>
          <w:color w:val="7030A0"/>
        </w:rPr>
        <w:t xml:space="preserve"> </w:t>
      </w:r>
    </w:p>
    <w:tbl>
      <w:tblPr>
        <w:tblStyle w:val="TableGrid"/>
        <w:tblW w:w="0" w:type="auto"/>
        <w:shd w:val="clear" w:color="auto" w:fill="92D050"/>
        <w:tblLook w:val="04A0" w:firstRow="1" w:lastRow="0" w:firstColumn="1" w:lastColumn="0" w:noHBand="0" w:noVBand="1"/>
        <w:tblCaption w:val="Partner Violence in the Longitudinal Study of Indigenous Children"/>
        <w:tblDescription w:val="This table provides key statistics regarding partner violence in the Longitudinal Study of Indigenous Children )LSIV)"/>
      </w:tblPr>
      <w:tblGrid>
        <w:gridCol w:w="9000"/>
      </w:tblGrid>
      <w:tr w:rsidR="00E54A8C" w:rsidTr="00D6635A">
        <w:trPr>
          <w:tblHeader/>
        </w:trPr>
        <w:tc>
          <w:tcPr>
            <w:tcW w:w="9000" w:type="dxa"/>
            <w:shd w:val="clear" w:color="auto" w:fill="92D050"/>
          </w:tcPr>
          <w:p w:rsidR="00E54A8C" w:rsidRPr="00E70A73" w:rsidRDefault="00E54A8C" w:rsidP="00BB42B3">
            <w:pPr>
              <w:spacing w:after="0" w:line="240" w:lineRule="auto"/>
              <w:jc w:val="both"/>
              <w:rPr>
                <w:b/>
              </w:rPr>
            </w:pPr>
            <w:r w:rsidRPr="00E70A73">
              <w:rPr>
                <w:b/>
              </w:rPr>
              <w:t xml:space="preserve">Key </w:t>
            </w:r>
            <w:r w:rsidR="00CB7B42">
              <w:rPr>
                <w:b/>
              </w:rPr>
              <w:t>s</w:t>
            </w:r>
            <w:r w:rsidRPr="00E70A73">
              <w:rPr>
                <w:b/>
              </w:rPr>
              <w:t>tatistics</w:t>
            </w:r>
          </w:p>
          <w:p w:rsidR="00E54A8C" w:rsidRPr="00DB644A" w:rsidRDefault="00836A87" w:rsidP="006D4F0C">
            <w:pPr>
              <w:pStyle w:val="ListParagraph"/>
              <w:numPr>
                <w:ilvl w:val="0"/>
                <w:numId w:val="66"/>
              </w:numPr>
              <w:rPr>
                <w:rFonts w:eastAsia="Calibri" w:cs="Arial"/>
                <w:sz w:val="20"/>
                <w:szCs w:val="20"/>
              </w:rPr>
            </w:pPr>
            <w:r w:rsidRPr="00DB644A">
              <w:rPr>
                <w:rFonts w:eastAsia="Calibri" w:cs="Arial"/>
                <w:sz w:val="20"/>
                <w:szCs w:val="20"/>
              </w:rPr>
              <w:t>M</w:t>
            </w:r>
            <w:r w:rsidR="00E54A8C" w:rsidRPr="00DB644A">
              <w:rPr>
                <w:rFonts w:eastAsia="Calibri" w:cs="Arial"/>
                <w:sz w:val="20"/>
                <w:szCs w:val="20"/>
              </w:rPr>
              <w:t xml:space="preserve">others who had arguments that included physical violence were much more likely to be in a </w:t>
            </w:r>
            <w:r w:rsidR="00333723" w:rsidRPr="00DB644A">
              <w:rPr>
                <w:rFonts w:eastAsia="Calibri" w:cs="Arial"/>
                <w:sz w:val="20"/>
                <w:szCs w:val="20"/>
              </w:rPr>
              <w:t>partner</w:t>
            </w:r>
            <w:r w:rsidR="00E54A8C" w:rsidRPr="00DB644A">
              <w:rPr>
                <w:rFonts w:eastAsia="Calibri" w:cs="Arial"/>
                <w:sz w:val="20"/>
                <w:szCs w:val="20"/>
              </w:rPr>
              <w:t xml:space="preserve"> violence situation in future </w:t>
            </w:r>
            <w:r w:rsidR="00CB7B42" w:rsidRPr="00DB644A">
              <w:rPr>
                <w:rFonts w:eastAsia="Calibri" w:cs="Arial"/>
                <w:sz w:val="20"/>
                <w:szCs w:val="20"/>
              </w:rPr>
              <w:t>w</w:t>
            </w:r>
            <w:r w:rsidR="006D7608" w:rsidRPr="00DB644A">
              <w:rPr>
                <w:rFonts w:eastAsia="Calibri" w:cs="Arial"/>
                <w:sz w:val="20"/>
                <w:szCs w:val="20"/>
              </w:rPr>
              <w:t>ave</w:t>
            </w:r>
            <w:r w:rsidR="00E54A8C" w:rsidRPr="00DB644A">
              <w:rPr>
                <w:rFonts w:eastAsia="Calibri" w:cs="Arial"/>
                <w:sz w:val="20"/>
                <w:szCs w:val="20"/>
              </w:rPr>
              <w:t xml:space="preserve">s, but were also much more likely to be single in future </w:t>
            </w:r>
            <w:r w:rsidR="00CB7B42" w:rsidRPr="00DB644A">
              <w:rPr>
                <w:rFonts w:eastAsia="Calibri" w:cs="Arial"/>
                <w:sz w:val="20"/>
                <w:szCs w:val="20"/>
              </w:rPr>
              <w:t>w</w:t>
            </w:r>
            <w:r w:rsidR="006D7608" w:rsidRPr="00DB644A">
              <w:rPr>
                <w:rFonts w:eastAsia="Calibri" w:cs="Arial"/>
                <w:sz w:val="20"/>
                <w:szCs w:val="20"/>
              </w:rPr>
              <w:t>ave</w:t>
            </w:r>
            <w:r w:rsidR="00E54A8C" w:rsidRPr="00DB644A">
              <w:rPr>
                <w:rFonts w:eastAsia="Calibri" w:cs="Arial"/>
                <w:sz w:val="20"/>
                <w:szCs w:val="20"/>
              </w:rPr>
              <w:t>s.</w:t>
            </w:r>
          </w:p>
          <w:p w:rsidR="00E54A8C" w:rsidRPr="00DB644A" w:rsidRDefault="00E54A8C" w:rsidP="006D4F0C">
            <w:pPr>
              <w:pStyle w:val="ListParagraph"/>
              <w:numPr>
                <w:ilvl w:val="0"/>
                <w:numId w:val="66"/>
              </w:numPr>
              <w:rPr>
                <w:rFonts w:eastAsia="Calibri" w:cs="Arial"/>
                <w:sz w:val="20"/>
                <w:szCs w:val="20"/>
              </w:rPr>
            </w:pPr>
            <w:r w:rsidRPr="00DB644A">
              <w:rPr>
                <w:rFonts w:eastAsia="Calibri" w:cs="Arial"/>
                <w:sz w:val="20"/>
                <w:szCs w:val="20"/>
              </w:rPr>
              <w:t xml:space="preserve">Demographic characteristics related to employment, education and financial hardship were related to </w:t>
            </w:r>
            <w:r w:rsidR="00333723" w:rsidRPr="00DB644A">
              <w:rPr>
                <w:rFonts w:eastAsia="Calibri" w:cs="Arial"/>
                <w:sz w:val="20"/>
                <w:szCs w:val="20"/>
              </w:rPr>
              <w:t xml:space="preserve">partner </w:t>
            </w:r>
            <w:r w:rsidRPr="00DB644A">
              <w:rPr>
                <w:rFonts w:eastAsia="Calibri" w:cs="Arial"/>
                <w:sz w:val="20"/>
                <w:szCs w:val="20"/>
              </w:rPr>
              <w:t xml:space="preserve">violence. Remoteness was the single biggest predictor of </w:t>
            </w:r>
            <w:r w:rsidR="00333723" w:rsidRPr="00DB644A">
              <w:rPr>
                <w:rFonts w:eastAsia="Calibri" w:cs="Arial"/>
                <w:sz w:val="20"/>
                <w:szCs w:val="20"/>
              </w:rPr>
              <w:t xml:space="preserve">partner </w:t>
            </w:r>
            <w:r w:rsidRPr="00DB644A">
              <w:rPr>
                <w:rFonts w:eastAsia="Calibri" w:cs="Arial"/>
                <w:sz w:val="20"/>
                <w:szCs w:val="20"/>
              </w:rPr>
              <w:t>violence in LSIC.</w:t>
            </w:r>
          </w:p>
          <w:p w:rsidR="00E54A8C" w:rsidRPr="00DB644A" w:rsidRDefault="006D4F0C" w:rsidP="006D4F0C">
            <w:pPr>
              <w:pStyle w:val="ListParagraph"/>
              <w:numPr>
                <w:ilvl w:val="0"/>
                <w:numId w:val="66"/>
              </w:numPr>
              <w:rPr>
                <w:rFonts w:eastAsia="Calibri" w:cs="Arial"/>
                <w:sz w:val="20"/>
                <w:szCs w:val="20"/>
              </w:rPr>
            </w:pPr>
            <w:r w:rsidRPr="00DB644A">
              <w:rPr>
                <w:rFonts w:eastAsia="Calibri" w:cs="Arial"/>
                <w:sz w:val="20"/>
                <w:szCs w:val="20"/>
              </w:rPr>
              <w:t>Children were more likely to have social and emotional problems if they had been upset by family arguments and/or if their parents have had violent arguments.</w:t>
            </w:r>
            <w:r w:rsidR="00E54A8C" w:rsidRPr="00DB644A">
              <w:rPr>
                <w:rFonts w:eastAsia="Calibri" w:cs="Arial"/>
                <w:sz w:val="20"/>
                <w:szCs w:val="20"/>
              </w:rPr>
              <w:t xml:space="preserve"> </w:t>
            </w:r>
          </w:p>
          <w:p w:rsidR="00E54A8C" w:rsidRPr="006D4F0C" w:rsidRDefault="00E54A8C" w:rsidP="006D4F0C">
            <w:pPr>
              <w:pStyle w:val="ListParagraph"/>
              <w:numPr>
                <w:ilvl w:val="0"/>
                <w:numId w:val="66"/>
              </w:numPr>
              <w:rPr>
                <w:rFonts w:eastAsia="Calibri" w:cs="Arial"/>
                <w:i/>
                <w:szCs w:val="20"/>
              </w:rPr>
            </w:pPr>
            <w:r w:rsidRPr="00DB644A">
              <w:rPr>
                <w:rFonts w:eastAsia="Calibri" w:cs="Arial"/>
                <w:sz w:val="20"/>
                <w:szCs w:val="20"/>
              </w:rPr>
              <w:t xml:space="preserve">Mothers experiencing </w:t>
            </w:r>
            <w:r w:rsidR="00333723" w:rsidRPr="00DB644A">
              <w:rPr>
                <w:rFonts w:eastAsia="Calibri" w:cs="Arial"/>
                <w:sz w:val="20"/>
                <w:szCs w:val="20"/>
              </w:rPr>
              <w:t>partner</w:t>
            </w:r>
            <w:r w:rsidRPr="00DB644A">
              <w:rPr>
                <w:rFonts w:eastAsia="Calibri" w:cs="Arial"/>
                <w:sz w:val="20"/>
                <w:szCs w:val="20"/>
              </w:rPr>
              <w:t xml:space="preserve"> violence were more likely to rate </w:t>
            </w:r>
            <w:r w:rsidR="00333723" w:rsidRPr="00DB644A">
              <w:rPr>
                <w:rFonts w:eastAsia="Calibri" w:cs="Arial"/>
                <w:sz w:val="20"/>
                <w:szCs w:val="20"/>
              </w:rPr>
              <w:t>family</w:t>
            </w:r>
            <w:r w:rsidRPr="00DB644A">
              <w:rPr>
                <w:rFonts w:eastAsia="Calibri" w:cs="Arial"/>
                <w:sz w:val="20"/>
                <w:szCs w:val="20"/>
              </w:rPr>
              <w:t xml:space="preserve"> violence as a big probl</w:t>
            </w:r>
            <w:r w:rsidR="00B55563" w:rsidRPr="00DB644A">
              <w:rPr>
                <w:rFonts w:eastAsia="Calibri" w:cs="Arial"/>
                <w:sz w:val="20"/>
                <w:szCs w:val="20"/>
              </w:rPr>
              <w:t>em in their community</w:t>
            </w:r>
            <w:r w:rsidRPr="00DB644A">
              <w:rPr>
                <w:rFonts w:eastAsia="Calibri" w:cs="Arial"/>
                <w:sz w:val="20"/>
                <w:szCs w:val="20"/>
              </w:rPr>
              <w:t>.</w:t>
            </w:r>
          </w:p>
        </w:tc>
      </w:tr>
    </w:tbl>
    <w:p w:rsidR="00B235CA" w:rsidRDefault="00B235CA" w:rsidP="00FD29B2">
      <w:pPr>
        <w:spacing w:before="0" w:after="0" w:line="240" w:lineRule="auto"/>
        <w:rPr>
          <w:rFonts w:eastAsia="Calibri" w:cs="Arial"/>
          <w:b/>
          <w:sz w:val="22"/>
          <w:szCs w:val="22"/>
          <w:lang w:eastAsia="en-US"/>
        </w:rPr>
      </w:pPr>
    </w:p>
    <w:p w:rsidR="005E5FDF" w:rsidRPr="00D6635A" w:rsidRDefault="00F57F98" w:rsidP="003F6C3F">
      <w:pPr>
        <w:pStyle w:val="Heading2"/>
        <w:rPr>
          <w:rFonts w:eastAsia="Calibri"/>
          <w:b w:val="0"/>
          <w:lang w:eastAsia="en-US"/>
        </w:rPr>
      </w:pPr>
      <w:r w:rsidRPr="00D6635A">
        <w:rPr>
          <w:rFonts w:eastAsia="Calibri"/>
          <w:lang w:eastAsia="en-US"/>
        </w:rPr>
        <w:t xml:space="preserve">Domestic </w:t>
      </w:r>
      <w:r w:rsidR="00CB7B42" w:rsidRPr="00D6635A">
        <w:rPr>
          <w:rFonts w:eastAsia="Calibri"/>
          <w:lang w:eastAsia="en-US"/>
        </w:rPr>
        <w:t>v</w:t>
      </w:r>
      <w:r w:rsidRPr="00D6635A">
        <w:rPr>
          <w:rFonts w:eastAsia="Calibri"/>
          <w:lang w:eastAsia="en-US"/>
        </w:rPr>
        <w:t xml:space="preserve">iolence in the LSIC </w:t>
      </w:r>
      <w:r w:rsidR="00CB7B42" w:rsidRPr="00D6635A">
        <w:rPr>
          <w:rFonts w:eastAsia="Calibri"/>
          <w:lang w:eastAsia="en-US"/>
        </w:rPr>
        <w:t>c</w:t>
      </w:r>
      <w:r w:rsidRPr="00D6635A">
        <w:rPr>
          <w:rFonts w:eastAsia="Calibri"/>
          <w:lang w:eastAsia="en-US"/>
        </w:rPr>
        <w:t>ontext</w:t>
      </w:r>
    </w:p>
    <w:p w:rsidR="00321454" w:rsidRPr="00DB644A" w:rsidRDefault="00321454" w:rsidP="00B235CA">
      <w:pPr>
        <w:spacing w:before="0" w:after="200" w:line="276" w:lineRule="auto"/>
        <w:jc w:val="both"/>
        <w:rPr>
          <w:rFonts w:eastAsia="Calibri"/>
          <w:szCs w:val="20"/>
          <w:lang w:eastAsia="en-US"/>
        </w:rPr>
      </w:pPr>
      <w:r w:rsidRPr="00DB644A">
        <w:rPr>
          <w:rFonts w:eastAsia="Calibri"/>
          <w:szCs w:val="20"/>
          <w:lang w:eastAsia="en-US"/>
        </w:rPr>
        <w:t>The Longitudinal Study of Indigenous Children (LSIC) has interviewed the families of between 1</w:t>
      </w:r>
      <w:r w:rsidR="00CB7B42" w:rsidRPr="00DB644A">
        <w:rPr>
          <w:rFonts w:eastAsia="Calibri"/>
          <w:szCs w:val="20"/>
          <w:lang w:eastAsia="en-US"/>
        </w:rPr>
        <w:t>,</w:t>
      </w:r>
      <w:r w:rsidRPr="00DB644A">
        <w:rPr>
          <w:rFonts w:eastAsia="Calibri"/>
          <w:szCs w:val="20"/>
          <w:lang w:eastAsia="en-US"/>
        </w:rPr>
        <w:t>200 and 1</w:t>
      </w:r>
      <w:r w:rsidR="00CB7B42" w:rsidRPr="00DB644A">
        <w:rPr>
          <w:rFonts w:eastAsia="Calibri"/>
          <w:szCs w:val="20"/>
          <w:lang w:eastAsia="en-US"/>
        </w:rPr>
        <w:t>,</w:t>
      </w:r>
      <w:r w:rsidRPr="00DB644A">
        <w:rPr>
          <w:rFonts w:eastAsia="Calibri"/>
          <w:szCs w:val="20"/>
          <w:lang w:eastAsia="en-US"/>
        </w:rPr>
        <w:t>700 Aboriginal and Torres Strait Islander children every year since 2008. In the first year of interviewing most children were either 1 or 4 year</w:t>
      </w:r>
      <w:r w:rsidR="000555A8" w:rsidRPr="00DB644A">
        <w:rPr>
          <w:rFonts w:eastAsia="Calibri"/>
          <w:szCs w:val="20"/>
          <w:lang w:eastAsia="en-US"/>
        </w:rPr>
        <w:t>s</w:t>
      </w:r>
      <w:r w:rsidRPr="00DB644A">
        <w:rPr>
          <w:rFonts w:eastAsia="Calibri"/>
          <w:szCs w:val="20"/>
          <w:lang w:eastAsia="en-US"/>
        </w:rPr>
        <w:t xml:space="preserve"> </w:t>
      </w:r>
      <w:r w:rsidR="00145397" w:rsidRPr="00DB644A">
        <w:rPr>
          <w:rFonts w:eastAsia="Calibri"/>
          <w:szCs w:val="20"/>
          <w:lang w:eastAsia="en-US"/>
        </w:rPr>
        <w:t>of age</w:t>
      </w:r>
      <w:r w:rsidRPr="00DB644A">
        <w:rPr>
          <w:rFonts w:eastAsia="Calibri"/>
          <w:szCs w:val="20"/>
          <w:lang w:eastAsia="en-US"/>
        </w:rPr>
        <w:t xml:space="preserve">. They live in urban, regional and remote areas of Australia (see </w:t>
      </w:r>
      <w:r w:rsidR="00157BAC" w:rsidRPr="00DB644A">
        <w:rPr>
          <w:rFonts w:eastAsia="Calibri"/>
          <w:szCs w:val="20"/>
          <w:lang w:eastAsia="en-US"/>
        </w:rPr>
        <w:t>F</w:t>
      </w:r>
      <w:r w:rsidRPr="00DB644A">
        <w:rPr>
          <w:rFonts w:eastAsia="Calibri"/>
          <w:szCs w:val="20"/>
          <w:lang w:eastAsia="en-US"/>
        </w:rPr>
        <w:t>igures</w:t>
      </w:r>
      <w:r w:rsidR="00B32379" w:rsidRPr="00DB644A">
        <w:rPr>
          <w:rFonts w:eastAsia="Calibri"/>
          <w:szCs w:val="20"/>
          <w:lang w:eastAsia="en-US"/>
        </w:rPr>
        <w:t xml:space="preserve"> 1 and </w:t>
      </w:r>
      <w:r w:rsidR="00766D08" w:rsidRPr="00DB644A">
        <w:rPr>
          <w:rFonts w:eastAsia="Calibri"/>
          <w:szCs w:val="20"/>
          <w:lang w:eastAsia="en-US"/>
        </w:rPr>
        <w:t>2</w:t>
      </w:r>
      <w:r w:rsidRPr="00DB644A">
        <w:rPr>
          <w:rFonts w:eastAsia="Calibri"/>
          <w:szCs w:val="20"/>
          <w:lang w:eastAsia="en-US"/>
        </w:rPr>
        <w:t>).</w:t>
      </w:r>
      <w:r w:rsidR="00005CC8" w:rsidRPr="00DB644A">
        <w:rPr>
          <w:rFonts w:eastAsia="Calibri"/>
          <w:szCs w:val="20"/>
          <w:lang w:eastAsia="en-US"/>
        </w:rPr>
        <w:t xml:space="preserve"> While all of the children in the study are Indigenous, not all the primary carers or</w:t>
      </w:r>
      <w:r w:rsidR="00B55563" w:rsidRPr="00DB644A">
        <w:rPr>
          <w:rFonts w:eastAsia="Calibri"/>
          <w:szCs w:val="20"/>
          <w:lang w:eastAsia="en-US"/>
        </w:rPr>
        <w:t xml:space="preserve"> their partners are Indigenous.</w:t>
      </w:r>
    </w:p>
    <w:p w:rsidR="00B235CA" w:rsidRPr="00A12EFF" w:rsidRDefault="0095018E" w:rsidP="00A12EFF">
      <w:pPr>
        <w:pStyle w:val="Heading1"/>
        <w:rPr>
          <w:rFonts w:ascii="Arial" w:eastAsia="Calibri" w:hAnsi="Arial"/>
          <w:b w:val="0"/>
          <w:noProof/>
          <w:color w:val="auto"/>
          <w:sz w:val="20"/>
          <w:szCs w:val="20"/>
        </w:rPr>
      </w:pPr>
      <w:r w:rsidRPr="00A12EFF">
        <w:rPr>
          <w:rFonts w:ascii="Arial" w:hAnsi="Arial"/>
          <w:color w:val="auto"/>
          <w:sz w:val="20"/>
          <w:szCs w:val="20"/>
        </w:rPr>
        <w:t xml:space="preserve">Figure 1: </w:t>
      </w:r>
      <w:r w:rsidRPr="00A12EFF">
        <w:rPr>
          <w:rFonts w:ascii="Arial" w:eastAsiaTheme="majorEastAsia" w:hAnsi="Arial"/>
          <w:color w:val="auto"/>
          <w:sz w:val="20"/>
          <w:szCs w:val="20"/>
        </w:rPr>
        <w:t>LSIC 2008 sample by ASGC Remoteness area</w:t>
      </w:r>
      <w:r w:rsidR="00B235CA" w:rsidRPr="00A12EFF">
        <w:rPr>
          <w:rFonts w:ascii="Arial" w:eastAsia="Calibri" w:hAnsi="Arial"/>
          <w:noProof/>
          <w:color w:val="auto"/>
          <w:sz w:val="20"/>
          <w:szCs w:val="20"/>
        </w:rPr>
        <w:t xml:space="preserve"> </w:t>
      </w:r>
    </w:p>
    <w:p w:rsidR="00B235CA" w:rsidRDefault="00B235CA" w:rsidP="00B235CA">
      <w:pPr>
        <w:jc w:val="both"/>
        <w:rPr>
          <w:rFonts w:eastAsia="Calibri"/>
          <w:noProof/>
          <w:sz w:val="22"/>
          <w:szCs w:val="22"/>
        </w:rPr>
      </w:pPr>
      <w:r w:rsidRPr="00E54A8C">
        <w:rPr>
          <w:rFonts w:eastAsia="Calibri"/>
          <w:noProof/>
          <w:sz w:val="22"/>
          <w:szCs w:val="22"/>
        </w:rPr>
        <w:drawing>
          <wp:inline distT="0" distB="0" distL="0" distR="0">
            <wp:extent cx="5762625" cy="2524125"/>
            <wp:effectExtent l="0" t="0" r="9525" b="9525"/>
            <wp:docPr id="16" name="Chart 16" descr="Graph showing the distribution of the LSIC sample by their remoteness area." title="Figure 1: LSIC 2008 sample by ASGC Remoteness area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W w:w="0" w:type="auto"/>
        <w:tblLook w:val="04A0" w:firstRow="1" w:lastRow="0" w:firstColumn="1" w:lastColumn="0" w:noHBand="0" w:noVBand="1"/>
        <w:tblCaption w:val="2008 sample by AGSC Remoteness area."/>
        <w:tblDescription w:val="This table provides the percentages by remotess of domestic violence in the LSIC context"/>
      </w:tblPr>
      <w:tblGrid>
        <w:gridCol w:w="4569"/>
        <w:gridCol w:w="4565"/>
      </w:tblGrid>
      <w:tr w:rsidR="000A5CDE" w:rsidRPr="00D74A97" w:rsidTr="00246261">
        <w:trPr>
          <w:tblHeader/>
        </w:trPr>
        <w:tc>
          <w:tcPr>
            <w:tcW w:w="4621" w:type="dxa"/>
          </w:tcPr>
          <w:p w:rsidR="000A5CDE" w:rsidRPr="00D74A97" w:rsidRDefault="000A5CDE" w:rsidP="00D74A97">
            <w:pPr>
              <w:spacing w:before="0" w:after="0"/>
              <w:jc w:val="both"/>
              <w:rPr>
                <w:szCs w:val="20"/>
              </w:rPr>
            </w:pPr>
            <w:r w:rsidRPr="00D74A97">
              <w:rPr>
                <w:szCs w:val="20"/>
              </w:rPr>
              <w:t xml:space="preserve">Major </w:t>
            </w:r>
            <w:r w:rsidR="0095348E" w:rsidRPr="00D74A97">
              <w:rPr>
                <w:szCs w:val="20"/>
              </w:rPr>
              <w:t>c</w:t>
            </w:r>
            <w:r w:rsidRPr="00D74A97">
              <w:rPr>
                <w:szCs w:val="20"/>
              </w:rPr>
              <w:t>ities of Australia</w:t>
            </w:r>
          </w:p>
        </w:tc>
        <w:tc>
          <w:tcPr>
            <w:tcW w:w="4621" w:type="dxa"/>
          </w:tcPr>
          <w:p w:rsidR="000A5CDE" w:rsidRPr="00D74A97" w:rsidRDefault="000A5CDE" w:rsidP="00D74A97">
            <w:pPr>
              <w:spacing w:before="0" w:after="0"/>
              <w:jc w:val="center"/>
              <w:rPr>
                <w:szCs w:val="20"/>
              </w:rPr>
            </w:pPr>
            <w:r w:rsidRPr="00D74A97">
              <w:rPr>
                <w:szCs w:val="20"/>
              </w:rPr>
              <w:t>26.0%</w:t>
            </w:r>
          </w:p>
        </w:tc>
      </w:tr>
      <w:tr w:rsidR="000A5CDE" w:rsidRPr="00D74A97" w:rsidTr="000A5CDE">
        <w:tc>
          <w:tcPr>
            <w:tcW w:w="4621" w:type="dxa"/>
          </w:tcPr>
          <w:p w:rsidR="000A5CDE" w:rsidRPr="00D74A97" w:rsidRDefault="0095348E" w:rsidP="00D74A97">
            <w:pPr>
              <w:spacing w:before="0" w:after="0"/>
              <w:jc w:val="both"/>
              <w:rPr>
                <w:szCs w:val="20"/>
              </w:rPr>
            </w:pPr>
            <w:r w:rsidRPr="00D74A97">
              <w:rPr>
                <w:szCs w:val="20"/>
              </w:rPr>
              <w:t>Inner r</w:t>
            </w:r>
            <w:r w:rsidR="000A5CDE" w:rsidRPr="00D74A97">
              <w:rPr>
                <w:szCs w:val="20"/>
              </w:rPr>
              <w:t>egional Australia</w:t>
            </w:r>
          </w:p>
        </w:tc>
        <w:tc>
          <w:tcPr>
            <w:tcW w:w="4621" w:type="dxa"/>
          </w:tcPr>
          <w:p w:rsidR="000A5CDE" w:rsidRPr="00D74A97" w:rsidRDefault="000A5CDE" w:rsidP="00D74A97">
            <w:pPr>
              <w:spacing w:before="0" w:after="0"/>
              <w:jc w:val="center"/>
              <w:rPr>
                <w:szCs w:val="20"/>
              </w:rPr>
            </w:pPr>
            <w:r w:rsidRPr="00D74A97">
              <w:rPr>
                <w:szCs w:val="20"/>
              </w:rPr>
              <w:t>25.2%</w:t>
            </w:r>
          </w:p>
        </w:tc>
      </w:tr>
      <w:tr w:rsidR="000A5CDE" w:rsidRPr="00D74A97" w:rsidTr="000A5CDE">
        <w:tc>
          <w:tcPr>
            <w:tcW w:w="4621" w:type="dxa"/>
          </w:tcPr>
          <w:p w:rsidR="000A5CDE" w:rsidRPr="00D74A97" w:rsidRDefault="0095348E" w:rsidP="00D74A97">
            <w:pPr>
              <w:spacing w:before="0" w:after="0"/>
              <w:jc w:val="both"/>
              <w:rPr>
                <w:szCs w:val="20"/>
              </w:rPr>
            </w:pPr>
            <w:r w:rsidRPr="00D74A97">
              <w:rPr>
                <w:szCs w:val="20"/>
              </w:rPr>
              <w:t>Outer r</w:t>
            </w:r>
            <w:r w:rsidR="000A5CDE" w:rsidRPr="00D74A97">
              <w:rPr>
                <w:szCs w:val="20"/>
              </w:rPr>
              <w:t>egional Australia</w:t>
            </w:r>
          </w:p>
        </w:tc>
        <w:tc>
          <w:tcPr>
            <w:tcW w:w="4621" w:type="dxa"/>
          </w:tcPr>
          <w:p w:rsidR="000A5CDE" w:rsidRPr="00D74A97" w:rsidRDefault="000A5CDE" w:rsidP="00D74A97">
            <w:pPr>
              <w:spacing w:before="0" w:after="0"/>
              <w:jc w:val="center"/>
              <w:rPr>
                <w:szCs w:val="20"/>
              </w:rPr>
            </w:pPr>
            <w:r w:rsidRPr="00D74A97">
              <w:rPr>
                <w:szCs w:val="20"/>
              </w:rPr>
              <w:t>13.4%</w:t>
            </w:r>
          </w:p>
        </w:tc>
      </w:tr>
      <w:tr w:rsidR="000A5CDE" w:rsidRPr="00D74A97" w:rsidTr="000A5CDE">
        <w:tc>
          <w:tcPr>
            <w:tcW w:w="4621" w:type="dxa"/>
          </w:tcPr>
          <w:p w:rsidR="000A5CDE" w:rsidRPr="00D74A97" w:rsidRDefault="000A5CDE" w:rsidP="00D74A97">
            <w:pPr>
              <w:spacing w:before="0" w:after="0"/>
              <w:jc w:val="both"/>
              <w:rPr>
                <w:szCs w:val="20"/>
              </w:rPr>
            </w:pPr>
            <w:r w:rsidRPr="00D74A97">
              <w:rPr>
                <w:szCs w:val="20"/>
              </w:rPr>
              <w:t>Remote Australia</w:t>
            </w:r>
          </w:p>
        </w:tc>
        <w:tc>
          <w:tcPr>
            <w:tcW w:w="4621" w:type="dxa"/>
          </w:tcPr>
          <w:p w:rsidR="000A5CDE" w:rsidRPr="00D74A97" w:rsidRDefault="000A5CDE" w:rsidP="00D74A97">
            <w:pPr>
              <w:spacing w:before="0" w:after="0"/>
              <w:jc w:val="center"/>
              <w:rPr>
                <w:szCs w:val="20"/>
              </w:rPr>
            </w:pPr>
            <w:r w:rsidRPr="00D74A97">
              <w:rPr>
                <w:szCs w:val="20"/>
              </w:rPr>
              <w:t>15.0%</w:t>
            </w:r>
          </w:p>
        </w:tc>
      </w:tr>
      <w:tr w:rsidR="000A5CDE" w:rsidRPr="00D74A97" w:rsidTr="000A5CDE">
        <w:tc>
          <w:tcPr>
            <w:tcW w:w="4621" w:type="dxa"/>
          </w:tcPr>
          <w:p w:rsidR="000A5CDE" w:rsidRPr="00D74A97" w:rsidRDefault="0095348E" w:rsidP="00D74A97">
            <w:pPr>
              <w:spacing w:before="0" w:after="0"/>
              <w:jc w:val="both"/>
              <w:rPr>
                <w:szCs w:val="20"/>
              </w:rPr>
            </w:pPr>
            <w:r w:rsidRPr="00D74A97">
              <w:rPr>
                <w:szCs w:val="20"/>
              </w:rPr>
              <w:t>Very remote A</w:t>
            </w:r>
            <w:r w:rsidR="000A5CDE" w:rsidRPr="00D74A97">
              <w:rPr>
                <w:szCs w:val="20"/>
              </w:rPr>
              <w:t>ustralia</w:t>
            </w:r>
          </w:p>
        </w:tc>
        <w:tc>
          <w:tcPr>
            <w:tcW w:w="4621" w:type="dxa"/>
          </w:tcPr>
          <w:p w:rsidR="000A5CDE" w:rsidRPr="00D74A97" w:rsidRDefault="0095348E" w:rsidP="00D74A97">
            <w:pPr>
              <w:spacing w:before="0" w:after="0"/>
              <w:jc w:val="center"/>
              <w:rPr>
                <w:szCs w:val="20"/>
              </w:rPr>
            </w:pPr>
            <w:r w:rsidRPr="00D74A97">
              <w:rPr>
                <w:szCs w:val="20"/>
              </w:rPr>
              <w:t>20.5%</w:t>
            </w:r>
          </w:p>
        </w:tc>
      </w:tr>
    </w:tbl>
    <w:p w:rsidR="00B235CA" w:rsidRPr="00B235CA" w:rsidRDefault="00B235CA" w:rsidP="00B235CA">
      <w:pPr>
        <w:keepNext/>
        <w:jc w:val="both"/>
        <w:rPr>
          <w:rFonts w:eastAsiaTheme="majorEastAsia"/>
          <w:b/>
          <w:spacing w:val="5"/>
        </w:rPr>
      </w:pPr>
      <w:r w:rsidRPr="00B235CA">
        <w:rPr>
          <w:b/>
        </w:rPr>
        <w:lastRenderedPageBreak/>
        <w:t xml:space="preserve">Figure 2: </w:t>
      </w:r>
      <w:r w:rsidRPr="00B235CA">
        <w:rPr>
          <w:rFonts w:eastAsiaTheme="majorEastAsia"/>
          <w:b/>
          <w:spacing w:val="5"/>
        </w:rPr>
        <w:t>LSIC survey sample distribution (2013)</w:t>
      </w:r>
    </w:p>
    <w:p w:rsidR="0095018E" w:rsidRDefault="00077CD4" w:rsidP="00456719">
      <w:pPr>
        <w:pBdr>
          <w:top w:val="single" w:sz="4" w:space="1" w:color="auto"/>
          <w:left w:val="single" w:sz="4" w:space="4" w:color="auto"/>
          <w:bottom w:val="single" w:sz="4" w:space="1" w:color="auto"/>
          <w:right w:val="single" w:sz="4" w:space="4" w:color="auto"/>
        </w:pBdr>
        <w:jc w:val="center"/>
        <w:rPr>
          <w:rFonts w:eastAsiaTheme="majorEastAsia"/>
          <w:spacing w:val="5"/>
        </w:rPr>
      </w:pPr>
      <w:r>
        <w:rPr>
          <w:rFonts w:eastAsiaTheme="majorEastAsia"/>
          <w:noProof/>
          <w:spacing w:val="5"/>
        </w:rPr>
        <w:drawing>
          <wp:inline distT="0" distB="0" distL="0" distR="0" wp14:anchorId="52058FF9" wp14:editId="3A7122FE">
            <wp:extent cx="3419475" cy="3136954"/>
            <wp:effectExtent l="0" t="0" r="0" b="6350"/>
            <wp:docPr id="3" name="Picture 3" descr="Map of Australia indicating the approximate distribution of survey participants across the country." title="Figure 2: LSIC survey sample distributio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IC.png"/>
                    <pic:cNvPicPr/>
                  </pic:nvPicPr>
                  <pic:blipFill>
                    <a:blip r:embed="rId10">
                      <a:extLst>
                        <a:ext uri="{28A0092B-C50C-407E-A947-70E740481C1C}">
                          <a14:useLocalDpi xmlns:a14="http://schemas.microsoft.com/office/drawing/2010/main" val="0"/>
                        </a:ext>
                      </a:extLst>
                    </a:blip>
                    <a:stretch>
                      <a:fillRect/>
                    </a:stretch>
                  </pic:blipFill>
                  <pic:spPr>
                    <a:xfrm>
                      <a:off x="0" y="0"/>
                      <a:ext cx="3433202" cy="3149547"/>
                    </a:xfrm>
                    <a:prstGeom prst="rect">
                      <a:avLst/>
                    </a:prstGeom>
                  </pic:spPr>
                </pic:pic>
              </a:graphicData>
            </a:graphic>
          </wp:inline>
        </w:drawing>
      </w:r>
    </w:p>
    <w:p w:rsidR="003A730F" w:rsidRPr="002F1E55" w:rsidRDefault="003A730F" w:rsidP="00456719">
      <w:pPr>
        <w:rPr>
          <w:rFonts w:eastAsiaTheme="majorEastAsia"/>
          <w:spacing w:val="5"/>
        </w:rPr>
      </w:pPr>
    </w:p>
    <w:p w:rsidR="00B235CA" w:rsidRPr="00DB644A" w:rsidRDefault="00321454" w:rsidP="00B235CA">
      <w:pPr>
        <w:spacing w:before="0" w:after="200" w:line="276" w:lineRule="auto"/>
        <w:jc w:val="both"/>
        <w:rPr>
          <w:rFonts w:eastAsia="Calibri"/>
          <w:szCs w:val="20"/>
          <w:lang w:eastAsia="en-US"/>
        </w:rPr>
      </w:pPr>
      <w:r w:rsidRPr="00DB644A">
        <w:rPr>
          <w:rFonts w:eastAsia="Calibri"/>
          <w:szCs w:val="20"/>
          <w:lang w:eastAsia="en-US"/>
        </w:rPr>
        <w:t>In the third year of interviewing (</w:t>
      </w:r>
      <w:r w:rsidR="006D7608" w:rsidRPr="00DB644A">
        <w:rPr>
          <w:rFonts w:eastAsia="Calibri"/>
          <w:szCs w:val="20"/>
          <w:lang w:eastAsia="en-US"/>
        </w:rPr>
        <w:t>Wave</w:t>
      </w:r>
      <w:r w:rsidRPr="00DB644A">
        <w:rPr>
          <w:rFonts w:eastAsia="Calibri"/>
          <w:szCs w:val="20"/>
          <w:lang w:eastAsia="en-US"/>
        </w:rPr>
        <w:t xml:space="preserve"> 3), the primary carers, 97.4 per cent of whom were female (predominantly mothers)</w:t>
      </w:r>
      <w:r w:rsidR="00F85430" w:rsidRPr="00DB644A">
        <w:rPr>
          <w:rFonts w:eastAsia="Calibri"/>
          <w:szCs w:val="20"/>
          <w:lang w:eastAsia="en-US"/>
        </w:rPr>
        <w:t>,</w:t>
      </w:r>
      <w:r w:rsidRPr="00DB644A">
        <w:rPr>
          <w:rFonts w:eastAsia="Calibri"/>
          <w:szCs w:val="20"/>
          <w:lang w:eastAsia="en-US"/>
        </w:rPr>
        <w:t xml:space="preserve"> were asked about their relationship with their partners. At this point in time, 57.5 per cent of the participants had a partner living in the household (only slightly higher than at </w:t>
      </w:r>
      <w:r w:rsidR="006D7608" w:rsidRPr="00DB644A">
        <w:rPr>
          <w:rFonts w:eastAsia="Calibri"/>
          <w:szCs w:val="20"/>
          <w:lang w:eastAsia="en-US"/>
        </w:rPr>
        <w:t>Wave</w:t>
      </w:r>
      <w:r w:rsidRPr="00DB644A">
        <w:rPr>
          <w:rFonts w:eastAsia="Calibri"/>
          <w:szCs w:val="20"/>
          <w:lang w:eastAsia="en-US"/>
        </w:rPr>
        <w:t xml:space="preserve"> 1). Parents </w:t>
      </w:r>
      <w:r w:rsidR="002F4E5B" w:rsidRPr="00DB644A">
        <w:rPr>
          <w:rFonts w:eastAsia="Calibri"/>
          <w:szCs w:val="20"/>
          <w:lang w:eastAsia="en-US"/>
        </w:rPr>
        <w:t>living with a partner</w:t>
      </w:r>
      <w:r w:rsidRPr="00DB644A">
        <w:rPr>
          <w:rFonts w:eastAsia="Calibri"/>
          <w:szCs w:val="20"/>
          <w:lang w:eastAsia="en-US"/>
        </w:rPr>
        <w:t xml:space="preserve"> were asked whether they have arguments with their partner that end up with people pushing, hitting, kicking and shoving. Of those asked (n=833), 7.2 per cent refused to answer</w:t>
      </w:r>
      <w:r w:rsidR="00F57FEE" w:rsidRPr="00DB644A">
        <w:rPr>
          <w:rFonts w:eastAsia="Calibri"/>
          <w:szCs w:val="20"/>
          <w:lang w:eastAsia="en-US"/>
        </w:rPr>
        <w:t xml:space="preserve"> any</w:t>
      </w:r>
      <w:r w:rsidRPr="00DB644A">
        <w:rPr>
          <w:rFonts w:eastAsia="Calibri"/>
          <w:szCs w:val="20"/>
          <w:lang w:eastAsia="en-US"/>
        </w:rPr>
        <w:t xml:space="preserve"> relationship questions</w:t>
      </w:r>
      <w:r w:rsidR="00F57FEE" w:rsidRPr="00DB644A">
        <w:rPr>
          <w:rFonts w:eastAsia="Calibri"/>
          <w:szCs w:val="20"/>
          <w:lang w:eastAsia="en-US"/>
        </w:rPr>
        <w:t xml:space="preserve"> and a further 0.4 per cent refused the question about partner physical violence</w:t>
      </w:r>
      <w:r w:rsidRPr="00DB644A">
        <w:rPr>
          <w:rFonts w:eastAsia="Calibri"/>
          <w:szCs w:val="20"/>
          <w:lang w:eastAsia="en-US"/>
        </w:rPr>
        <w:t xml:space="preserve">. Of those who answered (n=769), </w:t>
      </w:r>
      <w:r w:rsidR="00836A87" w:rsidRPr="00DB644A">
        <w:rPr>
          <w:rFonts w:eastAsia="Calibri"/>
          <w:szCs w:val="20"/>
          <w:lang w:eastAsia="en-US"/>
        </w:rPr>
        <w:t>86 per cent reported no</w:t>
      </w:r>
      <w:r w:rsidRPr="00DB644A">
        <w:rPr>
          <w:rFonts w:eastAsia="Calibri"/>
          <w:szCs w:val="20"/>
          <w:lang w:eastAsia="en-US"/>
        </w:rPr>
        <w:t xml:space="preserve"> partner physical violence (see </w:t>
      </w:r>
      <w:r w:rsidR="00157BAC" w:rsidRPr="00DB644A">
        <w:rPr>
          <w:rFonts w:eastAsia="Calibri"/>
          <w:szCs w:val="20"/>
          <w:lang w:eastAsia="en-US"/>
        </w:rPr>
        <w:t>F</w:t>
      </w:r>
      <w:r w:rsidRPr="00DB644A">
        <w:rPr>
          <w:rFonts w:eastAsia="Calibri"/>
          <w:szCs w:val="20"/>
          <w:lang w:eastAsia="en-US"/>
        </w:rPr>
        <w:t xml:space="preserve">igure </w:t>
      </w:r>
      <w:r w:rsidR="00766D08" w:rsidRPr="00DB644A">
        <w:rPr>
          <w:rFonts w:eastAsia="Calibri"/>
          <w:szCs w:val="20"/>
          <w:lang w:eastAsia="en-US"/>
        </w:rPr>
        <w:t>3</w:t>
      </w:r>
      <w:r w:rsidRPr="00DB644A">
        <w:rPr>
          <w:rFonts w:eastAsia="Calibri"/>
          <w:szCs w:val="20"/>
          <w:lang w:eastAsia="en-US"/>
        </w:rPr>
        <w:t>).</w:t>
      </w:r>
    </w:p>
    <w:p w:rsidR="003F6C3F" w:rsidRDefault="0095018E" w:rsidP="00D529EA">
      <w:pPr>
        <w:keepNext/>
        <w:spacing w:before="0" w:after="0" w:line="240" w:lineRule="auto"/>
        <w:rPr>
          <w:rStyle w:val="Heading1Char"/>
          <w:rFonts w:ascii="Arial" w:eastAsiaTheme="majorEastAsia" w:hAnsi="Arial"/>
          <w:color w:val="auto"/>
          <w:sz w:val="20"/>
          <w:szCs w:val="20"/>
        </w:rPr>
      </w:pPr>
      <w:r w:rsidRPr="00D6635A">
        <w:rPr>
          <w:rStyle w:val="Heading1Char"/>
          <w:rFonts w:ascii="Arial" w:hAnsi="Arial"/>
          <w:color w:val="auto"/>
          <w:sz w:val="20"/>
          <w:szCs w:val="20"/>
        </w:rPr>
        <w:t xml:space="preserve">Figure </w:t>
      </w:r>
      <w:r w:rsidR="00171E73" w:rsidRPr="00D6635A">
        <w:rPr>
          <w:rStyle w:val="Heading1Char"/>
          <w:rFonts w:ascii="Arial" w:hAnsi="Arial"/>
          <w:color w:val="auto"/>
          <w:sz w:val="20"/>
          <w:szCs w:val="20"/>
        </w:rPr>
        <w:t>3</w:t>
      </w:r>
      <w:r w:rsidRPr="00D6635A">
        <w:rPr>
          <w:rStyle w:val="Heading1Char"/>
          <w:rFonts w:ascii="Arial" w:hAnsi="Arial"/>
          <w:color w:val="auto"/>
          <w:sz w:val="20"/>
          <w:szCs w:val="20"/>
        </w:rPr>
        <w:t xml:space="preserve">: </w:t>
      </w:r>
      <w:r w:rsidRPr="00D6635A">
        <w:rPr>
          <w:rStyle w:val="Heading1Char"/>
          <w:rFonts w:ascii="Arial" w:eastAsiaTheme="majorEastAsia" w:hAnsi="Arial"/>
          <w:color w:val="auto"/>
          <w:sz w:val="20"/>
          <w:szCs w:val="20"/>
        </w:rPr>
        <w:t>LSIC parents have arguments that include physical violence (2010)</w:t>
      </w:r>
    </w:p>
    <w:p w:rsidR="00321454" w:rsidRDefault="00321454" w:rsidP="00D529EA">
      <w:pPr>
        <w:keepNext/>
        <w:spacing w:before="0" w:after="0" w:line="240" w:lineRule="auto"/>
        <w:rPr>
          <w:rFonts w:eastAsiaTheme="majorEastAsia"/>
          <w:b/>
          <w:bCs/>
          <w:spacing w:val="5"/>
        </w:rPr>
      </w:pPr>
      <w:r w:rsidRPr="00E54A8C">
        <w:rPr>
          <w:rFonts w:eastAsia="Calibri"/>
          <w:noProof/>
          <w:sz w:val="22"/>
          <w:szCs w:val="22"/>
        </w:rPr>
        <w:drawing>
          <wp:inline distT="0" distB="0" distL="0" distR="0" wp14:anchorId="21583474" wp14:editId="4FE1193C">
            <wp:extent cx="5391150" cy="2590800"/>
            <wp:effectExtent l="0" t="0" r="19050" b="19050"/>
            <wp:docPr id="19" name="Chart 19" descr="Graph indicating the percentage of parents who have reported arguments involving physical violence." title="Figure 3: LSIC parents have arguments that include physical violence (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CDE" w:rsidRDefault="000A5CDE" w:rsidP="00D529EA">
      <w:pPr>
        <w:keepNext/>
        <w:spacing w:before="0" w:after="0" w:line="240" w:lineRule="auto"/>
        <w:rPr>
          <w:rFonts w:eastAsiaTheme="majorEastAsia"/>
          <w:b/>
          <w:bCs/>
          <w:spacing w:val="5"/>
        </w:rPr>
      </w:pPr>
    </w:p>
    <w:tbl>
      <w:tblPr>
        <w:tblStyle w:val="TableGrid"/>
        <w:tblW w:w="0" w:type="auto"/>
        <w:tblLook w:val="04A0" w:firstRow="1" w:lastRow="0" w:firstColumn="1" w:lastColumn="0" w:noHBand="0" w:noVBand="1"/>
        <w:tblCaption w:val="Figure 3LSIc parents that have arguments that include physical violence."/>
        <w:tblDescription w:val="This figure and table explains the frequency and percentage of LSIC parents that have arguments that include physical violence. "/>
      </w:tblPr>
      <w:tblGrid>
        <w:gridCol w:w="4570"/>
        <w:gridCol w:w="3935"/>
      </w:tblGrid>
      <w:tr w:rsidR="000A5CDE" w:rsidRPr="00D74A97" w:rsidTr="00246261">
        <w:trPr>
          <w:tblHeader/>
        </w:trPr>
        <w:tc>
          <w:tcPr>
            <w:tcW w:w="4570" w:type="dxa"/>
          </w:tcPr>
          <w:p w:rsidR="000A5CDE" w:rsidRPr="00D74A97" w:rsidRDefault="000A5CDE" w:rsidP="00D74A97">
            <w:pPr>
              <w:spacing w:before="0" w:after="0"/>
              <w:jc w:val="both"/>
              <w:rPr>
                <w:szCs w:val="20"/>
              </w:rPr>
            </w:pPr>
            <w:r w:rsidRPr="00D74A97">
              <w:rPr>
                <w:szCs w:val="20"/>
              </w:rPr>
              <w:t>Never</w:t>
            </w:r>
          </w:p>
        </w:tc>
        <w:tc>
          <w:tcPr>
            <w:tcW w:w="3935" w:type="dxa"/>
          </w:tcPr>
          <w:p w:rsidR="000A5CDE" w:rsidRPr="00D74A97" w:rsidRDefault="0095348E" w:rsidP="00D74A97">
            <w:pPr>
              <w:spacing w:before="0" w:after="0"/>
              <w:jc w:val="center"/>
              <w:rPr>
                <w:szCs w:val="20"/>
              </w:rPr>
            </w:pPr>
            <w:r w:rsidRPr="00D74A97">
              <w:rPr>
                <w:szCs w:val="20"/>
              </w:rPr>
              <w:t>86.2%</w:t>
            </w:r>
          </w:p>
        </w:tc>
      </w:tr>
      <w:tr w:rsidR="000A5CDE" w:rsidRPr="00D74A97" w:rsidTr="00D74A97">
        <w:tc>
          <w:tcPr>
            <w:tcW w:w="4570" w:type="dxa"/>
          </w:tcPr>
          <w:p w:rsidR="000A5CDE" w:rsidRPr="00D74A97" w:rsidRDefault="000A5CDE" w:rsidP="00D74A97">
            <w:pPr>
              <w:spacing w:before="0" w:after="0"/>
              <w:jc w:val="both"/>
              <w:rPr>
                <w:szCs w:val="20"/>
              </w:rPr>
            </w:pPr>
            <w:r w:rsidRPr="00D74A97">
              <w:rPr>
                <w:szCs w:val="20"/>
              </w:rPr>
              <w:t>Rarely</w:t>
            </w:r>
          </w:p>
        </w:tc>
        <w:tc>
          <w:tcPr>
            <w:tcW w:w="3935" w:type="dxa"/>
          </w:tcPr>
          <w:p w:rsidR="000A5CDE" w:rsidRPr="00D74A97" w:rsidRDefault="0095348E" w:rsidP="00D74A97">
            <w:pPr>
              <w:spacing w:before="0" w:after="0"/>
              <w:jc w:val="center"/>
              <w:rPr>
                <w:szCs w:val="20"/>
              </w:rPr>
            </w:pPr>
            <w:r w:rsidRPr="00D74A97">
              <w:rPr>
                <w:szCs w:val="20"/>
              </w:rPr>
              <w:t>10.3%</w:t>
            </w:r>
          </w:p>
        </w:tc>
      </w:tr>
      <w:tr w:rsidR="000A5CDE" w:rsidRPr="00D74A97" w:rsidTr="00D74A97">
        <w:tc>
          <w:tcPr>
            <w:tcW w:w="4570" w:type="dxa"/>
          </w:tcPr>
          <w:p w:rsidR="000A5CDE" w:rsidRPr="00D74A97" w:rsidRDefault="000A5CDE" w:rsidP="00D74A97">
            <w:pPr>
              <w:spacing w:before="0" w:after="0"/>
              <w:jc w:val="both"/>
              <w:rPr>
                <w:szCs w:val="20"/>
              </w:rPr>
            </w:pPr>
            <w:r w:rsidRPr="00D74A97">
              <w:rPr>
                <w:szCs w:val="20"/>
              </w:rPr>
              <w:t>Sometimes</w:t>
            </w:r>
          </w:p>
        </w:tc>
        <w:tc>
          <w:tcPr>
            <w:tcW w:w="3935" w:type="dxa"/>
          </w:tcPr>
          <w:p w:rsidR="0095348E" w:rsidRPr="00D74A97" w:rsidRDefault="0095348E" w:rsidP="00D74A97">
            <w:pPr>
              <w:spacing w:before="0" w:after="0"/>
              <w:jc w:val="center"/>
              <w:rPr>
                <w:szCs w:val="20"/>
              </w:rPr>
            </w:pPr>
            <w:r w:rsidRPr="00D74A97">
              <w:rPr>
                <w:szCs w:val="20"/>
              </w:rPr>
              <w:t>3.3%</w:t>
            </w:r>
          </w:p>
        </w:tc>
      </w:tr>
      <w:tr w:rsidR="000A5CDE" w:rsidRPr="00D74A97" w:rsidTr="00D74A97">
        <w:tc>
          <w:tcPr>
            <w:tcW w:w="4570" w:type="dxa"/>
          </w:tcPr>
          <w:p w:rsidR="000A5CDE" w:rsidRPr="00D74A97" w:rsidRDefault="000A5CDE" w:rsidP="00D74A97">
            <w:pPr>
              <w:spacing w:before="0" w:after="0"/>
              <w:jc w:val="both"/>
              <w:rPr>
                <w:szCs w:val="20"/>
              </w:rPr>
            </w:pPr>
            <w:r w:rsidRPr="00D74A97">
              <w:rPr>
                <w:szCs w:val="20"/>
              </w:rPr>
              <w:t>Often</w:t>
            </w:r>
          </w:p>
        </w:tc>
        <w:tc>
          <w:tcPr>
            <w:tcW w:w="3935" w:type="dxa"/>
          </w:tcPr>
          <w:p w:rsidR="000A5CDE" w:rsidRPr="00D74A97" w:rsidRDefault="0095348E" w:rsidP="00D74A97">
            <w:pPr>
              <w:spacing w:before="0" w:after="0"/>
              <w:jc w:val="center"/>
              <w:rPr>
                <w:szCs w:val="20"/>
              </w:rPr>
            </w:pPr>
            <w:r w:rsidRPr="00D74A97">
              <w:rPr>
                <w:szCs w:val="20"/>
              </w:rPr>
              <w:t>0.3%</w:t>
            </w:r>
          </w:p>
        </w:tc>
      </w:tr>
    </w:tbl>
    <w:p w:rsidR="008F1FBB" w:rsidRDefault="008F1FBB" w:rsidP="00B235CA">
      <w:pPr>
        <w:spacing w:before="0" w:after="200" w:line="276" w:lineRule="auto"/>
        <w:jc w:val="both"/>
        <w:rPr>
          <w:rFonts w:eastAsia="Calibri"/>
          <w:szCs w:val="20"/>
          <w:lang w:eastAsia="en-US"/>
        </w:rPr>
      </w:pPr>
    </w:p>
    <w:p w:rsidR="00E54A8C" w:rsidRPr="00DB644A" w:rsidRDefault="00321454" w:rsidP="00B235CA">
      <w:pPr>
        <w:spacing w:before="0" w:after="200" w:line="276" w:lineRule="auto"/>
        <w:jc w:val="both"/>
        <w:rPr>
          <w:rFonts w:eastAsia="Calibri"/>
          <w:szCs w:val="20"/>
          <w:lang w:eastAsia="en-US"/>
        </w:rPr>
      </w:pPr>
      <w:r w:rsidRPr="00DB644A">
        <w:rPr>
          <w:rFonts w:eastAsia="Calibri"/>
          <w:szCs w:val="20"/>
          <w:lang w:eastAsia="en-US"/>
        </w:rPr>
        <w:lastRenderedPageBreak/>
        <w:t xml:space="preserve">After taking into account children living in a single parent household (42.6 per cent), around </w:t>
      </w:r>
      <w:r w:rsidR="00B235CA" w:rsidRPr="00DB644A">
        <w:rPr>
          <w:rFonts w:eastAsia="Calibri"/>
          <w:szCs w:val="20"/>
          <w:lang w:eastAsia="en-US"/>
        </w:rPr>
        <w:t xml:space="preserve">8 </w:t>
      </w:r>
      <w:r w:rsidRPr="00DB644A">
        <w:rPr>
          <w:rFonts w:eastAsia="Calibri"/>
          <w:szCs w:val="20"/>
          <w:lang w:eastAsia="en-US"/>
        </w:rPr>
        <w:t>per cent of Indigenous children in the sample live in households where parents’ arguments occasionally end up with people pushing, hitting</w:t>
      </w:r>
      <w:r w:rsidR="00766D08" w:rsidRPr="00DB644A">
        <w:rPr>
          <w:rFonts w:eastAsia="Calibri"/>
          <w:szCs w:val="20"/>
          <w:lang w:eastAsia="en-US"/>
        </w:rPr>
        <w:t>,</w:t>
      </w:r>
      <w:r w:rsidRPr="00DB644A">
        <w:rPr>
          <w:rFonts w:eastAsia="Calibri"/>
          <w:szCs w:val="20"/>
          <w:lang w:eastAsia="en-US"/>
        </w:rPr>
        <w:t xml:space="preserve"> kicking or shoving (combining responses </w:t>
      </w:r>
      <w:r w:rsidR="00F57FEE" w:rsidRPr="00DB644A">
        <w:rPr>
          <w:rFonts w:eastAsia="Calibri"/>
          <w:szCs w:val="20"/>
          <w:lang w:eastAsia="en-US"/>
        </w:rPr>
        <w:t>“</w:t>
      </w:r>
      <w:r w:rsidRPr="00DB644A">
        <w:rPr>
          <w:rFonts w:eastAsia="Calibri"/>
          <w:szCs w:val="20"/>
          <w:lang w:eastAsia="en-US"/>
        </w:rPr>
        <w:t>rarely</w:t>
      </w:r>
      <w:r w:rsidR="00F57FEE" w:rsidRPr="00DB644A">
        <w:rPr>
          <w:rFonts w:eastAsia="Calibri"/>
          <w:szCs w:val="20"/>
          <w:lang w:eastAsia="en-US"/>
        </w:rPr>
        <w:t>”</w:t>
      </w:r>
      <w:r w:rsidRPr="00DB644A">
        <w:rPr>
          <w:rFonts w:eastAsia="Calibri"/>
          <w:szCs w:val="20"/>
          <w:lang w:eastAsia="en-US"/>
        </w:rPr>
        <w:t xml:space="preserve">, </w:t>
      </w:r>
      <w:r w:rsidR="00F57FEE" w:rsidRPr="00DB644A">
        <w:rPr>
          <w:rFonts w:eastAsia="Calibri"/>
          <w:szCs w:val="20"/>
          <w:lang w:eastAsia="en-US"/>
        </w:rPr>
        <w:t>“</w:t>
      </w:r>
      <w:r w:rsidRPr="00DB644A">
        <w:rPr>
          <w:rFonts w:eastAsia="Calibri"/>
          <w:szCs w:val="20"/>
          <w:lang w:eastAsia="en-US"/>
        </w:rPr>
        <w:t>sometimes</w:t>
      </w:r>
      <w:r w:rsidR="00F57FEE" w:rsidRPr="00DB644A">
        <w:rPr>
          <w:rFonts w:eastAsia="Calibri"/>
          <w:szCs w:val="20"/>
          <w:lang w:eastAsia="en-US"/>
        </w:rPr>
        <w:t>”</w:t>
      </w:r>
      <w:r w:rsidRPr="00DB644A">
        <w:rPr>
          <w:rFonts w:eastAsia="Calibri"/>
          <w:szCs w:val="20"/>
          <w:lang w:eastAsia="en-US"/>
        </w:rPr>
        <w:t xml:space="preserve"> and </w:t>
      </w:r>
      <w:r w:rsidR="00F57FEE" w:rsidRPr="00DB644A">
        <w:rPr>
          <w:rFonts w:eastAsia="Calibri"/>
          <w:szCs w:val="20"/>
          <w:lang w:eastAsia="en-US"/>
        </w:rPr>
        <w:t>“</w:t>
      </w:r>
      <w:r w:rsidRPr="00DB644A">
        <w:rPr>
          <w:rFonts w:eastAsia="Calibri"/>
          <w:szCs w:val="20"/>
          <w:lang w:eastAsia="en-US"/>
        </w:rPr>
        <w:t>often</w:t>
      </w:r>
      <w:r w:rsidR="00F57FEE" w:rsidRPr="00DB644A">
        <w:rPr>
          <w:rFonts w:eastAsia="Calibri"/>
          <w:szCs w:val="20"/>
          <w:lang w:eastAsia="en-US"/>
        </w:rPr>
        <w:t>”</w:t>
      </w:r>
      <w:r w:rsidRPr="00DB644A">
        <w:rPr>
          <w:rFonts w:eastAsia="Calibri"/>
          <w:szCs w:val="20"/>
          <w:lang w:eastAsia="en-US"/>
        </w:rPr>
        <w:t xml:space="preserve">) (see </w:t>
      </w:r>
      <w:r w:rsidR="00CB7B42" w:rsidRPr="00DB644A">
        <w:rPr>
          <w:rFonts w:eastAsia="Calibri"/>
          <w:szCs w:val="20"/>
          <w:lang w:eastAsia="en-US"/>
        </w:rPr>
        <w:t>F</w:t>
      </w:r>
      <w:r w:rsidRPr="00DB644A">
        <w:rPr>
          <w:rFonts w:eastAsia="Calibri"/>
          <w:szCs w:val="20"/>
          <w:lang w:eastAsia="en-US"/>
        </w:rPr>
        <w:t xml:space="preserve">igure </w:t>
      </w:r>
      <w:r w:rsidR="00766D08" w:rsidRPr="00DB644A">
        <w:rPr>
          <w:rFonts w:eastAsia="Calibri"/>
          <w:szCs w:val="20"/>
          <w:lang w:eastAsia="en-US"/>
        </w:rPr>
        <w:t>4</w:t>
      </w:r>
      <w:r w:rsidRPr="00DB644A">
        <w:rPr>
          <w:rFonts w:eastAsia="Calibri"/>
          <w:szCs w:val="20"/>
          <w:lang w:eastAsia="en-US"/>
        </w:rPr>
        <w:t>).</w:t>
      </w:r>
    </w:p>
    <w:p w:rsidR="00321454" w:rsidRPr="003F6C3F" w:rsidRDefault="0095018E" w:rsidP="00D529EA">
      <w:pPr>
        <w:keepNext/>
        <w:spacing w:before="0" w:after="0" w:line="240" w:lineRule="auto"/>
        <w:rPr>
          <w:rFonts w:eastAsiaTheme="majorEastAsia"/>
          <w:b/>
          <w:bCs/>
          <w:spacing w:val="5"/>
        </w:rPr>
      </w:pPr>
      <w:r w:rsidRPr="00A12EFF">
        <w:rPr>
          <w:rStyle w:val="Heading1Char"/>
          <w:rFonts w:ascii="Arial" w:hAnsi="Arial"/>
          <w:color w:val="auto"/>
          <w:sz w:val="20"/>
          <w:szCs w:val="20"/>
        </w:rPr>
        <w:t xml:space="preserve">Figure </w:t>
      </w:r>
      <w:r w:rsidR="00171E73" w:rsidRPr="00A12EFF">
        <w:rPr>
          <w:rStyle w:val="Heading1Char"/>
          <w:rFonts w:ascii="Arial" w:hAnsi="Arial"/>
          <w:color w:val="auto"/>
          <w:sz w:val="20"/>
          <w:szCs w:val="20"/>
        </w:rPr>
        <w:t>4</w:t>
      </w:r>
      <w:r w:rsidRPr="00A12EFF">
        <w:rPr>
          <w:rStyle w:val="Heading1Char"/>
          <w:rFonts w:ascii="Arial" w:hAnsi="Arial"/>
          <w:color w:val="auto"/>
          <w:sz w:val="20"/>
          <w:szCs w:val="20"/>
        </w:rPr>
        <w:t xml:space="preserve">: </w:t>
      </w:r>
      <w:r w:rsidR="003466C6" w:rsidRPr="00A12EFF">
        <w:rPr>
          <w:rStyle w:val="Heading1Char"/>
          <w:rFonts w:ascii="Arial" w:eastAsiaTheme="majorEastAsia" w:hAnsi="Arial"/>
          <w:color w:val="auto"/>
          <w:sz w:val="20"/>
          <w:szCs w:val="20"/>
        </w:rPr>
        <w:t>Proportion of LSIC children growing up in homes with some violence (2010</w:t>
      </w:r>
      <w:r w:rsidR="003466C6" w:rsidRPr="00B235CA">
        <w:rPr>
          <w:rFonts w:eastAsiaTheme="majorEastAsia"/>
          <w:b/>
          <w:bCs/>
          <w:spacing w:val="5"/>
        </w:rPr>
        <w:t>)</w:t>
      </w:r>
    </w:p>
    <w:p w:rsidR="000D31E6" w:rsidRDefault="00A043C0" w:rsidP="000D31E6">
      <w:pPr>
        <w:spacing w:before="0" w:after="200" w:line="276" w:lineRule="auto"/>
        <w:rPr>
          <w:rFonts w:eastAsia="Calibri"/>
          <w:sz w:val="22"/>
          <w:szCs w:val="22"/>
          <w:lang w:eastAsia="en-US"/>
        </w:rPr>
      </w:pPr>
      <w:r>
        <w:rPr>
          <w:noProof/>
        </w:rPr>
        <w:drawing>
          <wp:inline distT="0" distB="0" distL="0" distR="0" wp14:anchorId="4B006A32" wp14:editId="69F6DDF9">
            <wp:extent cx="5400675" cy="2724150"/>
            <wp:effectExtent l="0" t="0" r="9525" b="19050"/>
            <wp:docPr id="23" name="Chart 23" descr="Pie chart indicating the proportion of LSIC children living in households with some violence." title="Figure 4: Proportion of LSIC children growing up in homes with some violence (2010)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Look w:val="04A0" w:firstRow="1" w:lastRow="0" w:firstColumn="1" w:lastColumn="0" w:noHBand="0" w:noVBand="1"/>
        <w:tblCaption w:val="Figure 4: Proportion of LSIC children growing up in homes with some violence."/>
        <w:tblDescription w:val="This figure and table show the proportion of LSIC children growing up in homes with some violence.The figure and table is broken down into single parent household (Family violence questions were not asked), no violence between parents and some violence between parents."/>
      </w:tblPr>
      <w:tblGrid>
        <w:gridCol w:w="6379"/>
        <w:gridCol w:w="2126"/>
      </w:tblGrid>
      <w:tr w:rsidR="000A5CDE" w:rsidRPr="00D74A97" w:rsidTr="00246261">
        <w:trPr>
          <w:tblHeader/>
        </w:trPr>
        <w:tc>
          <w:tcPr>
            <w:tcW w:w="6379" w:type="dxa"/>
          </w:tcPr>
          <w:p w:rsidR="000A5CDE" w:rsidRPr="00D74A97" w:rsidRDefault="0095348E" w:rsidP="00D74A97">
            <w:pPr>
              <w:spacing w:before="0" w:after="0"/>
              <w:rPr>
                <w:szCs w:val="20"/>
              </w:rPr>
            </w:pPr>
            <w:r w:rsidRPr="00D74A97">
              <w:rPr>
                <w:szCs w:val="20"/>
              </w:rPr>
              <w:t>Single parent household (Family violence questions not asked)</w:t>
            </w:r>
          </w:p>
        </w:tc>
        <w:tc>
          <w:tcPr>
            <w:tcW w:w="2126" w:type="dxa"/>
          </w:tcPr>
          <w:p w:rsidR="000A5CDE" w:rsidRPr="00D74A97" w:rsidRDefault="0095348E" w:rsidP="00D74A97">
            <w:pPr>
              <w:spacing w:before="0" w:after="0"/>
              <w:jc w:val="center"/>
              <w:rPr>
                <w:szCs w:val="20"/>
              </w:rPr>
            </w:pPr>
            <w:r w:rsidRPr="00D74A97">
              <w:rPr>
                <w:szCs w:val="20"/>
              </w:rPr>
              <w:t>42.6%</w:t>
            </w:r>
          </w:p>
        </w:tc>
      </w:tr>
      <w:tr w:rsidR="000A5CDE" w:rsidRPr="00D74A97" w:rsidTr="00D74A97">
        <w:tc>
          <w:tcPr>
            <w:tcW w:w="6379" w:type="dxa"/>
          </w:tcPr>
          <w:p w:rsidR="000A5CDE" w:rsidRPr="00D74A97" w:rsidRDefault="0095348E" w:rsidP="00D74A97">
            <w:pPr>
              <w:spacing w:before="0" w:after="0"/>
              <w:rPr>
                <w:szCs w:val="20"/>
              </w:rPr>
            </w:pPr>
            <w:r w:rsidRPr="00D74A97">
              <w:rPr>
                <w:szCs w:val="20"/>
              </w:rPr>
              <w:t>No violence between parents</w:t>
            </w:r>
          </w:p>
        </w:tc>
        <w:tc>
          <w:tcPr>
            <w:tcW w:w="2126" w:type="dxa"/>
          </w:tcPr>
          <w:p w:rsidR="000A5CDE" w:rsidRPr="00D74A97" w:rsidRDefault="0095348E" w:rsidP="00D74A97">
            <w:pPr>
              <w:spacing w:before="0" w:after="0"/>
              <w:jc w:val="center"/>
              <w:rPr>
                <w:szCs w:val="20"/>
              </w:rPr>
            </w:pPr>
            <w:r w:rsidRPr="00D74A97">
              <w:rPr>
                <w:szCs w:val="20"/>
              </w:rPr>
              <w:t>49.5%</w:t>
            </w:r>
          </w:p>
        </w:tc>
      </w:tr>
      <w:tr w:rsidR="000A5CDE" w:rsidRPr="00D74A97" w:rsidTr="00D74A97">
        <w:tc>
          <w:tcPr>
            <w:tcW w:w="6379" w:type="dxa"/>
          </w:tcPr>
          <w:p w:rsidR="000A5CDE" w:rsidRPr="00D74A97" w:rsidRDefault="0095348E" w:rsidP="00D74A97">
            <w:pPr>
              <w:spacing w:before="0" w:after="0"/>
              <w:rPr>
                <w:szCs w:val="20"/>
              </w:rPr>
            </w:pPr>
            <w:r w:rsidRPr="00D74A97">
              <w:rPr>
                <w:szCs w:val="20"/>
              </w:rPr>
              <w:t>Some violence between parents (Rarely, sometimes, often)</w:t>
            </w:r>
          </w:p>
        </w:tc>
        <w:tc>
          <w:tcPr>
            <w:tcW w:w="2126" w:type="dxa"/>
          </w:tcPr>
          <w:p w:rsidR="000A5CDE" w:rsidRPr="00D74A97" w:rsidRDefault="0095348E" w:rsidP="00D74A97">
            <w:pPr>
              <w:spacing w:before="0" w:after="0"/>
              <w:jc w:val="center"/>
              <w:rPr>
                <w:szCs w:val="20"/>
              </w:rPr>
            </w:pPr>
            <w:r w:rsidRPr="00D74A97">
              <w:rPr>
                <w:szCs w:val="20"/>
              </w:rPr>
              <w:t>7.9%</w:t>
            </w:r>
          </w:p>
        </w:tc>
      </w:tr>
    </w:tbl>
    <w:p w:rsidR="000A5CDE" w:rsidRDefault="000A5CDE" w:rsidP="003F6C3F">
      <w:pPr>
        <w:pStyle w:val="Heading2"/>
        <w:rPr>
          <w:rFonts w:eastAsia="Calibri"/>
          <w:lang w:eastAsia="en-US"/>
        </w:rPr>
      </w:pPr>
    </w:p>
    <w:p w:rsidR="003F6C3F" w:rsidRDefault="000555A8" w:rsidP="003F6C3F">
      <w:pPr>
        <w:pStyle w:val="Heading2"/>
        <w:spacing w:before="0" w:after="0"/>
        <w:rPr>
          <w:rFonts w:eastAsia="Calibri"/>
          <w:lang w:eastAsia="en-US"/>
        </w:rPr>
      </w:pPr>
      <w:r w:rsidRPr="003A730F">
        <w:rPr>
          <w:rFonts w:eastAsia="Calibri"/>
          <w:lang w:eastAsia="en-US"/>
        </w:rPr>
        <w:t>Persistence of partner violence</w:t>
      </w:r>
    </w:p>
    <w:p w:rsidR="003F6C3F" w:rsidRDefault="003F6C3F" w:rsidP="003F6C3F">
      <w:pPr>
        <w:spacing w:before="0" w:after="0" w:line="240" w:lineRule="auto"/>
        <w:jc w:val="both"/>
        <w:rPr>
          <w:rFonts w:eastAsia="Calibri"/>
          <w:lang w:eastAsia="en-US"/>
        </w:rPr>
      </w:pPr>
    </w:p>
    <w:p w:rsidR="00321454" w:rsidRPr="00DB644A" w:rsidRDefault="00321454" w:rsidP="003F6C3F">
      <w:pPr>
        <w:spacing w:before="0" w:after="0" w:line="240" w:lineRule="auto"/>
        <w:jc w:val="both"/>
        <w:rPr>
          <w:rFonts w:eastAsia="Calibri"/>
          <w:szCs w:val="20"/>
          <w:lang w:eastAsia="en-US"/>
        </w:rPr>
      </w:pPr>
      <w:r w:rsidRPr="00DB644A">
        <w:rPr>
          <w:rFonts w:eastAsia="Calibri"/>
          <w:szCs w:val="20"/>
          <w:lang w:eastAsia="en-US"/>
        </w:rPr>
        <w:t xml:space="preserve">The question about parental arguments ending in violence was asked in </w:t>
      </w:r>
      <w:r w:rsidR="00F770E1" w:rsidRPr="00DB644A">
        <w:rPr>
          <w:rFonts w:eastAsia="Calibri"/>
          <w:szCs w:val="20"/>
          <w:lang w:eastAsia="en-US"/>
        </w:rPr>
        <w:t>W</w:t>
      </w:r>
      <w:r w:rsidR="00E047BC" w:rsidRPr="00DB644A">
        <w:rPr>
          <w:rFonts w:eastAsia="Calibri"/>
          <w:szCs w:val="20"/>
          <w:lang w:eastAsia="en-US"/>
        </w:rPr>
        <w:t>ave</w:t>
      </w:r>
      <w:r w:rsidRPr="00DB644A">
        <w:rPr>
          <w:rFonts w:eastAsia="Calibri"/>
          <w:szCs w:val="20"/>
          <w:lang w:eastAsia="en-US"/>
        </w:rPr>
        <w:t xml:space="preserve"> 3 (2010) and again in </w:t>
      </w:r>
      <w:r w:rsidR="006D7608" w:rsidRPr="00DB644A">
        <w:rPr>
          <w:rFonts w:eastAsia="Calibri"/>
          <w:szCs w:val="20"/>
          <w:lang w:eastAsia="en-US"/>
        </w:rPr>
        <w:t>Wave</w:t>
      </w:r>
      <w:r w:rsidRPr="00DB644A">
        <w:rPr>
          <w:rFonts w:eastAsia="Calibri"/>
          <w:szCs w:val="20"/>
          <w:lang w:eastAsia="en-US"/>
        </w:rPr>
        <w:t xml:space="preserve"> 6 (2013). This enables </w:t>
      </w:r>
      <w:r w:rsidR="00EE1B43" w:rsidRPr="00DB644A">
        <w:rPr>
          <w:rFonts w:eastAsia="Calibri"/>
          <w:szCs w:val="20"/>
          <w:lang w:eastAsia="en-US"/>
        </w:rPr>
        <w:t>investigation of whether</w:t>
      </w:r>
      <w:r w:rsidRPr="00DB644A">
        <w:rPr>
          <w:rFonts w:eastAsia="Calibri"/>
          <w:szCs w:val="20"/>
          <w:lang w:eastAsia="en-US"/>
        </w:rPr>
        <w:t xml:space="preserve"> differences in characteristics between families experiencing physical violence and those </w:t>
      </w:r>
      <w:r w:rsidR="00F770E1" w:rsidRPr="00DB644A">
        <w:rPr>
          <w:rFonts w:eastAsia="Calibri"/>
          <w:szCs w:val="20"/>
          <w:lang w:eastAsia="en-US"/>
        </w:rPr>
        <w:t xml:space="preserve">who are </w:t>
      </w:r>
      <w:r w:rsidRPr="00DB644A">
        <w:rPr>
          <w:rFonts w:eastAsia="Calibri"/>
          <w:szCs w:val="20"/>
          <w:lang w:eastAsia="en-US"/>
        </w:rPr>
        <w:t xml:space="preserve">not are stable over time. A </w:t>
      </w:r>
      <w:r w:rsidR="00EE1B43" w:rsidRPr="00DB644A">
        <w:rPr>
          <w:rFonts w:eastAsia="Calibri"/>
          <w:szCs w:val="20"/>
          <w:lang w:eastAsia="en-US"/>
        </w:rPr>
        <w:t xml:space="preserve">number </w:t>
      </w:r>
      <w:r w:rsidRPr="00DB644A">
        <w:rPr>
          <w:rFonts w:eastAsia="Calibri"/>
          <w:szCs w:val="20"/>
          <w:lang w:eastAsia="en-US"/>
        </w:rPr>
        <w:t>of characteristics do not show any relationship to partner violence. These include age of the study child, presence (or absence) of other mal</w:t>
      </w:r>
      <w:r w:rsidR="0059575B" w:rsidRPr="00DB644A">
        <w:rPr>
          <w:rFonts w:eastAsia="Calibri"/>
          <w:szCs w:val="20"/>
          <w:lang w:eastAsia="en-US"/>
        </w:rPr>
        <w:t xml:space="preserve">es or females in the household and </w:t>
      </w:r>
      <w:r w:rsidRPr="00DB644A">
        <w:rPr>
          <w:rFonts w:eastAsia="Calibri"/>
          <w:szCs w:val="20"/>
          <w:lang w:eastAsia="en-US"/>
        </w:rPr>
        <w:t>number of children in the household</w:t>
      </w:r>
      <w:r w:rsidR="0059575B" w:rsidRPr="00DB644A">
        <w:rPr>
          <w:rFonts w:eastAsia="Calibri"/>
          <w:szCs w:val="20"/>
          <w:lang w:eastAsia="en-US"/>
        </w:rPr>
        <w:t>.</w:t>
      </w:r>
    </w:p>
    <w:p w:rsidR="00DB644A" w:rsidRDefault="00321454" w:rsidP="00DB644A">
      <w:pPr>
        <w:spacing w:before="0" w:after="200" w:line="276" w:lineRule="auto"/>
        <w:jc w:val="both"/>
        <w:rPr>
          <w:rFonts w:eastAsia="Calibri"/>
          <w:szCs w:val="20"/>
          <w:lang w:eastAsia="en-US"/>
        </w:rPr>
      </w:pPr>
      <w:r w:rsidRPr="00DB644A">
        <w:rPr>
          <w:rFonts w:eastAsia="Calibri"/>
          <w:szCs w:val="20"/>
          <w:lang w:eastAsia="en-US"/>
        </w:rPr>
        <w:t xml:space="preserve">Experiencing partner violence in </w:t>
      </w:r>
      <w:r w:rsidR="006D7608" w:rsidRPr="00DB644A">
        <w:rPr>
          <w:rFonts w:eastAsia="Calibri"/>
          <w:szCs w:val="20"/>
          <w:lang w:eastAsia="en-US"/>
        </w:rPr>
        <w:t>Wave</w:t>
      </w:r>
      <w:r w:rsidRPr="00DB644A">
        <w:rPr>
          <w:rFonts w:eastAsia="Calibri"/>
          <w:szCs w:val="20"/>
          <w:lang w:eastAsia="en-US"/>
        </w:rPr>
        <w:t xml:space="preserve"> 6 (2013) </w:t>
      </w:r>
      <w:r w:rsidR="00EE1B43" w:rsidRPr="00DB644A">
        <w:rPr>
          <w:rFonts w:eastAsia="Calibri"/>
          <w:szCs w:val="20"/>
          <w:lang w:eastAsia="en-US"/>
        </w:rPr>
        <w:t>was related to</w:t>
      </w:r>
      <w:r w:rsidRPr="00DB644A">
        <w:rPr>
          <w:rFonts w:eastAsia="Calibri"/>
          <w:szCs w:val="20"/>
          <w:lang w:eastAsia="en-US"/>
        </w:rPr>
        <w:t xml:space="preserve"> experience of partner violence in </w:t>
      </w:r>
      <w:r w:rsidR="006D7608" w:rsidRPr="00DB644A">
        <w:rPr>
          <w:rFonts w:eastAsia="Calibri"/>
          <w:szCs w:val="20"/>
          <w:lang w:eastAsia="en-US"/>
        </w:rPr>
        <w:t>Wave</w:t>
      </w:r>
      <w:r w:rsidR="00F770E1" w:rsidRPr="00DB644A">
        <w:rPr>
          <w:rFonts w:eastAsia="Calibri"/>
          <w:szCs w:val="20"/>
          <w:lang w:eastAsia="en-US"/>
        </w:rPr>
        <w:t xml:space="preserve"> 3, </w:t>
      </w:r>
      <w:r w:rsidR="00EE1B43" w:rsidRPr="00DB644A">
        <w:rPr>
          <w:rFonts w:eastAsia="Calibri"/>
          <w:szCs w:val="20"/>
          <w:lang w:eastAsia="en-US"/>
        </w:rPr>
        <w:t>three years ea</w:t>
      </w:r>
      <w:r w:rsidR="006D7608" w:rsidRPr="00DB644A">
        <w:rPr>
          <w:rFonts w:eastAsia="Calibri"/>
          <w:szCs w:val="20"/>
          <w:lang w:eastAsia="en-US"/>
        </w:rPr>
        <w:t>rl</w:t>
      </w:r>
      <w:r w:rsidR="00EE1B43" w:rsidRPr="00DB644A">
        <w:rPr>
          <w:rFonts w:eastAsia="Calibri"/>
          <w:szCs w:val="20"/>
          <w:lang w:eastAsia="en-US"/>
        </w:rPr>
        <w:t>ier</w:t>
      </w:r>
      <w:r w:rsidR="00BF0140" w:rsidRPr="00DB644A">
        <w:rPr>
          <w:rFonts w:eastAsia="Calibri"/>
          <w:szCs w:val="20"/>
          <w:lang w:eastAsia="en-US"/>
        </w:rPr>
        <w:t xml:space="preserve"> (see </w:t>
      </w:r>
      <w:r w:rsidR="00F770E1" w:rsidRPr="00DB644A">
        <w:rPr>
          <w:rFonts w:eastAsia="Calibri"/>
          <w:szCs w:val="20"/>
          <w:lang w:eastAsia="en-US"/>
        </w:rPr>
        <w:t>F</w:t>
      </w:r>
      <w:r w:rsidR="00BF0140" w:rsidRPr="00DB644A">
        <w:rPr>
          <w:rFonts w:eastAsia="Calibri"/>
          <w:szCs w:val="20"/>
          <w:lang w:eastAsia="en-US"/>
        </w:rPr>
        <w:t xml:space="preserve">igure </w:t>
      </w:r>
      <w:r w:rsidR="00766D08" w:rsidRPr="00DB644A">
        <w:rPr>
          <w:rFonts w:eastAsia="Calibri"/>
          <w:szCs w:val="20"/>
          <w:lang w:eastAsia="en-US"/>
        </w:rPr>
        <w:t>5</w:t>
      </w:r>
      <w:r w:rsidR="00BF0140" w:rsidRPr="00DB644A">
        <w:rPr>
          <w:rFonts w:eastAsia="Calibri"/>
          <w:szCs w:val="20"/>
          <w:lang w:eastAsia="en-US"/>
        </w:rPr>
        <w:t>)</w:t>
      </w:r>
      <w:r w:rsidRPr="00DB644A">
        <w:rPr>
          <w:rFonts w:eastAsia="Calibri"/>
          <w:szCs w:val="20"/>
          <w:lang w:eastAsia="en-US"/>
        </w:rPr>
        <w:t xml:space="preserve">. Of those experiencing some violence in </w:t>
      </w:r>
      <w:r w:rsidR="006D7608" w:rsidRPr="00DB644A">
        <w:rPr>
          <w:rFonts w:eastAsia="Calibri"/>
          <w:szCs w:val="20"/>
          <w:lang w:eastAsia="en-US"/>
        </w:rPr>
        <w:t>Wave</w:t>
      </w:r>
      <w:r w:rsidRPr="00DB644A">
        <w:rPr>
          <w:rFonts w:eastAsia="Calibri"/>
          <w:szCs w:val="20"/>
          <w:lang w:eastAsia="en-US"/>
        </w:rPr>
        <w:t xml:space="preserve"> 3, 2</w:t>
      </w:r>
      <w:r w:rsidR="00E047BC" w:rsidRPr="00DB644A">
        <w:rPr>
          <w:rFonts w:eastAsia="Calibri"/>
          <w:szCs w:val="20"/>
          <w:lang w:eastAsia="en-US"/>
        </w:rPr>
        <w:t>6</w:t>
      </w:r>
      <w:r w:rsidRPr="00DB644A">
        <w:rPr>
          <w:rFonts w:eastAsia="Calibri"/>
          <w:szCs w:val="20"/>
          <w:lang w:eastAsia="en-US"/>
        </w:rPr>
        <w:t xml:space="preserve"> per cent were still experiencing violence in </w:t>
      </w:r>
      <w:r w:rsidR="006D7608" w:rsidRPr="00DB644A">
        <w:rPr>
          <w:rFonts w:eastAsia="Calibri"/>
          <w:szCs w:val="20"/>
          <w:lang w:eastAsia="en-US"/>
        </w:rPr>
        <w:t>Wave</w:t>
      </w:r>
      <w:r w:rsidRPr="00DB644A">
        <w:rPr>
          <w:rFonts w:eastAsia="Calibri"/>
          <w:szCs w:val="20"/>
          <w:lang w:eastAsia="en-US"/>
        </w:rPr>
        <w:t xml:space="preserve"> 6 and </w:t>
      </w:r>
      <w:r w:rsidR="00E047BC" w:rsidRPr="00DB644A">
        <w:rPr>
          <w:rFonts w:eastAsia="Calibri"/>
          <w:szCs w:val="20"/>
          <w:lang w:eastAsia="en-US"/>
        </w:rPr>
        <w:t>30</w:t>
      </w:r>
      <w:r w:rsidRPr="00DB644A">
        <w:rPr>
          <w:rFonts w:eastAsia="Calibri"/>
          <w:szCs w:val="20"/>
          <w:lang w:eastAsia="en-US"/>
        </w:rPr>
        <w:t xml:space="preserve"> per cent were single by </w:t>
      </w:r>
      <w:r w:rsidR="006D7608" w:rsidRPr="00DB644A">
        <w:rPr>
          <w:rFonts w:eastAsia="Calibri"/>
          <w:szCs w:val="20"/>
          <w:lang w:eastAsia="en-US"/>
        </w:rPr>
        <w:t>Wave</w:t>
      </w:r>
      <w:r w:rsidRPr="00DB644A">
        <w:rPr>
          <w:rFonts w:eastAsia="Calibri"/>
          <w:szCs w:val="20"/>
          <w:lang w:eastAsia="en-US"/>
        </w:rPr>
        <w:t xml:space="preserve"> 6. Of those who were in a non-violent relationship in </w:t>
      </w:r>
      <w:r w:rsidR="006D7608" w:rsidRPr="00DB644A">
        <w:rPr>
          <w:rFonts w:eastAsia="Calibri"/>
          <w:szCs w:val="20"/>
          <w:lang w:eastAsia="en-US"/>
        </w:rPr>
        <w:t>Wave</w:t>
      </w:r>
      <w:r w:rsidRPr="00DB644A">
        <w:rPr>
          <w:rFonts w:eastAsia="Calibri"/>
          <w:szCs w:val="20"/>
          <w:lang w:eastAsia="en-US"/>
        </w:rPr>
        <w:t xml:space="preserve"> 3, 9 per cent were experiencing partner violence </w:t>
      </w:r>
      <w:r w:rsidR="00E047BC" w:rsidRPr="00DB644A">
        <w:rPr>
          <w:rFonts w:eastAsia="Calibri"/>
          <w:szCs w:val="20"/>
          <w:lang w:eastAsia="en-US"/>
        </w:rPr>
        <w:t xml:space="preserve">three years later and </w:t>
      </w:r>
      <w:r w:rsidRPr="00DB644A">
        <w:rPr>
          <w:rFonts w:eastAsia="Calibri"/>
          <w:szCs w:val="20"/>
          <w:lang w:eastAsia="en-US"/>
        </w:rPr>
        <w:t>1</w:t>
      </w:r>
      <w:r w:rsidR="00E047BC" w:rsidRPr="00DB644A">
        <w:rPr>
          <w:rFonts w:eastAsia="Calibri"/>
          <w:szCs w:val="20"/>
          <w:lang w:eastAsia="en-US"/>
        </w:rPr>
        <w:t>6</w:t>
      </w:r>
      <w:r w:rsidRPr="00DB644A">
        <w:rPr>
          <w:rFonts w:eastAsia="Calibri"/>
          <w:szCs w:val="20"/>
          <w:lang w:eastAsia="en-US"/>
        </w:rPr>
        <w:t xml:space="preserve"> per cent were single. Of those who were single in </w:t>
      </w:r>
      <w:r w:rsidR="006D7608" w:rsidRPr="00DB644A">
        <w:rPr>
          <w:rFonts w:eastAsia="Calibri"/>
          <w:szCs w:val="20"/>
          <w:lang w:eastAsia="en-US"/>
        </w:rPr>
        <w:t>Wave</w:t>
      </w:r>
      <w:r w:rsidRPr="00DB644A">
        <w:rPr>
          <w:rFonts w:eastAsia="Calibri"/>
          <w:szCs w:val="20"/>
          <w:lang w:eastAsia="en-US"/>
        </w:rPr>
        <w:t xml:space="preserve"> 3, 7</w:t>
      </w:r>
      <w:r w:rsidR="00E047BC" w:rsidRPr="00DB644A">
        <w:rPr>
          <w:rFonts w:eastAsia="Calibri"/>
          <w:szCs w:val="20"/>
          <w:lang w:eastAsia="en-US"/>
        </w:rPr>
        <w:t>5</w:t>
      </w:r>
      <w:r w:rsidRPr="00DB644A">
        <w:rPr>
          <w:rFonts w:eastAsia="Calibri"/>
          <w:szCs w:val="20"/>
          <w:lang w:eastAsia="en-US"/>
        </w:rPr>
        <w:t xml:space="preserve"> per cent were still single, 2</w:t>
      </w:r>
      <w:r w:rsidR="00E047BC" w:rsidRPr="00DB644A">
        <w:rPr>
          <w:rFonts w:eastAsia="Calibri"/>
          <w:szCs w:val="20"/>
          <w:lang w:eastAsia="en-US"/>
        </w:rPr>
        <w:t>2</w:t>
      </w:r>
      <w:r w:rsidRPr="00DB644A">
        <w:rPr>
          <w:rFonts w:eastAsia="Calibri"/>
          <w:szCs w:val="20"/>
          <w:lang w:eastAsia="en-US"/>
        </w:rPr>
        <w:t xml:space="preserve"> per cent were in a n</w:t>
      </w:r>
      <w:r w:rsidR="00E047BC" w:rsidRPr="00DB644A">
        <w:rPr>
          <w:rFonts w:eastAsia="Calibri"/>
          <w:szCs w:val="20"/>
          <w:lang w:eastAsia="en-US"/>
        </w:rPr>
        <w:t xml:space="preserve">on-violent relationship and </w:t>
      </w:r>
      <w:r w:rsidRPr="00DB644A">
        <w:rPr>
          <w:rFonts w:eastAsia="Calibri"/>
          <w:szCs w:val="20"/>
          <w:lang w:eastAsia="en-US"/>
        </w:rPr>
        <w:t>3 per cent were in a violent relationship</w:t>
      </w:r>
      <w:r w:rsidR="00E047BC" w:rsidRPr="00DB644A">
        <w:rPr>
          <w:rFonts w:eastAsia="Calibri"/>
          <w:szCs w:val="20"/>
          <w:lang w:eastAsia="en-US"/>
        </w:rPr>
        <w:t xml:space="preserve"> </w:t>
      </w:r>
      <w:r w:rsidR="00EE1B43" w:rsidRPr="00DB644A">
        <w:rPr>
          <w:rFonts w:eastAsia="Calibri"/>
          <w:szCs w:val="20"/>
          <w:lang w:eastAsia="en-US"/>
        </w:rPr>
        <w:t xml:space="preserve">at </w:t>
      </w:r>
      <w:r w:rsidR="006D7608" w:rsidRPr="00DB644A">
        <w:rPr>
          <w:rFonts w:eastAsia="Calibri"/>
          <w:szCs w:val="20"/>
          <w:lang w:eastAsia="en-US"/>
        </w:rPr>
        <w:t>Wave</w:t>
      </w:r>
      <w:r w:rsidR="00E047BC" w:rsidRPr="00DB644A">
        <w:rPr>
          <w:rFonts w:eastAsia="Calibri"/>
          <w:szCs w:val="20"/>
          <w:lang w:eastAsia="en-US"/>
        </w:rPr>
        <w:t xml:space="preserve"> 6</w:t>
      </w:r>
      <w:r w:rsidRPr="00DB644A">
        <w:rPr>
          <w:rFonts w:eastAsia="Calibri"/>
          <w:szCs w:val="20"/>
          <w:lang w:eastAsia="en-US"/>
        </w:rPr>
        <w:t xml:space="preserve">. </w:t>
      </w:r>
    </w:p>
    <w:p w:rsidR="003F6C3F" w:rsidRDefault="003F6C3F">
      <w:pPr>
        <w:spacing w:before="0" w:after="0" w:line="240" w:lineRule="auto"/>
        <w:rPr>
          <w:b/>
        </w:rPr>
      </w:pPr>
      <w:r>
        <w:rPr>
          <w:b/>
        </w:rPr>
        <w:br w:type="page"/>
      </w:r>
    </w:p>
    <w:p w:rsidR="003F6C3F" w:rsidRDefault="003466C6" w:rsidP="00DB644A">
      <w:pPr>
        <w:spacing w:before="0" w:after="200" w:line="276" w:lineRule="auto"/>
        <w:jc w:val="both"/>
        <w:rPr>
          <w:b/>
          <w:noProof/>
        </w:rPr>
      </w:pPr>
      <w:r w:rsidRPr="00B235CA">
        <w:rPr>
          <w:b/>
        </w:rPr>
        <w:lastRenderedPageBreak/>
        <w:t xml:space="preserve">Figure </w:t>
      </w:r>
      <w:r w:rsidR="00171E73" w:rsidRPr="00B235CA">
        <w:rPr>
          <w:b/>
        </w:rPr>
        <w:t>5</w:t>
      </w:r>
      <w:r w:rsidRPr="00B235CA">
        <w:rPr>
          <w:b/>
        </w:rPr>
        <w:t xml:space="preserve">: </w:t>
      </w:r>
      <w:r w:rsidRPr="00B235CA">
        <w:rPr>
          <w:rFonts w:eastAsiaTheme="majorEastAsia"/>
          <w:b/>
          <w:bCs/>
          <w:spacing w:val="5"/>
        </w:rPr>
        <w:t xml:space="preserve">Persistence of partner violence over </w:t>
      </w:r>
      <w:r w:rsidR="00EE1B43" w:rsidRPr="00B235CA">
        <w:rPr>
          <w:rFonts w:eastAsiaTheme="majorEastAsia"/>
          <w:b/>
          <w:bCs/>
          <w:spacing w:val="5"/>
        </w:rPr>
        <w:t xml:space="preserve">three </w:t>
      </w:r>
      <w:r w:rsidRPr="00B235CA">
        <w:rPr>
          <w:rFonts w:eastAsiaTheme="majorEastAsia"/>
          <w:b/>
          <w:bCs/>
          <w:spacing w:val="5"/>
        </w:rPr>
        <w:t>years in LSIC</w:t>
      </w:r>
      <w:r w:rsidR="00773721" w:rsidRPr="00B235CA">
        <w:rPr>
          <w:rFonts w:eastAsiaTheme="majorEastAsia"/>
          <w:b/>
          <w:bCs/>
          <w:spacing w:val="5"/>
        </w:rPr>
        <w:t xml:space="preserve"> sample</w:t>
      </w:r>
      <w:r w:rsidR="00E047BC" w:rsidRPr="00B235CA">
        <w:rPr>
          <w:b/>
          <w:noProof/>
        </w:rPr>
        <w:t xml:space="preserve"> (2010</w:t>
      </w:r>
      <w:r w:rsidR="00F770E1" w:rsidRPr="00B235CA">
        <w:rPr>
          <w:b/>
          <w:noProof/>
        </w:rPr>
        <w:t>–</w:t>
      </w:r>
      <w:r w:rsidR="00E047BC" w:rsidRPr="00B235CA">
        <w:rPr>
          <w:b/>
          <w:noProof/>
        </w:rPr>
        <w:t>2013</w:t>
      </w:r>
      <w:r w:rsidR="004A3717">
        <w:rPr>
          <w:rStyle w:val="EndnoteReference"/>
          <w:b/>
          <w:noProof/>
        </w:rPr>
        <w:endnoteReference w:id="1"/>
      </w:r>
      <w:r w:rsidR="00E047BC" w:rsidRPr="00B235CA">
        <w:rPr>
          <w:b/>
          <w:noProof/>
        </w:rPr>
        <w:t>)</w:t>
      </w:r>
    </w:p>
    <w:p w:rsidR="005C47E4" w:rsidRDefault="006E04E1" w:rsidP="00DB644A">
      <w:pPr>
        <w:spacing w:before="0" w:after="200" w:line="276" w:lineRule="auto"/>
        <w:jc w:val="both"/>
        <w:rPr>
          <w:b/>
          <w:noProof/>
        </w:rPr>
      </w:pPr>
      <w:r>
        <w:rPr>
          <w:noProof/>
        </w:rPr>
        <w:drawing>
          <wp:inline distT="0" distB="0" distL="0" distR="0" wp14:anchorId="2D9DA025" wp14:editId="131589B4">
            <wp:extent cx="5715000" cy="2762250"/>
            <wp:effectExtent l="0" t="0" r="19050" b="19050"/>
            <wp:docPr id="6" name="Chart 6" descr="Graph indicating the persistence of partner violence over three years." title="Figure 5: Persistence of partner violence over three years in LSIC sample (2010–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0" w:type="auto"/>
        <w:tblLook w:val="04A0" w:firstRow="1" w:lastRow="0" w:firstColumn="1" w:lastColumn="0" w:noHBand="0" w:noVBand="1"/>
        <w:tblCaption w:val="Figure 5: Persistence of partner violence over three years in LSIC sample"/>
        <w:tblDescription w:val="This figure and table shows the persistence of partner violence. The categories are 'some partner violence', no partner violence, and no partner."/>
      </w:tblPr>
      <w:tblGrid>
        <w:gridCol w:w="2835"/>
        <w:gridCol w:w="1985"/>
        <w:gridCol w:w="2030"/>
        <w:gridCol w:w="2284"/>
      </w:tblGrid>
      <w:tr w:rsidR="000A5CDE" w:rsidRPr="00D74A97" w:rsidTr="00246261">
        <w:trPr>
          <w:tblHeader/>
        </w:trPr>
        <w:tc>
          <w:tcPr>
            <w:tcW w:w="2835" w:type="dxa"/>
          </w:tcPr>
          <w:p w:rsidR="000A5CDE" w:rsidRPr="00D74A97" w:rsidRDefault="000A5CDE" w:rsidP="00D74A97">
            <w:pPr>
              <w:spacing w:before="0" w:after="0"/>
              <w:jc w:val="both"/>
              <w:rPr>
                <w:szCs w:val="20"/>
              </w:rPr>
            </w:pPr>
          </w:p>
        </w:tc>
        <w:tc>
          <w:tcPr>
            <w:tcW w:w="1985" w:type="dxa"/>
          </w:tcPr>
          <w:p w:rsidR="000A5CDE" w:rsidRPr="00D74A97" w:rsidRDefault="0095348E" w:rsidP="00D74A97">
            <w:pPr>
              <w:spacing w:before="0" w:after="0"/>
              <w:jc w:val="center"/>
              <w:rPr>
                <w:szCs w:val="20"/>
              </w:rPr>
            </w:pPr>
            <w:r w:rsidRPr="00D74A97">
              <w:rPr>
                <w:szCs w:val="20"/>
              </w:rPr>
              <w:t>No Partner 2010, n=363</w:t>
            </w:r>
          </w:p>
        </w:tc>
        <w:tc>
          <w:tcPr>
            <w:tcW w:w="2030" w:type="dxa"/>
          </w:tcPr>
          <w:p w:rsidR="000A5CDE" w:rsidRPr="00D74A97" w:rsidRDefault="0095348E" w:rsidP="00D74A97">
            <w:pPr>
              <w:spacing w:before="0" w:after="0"/>
              <w:jc w:val="center"/>
              <w:rPr>
                <w:szCs w:val="20"/>
              </w:rPr>
            </w:pPr>
            <w:r w:rsidRPr="00D74A97">
              <w:rPr>
                <w:szCs w:val="20"/>
              </w:rPr>
              <w:t>No violence 2010, n=448</w:t>
            </w:r>
          </w:p>
        </w:tc>
        <w:tc>
          <w:tcPr>
            <w:tcW w:w="2284" w:type="dxa"/>
          </w:tcPr>
          <w:p w:rsidR="000A5CDE" w:rsidRPr="00D74A97" w:rsidRDefault="0095348E" w:rsidP="00D74A97">
            <w:pPr>
              <w:spacing w:before="0" w:after="0"/>
              <w:jc w:val="center"/>
              <w:rPr>
                <w:szCs w:val="20"/>
              </w:rPr>
            </w:pPr>
            <w:r w:rsidRPr="00D74A97">
              <w:rPr>
                <w:szCs w:val="20"/>
              </w:rPr>
              <w:t>Some violence 2010, n=70</w:t>
            </w:r>
          </w:p>
        </w:tc>
      </w:tr>
      <w:tr w:rsidR="000A5CDE" w:rsidRPr="00D74A97" w:rsidTr="00D74A97">
        <w:tc>
          <w:tcPr>
            <w:tcW w:w="2835" w:type="dxa"/>
          </w:tcPr>
          <w:p w:rsidR="000A5CDE" w:rsidRPr="00D74A97" w:rsidRDefault="0095348E" w:rsidP="00D74A97">
            <w:pPr>
              <w:spacing w:before="0" w:after="0"/>
              <w:rPr>
                <w:szCs w:val="20"/>
              </w:rPr>
            </w:pPr>
            <w:r w:rsidRPr="00D74A97">
              <w:rPr>
                <w:szCs w:val="20"/>
              </w:rPr>
              <w:t>Some partner violence 2013</w:t>
            </w:r>
          </w:p>
        </w:tc>
        <w:tc>
          <w:tcPr>
            <w:tcW w:w="1985" w:type="dxa"/>
          </w:tcPr>
          <w:p w:rsidR="000A5CDE" w:rsidRPr="00D74A97" w:rsidRDefault="0095348E" w:rsidP="00D74A97">
            <w:pPr>
              <w:spacing w:before="0" w:after="0"/>
              <w:jc w:val="center"/>
              <w:rPr>
                <w:szCs w:val="20"/>
              </w:rPr>
            </w:pPr>
            <w:r w:rsidRPr="00D74A97">
              <w:rPr>
                <w:szCs w:val="20"/>
              </w:rPr>
              <w:t>2.8%</w:t>
            </w:r>
          </w:p>
        </w:tc>
        <w:tc>
          <w:tcPr>
            <w:tcW w:w="2030" w:type="dxa"/>
          </w:tcPr>
          <w:p w:rsidR="000A5CDE" w:rsidRPr="00D74A97" w:rsidRDefault="0095348E" w:rsidP="00D74A97">
            <w:pPr>
              <w:spacing w:before="0" w:after="0"/>
              <w:jc w:val="center"/>
              <w:rPr>
                <w:szCs w:val="20"/>
              </w:rPr>
            </w:pPr>
            <w:r w:rsidRPr="00D74A97">
              <w:rPr>
                <w:szCs w:val="20"/>
              </w:rPr>
              <w:t>9.2%</w:t>
            </w:r>
          </w:p>
        </w:tc>
        <w:tc>
          <w:tcPr>
            <w:tcW w:w="2284" w:type="dxa"/>
          </w:tcPr>
          <w:p w:rsidR="000A5CDE" w:rsidRPr="00D74A97" w:rsidRDefault="0095348E" w:rsidP="00D74A97">
            <w:pPr>
              <w:spacing w:before="0" w:after="0"/>
              <w:jc w:val="center"/>
              <w:rPr>
                <w:szCs w:val="20"/>
              </w:rPr>
            </w:pPr>
            <w:r w:rsidRPr="00D74A97">
              <w:rPr>
                <w:szCs w:val="20"/>
              </w:rPr>
              <w:t>25.7%</w:t>
            </w:r>
          </w:p>
        </w:tc>
      </w:tr>
      <w:tr w:rsidR="000A5CDE" w:rsidRPr="00D74A97" w:rsidTr="00D74A97">
        <w:tc>
          <w:tcPr>
            <w:tcW w:w="2835" w:type="dxa"/>
          </w:tcPr>
          <w:p w:rsidR="000A5CDE" w:rsidRPr="00D74A97" w:rsidRDefault="0095348E" w:rsidP="00D74A97">
            <w:pPr>
              <w:spacing w:before="0" w:after="0"/>
              <w:rPr>
                <w:szCs w:val="20"/>
              </w:rPr>
            </w:pPr>
            <w:r w:rsidRPr="00D74A97">
              <w:rPr>
                <w:szCs w:val="20"/>
              </w:rPr>
              <w:t>No partner violence 2013</w:t>
            </w:r>
          </w:p>
        </w:tc>
        <w:tc>
          <w:tcPr>
            <w:tcW w:w="1985" w:type="dxa"/>
          </w:tcPr>
          <w:p w:rsidR="000A5CDE" w:rsidRPr="00D74A97" w:rsidRDefault="0095348E" w:rsidP="00D74A97">
            <w:pPr>
              <w:spacing w:before="0" w:after="0"/>
              <w:jc w:val="center"/>
              <w:rPr>
                <w:szCs w:val="20"/>
              </w:rPr>
            </w:pPr>
            <w:r w:rsidRPr="00D74A97">
              <w:rPr>
                <w:szCs w:val="20"/>
              </w:rPr>
              <w:t>22.3%</w:t>
            </w:r>
          </w:p>
        </w:tc>
        <w:tc>
          <w:tcPr>
            <w:tcW w:w="2030" w:type="dxa"/>
          </w:tcPr>
          <w:p w:rsidR="000A5CDE" w:rsidRPr="00D74A97" w:rsidRDefault="0095348E" w:rsidP="00D74A97">
            <w:pPr>
              <w:spacing w:before="0" w:after="0"/>
              <w:jc w:val="center"/>
              <w:rPr>
                <w:szCs w:val="20"/>
              </w:rPr>
            </w:pPr>
            <w:r w:rsidRPr="00D74A97">
              <w:rPr>
                <w:szCs w:val="20"/>
              </w:rPr>
              <w:t>74.6%</w:t>
            </w:r>
          </w:p>
        </w:tc>
        <w:tc>
          <w:tcPr>
            <w:tcW w:w="2284" w:type="dxa"/>
          </w:tcPr>
          <w:p w:rsidR="000A5CDE" w:rsidRPr="00D74A97" w:rsidRDefault="0095348E" w:rsidP="00D74A97">
            <w:pPr>
              <w:spacing w:before="0" w:after="0"/>
              <w:jc w:val="center"/>
              <w:rPr>
                <w:szCs w:val="20"/>
              </w:rPr>
            </w:pPr>
            <w:r w:rsidRPr="00D74A97">
              <w:rPr>
                <w:szCs w:val="20"/>
              </w:rPr>
              <w:t>44.3%</w:t>
            </w:r>
          </w:p>
        </w:tc>
      </w:tr>
      <w:tr w:rsidR="000A5CDE" w:rsidRPr="00D74A97" w:rsidTr="00D74A97">
        <w:tc>
          <w:tcPr>
            <w:tcW w:w="2835" w:type="dxa"/>
          </w:tcPr>
          <w:p w:rsidR="000A5CDE" w:rsidRPr="00D74A97" w:rsidRDefault="0095348E" w:rsidP="00D74A97">
            <w:pPr>
              <w:spacing w:before="0" w:after="0"/>
              <w:rPr>
                <w:szCs w:val="20"/>
              </w:rPr>
            </w:pPr>
            <w:r w:rsidRPr="00D74A97">
              <w:rPr>
                <w:szCs w:val="20"/>
              </w:rPr>
              <w:t>No partner 2013</w:t>
            </w:r>
          </w:p>
        </w:tc>
        <w:tc>
          <w:tcPr>
            <w:tcW w:w="1985" w:type="dxa"/>
          </w:tcPr>
          <w:p w:rsidR="000A5CDE" w:rsidRPr="00D74A97" w:rsidRDefault="0095348E" w:rsidP="00D74A97">
            <w:pPr>
              <w:spacing w:before="0" w:after="0"/>
              <w:jc w:val="center"/>
              <w:rPr>
                <w:szCs w:val="20"/>
              </w:rPr>
            </w:pPr>
            <w:r w:rsidRPr="00D74A97">
              <w:rPr>
                <w:szCs w:val="20"/>
              </w:rPr>
              <w:t>74.9%</w:t>
            </w:r>
          </w:p>
        </w:tc>
        <w:tc>
          <w:tcPr>
            <w:tcW w:w="2030" w:type="dxa"/>
          </w:tcPr>
          <w:p w:rsidR="000A5CDE" w:rsidRPr="00D74A97" w:rsidRDefault="0095348E" w:rsidP="00D74A97">
            <w:pPr>
              <w:spacing w:before="0" w:after="0"/>
              <w:jc w:val="center"/>
              <w:rPr>
                <w:szCs w:val="20"/>
              </w:rPr>
            </w:pPr>
            <w:r w:rsidRPr="00D74A97">
              <w:rPr>
                <w:szCs w:val="20"/>
              </w:rPr>
              <w:t>16.3%</w:t>
            </w:r>
          </w:p>
        </w:tc>
        <w:tc>
          <w:tcPr>
            <w:tcW w:w="2284" w:type="dxa"/>
          </w:tcPr>
          <w:p w:rsidR="000A5CDE" w:rsidRPr="00D74A97" w:rsidRDefault="0095348E" w:rsidP="00D74A97">
            <w:pPr>
              <w:spacing w:before="0" w:after="0"/>
              <w:jc w:val="center"/>
              <w:rPr>
                <w:szCs w:val="20"/>
              </w:rPr>
            </w:pPr>
            <w:r w:rsidRPr="00D74A97">
              <w:rPr>
                <w:szCs w:val="20"/>
              </w:rPr>
              <w:t>30.0%</w:t>
            </w:r>
          </w:p>
        </w:tc>
      </w:tr>
    </w:tbl>
    <w:p w:rsidR="000A5CDE" w:rsidRPr="00DB644A" w:rsidRDefault="000A5CDE" w:rsidP="003F6C3F">
      <w:pPr>
        <w:pStyle w:val="Heading2"/>
        <w:rPr>
          <w:rFonts w:eastAsia="Calibri"/>
          <w:lang w:eastAsia="en-US"/>
        </w:rPr>
      </w:pPr>
    </w:p>
    <w:p w:rsidR="000555A8" w:rsidRPr="000555A8" w:rsidRDefault="000555A8" w:rsidP="003F6C3F">
      <w:pPr>
        <w:pStyle w:val="Heading2"/>
        <w:rPr>
          <w:rFonts w:eastAsia="Calibri"/>
          <w:sz w:val="22"/>
          <w:szCs w:val="22"/>
          <w:lang w:eastAsia="en-US"/>
        </w:rPr>
      </w:pPr>
      <w:r>
        <w:rPr>
          <w:rFonts w:eastAsia="Calibri"/>
          <w:sz w:val="22"/>
          <w:szCs w:val="22"/>
          <w:lang w:eastAsia="en-US"/>
        </w:rPr>
        <w:t>Education</w:t>
      </w:r>
    </w:p>
    <w:p w:rsidR="00321454" w:rsidRPr="00DB644A" w:rsidRDefault="00321454" w:rsidP="00B235CA">
      <w:pPr>
        <w:spacing w:before="0" w:after="200" w:line="276" w:lineRule="auto"/>
        <w:jc w:val="both"/>
        <w:rPr>
          <w:rFonts w:eastAsia="Calibri"/>
          <w:szCs w:val="20"/>
          <w:lang w:eastAsia="en-US"/>
        </w:rPr>
      </w:pPr>
      <w:r w:rsidRPr="00DB644A">
        <w:rPr>
          <w:rFonts w:eastAsia="Calibri"/>
          <w:szCs w:val="20"/>
          <w:lang w:eastAsia="en-US"/>
        </w:rPr>
        <w:t>Although there was no relationship between mother’s education level and experience of partner violence, there was a significant relationship</w:t>
      </w:r>
      <w:r w:rsidR="00035FE2" w:rsidRPr="00DB644A">
        <w:rPr>
          <w:rStyle w:val="EndnoteReference"/>
          <w:rFonts w:eastAsia="Calibri"/>
          <w:szCs w:val="20"/>
          <w:lang w:eastAsia="en-US"/>
        </w:rPr>
        <w:endnoteReference w:id="2"/>
      </w:r>
      <w:r w:rsidR="00035FE2" w:rsidRPr="00DB644A">
        <w:rPr>
          <w:rFonts w:eastAsia="Calibri"/>
          <w:szCs w:val="20"/>
          <w:lang w:eastAsia="en-US"/>
        </w:rPr>
        <w:t xml:space="preserve"> bet</w:t>
      </w:r>
      <w:r w:rsidRPr="00DB644A">
        <w:rPr>
          <w:rFonts w:eastAsia="Calibri"/>
          <w:szCs w:val="20"/>
          <w:lang w:eastAsia="en-US"/>
        </w:rPr>
        <w:t>ween father’s education level and partner violence</w:t>
      </w:r>
      <w:r w:rsidR="00D151F4" w:rsidRPr="00DB644A">
        <w:rPr>
          <w:rFonts w:eastAsia="Calibri"/>
          <w:szCs w:val="20"/>
          <w:lang w:eastAsia="en-US"/>
        </w:rPr>
        <w:t>.</w:t>
      </w:r>
      <w:r w:rsidR="00035FE2" w:rsidRPr="00DB644A">
        <w:rPr>
          <w:rStyle w:val="EndnoteReference"/>
          <w:rFonts w:eastAsia="Calibri"/>
          <w:szCs w:val="20"/>
          <w:lang w:eastAsia="en-US"/>
        </w:rPr>
        <w:endnoteReference w:id="3"/>
      </w:r>
      <w:r w:rsidRPr="00DB644A">
        <w:rPr>
          <w:rFonts w:eastAsia="Calibri"/>
          <w:szCs w:val="20"/>
          <w:lang w:eastAsia="en-US"/>
        </w:rPr>
        <w:t xml:space="preserve"> If </w:t>
      </w:r>
      <w:r w:rsidR="00F86C23" w:rsidRPr="00DB644A">
        <w:rPr>
          <w:rFonts w:eastAsia="Calibri"/>
          <w:szCs w:val="20"/>
          <w:lang w:eastAsia="en-US"/>
        </w:rPr>
        <w:t>fathers</w:t>
      </w:r>
      <w:r w:rsidRPr="00DB644A">
        <w:rPr>
          <w:rFonts w:eastAsia="Calibri"/>
          <w:szCs w:val="20"/>
          <w:lang w:eastAsia="en-US"/>
        </w:rPr>
        <w:t xml:space="preserve"> had an education level of year 10 or above (</w:t>
      </w:r>
      <w:r w:rsidR="006D7608" w:rsidRPr="00DB644A">
        <w:rPr>
          <w:rFonts w:eastAsia="Calibri"/>
          <w:szCs w:val="20"/>
          <w:lang w:eastAsia="en-US"/>
        </w:rPr>
        <w:t>Wave</w:t>
      </w:r>
      <w:r w:rsidRPr="00DB644A">
        <w:rPr>
          <w:rFonts w:eastAsia="Calibri"/>
          <w:szCs w:val="20"/>
          <w:lang w:eastAsia="en-US"/>
        </w:rPr>
        <w:t xml:space="preserve"> 6), </w:t>
      </w:r>
      <w:r w:rsidR="005C47E4" w:rsidRPr="00DB644A">
        <w:rPr>
          <w:rFonts w:eastAsia="Calibri"/>
          <w:szCs w:val="20"/>
          <w:lang w:eastAsia="en-US"/>
        </w:rPr>
        <w:t>11</w:t>
      </w:r>
      <w:r w:rsidRPr="00DB644A">
        <w:rPr>
          <w:rFonts w:eastAsia="Calibri"/>
          <w:szCs w:val="20"/>
          <w:lang w:eastAsia="en-US"/>
        </w:rPr>
        <w:t xml:space="preserve"> per cent of </w:t>
      </w:r>
      <w:r w:rsidR="00F86C23" w:rsidRPr="00DB644A">
        <w:rPr>
          <w:rFonts w:eastAsia="Calibri"/>
          <w:szCs w:val="20"/>
          <w:lang w:eastAsia="en-US"/>
        </w:rPr>
        <w:t>mothers</w:t>
      </w:r>
      <w:r w:rsidRPr="00DB644A">
        <w:rPr>
          <w:rFonts w:eastAsia="Calibri"/>
          <w:szCs w:val="20"/>
          <w:lang w:eastAsia="en-US"/>
        </w:rPr>
        <w:t xml:space="preserve"> reported partner violence, but if </w:t>
      </w:r>
      <w:r w:rsidR="00F86C23" w:rsidRPr="00DB644A">
        <w:rPr>
          <w:rFonts w:eastAsia="Calibri"/>
          <w:szCs w:val="20"/>
          <w:lang w:eastAsia="en-US"/>
        </w:rPr>
        <w:t>fathers</w:t>
      </w:r>
      <w:r w:rsidRPr="00DB644A">
        <w:rPr>
          <w:rFonts w:eastAsia="Calibri"/>
          <w:szCs w:val="20"/>
          <w:lang w:eastAsia="en-US"/>
        </w:rPr>
        <w:t xml:space="preserve"> had a year 9 or below education, that percentage increased to 2</w:t>
      </w:r>
      <w:r w:rsidR="005C47E4" w:rsidRPr="00DB644A">
        <w:rPr>
          <w:rFonts w:eastAsia="Calibri"/>
          <w:szCs w:val="20"/>
          <w:lang w:eastAsia="en-US"/>
        </w:rPr>
        <w:t xml:space="preserve">3 </w:t>
      </w:r>
      <w:r w:rsidRPr="00DB644A">
        <w:rPr>
          <w:rFonts w:eastAsia="Calibri"/>
          <w:szCs w:val="20"/>
          <w:lang w:eastAsia="en-US"/>
        </w:rPr>
        <w:t>per cent</w:t>
      </w:r>
      <w:r w:rsidR="00BF0140" w:rsidRPr="00DB644A">
        <w:rPr>
          <w:rFonts w:eastAsia="Calibri"/>
          <w:szCs w:val="20"/>
          <w:lang w:eastAsia="en-US"/>
        </w:rPr>
        <w:t xml:space="preserve"> (see </w:t>
      </w:r>
      <w:r w:rsidR="00D151F4" w:rsidRPr="00DB644A">
        <w:rPr>
          <w:rFonts w:eastAsia="Calibri"/>
          <w:szCs w:val="20"/>
          <w:lang w:eastAsia="en-US"/>
        </w:rPr>
        <w:t>F</w:t>
      </w:r>
      <w:r w:rsidR="00BF0140" w:rsidRPr="00DB644A">
        <w:rPr>
          <w:rFonts w:eastAsia="Calibri"/>
          <w:szCs w:val="20"/>
          <w:lang w:eastAsia="en-US"/>
        </w:rPr>
        <w:t xml:space="preserve">igure </w:t>
      </w:r>
      <w:r w:rsidR="00766D08" w:rsidRPr="00DB644A">
        <w:rPr>
          <w:rFonts w:eastAsia="Calibri"/>
          <w:szCs w:val="20"/>
          <w:lang w:eastAsia="en-US"/>
        </w:rPr>
        <w:t>6</w:t>
      </w:r>
      <w:r w:rsidR="00BF0140" w:rsidRPr="00DB644A">
        <w:rPr>
          <w:rFonts w:eastAsia="Calibri"/>
          <w:szCs w:val="20"/>
          <w:lang w:eastAsia="en-US"/>
        </w:rPr>
        <w:t>)</w:t>
      </w:r>
      <w:r w:rsidRPr="00DB644A">
        <w:rPr>
          <w:rFonts w:eastAsia="Calibri"/>
          <w:szCs w:val="20"/>
          <w:lang w:eastAsia="en-US"/>
        </w:rPr>
        <w:t>.</w:t>
      </w:r>
    </w:p>
    <w:p w:rsidR="003F6C3F" w:rsidRDefault="003466C6" w:rsidP="003A730F">
      <w:pPr>
        <w:spacing w:before="0" w:after="0" w:line="240" w:lineRule="auto"/>
        <w:rPr>
          <w:rFonts w:eastAsiaTheme="majorEastAsia"/>
          <w:bCs/>
          <w:spacing w:val="5"/>
        </w:rPr>
      </w:pPr>
      <w:r w:rsidRPr="00381B7E">
        <w:rPr>
          <w:b/>
          <w:szCs w:val="20"/>
        </w:rPr>
        <w:t xml:space="preserve">Figure </w:t>
      </w:r>
      <w:r w:rsidR="00171E73" w:rsidRPr="00381B7E">
        <w:rPr>
          <w:b/>
          <w:szCs w:val="20"/>
        </w:rPr>
        <w:t>6</w:t>
      </w:r>
      <w:r w:rsidRPr="00381B7E">
        <w:rPr>
          <w:b/>
          <w:szCs w:val="20"/>
        </w:rPr>
        <w:t xml:space="preserve">: </w:t>
      </w:r>
      <w:r w:rsidRPr="00381B7E">
        <w:rPr>
          <w:rFonts w:eastAsiaTheme="majorEastAsia"/>
          <w:b/>
          <w:bCs/>
          <w:spacing w:val="5"/>
          <w:szCs w:val="20"/>
        </w:rPr>
        <w:t xml:space="preserve">Experience of partner violence of LSIC </w:t>
      </w:r>
      <w:r w:rsidR="00591154" w:rsidRPr="00381B7E">
        <w:rPr>
          <w:rFonts w:eastAsiaTheme="majorEastAsia"/>
          <w:b/>
          <w:bCs/>
          <w:spacing w:val="5"/>
          <w:szCs w:val="20"/>
        </w:rPr>
        <w:t>parents</w:t>
      </w:r>
      <w:r w:rsidRPr="00381B7E">
        <w:rPr>
          <w:rFonts w:eastAsiaTheme="majorEastAsia"/>
          <w:b/>
          <w:bCs/>
          <w:spacing w:val="5"/>
          <w:szCs w:val="20"/>
        </w:rPr>
        <w:t xml:space="preserve"> in relationships by </w:t>
      </w:r>
      <w:r w:rsidR="00A835E0" w:rsidRPr="00381B7E">
        <w:rPr>
          <w:rFonts w:eastAsiaTheme="majorEastAsia"/>
          <w:b/>
          <w:bCs/>
          <w:spacing w:val="5"/>
          <w:szCs w:val="20"/>
        </w:rPr>
        <w:t>father</w:t>
      </w:r>
      <w:r w:rsidRPr="00381B7E">
        <w:rPr>
          <w:rFonts w:eastAsiaTheme="majorEastAsia"/>
          <w:b/>
          <w:bCs/>
          <w:spacing w:val="5"/>
          <w:szCs w:val="20"/>
        </w:rPr>
        <w:t>'s education level (2013)</w:t>
      </w:r>
      <w:r w:rsidRPr="003466C6">
        <w:rPr>
          <w:rFonts w:eastAsiaTheme="majorEastAsia"/>
          <w:bCs/>
          <w:spacing w:val="5"/>
        </w:rPr>
        <w:t xml:space="preserve"> </w:t>
      </w:r>
    </w:p>
    <w:p w:rsidR="00381B7E" w:rsidRDefault="00D93B2E" w:rsidP="003A730F">
      <w:pPr>
        <w:spacing w:before="0" w:after="0" w:line="240" w:lineRule="auto"/>
        <w:rPr>
          <w:rFonts w:eastAsiaTheme="majorEastAsia"/>
          <w:bCs/>
          <w:spacing w:val="5"/>
        </w:rPr>
      </w:pPr>
      <w:r>
        <w:rPr>
          <w:noProof/>
        </w:rPr>
        <w:drawing>
          <wp:inline distT="0" distB="0" distL="0" distR="0" wp14:anchorId="4128D4EC" wp14:editId="567D2CF6">
            <wp:extent cx="5581650" cy="2590800"/>
            <wp:effectExtent l="0" t="0" r="19050" b="19050"/>
            <wp:docPr id="11" name="Chart 11" descr="This graph divides the LSIC sample into two groups, those with a father who has education of year 9 or lower and those with year 10 or higher. It shows the percentage of violence in households of each group." title="Figure 6: Experience of partner violence of LSIC parents in relationships by father's education level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6C3F" w:rsidRDefault="003F6C3F" w:rsidP="003A730F">
      <w:pPr>
        <w:spacing w:before="0" w:after="0" w:line="240" w:lineRule="auto"/>
        <w:rPr>
          <w:rFonts w:eastAsiaTheme="majorEastAsia"/>
          <w:bCs/>
          <w:spacing w:val="5"/>
        </w:rPr>
      </w:pPr>
    </w:p>
    <w:tbl>
      <w:tblPr>
        <w:tblStyle w:val="TableGrid"/>
        <w:tblW w:w="0" w:type="auto"/>
        <w:tblLook w:val="04A0" w:firstRow="1" w:lastRow="0" w:firstColumn="1" w:lastColumn="0" w:noHBand="0" w:noVBand="1"/>
        <w:tblCaption w:val="Figure 6. Experience of partner violence of LSIC parents in relationships by father's education level."/>
        <w:tblDescription w:val="This figure and table displays the frequency of violence by the education level of the father. Category rows are Some violence between parents and no violence between partners, and the column categories are year 9 or below educaiton and year 10 or above."/>
      </w:tblPr>
      <w:tblGrid>
        <w:gridCol w:w="3544"/>
        <w:gridCol w:w="2835"/>
        <w:gridCol w:w="2755"/>
      </w:tblGrid>
      <w:tr w:rsidR="000A5CDE" w:rsidRPr="00D74A97" w:rsidTr="00246261">
        <w:trPr>
          <w:tblHeader/>
        </w:trPr>
        <w:tc>
          <w:tcPr>
            <w:tcW w:w="3544" w:type="dxa"/>
          </w:tcPr>
          <w:p w:rsidR="000A5CDE" w:rsidRPr="00D74A97" w:rsidRDefault="000A5CDE" w:rsidP="00D74A97">
            <w:pPr>
              <w:spacing w:before="0" w:after="0"/>
              <w:jc w:val="both"/>
              <w:rPr>
                <w:szCs w:val="20"/>
              </w:rPr>
            </w:pPr>
          </w:p>
        </w:tc>
        <w:tc>
          <w:tcPr>
            <w:tcW w:w="2835" w:type="dxa"/>
          </w:tcPr>
          <w:p w:rsidR="000A5CDE" w:rsidRPr="00D74A97" w:rsidRDefault="0095348E" w:rsidP="00D74A97">
            <w:pPr>
              <w:spacing w:before="0" w:after="0"/>
              <w:jc w:val="center"/>
              <w:rPr>
                <w:szCs w:val="20"/>
              </w:rPr>
            </w:pPr>
            <w:r w:rsidRPr="00D74A97">
              <w:rPr>
                <w:szCs w:val="20"/>
              </w:rPr>
              <w:t>Father year 9 or below</w:t>
            </w:r>
          </w:p>
        </w:tc>
        <w:tc>
          <w:tcPr>
            <w:tcW w:w="2755" w:type="dxa"/>
          </w:tcPr>
          <w:p w:rsidR="000A5CDE" w:rsidRPr="00D74A97" w:rsidRDefault="0095348E" w:rsidP="00D74A97">
            <w:pPr>
              <w:spacing w:before="0" w:after="0"/>
              <w:jc w:val="center"/>
              <w:rPr>
                <w:szCs w:val="20"/>
              </w:rPr>
            </w:pPr>
            <w:r w:rsidRPr="00D74A97">
              <w:rPr>
                <w:szCs w:val="20"/>
              </w:rPr>
              <w:t>Father year 10 or above</w:t>
            </w:r>
          </w:p>
        </w:tc>
      </w:tr>
      <w:tr w:rsidR="000A5CDE" w:rsidRPr="00D74A97" w:rsidTr="00D74A97">
        <w:tc>
          <w:tcPr>
            <w:tcW w:w="3544" w:type="dxa"/>
          </w:tcPr>
          <w:p w:rsidR="000A5CDE" w:rsidRPr="00D74A97" w:rsidRDefault="0095348E" w:rsidP="00D74A97">
            <w:pPr>
              <w:spacing w:before="0" w:after="0"/>
              <w:rPr>
                <w:szCs w:val="20"/>
              </w:rPr>
            </w:pPr>
            <w:r w:rsidRPr="00D74A97">
              <w:rPr>
                <w:szCs w:val="20"/>
              </w:rPr>
              <w:t>Some violence between parents</w:t>
            </w:r>
          </w:p>
        </w:tc>
        <w:tc>
          <w:tcPr>
            <w:tcW w:w="2835" w:type="dxa"/>
          </w:tcPr>
          <w:p w:rsidR="000A5CDE" w:rsidRPr="00D74A97" w:rsidRDefault="0095348E" w:rsidP="00D74A97">
            <w:pPr>
              <w:spacing w:before="0" w:after="0"/>
              <w:jc w:val="center"/>
              <w:rPr>
                <w:szCs w:val="20"/>
              </w:rPr>
            </w:pPr>
            <w:r w:rsidRPr="00D74A97">
              <w:rPr>
                <w:szCs w:val="20"/>
              </w:rPr>
              <w:t>22.6%</w:t>
            </w:r>
          </w:p>
        </w:tc>
        <w:tc>
          <w:tcPr>
            <w:tcW w:w="2755" w:type="dxa"/>
          </w:tcPr>
          <w:p w:rsidR="000A5CDE" w:rsidRPr="00D74A97" w:rsidRDefault="0095348E" w:rsidP="00D74A97">
            <w:pPr>
              <w:spacing w:before="0" w:after="0"/>
              <w:jc w:val="center"/>
              <w:rPr>
                <w:szCs w:val="20"/>
              </w:rPr>
            </w:pPr>
            <w:r w:rsidRPr="00D74A97">
              <w:rPr>
                <w:szCs w:val="20"/>
              </w:rPr>
              <w:t>10.5%</w:t>
            </w:r>
          </w:p>
        </w:tc>
      </w:tr>
      <w:tr w:rsidR="000A5CDE" w:rsidRPr="00D74A97" w:rsidTr="00D74A97">
        <w:tc>
          <w:tcPr>
            <w:tcW w:w="3544" w:type="dxa"/>
          </w:tcPr>
          <w:p w:rsidR="000A5CDE" w:rsidRPr="00D74A97" w:rsidRDefault="0095348E" w:rsidP="00D74A97">
            <w:pPr>
              <w:spacing w:before="0" w:after="0"/>
              <w:rPr>
                <w:szCs w:val="20"/>
              </w:rPr>
            </w:pPr>
            <w:r w:rsidRPr="00D74A97">
              <w:rPr>
                <w:szCs w:val="20"/>
              </w:rPr>
              <w:t>No violence between parents</w:t>
            </w:r>
          </w:p>
        </w:tc>
        <w:tc>
          <w:tcPr>
            <w:tcW w:w="2835" w:type="dxa"/>
          </w:tcPr>
          <w:p w:rsidR="000A5CDE" w:rsidRPr="00D74A97" w:rsidRDefault="0095348E" w:rsidP="00D74A97">
            <w:pPr>
              <w:spacing w:before="0" w:after="0"/>
              <w:jc w:val="center"/>
              <w:rPr>
                <w:szCs w:val="20"/>
              </w:rPr>
            </w:pPr>
            <w:r w:rsidRPr="00D74A97">
              <w:rPr>
                <w:szCs w:val="20"/>
              </w:rPr>
              <w:t>77.5%</w:t>
            </w:r>
          </w:p>
        </w:tc>
        <w:tc>
          <w:tcPr>
            <w:tcW w:w="2755" w:type="dxa"/>
          </w:tcPr>
          <w:p w:rsidR="000A5CDE" w:rsidRPr="00D74A97" w:rsidRDefault="0095348E" w:rsidP="00D74A97">
            <w:pPr>
              <w:spacing w:before="0" w:after="0"/>
              <w:jc w:val="center"/>
              <w:rPr>
                <w:szCs w:val="20"/>
              </w:rPr>
            </w:pPr>
            <w:r w:rsidRPr="00D74A97">
              <w:rPr>
                <w:szCs w:val="20"/>
              </w:rPr>
              <w:t>89.5%</w:t>
            </w:r>
          </w:p>
        </w:tc>
      </w:tr>
    </w:tbl>
    <w:p w:rsidR="000555A8" w:rsidRPr="000555A8" w:rsidRDefault="000555A8" w:rsidP="003F6C3F">
      <w:pPr>
        <w:pStyle w:val="Heading2"/>
        <w:rPr>
          <w:rFonts w:eastAsia="Calibri"/>
          <w:lang w:eastAsia="en-US"/>
        </w:rPr>
      </w:pPr>
      <w:r>
        <w:rPr>
          <w:rFonts w:eastAsia="Calibri"/>
          <w:lang w:eastAsia="en-US"/>
        </w:rPr>
        <w:lastRenderedPageBreak/>
        <w:t>Employment and financial hardship</w:t>
      </w:r>
    </w:p>
    <w:p w:rsidR="00321454" w:rsidRPr="00DB644A" w:rsidRDefault="00AE4525" w:rsidP="003A730F">
      <w:pPr>
        <w:spacing w:before="0" w:after="200" w:line="276" w:lineRule="auto"/>
        <w:jc w:val="both"/>
        <w:rPr>
          <w:rFonts w:eastAsia="Calibri"/>
          <w:szCs w:val="20"/>
          <w:lang w:eastAsia="en-US"/>
        </w:rPr>
      </w:pPr>
      <w:r w:rsidRPr="00DB644A">
        <w:rPr>
          <w:rFonts w:eastAsia="Calibri"/>
          <w:szCs w:val="20"/>
          <w:lang w:eastAsia="en-US"/>
        </w:rPr>
        <w:t>Partner violence</w:t>
      </w:r>
      <w:r w:rsidR="00321454" w:rsidRPr="00DB644A">
        <w:rPr>
          <w:rFonts w:eastAsia="Calibri"/>
          <w:szCs w:val="20"/>
          <w:lang w:eastAsia="en-US"/>
        </w:rPr>
        <w:t xml:space="preserve"> was also significantly</w:t>
      </w:r>
      <w:r w:rsidR="00035FE2" w:rsidRPr="00DB644A">
        <w:rPr>
          <w:rStyle w:val="EndnoteReference"/>
          <w:rFonts w:eastAsia="Calibri"/>
          <w:szCs w:val="20"/>
          <w:lang w:eastAsia="en-US"/>
        </w:rPr>
        <w:endnoteReference w:id="4"/>
      </w:r>
      <w:r w:rsidR="00321454" w:rsidRPr="00DB644A">
        <w:rPr>
          <w:rFonts w:eastAsia="Calibri"/>
          <w:szCs w:val="20"/>
          <w:lang w:eastAsia="en-US"/>
        </w:rPr>
        <w:t xml:space="preserve"> related to employment for both </w:t>
      </w:r>
      <w:r w:rsidR="00EE1B43" w:rsidRPr="00DB644A">
        <w:rPr>
          <w:rFonts w:eastAsia="Calibri"/>
          <w:szCs w:val="20"/>
          <w:lang w:eastAsia="en-US"/>
        </w:rPr>
        <w:t xml:space="preserve">fathers </w:t>
      </w:r>
      <w:r w:rsidR="00321454" w:rsidRPr="00DB644A">
        <w:rPr>
          <w:rFonts w:eastAsia="Calibri"/>
          <w:szCs w:val="20"/>
          <w:lang w:eastAsia="en-US"/>
        </w:rPr>
        <w:t xml:space="preserve">and </w:t>
      </w:r>
      <w:r w:rsidR="00EE1B43" w:rsidRPr="00DB644A">
        <w:rPr>
          <w:rFonts w:eastAsia="Calibri"/>
          <w:szCs w:val="20"/>
          <w:lang w:eastAsia="en-US"/>
        </w:rPr>
        <w:t>mothers</w:t>
      </w:r>
      <w:r w:rsidR="00321454" w:rsidRPr="00DB644A">
        <w:rPr>
          <w:rFonts w:eastAsia="Calibri"/>
          <w:szCs w:val="20"/>
          <w:lang w:eastAsia="en-US"/>
        </w:rPr>
        <w:t xml:space="preserve">. In 2013, </w:t>
      </w:r>
      <w:r w:rsidR="00EE1B43" w:rsidRPr="00DB644A">
        <w:rPr>
          <w:rFonts w:eastAsia="Calibri"/>
          <w:szCs w:val="20"/>
          <w:lang w:eastAsia="en-US"/>
        </w:rPr>
        <w:t xml:space="preserve">mothers </w:t>
      </w:r>
      <w:r w:rsidR="00321454" w:rsidRPr="00DB644A">
        <w:rPr>
          <w:rFonts w:eastAsia="Calibri"/>
          <w:szCs w:val="20"/>
          <w:lang w:eastAsia="en-US"/>
        </w:rPr>
        <w:t xml:space="preserve">who were </w:t>
      </w:r>
      <w:r w:rsidR="005A2930" w:rsidRPr="00DB644A">
        <w:rPr>
          <w:rFonts w:eastAsia="Calibri"/>
          <w:szCs w:val="20"/>
          <w:lang w:eastAsia="en-US"/>
        </w:rPr>
        <w:t xml:space="preserve">not </w:t>
      </w:r>
      <w:r w:rsidR="00321454" w:rsidRPr="00DB644A">
        <w:rPr>
          <w:rFonts w:eastAsia="Calibri"/>
          <w:szCs w:val="20"/>
          <w:lang w:eastAsia="en-US"/>
        </w:rPr>
        <w:t xml:space="preserve">employed were more likely to be victims of </w:t>
      </w:r>
      <w:r w:rsidRPr="00DB644A">
        <w:rPr>
          <w:rFonts w:eastAsia="Calibri"/>
          <w:szCs w:val="20"/>
          <w:lang w:eastAsia="en-US"/>
        </w:rPr>
        <w:t>partner violence</w:t>
      </w:r>
      <w:r w:rsidR="00321454" w:rsidRPr="00DB644A">
        <w:rPr>
          <w:rFonts w:eastAsia="Calibri"/>
          <w:szCs w:val="20"/>
          <w:lang w:eastAsia="en-US"/>
        </w:rPr>
        <w:t xml:space="preserve"> than </w:t>
      </w:r>
      <w:r w:rsidR="00EE1B43" w:rsidRPr="00DB644A">
        <w:rPr>
          <w:rFonts w:eastAsia="Calibri"/>
          <w:szCs w:val="20"/>
          <w:lang w:eastAsia="en-US"/>
        </w:rPr>
        <w:t xml:space="preserve">mothers </w:t>
      </w:r>
      <w:r w:rsidR="00321454" w:rsidRPr="00DB644A">
        <w:rPr>
          <w:rFonts w:eastAsia="Calibri"/>
          <w:szCs w:val="20"/>
          <w:lang w:eastAsia="en-US"/>
        </w:rPr>
        <w:t xml:space="preserve">who were employed. </w:t>
      </w:r>
      <w:r w:rsidR="00EE1B43" w:rsidRPr="00DB644A">
        <w:rPr>
          <w:rFonts w:eastAsia="Calibri"/>
          <w:szCs w:val="20"/>
          <w:lang w:eastAsia="en-US"/>
        </w:rPr>
        <w:t xml:space="preserve">Mothers </w:t>
      </w:r>
      <w:r w:rsidR="00321454" w:rsidRPr="00DB644A">
        <w:rPr>
          <w:rFonts w:eastAsia="Calibri"/>
          <w:szCs w:val="20"/>
          <w:lang w:eastAsia="en-US"/>
        </w:rPr>
        <w:t xml:space="preserve">whose partner </w:t>
      </w:r>
      <w:r w:rsidR="00EE1B43" w:rsidRPr="00DB644A">
        <w:rPr>
          <w:rFonts w:eastAsia="Calibri"/>
          <w:szCs w:val="20"/>
          <w:lang w:eastAsia="en-US"/>
        </w:rPr>
        <w:t xml:space="preserve">was </w:t>
      </w:r>
      <w:r w:rsidR="005A2930" w:rsidRPr="00DB644A">
        <w:rPr>
          <w:rFonts w:eastAsia="Calibri"/>
          <w:szCs w:val="20"/>
          <w:lang w:eastAsia="en-US"/>
        </w:rPr>
        <w:t xml:space="preserve">not </w:t>
      </w:r>
      <w:r w:rsidR="00321454" w:rsidRPr="00DB644A">
        <w:rPr>
          <w:rFonts w:eastAsia="Calibri"/>
          <w:szCs w:val="20"/>
          <w:lang w:eastAsia="en-US"/>
        </w:rPr>
        <w:t xml:space="preserve">employed were twice as likely to experience domestic violence as </w:t>
      </w:r>
      <w:r w:rsidR="00EE1B43" w:rsidRPr="00DB644A">
        <w:rPr>
          <w:rFonts w:eastAsia="Calibri"/>
          <w:szCs w:val="20"/>
          <w:lang w:eastAsia="en-US"/>
        </w:rPr>
        <w:t xml:space="preserve">mothers </w:t>
      </w:r>
      <w:r w:rsidR="00321454" w:rsidRPr="00DB644A">
        <w:rPr>
          <w:rFonts w:eastAsia="Calibri"/>
          <w:szCs w:val="20"/>
          <w:lang w:eastAsia="en-US"/>
        </w:rPr>
        <w:t xml:space="preserve">whose partner </w:t>
      </w:r>
      <w:r w:rsidR="00EE1B43" w:rsidRPr="00DB644A">
        <w:rPr>
          <w:rFonts w:eastAsia="Calibri"/>
          <w:szCs w:val="20"/>
          <w:lang w:eastAsia="en-US"/>
        </w:rPr>
        <w:t xml:space="preserve">was </w:t>
      </w:r>
      <w:r w:rsidR="00321454" w:rsidRPr="00DB644A">
        <w:rPr>
          <w:rFonts w:eastAsia="Calibri"/>
          <w:szCs w:val="20"/>
          <w:lang w:eastAsia="en-US"/>
        </w:rPr>
        <w:t>employed</w:t>
      </w:r>
      <w:r w:rsidR="00BF0140" w:rsidRPr="00DB644A">
        <w:rPr>
          <w:rFonts w:eastAsia="Calibri"/>
          <w:szCs w:val="20"/>
          <w:lang w:eastAsia="en-US"/>
        </w:rPr>
        <w:t xml:space="preserve"> (see </w:t>
      </w:r>
      <w:r w:rsidR="00D151F4" w:rsidRPr="00DB644A">
        <w:rPr>
          <w:rFonts w:eastAsia="Calibri"/>
          <w:szCs w:val="20"/>
          <w:lang w:eastAsia="en-US"/>
        </w:rPr>
        <w:t>F</w:t>
      </w:r>
      <w:r w:rsidR="00BF0140" w:rsidRPr="00DB644A">
        <w:rPr>
          <w:rFonts w:eastAsia="Calibri"/>
          <w:szCs w:val="20"/>
          <w:lang w:eastAsia="en-US"/>
        </w:rPr>
        <w:t xml:space="preserve">igure </w:t>
      </w:r>
      <w:r w:rsidR="00766D08" w:rsidRPr="00DB644A">
        <w:rPr>
          <w:rFonts w:eastAsia="Calibri"/>
          <w:szCs w:val="20"/>
          <w:lang w:eastAsia="en-US"/>
        </w:rPr>
        <w:t>7</w:t>
      </w:r>
      <w:r w:rsidR="00BF0140" w:rsidRPr="00DB644A">
        <w:rPr>
          <w:rFonts w:eastAsia="Calibri"/>
          <w:szCs w:val="20"/>
          <w:lang w:eastAsia="en-US"/>
        </w:rPr>
        <w:t>)</w:t>
      </w:r>
      <w:r w:rsidR="00321454" w:rsidRPr="00DB644A">
        <w:rPr>
          <w:rFonts w:eastAsia="Calibri"/>
          <w:szCs w:val="20"/>
          <w:lang w:eastAsia="en-US"/>
        </w:rPr>
        <w:t>. This pattern was the same in 2010.</w:t>
      </w:r>
    </w:p>
    <w:p w:rsidR="003F6C3F" w:rsidRDefault="003466C6" w:rsidP="00D529EA">
      <w:pPr>
        <w:keepNext/>
        <w:spacing w:before="0" w:after="0" w:line="240" w:lineRule="auto"/>
        <w:rPr>
          <w:rFonts w:eastAsiaTheme="majorEastAsia"/>
          <w:bCs/>
          <w:spacing w:val="5"/>
          <w:szCs w:val="20"/>
        </w:rPr>
      </w:pPr>
      <w:r w:rsidRPr="00381B7E">
        <w:rPr>
          <w:b/>
          <w:szCs w:val="20"/>
        </w:rPr>
        <w:t xml:space="preserve">Figure </w:t>
      </w:r>
      <w:r w:rsidR="00171E73" w:rsidRPr="00381B7E">
        <w:rPr>
          <w:b/>
          <w:szCs w:val="20"/>
        </w:rPr>
        <w:t>7</w:t>
      </w:r>
      <w:r w:rsidRPr="00381B7E">
        <w:rPr>
          <w:b/>
          <w:szCs w:val="20"/>
        </w:rPr>
        <w:t xml:space="preserve">: </w:t>
      </w:r>
      <w:r w:rsidRPr="00381B7E">
        <w:rPr>
          <w:rFonts w:eastAsiaTheme="majorEastAsia"/>
          <w:b/>
          <w:bCs/>
          <w:spacing w:val="5"/>
          <w:szCs w:val="20"/>
        </w:rPr>
        <w:t xml:space="preserve">Proportions of families experiencing </w:t>
      </w:r>
      <w:r w:rsidR="00AE4525" w:rsidRPr="00381B7E">
        <w:rPr>
          <w:rFonts w:eastAsiaTheme="majorEastAsia"/>
          <w:b/>
          <w:bCs/>
          <w:spacing w:val="5"/>
          <w:szCs w:val="20"/>
        </w:rPr>
        <w:t>partner violence</w:t>
      </w:r>
      <w:r w:rsidRPr="00381B7E">
        <w:rPr>
          <w:rFonts w:eastAsiaTheme="majorEastAsia"/>
          <w:b/>
          <w:bCs/>
          <w:spacing w:val="5"/>
          <w:szCs w:val="20"/>
        </w:rPr>
        <w:t xml:space="preserve"> by </w:t>
      </w:r>
      <w:r w:rsidR="00A835E0" w:rsidRPr="00381B7E">
        <w:rPr>
          <w:rFonts w:eastAsiaTheme="majorEastAsia"/>
          <w:b/>
          <w:bCs/>
          <w:spacing w:val="5"/>
          <w:szCs w:val="20"/>
        </w:rPr>
        <w:t>mother</w:t>
      </w:r>
      <w:r w:rsidRPr="00381B7E">
        <w:rPr>
          <w:rFonts w:eastAsiaTheme="majorEastAsia"/>
          <w:b/>
          <w:bCs/>
          <w:spacing w:val="5"/>
          <w:szCs w:val="20"/>
        </w:rPr>
        <w:t>s</w:t>
      </w:r>
      <w:r w:rsidR="00A835E0" w:rsidRPr="00381B7E">
        <w:rPr>
          <w:rFonts w:eastAsiaTheme="majorEastAsia"/>
          <w:b/>
          <w:bCs/>
          <w:spacing w:val="5"/>
          <w:szCs w:val="20"/>
        </w:rPr>
        <w:t>’</w:t>
      </w:r>
      <w:r w:rsidRPr="00381B7E">
        <w:rPr>
          <w:rFonts w:eastAsiaTheme="majorEastAsia"/>
          <w:b/>
          <w:bCs/>
          <w:spacing w:val="5"/>
          <w:szCs w:val="20"/>
        </w:rPr>
        <w:t xml:space="preserve"> and </w:t>
      </w:r>
      <w:r w:rsidR="00A835E0" w:rsidRPr="00381B7E">
        <w:rPr>
          <w:rFonts w:eastAsiaTheme="majorEastAsia"/>
          <w:b/>
          <w:bCs/>
          <w:spacing w:val="5"/>
          <w:szCs w:val="20"/>
        </w:rPr>
        <w:t>fathers’</w:t>
      </w:r>
      <w:r w:rsidRPr="00381B7E">
        <w:rPr>
          <w:rFonts w:eastAsiaTheme="majorEastAsia"/>
          <w:b/>
          <w:bCs/>
          <w:spacing w:val="5"/>
          <w:szCs w:val="20"/>
        </w:rPr>
        <w:t xml:space="preserve"> employment status (LSIC 2013)</w:t>
      </w:r>
      <w:r w:rsidRPr="00773721">
        <w:rPr>
          <w:rFonts w:eastAsiaTheme="majorEastAsia"/>
          <w:bCs/>
          <w:spacing w:val="5"/>
          <w:szCs w:val="20"/>
        </w:rPr>
        <w:t xml:space="preserve"> </w:t>
      </w:r>
    </w:p>
    <w:p w:rsidR="00D93B2E" w:rsidRDefault="00D93B2E" w:rsidP="00D529EA">
      <w:pPr>
        <w:keepNext/>
        <w:spacing w:before="0" w:after="0" w:line="240" w:lineRule="auto"/>
        <w:rPr>
          <w:rFonts w:eastAsiaTheme="majorEastAsia"/>
          <w:bCs/>
          <w:spacing w:val="5"/>
          <w:szCs w:val="20"/>
        </w:rPr>
      </w:pPr>
      <w:r>
        <w:rPr>
          <w:noProof/>
        </w:rPr>
        <w:drawing>
          <wp:inline distT="0" distB="0" distL="0" distR="0" wp14:anchorId="2FD43E8A" wp14:editId="7C6FFD2F">
            <wp:extent cx="5715000" cy="2886075"/>
            <wp:effectExtent l="0" t="0" r="19050" b="9525"/>
            <wp:docPr id="10" name="Chart 10" descr="Graph depicting the presence of violence in households by the employment dtatus of both mothers and fathers." title="Figure 7: Proportions of families experiencing partner violence by mothers’ and fathers’ employment status (LSIC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CDE" w:rsidRDefault="000A5CDE" w:rsidP="00D529EA">
      <w:pPr>
        <w:keepNext/>
        <w:spacing w:before="0" w:after="0" w:line="240" w:lineRule="auto"/>
        <w:rPr>
          <w:rFonts w:eastAsiaTheme="majorEastAsia"/>
          <w:bCs/>
          <w:spacing w:val="5"/>
          <w:szCs w:val="20"/>
        </w:rPr>
      </w:pPr>
    </w:p>
    <w:p w:rsidR="003F6C3F" w:rsidRDefault="003F6C3F" w:rsidP="00D529EA">
      <w:pPr>
        <w:keepNext/>
        <w:spacing w:before="0" w:after="0" w:line="240" w:lineRule="auto"/>
        <w:rPr>
          <w:rFonts w:eastAsiaTheme="majorEastAsia"/>
          <w:bCs/>
          <w:spacing w:val="5"/>
          <w:szCs w:val="20"/>
        </w:rPr>
      </w:pPr>
    </w:p>
    <w:tbl>
      <w:tblPr>
        <w:tblStyle w:val="TableGrid"/>
        <w:tblW w:w="0" w:type="auto"/>
        <w:tblLook w:val="04A0" w:firstRow="1" w:lastRow="0" w:firstColumn="1" w:lastColumn="0" w:noHBand="0" w:noVBand="1"/>
        <w:tblCaption w:val="Figure 7: Proportion of families experiencing partner violence by mothers' or fathers' employment status."/>
        <w:tblDescription w:val="This figure and table demonstrates the proportion no partner violence and some partner violence by both parents employment status."/>
      </w:tblPr>
      <w:tblGrid>
        <w:gridCol w:w="2360"/>
        <w:gridCol w:w="1609"/>
        <w:gridCol w:w="1701"/>
        <w:gridCol w:w="1647"/>
        <w:gridCol w:w="1817"/>
      </w:tblGrid>
      <w:tr w:rsidR="0095348E" w:rsidRPr="00D74A97" w:rsidTr="00246261">
        <w:trPr>
          <w:tblHeader/>
        </w:trPr>
        <w:tc>
          <w:tcPr>
            <w:tcW w:w="2360" w:type="dxa"/>
          </w:tcPr>
          <w:p w:rsidR="0095348E" w:rsidRPr="00D74A97" w:rsidRDefault="0095348E" w:rsidP="00D74A97">
            <w:pPr>
              <w:spacing w:before="0" w:after="0"/>
              <w:jc w:val="both"/>
              <w:rPr>
                <w:szCs w:val="20"/>
              </w:rPr>
            </w:pPr>
          </w:p>
        </w:tc>
        <w:tc>
          <w:tcPr>
            <w:tcW w:w="1609" w:type="dxa"/>
          </w:tcPr>
          <w:p w:rsidR="0095348E" w:rsidRPr="00D74A97" w:rsidRDefault="0095348E" w:rsidP="00D74A97">
            <w:pPr>
              <w:spacing w:before="0" w:after="0"/>
              <w:jc w:val="center"/>
              <w:rPr>
                <w:szCs w:val="20"/>
              </w:rPr>
            </w:pPr>
            <w:r w:rsidRPr="00D74A97">
              <w:rPr>
                <w:szCs w:val="20"/>
              </w:rPr>
              <w:t>Mother’s employment status</w:t>
            </w:r>
          </w:p>
        </w:tc>
        <w:tc>
          <w:tcPr>
            <w:tcW w:w="1701" w:type="dxa"/>
          </w:tcPr>
          <w:p w:rsidR="0095348E" w:rsidRPr="00D74A97" w:rsidRDefault="0095348E" w:rsidP="00D74A97">
            <w:pPr>
              <w:spacing w:before="0" w:after="0"/>
              <w:jc w:val="center"/>
              <w:rPr>
                <w:szCs w:val="20"/>
              </w:rPr>
            </w:pPr>
            <w:r w:rsidRPr="00D74A97">
              <w:rPr>
                <w:szCs w:val="20"/>
              </w:rPr>
              <w:t>Mother’s employment status</w:t>
            </w:r>
          </w:p>
        </w:tc>
        <w:tc>
          <w:tcPr>
            <w:tcW w:w="1647" w:type="dxa"/>
          </w:tcPr>
          <w:p w:rsidR="0095348E" w:rsidRPr="00D74A97" w:rsidRDefault="0095348E" w:rsidP="00D74A97">
            <w:pPr>
              <w:spacing w:before="0" w:after="0"/>
              <w:jc w:val="center"/>
              <w:rPr>
                <w:szCs w:val="20"/>
              </w:rPr>
            </w:pPr>
            <w:r w:rsidRPr="00D74A97">
              <w:rPr>
                <w:szCs w:val="20"/>
              </w:rPr>
              <w:t>Father’s employment status</w:t>
            </w:r>
          </w:p>
        </w:tc>
        <w:tc>
          <w:tcPr>
            <w:tcW w:w="1817" w:type="dxa"/>
          </w:tcPr>
          <w:p w:rsidR="0095348E" w:rsidRPr="00D74A97" w:rsidRDefault="0095348E" w:rsidP="00D74A97">
            <w:pPr>
              <w:spacing w:before="0" w:after="0"/>
              <w:jc w:val="center"/>
              <w:rPr>
                <w:szCs w:val="20"/>
              </w:rPr>
            </w:pPr>
            <w:r w:rsidRPr="00D74A97">
              <w:rPr>
                <w:szCs w:val="20"/>
              </w:rPr>
              <w:t>Father’s employment status</w:t>
            </w:r>
          </w:p>
        </w:tc>
      </w:tr>
      <w:tr w:rsidR="00D74A97" w:rsidRPr="00D74A97" w:rsidTr="00D74A97">
        <w:tc>
          <w:tcPr>
            <w:tcW w:w="2360" w:type="dxa"/>
          </w:tcPr>
          <w:p w:rsidR="0095348E" w:rsidRPr="00D74A97" w:rsidRDefault="0095348E" w:rsidP="00D74A97">
            <w:pPr>
              <w:spacing w:before="0" w:after="0"/>
              <w:jc w:val="both"/>
              <w:rPr>
                <w:szCs w:val="20"/>
              </w:rPr>
            </w:pPr>
          </w:p>
        </w:tc>
        <w:tc>
          <w:tcPr>
            <w:tcW w:w="1609" w:type="dxa"/>
          </w:tcPr>
          <w:p w:rsidR="0095348E" w:rsidRPr="00D74A97" w:rsidRDefault="0095348E" w:rsidP="00D74A97">
            <w:pPr>
              <w:spacing w:before="0" w:after="0"/>
              <w:jc w:val="center"/>
              <w:rPr>
                <w:szCs w:val="20"/>
              </w:rPr>
            </w:pPr>
            <w:r w:rsidRPr="00D74A97">
              <w:rPr>
                <w:szCs w:val="20"/>
              </w:rPr>
              <w:t>Employed</w:t>
            </w:r>
          </w:p>
        </w:tc>
        <w:tc>
          <w:tcPr>
            <w:tcW w:w="1701" w:type="dxa"/>
          </w:tcPr>
          <w:p w:rsidR="0095348E" w:rsidRPr="00D74A97" w:rsidRDefault="0095348E" w:rsidP="00D74A97">
            <w:pPr>
              <w:spacing w:before="0" w:after="0"/>
              <w:jc w:val="center"/>
              <w:rPr>
                <w:szCs w:val="20"/>
              </w:rPr>
            </w:pPr>
            <w:r w:rsidRPr="00D74A97">
              <w:rPr>
                <w:szCs w:val="20"/>
              </w:rPr>
              <w:t>Not employed</w:t>
            </w:r>
          </w:p>
        </w:tc>
        <w:tc>
          <w:tcPr>
            <w:tcW w:w="1647" w:type="dxa"/>
          </w:tcPr>
          <w:p w:rsidR="0095348E" w:rsidRPr="00D74A97" w:rsidRDefault="0095348E" w:rsidP="00D74A97">
            <w:pPr>
              <w:spacing w:before="0" w:after="0"/>
              <w:jc w:val="center"/>
              <w:rPr>
                <w:szCs w:val="20"/>
              </w:rPr>
            </w:pPr>
            <w:r w:rsidRPr="00D74A97">
              <w:rPr>
                <w:szCs w:val="20"/>
              </w:rPr>
              <w:t>Employed</w:t>
            </w:r>
          </w:p>
        </w:tc>
        <w:tc>
          <w:tcPr>
            <w:tcW w:w="1817" w:type="dxa"/>
          </w:tcPr>
          <w:p w:rsidR="0095348E" w:rsidRPr="00D74A97" w:rsidRDefault="0095348E" w:rsidP="00D74A97">
            <w:pPr>
              <w:spacing w:before="0" w:after="0"/>
              <w:jc w:val="center"/>
              <w:rPr>
                <w:szCs w:val="20"/>
              </w:rPr>
            </w:pPr>
            <w:r w:rsidRPr="00D74A97">
              <w:rPr>
                <w:szCs w:val="20"/>
              </w:rPr>
              <w:t>Not employed</w:t>
            </w:r>
          </w:p>
        </w:tc>
      </w:tr>
      <w:tr w:rsidR="00D74A97" w:rsidRPr="00D74A97" w:rsidTr="00D74A97">
        <w:tc>
          <w:tcPr>
            <w:tcW w:w="2360" w:type="dxa"/>
          </w:tcPr>
          <w:p w:rsidR="000A5CDE" w:rsidRPr="00D74A97" w:rsidRDefault="0095348E" w:rsidP="00D74A97">
            <w:pPr>
              <w:spacing w:before="0" w:after="0"/>
              <w:rPr>
                <w:szCs w:val="20"/>
              </w:rPr>
            </w:pPr>
            <w:r w:rsidRPr="00D74A97">
              <w:rPr>
                <w:szCs w:val="20"/>
              </w:rPr>
              <w:t>Some partner violence</w:t>
            </w:r>
          </w:p>
        </w:tc>
        <w:tc>
          <w:tcPr>
            <w:tcW w:w="1609" w:type="dxa"/>
          </w:tcPr>
          <w:p w:rsidR="000A5CDE" w:rsidRPr="00D74A97" w:rsidRDefault="0095348E" w:rsidP="00D74A97">
            <w:pPr>
              <w:spacing w:before="0" w:after="0"/>
              <w:jc w:val="center"/>
              <w:rPr>
                <w:szCs w:val="20"/>
              </w:rPr>
            </w:pPr>
            <w:r w:rsidRPr="00D74A97">
              <w:rPr>
                <w:szCs w:val="20"/>
              </w:rPr>
              <w:t>9.0%</w:t>
            </w:r>
          </w:p>
        </w:tc>
        <w:tc>
          <w:tcPr>
            <w:tcW w:w="1701" w:type="dxa"/>
          </w:tcPr>
          <w:p w:rsidR="000A5CDE" w:rsidRPr="00D74A97" w:rsidRDefault="0095348E" w:rsidP="00D74A97">
            <w:pPr>
              <w:spacing w:before="0" w:after="0"/>
              <w:jc w:val="center"/>
              <w:rPr>
                <w:szCs w:val="20"/>
              </w:rPr>
            </w:pPr>
            <w:r w:rsidRPr="00D74A97">
              <w:rPr>
                <w:szCs w:val="20"/>
              </w:rPr>
              <w:t>15.7%</w:t>
            </w:r>
          </w:p>
        </w:tc>
        <w:tc>
          <w:tcPr>
            <w:tcW w:w="1647" w:type="dxa"/>
          </w:tcPr>
          <w:p w:rsidR="000A5CDE" w:rsidRPr="00D74A97" w:rsidRDefault="0095348E" w:rsidP="00D74A97">
            <w:pPr>
              <w:spacing w:before="0" w:after="0"/>
              <w:jc w:val="center"/>
              <w:rPr>
                <w:szCs w:val="20"/>
              </w:rPr>
            </w:pPr>
            <w:r w:rsidRPr="00D74A97">
              <w:rPr>
                <w:szCs w:val="20"/>
              </w:rPr>
              <w:t>10.1%</w:t>
            </w:r>
          </w:p>
        </w:tc>
        <w:tc>
          <w:tcPr>
            <w:tcW w:w="1817" w:type="dxa"/>
          </w:tcPr>
          <w:p w:rsidR="000A5CDE" w:rsidRPr="00D74A97" w:rsidRDefault="0095348E" w:rsidP="00D74A97">
            <w:pPr>
              <w:spacing w:before="0" w:after="0"/>
              <w:jc w:val="center"/>
              <w:rPr>
                <w:szCs w:val="20"/>
              </w:rPr>
            </w:pPr>
            <w:r w:rsidRPr="00D74A97">
              <w:rPr>
                <w:szCs w:val="20"/>
              </w:rPr>
              <w:t>20.7%</w:t>
            </w:r>
          </w:p>
        </w:tc>
      </w:tr>
      <w:tr w:rsidR="00D74A97" w:rsidRPr="00D74A97" w:rsidTr="00D74A97">
        <w:tc>
          <w:tcPr>
            <w:tcW w:w="2360" w:type="dxa"/>
          </w:tcPr>
          <w:p w:rsidR="000A5CDE" w:rsidRPr="00D74A97" w:rsidRDefault="0095348E" w:rsidP="00D74A97">
            <w:pPr>
              <w:spacing w:before="0" w:after="0"/>
              <w:rPr>
                <w:szCs w:val="20"/>
              </w:rPr>
            </w:pPr>
            <w:r w:rsidRPr="00D74A97">
              <w:rPr>
                <w:szCs w:val="20"/>
              </w:rPr>
              <w:t>No partner violence</w:t>
            </w:r>
          </w:p>
        </w:tc>
        <w:tc>
          <w:tcPr>
            <w:tcW w:w="1609" w:type="dxa"/>
          </w:tcPr>
          <w:p w:rsidR="000A5CDE" w:rsidRPr="00D74A97" w:rsidRDefault="0095348E" w:rsidP="00D74A97">
            <w:pPr>
              <w:spacing w:before="0" w:after="0"/>
              <w:jc w:val="center"/>
              <w:rPr>
                <w:szCs w:val="20"/>
              </w:rPr>
            </w:pPr>
            <w:r w:rsidRPr="00D74A97">
              <w:rPr>
                <w:szCs w:val="20"/>
              </w:rPr>
              <w:t>91.0%</w:t>
            </w:r>
          </w:p>
        </w:tc>
        <w:tc>
          <w:tcPr>
            <w:tcW w:w="1701" w:type="dxa"/>
          </w:tcPr>
          <w:p w:rsidR="000A5CDE" w:rsidRPr="00D74A97" w:rsidRDefault="0095348E" w:rsidP="00D74A97">
            <w:pPr>
              <w:spacing w:before="0" w:after="0"/>
              <w:jc w:val="center"/>
              <w:rPr>
                <w:szCs w:val="20"/>
              </w:rPr>
            </w:pPr>
            <w:r w:rsidRPr="00D74A97">
              <w:rPr>
                <w:szCs w:val="20"/>
              </w:rPr>
              <w:t>84.3%</w:t>
            </w:r>
          </w:p>
        </w:tc>
        <w:tc>
          <w:tcPr>
            <w:tcW w:w="1647" w:type="dxa"/>
          </w:tcPr>
          <w:p w:rsidR="000A5CDE" w:rsidRPr="00D74A97" w:rsidRDefault="0095348E" w:rsidP="00D74A97">
            <w:pPr>
              <w:spacing w:before="0" w:after="0"/>
              <w:jc w:val="center"/>
              <w:rPr>
                <w:szCs w:val="20"/>
              </w:rPr>
            </w:pPr>
            <w:r w:rsidRPr="00D74A97">
              <w:rPr>
                <w:szCs w:val="20"/>
              </w:rPr>
              <w:t>89.9%</w:t>
            </w:r>
          </w:p>
        </w:tc>
        <w:tc>
          <w:tcPr>
            <w:tcW w:w="1817" w:type="dxa"/>
          </w:tcPr>
          <w:p w:rsidR="000A5CDE" w:rsidRPr="00D74A97" w:rsidRDefault="0095348E" w:rsidP="00D74A97">
            <w:pPr>
              <w:spacing w:before="0" w:after="0"/>
              <w:jc w:val="center"/>
              <w:rPr>
                <w:szCs w:val="20"/>
              </w:rPr>
            </w:pPr>
            <w:r w:rsidRPr="00D74A97">
              <w:rPr>
                <w:szCs w:val="20"/>
              </w:rPr>
              <w:t>79.3%</w:t>
            </w:r>
          </w:p>
        </w:tc>
      </w:tr>
    </w:tbl>
    <w:p w:rsidR="000A5CDE" w:rsidRPr="00773721" w:rsidRDefault="000A5CDE" w:rsidP="00D529EA">
      <w:pPr>
        <w:keepNext/>
        <w:spacing w:before="0" w:after="0" w:line="240" w:lineRule="auto"/>
        <w:rPr>
          <w:rFonts w:eastAsiaTheme="majorEastAsia"/>
          <w:bCs/>
          <w:spacing w:val="5"/>
          <w:szCs w:val="20"/>
        </w:rPr>
      </w:pPr>
    </w:p>
    <w:p w:rsidR="00807A92" w:rsidRDefault="00807A92" w:rsidP="00807A92">
      <w:pPr>
        <w:spacing w:before="0" w:after="0" w:line="276" w:lineRule="auto"/>
        <w:jc w:val="both"/>
        <w:rPr>
          <w:rFonts w:eastAsia="Calibri"/>
          <w:sz w:val="22"/>
          <w:szCs w:val="22"/>
          <w:lang w:eastAsia="en-US"/>
        </w:rPr>
      </w:pPr>
    </w:p>
    <w:p w:rsidR="00321454" w:rsidRPr="00DB644A" w:rsidRDefault="00321454" w:rsidP="00807A92">
      <w:pPr>
        <w:spacing w:before="0" w:line="276" w:lineRule="auto"/>
        <w:jc w:val="both"/>
        <w:rPr>
          <w:rFonts w:eastAsia="Calibri"/>
          <w:szCs w:val="20"/>
          <w:lang w:eastAsia="en-US"/>
        </w:rPr>
      </w:pPr>
      <w:r w:rsidRPr="00DB644A">
        <w:rPr>
          <w:rFonts w:eastAsia="Calibri"/>
          <w:szCs w:val="20"/>
          <w:lang w:eastAsia="en-US"/>
        </w:rPr>
        <w:t>Financial hardship in the household had a strong and significant relationship</w:t>
      </w:r>
      <w:r w:rsidR="00035FE2" w:rsidRPr="00DB644A">
        <w:rPr>
          <w:rStyle w:val="EndnoteReference"/>
          <w:rFonts w:eastAsia="Calibri"/>
          <w:szCs w:val="20"/>
          <w:lang w:eastAsia="en-US"/>
        </w:rPr>
        <w:endnoteReference w:id="5"/>
      </w:r>
      <w:r w:rsidRPr="00DB644A">
        <w:rPr>
          <w:rFonts w:eastAsia="Calibri"/>
          <w:szCs w:val="20"/>
          <w:lang w:eastAsia="en-US"/>
        </w:rPr>
        <w:t xml:space="preserve"> to occurrence of </w:t>
      </w:r>
      <w:r w:rsidR="00AE4525" w:rsidRPr="00DB644A">
        <w:rPr>
          <w:rFonts w:eastAsia="Calibri"/>
          <w:szCs w:val="20"/>
          <w:lang w:eastAsia="en-US"/>
        </w:rPr>
        <w:t>partner violence</w:t>
      </w:r>
      <w:r w:rsidRPr="00DB644A">
        <w:rPr>
          <w:rFonts w:eastAsia="Calibri"/>
          <w:szCs w:val="20"/>
          <w:lang w:eastAsia="en-US"/>
        </w:rPr>
        <w:t>. Primary carers reported a range of types of financial hardship from a list of six types including items such as difficulty paying bills on time, going without meals and needing to pawn or sell goods in the past year. Families were grouped into two categories, those with little or no experience of financial hardship and those with two or more types</w:t>
      </w:r>
      <w:r w:rsidR="00D151F4" w:rsidRPr="00DB644A">
        <w:rPr>
          <w:rFonts w:eastAsia="Calibri"/>
          <w:szCs w:val="20"/>
          <w:lang w:eastAsia="en-US"/>
        </w:rPr>
        <w:t>—‘</w:t>
      </w:r>
      <w:r w:rsidRPr="00DB644A">
        <w:rPr>
          <w:rFonts w:eastAsia="Calibri"/>
          <w:szCs w:val="20"/>
          <w:lang w:eastAsia="en-US"/>
        </w:rPr>
        <w:t>multiple financial hardship</w:t>
      </w:r>
      <w:r w:rsidR="00D151F4" w:rsidRPr="00DB644A">
        <w:rPr>
          <w:rFonts w:eastAsia="Calibri"/>
          <w:szCs w:val="20"/>
          <w:lang w:eastAsia="en-US"/>
        </w:rPr>
        <w:t>’</w:t>
      </w:r>
      <w:r w:rsidRPr="00DB644A">
        <w:rPr>
          <w:rFonts w:eastAsia="Calibri"/>
          <w:szCs w:val="20"/>
          <w:lang w:eastAsia="en-US"/>
        </w:rPr>
        <w:t xml:space="preserve">. In 2010, 25 per cent of families experienced multiple financial </w:t>
      </w:r>
      <w:proofErr w:type="gramStart"/>
      <w:r w:rsidRPr="00DB644A">
        <w:rPr>
          <w:rFonts w:eastAsia="Calibri"/>
          <w:szCs w:val="20"/>
          <w:lang w:eastAsia="en-US"/>
        </w:rPr>
        <w:t>hardship</w:t>
      </w:r>
      <w:proofErr w:type="gramEnd"/>
      <w:r w:rsidRPr="00DB644A">
        <w:rPr>
          <w:rFonts w:eastAsia="Calibri"/>
          <w:szCs w:val="20"/>
          <w:lang w:eastAsia="en-US"/>
        </w:rPr>
        <w:t xml:space="preserve"> and in 2013, 20.7 per cent of families did. The relationship between hardship and </w:t>
      </w:r>
      <w:r w:rsidR="00AE4525" w:rsidRPr="00DB644A">
        <w:rPr>
          <w:rFonts w:eastAsia="Calibri"/>
          <w:szCs w:val="20"/>
          <w:lang w:eastAsia="en-US"/>
        </w:rPr>
        <w:t>partner violence</w:t>
      </w:r>
      <w:r w:rsidRPr="00DB644A">
        <w:rPr>
          <w:rFonts w:eastAsia="Calibri"/>
          <w:szCs w:val="20"/>
          <w:lang w:eastAsia="en-US"/>
        </w:rPr>
        <w:t xml:space="preserve"> was very significant in both of those years. In 2013, </w:t>
      </w:r>
      <w:r w:rsidR="00851F09" w:rsidRPr="00DB644A">
        <w:rPr>
          <w:rFonts w:eastAsia="Calibri"/>
          <w:szCs w:val="20"/>
          <w:lang w:eastAsia="en-US"/>
        </w:rPr>
        <w:t>19.5 per ce</w:t>
      </w:r>
      <w:r w:rsidR="00D93B2E" w:rsidRPr="00DB644A">
        <w:rPr>
          <w:rFonts w:eastAsia="Calibri"/>
          <w:szCs w:val="20"/>
          <w:lang w:eastAsia="en-US"/>
        </w:rPr>
        <w:t>nt</w:t>
      </w:r>
      <w:r w:rsidR="00851F09" w:rsidRPr="00DB644A">
        <w:rPr>
          <w:rFonts w:eastAsia="Calibri"/>
          <w:szCs w:val="20"/>
          <w:lang w:eastAsia="en-US"/>
        </w:rPr>
        <w:t xml:space="preserve"> of families experienc</w:t>
      </w:r>
      <w:r w:rsidR="005C47E4" w:rsidRPr="00DB644A">
        <w:rPr>
          <w:rFonts w:eastAsia="Calibri"/>
          <w:szCs w:val="20"/>
          <w:lang w:eastAsia="en-US"/>
        </w:rPr>
        <w:t xml:space="preserve">ing multiple financial </w:t>
      </w:r>
      <w:proofErr w:type="gramStart"/>
      <w:r w:rsidR="005C47E4" w:rsidRPr="00DB644A">
        <w:rPr>
          <w:rFonts w:eastAsia="Calibri"/>
          <w:szCs w:val="20"/>
          <w:lang w:eastAsia="en-US"/>
        </w:rPr>
        <w:t>hardship</w:t>
      </w:r>
      <w:proofErr w:type="gramEnd"/>
      <w:r w:rsidR="00851F09" w:rsidRPr="00DB644A">
        <w:rPr>
          <w:rFonts w:eastAsia="Calibri"/>
          <w:szCs w:val="20"/>
          <w:lang w:eastAsia="en-US"/>
        </w:rPr>
        <w:t xml:space="preserve"> also experienced </w:t>
      </w:r>
      <w:r w:rsidR="00AE4525" w:rsidRPr="00DB644A">
        <w:rPr>
          <w:rFonts w:eastAsia="Calibri"/>
          <w:szCs w:val="20"/>
          <w:lang w:eastAsia="en-US"/>
        </w:rPr>
        <w:t>partner violence</w:t>
      </w:r>
      <w:r w:rsidR="00851F09" w:rsidRPr="00DB644A">
        <w:rPr>
          <w:rFonts w:eastAsia="Calibri"/>
          <w:szCs w:val="20"/>
          <w:lang w:eastAsia="en-US"/>
        </w:rPr>
        <w:t xml:space="preserve"> compared to 11.2 per cent of families experiencing little or no financial hardship</w:t>
      </w:r>
      <w:r w:rsidR="005C47E4" w:rsidRPr="00DB644A">
        <w:rPr>
          <w:rFonts w:eastAsia="Calibri"/>
          <w:szCs w:val="20"/>
          <w:lang w:eastAsia="en-US"/>
        </w:rPr>
        <w:t xml:space="preserve"> (</w:t>
      </w:r>
      <w:r w:rsidR="00EE1B43" w:rsidRPr="00DB644A">
        <w:rPr>
          <w:rFonts w:eastAsia="Calibri"/>
          <w:szCs w:val="20"/>
          <w:lang w:eastAsia="en-US"/>
        </w:rPr>
        <w:t>F</w:t>
      </w:r>
      <w:r w:rsidR="005C47E4" w:rsidRPr="00DB644A">
        <w:rPr>
          <w:rFonts w:eastAsia="Calibri"/>
          <w:szCs w:val="20"/>
          <w:lang w:eastAsia="en-US"/>
        </w:rPr>
        <w:t>igure 8)</w:t>
      </w:r>
      <w:r w:rsidR="00851F09" w:rsidRPr="00DB644A">
        <w:rPr>
          <w:rFonts w:eastAsia="Calibri"/>
          <w:szCs w:val="20"/>
          <w:lang w:eastAsia="en-US"/>
        </w:rPr>
        <w:t>.</w:t>
      </w:r>
      <w:r w:rsidR="006D7608" w:rsidRPr="00DB644A">
        <w:rPr>
          <w:rFonts w:eastAsia="Calibri"/>
          <w:szCs w:val="20"/>
          <w:lang w:eastAsia="en-US"/>
        </w:rPr>
        <w:t xml:space="preserve"> </w:t>
      </w:r>
      <w:r w:rsidR="0069191E" w:rsidRPr="00DB644A">
        <w:rPr>
          <w:rFonts w:eastAsia="Calibri"/>
          <w:szCs w:val="20"/>
          <w:lang w:eastAsia="en-US"/>
        </w:rPr>
        <w:t xml:space="preserve">Similarly, in 2010, 19.9 per cent of families experiencing multiple financial </w:t>
      </w:r>
      <w:proofErr w:type="gramStart"/>
      <w:r w:rsidR="0069191E" w:rsidRPr="00DB644A">
        <w:rPr>
          <w:rFonts w:eastAsia="Calibri"/>
          <w:szCs w:val="20"/>
          <w:lang w:eastAsia="en-US"/>
        </w:rPr>
        <w:t>hardship</w:t>
      </w:r>
      <w:proofErr w:type="gramEnd"/>
      <w:r w:rsidR="0069191E" w:rsidRPr="00DB644A">
        <w:rPr>
          <w:rFonts w:eastAsia="Calibri"/>
          <w:szCs w:val="20"/>
          <w:lang w:eastAsia="en-US"/>
        </w:rPr>
        <w:t xml:space="preserve"> also experienced partner violence compared to 11.8 per cent of families experiencing little or no financial hardship.</w:t>
      </w:r>
    </w:p>
    <w:p w:rsidR="00807A92" w:rsidRDefault="00807A92" w:rsidP="00807A92">
      <w:pPr>
        <w:spacing w:before="0" w:after="0" w:line="276" w:lineRule="auto"/>
        <w:jc w:val="both"/>
        <w:rPr>
          <w:rFonts w:eastAsia="Calibri"/>
          <w:sz w:val="22"/>
          <w:szCs w:val="22"/>
          <w:lang w:eastAsia="en-US"/>
        </w:rPr>
      </w:pPr>
    </w:p>
    <w:p w:rsidR="003F6C3F" w:rsidRDefault="003F6C3F">
      <w:pPr>
        <w:spacing w:before="0" w:after="0" w:line="240" w:lineRule="auto"/>
        <w:rPr>
          <w:b/>
        </w:rPr>
      </w:pPr>
      <w:r>
        <w:rPr>
          <w:b/>
        </w:rPr>
        <w:br w:type="page"/>
      </w:r>
    </w:p>
    <w:p w:rsidR="00851F09" w:rsidRDefault="003466C6" w:rsidP="00807A92">
      <w:pPr>
        <w:spacing w:before="0" w:after="0" w:line="240" w:lineRule="auto"/>
        <w:rPr>
          <w:rFonts w:eastAsiaTheme="majorEastAsia"/>
          <w:b/>
          <w:bCs/>
          <w:spacing w:val="5"/>
        </w:rPr>
      </w:pPr>
      <w:r w:rsidRPr="00381B7E">
        <w:rPr>
          <w:b/>
        </w:rPr>
        <w:lastRenderedPageBreak/>
        <w:t xml:space="preserve">Figure </w:t>
      </w:r>
      <w:r w:rsidR="00171E73" w:rsidRPr="00381B7E">
        <w:rPr>
          <w:b/>
        </w:rPr>
        <w:t>8</w:t>
      </w:r>
      <w:r w:rsidRPr="00381B7E">
        <w:rPr>
          <w:b/>
        </w:rPr>
        <w:t xml:space="preserve">: </w:t>
      </w:r>
      <w:r w:rsidR="00851F09" w:rsidRPr="00381B7E">
        <w:rPr>
          <w:rFonts w:eastAsiaTheme="majorEastAsia"/>
          <w:b/>
          <w:bCs/>
          <w:spacing w:val="5"/>
        </w:rPr>
        <w:t xml:space="preserve">Proportions of families experiencing </w:t>
      </w:r>
      <w:r w:rsidR="00AE4525" w:rsidRPr="00381B7E">
        <w:rPr>
          <w:rFonts w:eastAsiaTheme="majorEastAsia"/>
          <w:b/>
          <w:bCs/>
          <w:spacing w:val="5"/>
        </w:rPr>
        <w:t>partner violence</w:t>
      </w:r>
      <w:r w:rsidR="00851F09" w:rsidRPr="00381B7E">
        <w:rPr>
          <w:rFonts w:eastAsiaTheme="majorEastAsia"/>
          <w:b/>
          <w:bCs/>
          <w:spacing w:val="5"/>
        </w:rPr>
        <w:t xml:space="preserve"> by</w:t>
      </w:r>
      <w:r w:rsidRPr="00381B7E">
        <w:rPr>
          <w:rFonts w:eastAsiaTheme="majorEastAsia"/>
          <w:b/>
          <w:bCs/>
          <w:spacing w:val="5"/>
        </w:rPr>
        <w:t xml:space="preserve"> </w:t>
      </w:r>
      <w:r w:rsidR="00851F09" w:rsidRPr="00381B7E">
        <w:rPr>
          <w:rFonts w:eastAsiaTheme="majorEastAsia"/>
          <w:b/>
          <w:bCs/>
          <w:spacing w:val="5"/>
        </w:rPr>
        <w:t>experience of</w:t>
      </w:r>
      <w:r w:rsidRPr="00381B7E">
        <w:rPr>
          <w:rFonts w:eastAsiaTheme="majorEastAsia"/>
          <w:b/>
          <w:bCs/>
          <w:spacing w:val="5"/>
        </w:rPr>
        <w:t xml:space="preserve"> financial </w:t>
      </w:r>
      <w:r w:rsidR="00851F09" w:rsidRPr="00381B7E">
        <w:rPr>
          <w:rFonts w:eastAsiaTheme="majorEastAsia"/>
          <w:b/>
          <w:bCs/>
          <w:spacing w:val="5"/>
        </w:rPr>
        <w:t xml:space="preserve">hardship </w:t>
      </w:r>
      <w:r w:rsidRPr="00381B7E">
        <w:rPr>
          <w:rFonts w:eastAsiaTheme="majorEastAsia"/>
          <w:b/>
          <w:bCs/>
          <w:spacing w:val="5"/>
        </w:rPr>
        <w:t>(LSIC 2013)</w:t>
      </w:r>
      <w:r w:rsidRPr="00276654">
        <w:rPr>
          <w:rFonts w:eastAsiaTheme="majorEastAsia"/>
          <w:b/>
          <w:bCs/>
          <w:spacing w:val="5"/>
        </w:rPr>
        <w:t xml:space="preserve"> </w:t>
      </w:r>
      <w:r w:rsidR="00851F09">
        <w:rPr>
          <w:rFonts w:eastAsiaTheme="majorEastAsia"/>
          <w:b/>
          <w:bCs/>
          <w:spacing w:val="5"/>
        </w:rPr>
        <w:br/>
      </w:r>
      <w:r w:rsidR="00851F09">
        <w:rPr>
          <w:noProof/>
        </w:rPr>
        <w:drawing>
          <wp:inline distT="0" distB="0" distL="0" distR="0" wp14:anchorId="0F768212" wp14:editId="5068B645">
            <wp:extent cx="5715000" cy="2686050"/>
            <wp:effectExtent l="0" t="0" r="19050" b="19050"/>
            <wp:docPr id="8" name="Chart 8" descr="Graph comparing the rate of partner violence by the level of financial hardship in households." title="Figure 8: Proportions of families experiencing partner violence by experience of financial hardship (LSIC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6C3F" w:rsidRDefault="003F6C3F" w:rsidP="00807A92">
      <w:pPr>
        <w:spacing w:before="0" w:after="0" w:line="240" w:lineRule="auto"/>
        <w:rPr>
          <w:rFonts w:eastAsiaTheme="majorEastAsia"/>
          <w:b/>
          <w:bCs/>
          <w:spacing w:val="5"/>
        </w:rPr>
      </w:pPr>
    </w:p>
    <w:tbl>
      <w:tblPr>
        <w:tblStyle w:val="TableGrid"/>
        <w:tblW w:w="0" w:type="auto"/>
        <w:tblLook w:val="04A0" w:firstRow="1" w:lastRow="0" w:firstColumn="1" w:lastColumn="0" w:noHBand="0" w:noVBand="1"/>
        <w:tblCaption w:val="Figure 8: Proportions of families experiencing partner violence by experience of financial hardship."/>
        <w:tblDescription w:val="This figure and table demonstrates the occurances of no partner violence and some partner violence by financial hardhsip"/>
      </w:tblPr>
      <w:tblGrid>
        <w:gridCol w:w="3044"/>
        <w:gridCol w:w="3045"/>
        <w:gridCol w:w="3045"/>
      </w:tblGrid>
      <w:tr w:rsidR="000A5CDE" w:rsidRPr="00D74A97" w:rsidTr="00246261">
        <w:trPr>
          <w:tblHeader/>
        </w:trPr>
        <w:tc>
          <w:tcPr>
            <w:tcW w:w="3080" w:type="dxa"/>
          </w:tcPr>
          <w:p w:rsidR="000A5CDE" w:rsidRPr="00D74A97" w:rsidRDefault="000A5CDE" w:rsidP="00D74A97">
            <w:pPr>
              <w:spacing w:before="0" w:after="0"/>
              <w:jc w:val="both"/>
              <w:rPr>
                <w:szCs w:val="20"/>
              </w:rPr>
            </w:pPr>
          </w:p>
        </w:tc>
        <w:tc>
          <w:tcPr>
            <w:tcW w:w="3081" w:type="dxa"/>
          </w:tcPr>
          <w:p w:rsidR="000A5CDE" w:rsidRPr="00D74A97" w:rsidRDefault="0095348E" w:rsidP="00D74A97">
            <w:pPr>
              <w:spacing w:before="0" w:after="0"/>
              <w:jc w:val="center"/>
              <w:rPr>
                <w:szCs w:val="20"/>
              </w:rPr>
            </w:pPr>
            <w:r w:rsidRPr="00D74A97">
              <w:rPr>
                <w:szCs w:val="20"/>
              </w:rPr>
              <w:t>Little or no hardship</w:t>
            </w:r>
          </w:p>
        </w:tc>
        <w:tc>
          <w:tcPr>
            <w:tcW w:w="3081" w:type="dxa"/>
          </w:tcPr>
          <w:p w:rsidR="000A5CDE" w:rsidRPr="00D74A97" w:rsidRDefault="0095348E" w:rsidP="00D74A97">
            <w:pPr>
              <w:spacing w:before="0" w:after="0"/>
              <w:jc w:val="center"/>
              <w:rPr>
                <w:szCs w:val="20"/>
              </w:rPr>
            </w:pPr>
            <w:r w:rsidRPr="00D74A97">
              <w:rPr>
                <w:szCs w:val="20"/>
              </w:rPr>
              <w:t>Multiple financial hardship</w:t>
            </w:r>
          </w:p>
        </w:tc>
      </w:tr>
      <w:tr w:rsidR="000A5CDE" w:rsidRPr="00D74A97" w:rsidTr="000A5CDE">
        <w:tc>
          <w:tcPr>
            <w:tcW w:w="3080" w:type="dxa"/>
          </w:tcPr>
          <w:p w:rsidR="000A5CDE" w:rsidRPr="00D74A97" w:rsidRDefault="0095348E" w:rsidP="00D74A97">
            <w:pPr>
              <w:spacing w:before="0" w:after="0"/>
              <w:jc w:val="both"/>
              <w:rPr>
                <w:szCs w:val="20"/>
              </w:rPr>
            </w:pPr>
            <w:r w:rsidRPr="00D74A97">
              <w:rPr>
                <w:szCs w:val="20"/>
              </w:rPr>
              <w:t>Some partner violence</w:t>
            </w:r>
          </w:p>
        </w:tc>
        <w:tc>
          <w:tcPr>
            <w:tcW w:w="3081" w:type="dxa"/>
          </w:tcPr>
          <w:p w:rsidR="000A5CDE" w:rsidRPr="00D74A97" w:rsidRDefault="0095348E" w:rsidP="00D74A97">
            <w:pPr>
              <w:spacing w:before="0" w:after="0"/>
              <w:jc w:val="center"/>
              <w:rPr>
                <w:szCs w:val="20"/>
              </w:rPr>
            </w:pPr>
            <w:r w:rsidRPr="00D74A97">
              <w:rPr>
                <w:szCs w:val="20"/>
              </w:rPr>
              <w:t>11.2%</w:t>
            </w:r>
          </w:p>
        </w:tc>
        <w:tc>
          <w:tcPr>
            <w:tcW w:w="3081" w:type="dxa"/>
          </w:tcPr>
          <w:p w:rsidR="000A5CDE" w:rsidRPr="00D74A97" w:rsidRDefault="0095348E" w:rsidP="00D74A97">
            <w:pPr>
              <w:spacing w:before="0" w:after="0"/>
              <w:jc w:val="center"/>
              <w:rPr>
                <w:szCs w:val="20"/>
              </w:rPr>
            </w:pPr>
            <w:r w:rsidRPr="00D74A97">
              <w:rPr>
                <w:szCs w:val="20"/>
              </w:rPr>
              <w:t>19.5%</w:t>
            </w:r>
          </w:p>
        </w:tc>
      </w:tr>
      <w:tr w:rsidR="000A5CDE" w:rsidRPr="00D74A97" w:rsidTr="000A5CDE">
        <w:tc>
          <w:tcPr>
            <w:tcW w:w="3080" w:type="dxa"/>
          </w:tcPr>
          <w:p w:rsidR="000A5CDE" w:rsidRPr="00D74A97" w:rsidRDefault="0095348E" w:rsidP="00D74A97">
            <w:pPr>
              <w:spacing w:before="0" w:after="0"/>
              <w:jc w:val="both"/>
              <w:rPr>
                <w:szCs w:val="20"/>
              </w:rPr>
            </w:pPr>
            <w:r w:rsidRPr="00D74A97">
              <w:rPr>
                <w:szCs w:val="20"/>
              </w:rPr>
              <w:t>No partner violence</w:t>
            </w:r>
          </w:p>
        </w:tc>
        <w:tc>
          <w:tcPr>
            <w:tcW w:w="3081" w:type="dxa"/>
          </w:tcPr>
          <w:p w:rsidR="000A5CDE" w:rsidRPr="00D74A97" w:rsidRDefault="0095348E" w:rsidP="00D74A97">
            <w:pPr>
              <w:spacing w:before="0" w:after="0"/>
              <w:jc w:val="center"/>
              <w:rPr>
                <w:szCs w:val="20"/>
              </w:rPr>
            </w:pPr>
            <w:r w:rsidRPr="00D74A97">
              <w:rPr>
                <w:szCs w:val="20"/>
              </w:rPr>
              <w:t>88.8%</w:t>
            </w:r>
          </w:p>
        </w:tc>
        <w:tc>
          <w:tcPr>
            <w:tcW w:w="3081" w:type="dxa"/>
          </w:tcPr>
          <w:p w:rsidR="000A5CDE" w:rsidRPr="00D74A97" w:rsidRDefault="0095348E" w:rsidP="00D74A97">
            <w:pPr>
              <w:spacing w:before="0" w:after="0"/>
              <w:jc w:val="center"/>
              <w:rPr>
                <w:szCs w:val="20"/>
              </w:rPr>
            </w:pPr>
            <w:r w:rsidRPr="00D74A97">
              <w:rPr>
                <w:szCs w:val="20"/>
              </w:rPr>
              <w:t>80.5%</w:t>
            </w:r>
          </w:p>
        </w:tc>
      </w:tr>
    </w:tbl>
    <w:p w:rsidR="000A5CDE" w:rsidRPr="000555A8" w:rsidRDefault="000A5CDE" w:rsidP="00807A92">
      <w:pPr>
        <w:spacing w:before="0" w:after="0" w:line="240" w:lineRule="auto"/>
        <w:rPr>
          <w:rFonts w:eastAsiaTheme="majorEastAsia"/>
          <w:bCs/>
          <w:spacing w:val="5"/>
        </w:rPr>
      </w:pPr>
    </w:p>
    <w:p w:rsidR="0095018E" w:rsidRPr="00DB644A" w:rsidRDefault="0095018E" w:rsidP="00E44428">
      <w:pPr>
        <w:spacing w:before="0" w:after="200" w:line="276" w:lineRule="auto"/>
        <w:jc w:val="both"/>
        <w:rPr>
          <w:rFonts w:eastAsia="Calibri"/>
          <w:szCs w:val="20"/>
          <w:lang w:eastAsia="en-US"/>
        </w:rPr>
      </w:pPr>
      <w:r w:rsidRPr="00DB644A">
        <w:rPr>
          <w:rFonts w:eastAsia="Calibri"/>
          <w:szCs w:val="20"/>
          <w:lang w:eastAsia="en-US"/>
        </w:rPr>
        <w:t xml:space="preserve">In 2010 and 2013, </w:t>
      </w:r>
      <w:r w:rsidR="00A835E0" w:rsidRPr="00DB644A">
        <w:rPr>
          <w:rFonts w:eastAsia="Calibri"/>
          <w:szCs w:val="20"/>
          <w:lang w:eastAsia="en-US"/>
        </w:rPr>
        <w:t>mothers</w:t>
      </w:r>
      <w:r w:rsidRPr="00DB644A">
        <w:rPr>
          <w:rFonts w:eastAsia="Calibri"/>
          <w:szCs w:val="20"/>
          <w:lang w:eastAsia="en-US"/>
        </w:rPr>
        <w:t xml:space="preserve"> were asked whether anyone in the family had a problem with drugs or alcohol. While there was a significant relationship between having a partner with a drug and alcohol problem and </w:t>
      </w:r>
      <w:r w:rsidR="00AE4525" w:rsidRPr="00DB644A">
        <w:rPr>
          <w:rFonts w:eastAsia="Calibri"/>
          <w:szCs w:val="20"/>
          <w:lang w:eastAsia="en-US"/>
        </w:rPr>
        <w:t>partner violence</w:t>
      </w:r>
      <w:r w:rsidRPr="00DB644A">
        <w:rPr>
          <w:rFonts w:eastAsia="Calibri"/>
          <w:szCs w:val="20"/>
          <w:lang w:eastAsia="en-US"/>
        </w:rPr>
        <w:t xml:space="preserve"> in 2013, the relationship was not significant in 2010</w:t>
      </w:r>
      <w:r w:rsidR="00D151F4" w:rsidRPr="00DB644A">
        <w:rPr>
          <w:rFonts w:eastAsia="Calibri"/>
          <w:szCs w:val="20"/>
          <w:lang w:eastAsia="en-US"/>
        </w:rPr>
        <w:t>.</w:t>
      </w:r>
      <w:r w:rsidR="00035FE2" w:rsidRPr="00DB644A">
        <w:rPr>
          <w:rStyle w:val="EndnoteReference"/>
          <w:rFonts w:eastAsia="Calibri"/>
          <w:szCs w:val="20"/>
          <w:lang w:eastAsia="en-US"/>
        </w:rPr>
        <w:endnoteReference w:id="6"/>
      </w:r>
      <w:r w:rsidRPr="00DB644A">
        <w:rPr>
          <w:rFonts w:eastAsia="Calibri"/>
          <w:szCs w:val="20"/>
          <w:lang w:eastAsia="en-US"/>
        </w:rPr>
        <w:t xml:space="preserve"> </w:t>
      </w:r>
      <w:r w:rsidR="006C7B21" w:rsidRPr="00DB644A">
        <w:rPr>
          <w:rFonts w:eastAsia="Calibri"/>
          <w:szCs w:val="20"/>
          <w:lang w:eastAsia="en-US"/>
        </w:rPr>
        <w:t xml:space="preserve">However, drugs and alcohol issues were only related to a small proportion of family violence reports. </w:t>
      </w:r>
      <w:r w:rsidRPr="00DB644A">
        <w:rPr>
          <w:rFonts w:eastAsia="Calibri"/>
          <w:szCs w:val="20"/>
          <w:lang w:eastAsia="en-US"/>
        </w:rPr>
        <w:t xml:space="preserve">While a total of 12.7 per cent of respondents who were living with their partner reported the occurrence of </w:t>
      </w:r>
      <w:r w:rsidR="00AE4525" w:rsidRPr="00DB644A">
        <w:rPr>
          <w:rFonts w:eastAsia="Calibri"/>
          <w:szCs w:val="20"/>
          <w:lang w:eastAsia="en-US"/>
        </w:rPr>
        <w:t>partner violence</w:t>
      </w:r>
      <w:r w:rsidRPr="00DB644A">
        <w:rPr>
          <w:rFonts w:eastAsia="Calibri"/>
          <w:szCs w:val="20"/>
          <w:lang w:eastAsia="en-US"/>
        </w:rPr>
        <w:t xml:space="preserve"> in 2013, only 2.1 per cent </w:t>
      </w:r>
      <w:r w:rsidR="00C43240" w:rsidRPr="00DB644A">
        <w:rPr>
          <w:rFonts w:eastAsia="Calibri"/>
          <w:szCs w:val="20"/>
          <w:lang w:eastAsia="en-US"/>
        </w:rPr>
        <w:t xml:space="preserve">of those living with their partner </w:t>
      </w:r>
      <w:r w:rsidRPr="00DB644A">
        <w:rPr>
          <w:rFonts w:eastAsia="Calibri"/>
          <w:szCs w:val="20"/>
          <w:lang w:eastAsia="en-US"/>
        </w:rPr>
        <w:t>reported that their partner had an alcohol or drug problem.</w:t>
      </w:r>
    </w:p>
    <w:p w:rsidR="003A730F" w:rsidRPr="00DB644A" w:rsidRDefault="00AC29D7" w:rsidP="00E44428">
      <w:pPr>
        <w:spacing w:before="0" w:after="200" w:line="276" w:lineRule="auto"/>
        <w:jc w:val="both"/>
        <w:rPr>
          <w:rFonts w:eastAsia="Calibri"/>
          <w:szCs w:val="20"/>
          <w:lang w:eastAsia="en-US"/>
        </w:rPr>
      </w:pPr>
      <w:r w:rsidRPr="00DB644A">
        <w:rPr>
          <w:rFonts w:eastAsia="Calibri"/>
          <w:szCs w:val="20"/>
          <w:lang w:eastAsia="en-US"/>
        </w:rPr>
        <w:t>Wave 3 included a special module asking about homelessness. Of the 122 respondents who identified as having been homeless in the past 5 years (8.7 per cent of the sample), the most common cause was domestic violence, affecting nearly 22.1 per cent of those who had been homeless.</w:t>
      </w:r>
    </w:p>
    <w:p w:rsidR="00DF6C34" w:rsidRDefault="00DF6C34" w:rsidP="003A730F">
      <w:pPr>
        <w:keepNext/>
        <w:spacing w:after="200" w:line="276" w:lineRule="auto"/>
        <w:rPr>
          <w:rFonts w:eastAsia="Calibri"/>
          <w:b/>
          <w:sz w:val="22"/>
          <w:szCs w:val="22"/>
          <w:lang w:eastAsia="en-US"/>
        </w:rPr>
      </w:pPr>
    </w:p>
    <w:p w:rsidR="000555A8" w:rsidRDefault="000555A8" w:rsidP="003F6C3F">
      <w:pPr>
        <w:pStyle w:val="Heading2"/>
        <w:spacing w:before="0" w:after="0"/>
        <w:rPr>
          <w:rFonts w:eastAsia="Calibri"/>
          <w:lang w:eastAsia="en-US"/>
        </w:rPr>
      </w:pPr>
      <w:r>
        <w:rPr>
          <w:rFonts w:eastAsia="Calibri"/>
          <w:lang w:eastAsia="en-US"/>
        </w:rPr>
        <w:t>Impact on children</w:t>
      </w:r>
    </w:p>
    <w:p w:rsidR="003F6C3F" w:rsidRPr="003F6C3F" w:rsidRDefault="003F6C3F" w:rsidP="003F6C3F">
      <w:pPr>
        <w:spacing w:before="0" w:after="0" w:line="240" w:lineRule="auto"/>
        <w:rPr>
          <w:rFonts w:eastAsia="Calibri"/>
          <w:lang w:eastAsia="en-US"/>
        </w:rPr>
      </w:pPr>
    </w:p>
    <w:p w:rsidR="002639F6" w:rsidRPr="00DB644A" w:rsidRDefault="00321454" w:rsidP="003F6C3F">
      <w:pPr>
        <w:spacing w:before="0" w:after="0" w:line="240" w:lineRule="auto"/>
        <w:jc w:val="both"/>
        <w:rPr>
          <w:rFonts w:eastAsia="Calibri"/>
          <w:szCs w:val="20"/>
          <w:lang w:eastAsia="en-US"/>
        </w:rPr>
      </w:pPr>
      <w:r w:rsidRPr="00DB644A">
        <w:rPr>
          <w:rFonts w:eastAsia="Calibri"/>
          <w:szCs w:val="20"/>
          <w:lang w:eastAsia="en-US"/>
        </w:rPr>
        <w:t xml:space="preserve">The impact of family conflict and violence on children is an important topic for further research, </w:t>
      </w:r>
      <w:r w:rsidR="000555A8" w:rsidRPr="00DB644A">
        <w:rPr>
          <w:rFonts w:eastAsia="Calibri"/>
          <w:szCs w:val="20"/>
          <w:lang w:eastAsia="en-US"/>
        </w:rPr>
        <w:t>and</w:t>
      </w:r>
      <w:r w:rsidRPr="00DB644A">
        <w:rPr>
          <w:rFonts w:eastAsia="Calibri"/>
          <w:szCs w:val="20"/>
          <w:lang w:eastAsia="en-US"/>
        </w:rPr>
        <w:t xml:space="preserve"> potentially affects many Indigenous children.</w:t>
      </w:r>
      <w:r w:rsidR="00C43240" w:rsidRPr="00DB644A">
        <w:rPr>
          <w:rFonts w:eastAsia="Calibri"/>
          <w:szCs w:val="20"/>
          <w:lang w:eastAsia="en-US"/>
        </w:rPr>
        <w:t xml:space="preserve"> </w:t>
      </w:r>
      <w:r w:rsidRPr="00DB644A">
        <w:rPr>
          <w:rFonts w:eastAsia="Calibri"/>
          <w:szCs w:val="20"/>
          <w:lang w:eastAsia="en-US"/>
        </w:rPr>
        <w:t xml:space="preserve">In each </w:t>
      </w:r>
      <w:r w:rsidR="00D151F4" w:rsidRPr="00DB644A">
        <w:rPr>
          <w:rFonts w:eastAsia="Calibri"/>
          <w:szCs w:val="20"/>
          <w:lang w:eastAsia="en-US"/>
        </w:rPr>
        <w:t>w</w:t>
      </w:r>
      <w:r w:rsidR="006D7608" w:rsidRPr="00DB644A">
        <w:rPr>
          <w:rFonts w:eastAsia="Calibri"/>
          <w:szCs w:val="20"/>
          <w:lang w:eastAsia="en-US"/>
        </w:rPr>
        <w:t>ave</w:t>
      </w:r>
      <w:r w:rsidRPr="00DB644A">
        <w:rPr>
          <w:rFonts w:eastAsia="Calibri"/>
          <w:szCs w:val="20"/>
          <w:lang w:eastAsia="en-US"/>
        </w:rPr>
        <w:t xml:space="preserve"> of interviewing, parents are asked a range of questions about major life events. Approximately 20 per cent of families reported that their children had been upset by family arguments in the last year, and this proportion is consistent over time. </w:t>
      </w:r>
      <w:r w:rsidR="00C43240" w:rsidRPr="00DB644A">
        <w:rPr>
          <w:rFonts w:eastAsia="Calibri"/>
          <w:szCs w:val="20"/>
          <w:lang w:eastAsia="en-US"/>
        </w:rPr>
        <w:t xml:space="preserve">Social and emotional difficulties were measured by the Strengths and Difficulties Questionnaire. </w:t>
      </w:r>
      <w:r w:rsidRPr="00DB644A">
        <w:rPr>
          <w:rFonts w:eastAsia="Calibri"/>
          <w:szCs w:val="20"/>
          <w:lang w:eastAsia="en-US"/>
        </w:rPr>
        <w:t xml:space="preserve">In bivariate regression, children’s </w:t>
      </w:r>
      <w:r w:rsidR="00C43240" w:rsidRPr="00DB644A">
        <w:rPr>
          <w:rFonts w:eastAsia="Calibri"/>
          <w:szCs w:val="20"/>
          <w:lang w:eastAsia="en-US"/>
        </w:rPr>
        <w:t>d</w:t>
      </w:r>
      <w:r w:rsidRPr="00DB644A">
        <w:rPr>
          <w:rFonts w:eastAsia="Calibri"/>
          <w:szCs w:val="20"/>
          <w:lang w:eastAsia="en-US"/>
        </w:rPr>
        <w:t>ifficulties scores</w:t>
      </w:r>
      <w:r w:rsidR="00C43240" w:rsidRPr="00DB644A">
        <w:rPr>
          <w:rFonts w:eastAsia="Calibri"/>
          <w:szCs w:val="20"/>
          <w:lang w:eastAsia="en-US"/>
        </w:rPr>
        <w:t xml:space="preserve"> </w:t>
      </w:r>
      <w:r w:rsidR="00BF20EF" w:rsidRPr="00DB644A">
        <w:rPr>
          <w:rFonts w:eastAsia="Calibri"/>
          <w:szCs w:val="20"/>
          <w:lang w:eastAsia="en-US"/>
        </w:rPr>
        <w:t>were</w:t>
      </w:r>
      <w:r w:rsidRPr="00DB644A">
        <w:rPr>
          <w:rFonts w:eastAsia="Calibri"/>
          <w:szCs w:val="20"/>
          <w:lang w:eastAsia="en-US"/>
        </w:rPr>
        <w:t xml:space="preserve"> 1.8 points higher if their parents reported them being upset by family arguments</w:t>
      </w:r>
      <w:r w:rsidR="00787380" w:rsidRPr="00DB644A">
        <w:rPr>
          <w:rFonts w:eastAsia="Calibri"/>
          <w:szCs w:val="20"/>
          <w:lang w:eastAsia="en-US"/>
        </w:rPr>
        <w:t xml:space="preserve"> (a higher score indicates more difficulties)</w:t>
      </w:r>
      <w:r w:rsidR="002639F6" w:rsidRPr="00DB644A">
        <w:rPr>
          <w:rFonts w:eastAsia="Calibri"/>
          <w:szCs w:val="20"/>
          <w:lang w:eastAsia="en-US"/>
        </w:rPr>
        <w:t>.</w:t>
      </w:r>
      <w:r w:rsidR="00C116A7" w:rsidRPr="00DB644A">
        <w:rPr>
          <w:rFonts w:eastAsia="Calibri"/>
          <w:szCs w:val="20"/>
          <w:lang w:eastAsia="en-US"/>
        </w:rPr>
        <w:t xml:space="preserve"> </w:t>
      </w:r>
      <w:r w:rsidR="002639F6" w:rsidRPr="00DB644A">
        <w:rPr>
          <w:rFonts w:eastAsia="Calibri"/>
          <w:szCs w:val="20"/>
          <w:lang w:eastAsia="en-US"/>
        </w:rPr>
        <w:t>T</w:t>
      </w:r>
      <w:r w:rsidR="00C116A7" w:rsidRPr="00DB644A">
        <w:rPr>
          <w:rFonts w:eastAsia="Calibri"/>
          <w:szCs w:val="20"/>
          <w:lang w:eastAsia="en-US"/>
        </w:rPr>
        <w:t>h</w:t>
      </w:r>
      <w:r w:rsidRPr="00DB644A">
        <w:rPr>
          <w:rFonts w:eastAsia="Calibri"/>
          <w:szCs w:val="20"/>
          <w:lang w:eastAsia="en-US"/>
        </w:rPr>
        <w:t xml:space="preserve">e </w:t>
      </w:r>
      <w:r w:rsidR="00787380" w:rsidRPr="00DB644A">
        <w:rPr>
          <w:rFonts w:eastAsia="Calibri"/>
          <w:szCs w:val="20"/>
          <w:lang w:eastAsia="en-US"/>
        </w:rPr>
        <w:t>results were highly significant</w:t>
      </w:r>
      <w:r w:rsidR="009A6E32" w:rsidRPr="00DB644A">
        <w:rPr>
          <w:rFonts w:eastAsia="Calibri"/>
          <w:szCs w:val="20"/>
          <w:lang w:eastAsia="en-US"/>
        </w:rPr>
        <w:t xml:space="preserve"> (Table 1)</w:t>
      </w:r>
      <w:r w:rsidR="00787380" w:rsidRPr="00DB644A">
        <w:rPr>
          <w:rFonts w:eastAsia="Calibri"/>
          <w:szCs w:val="20"/>
          <w:lang w:eastAsia="en-US"/>
        </w:rPr>
        <w:t>.</w:t>
      </w:r>
    </w:p>
    <w:p w:rsidR="00321454" w:rsidRDefault="00321454" w:rsidP="00E44428">
      <w:pPr>
        <w:spacing w:before="0" w:after="200" w:line="276" w:lineRule="auto"/>
        <w:jc w:val="both"/>
        <w:rPr>
          <w:rFonts w:eastAsia="Calibri"/>
          <w:szCs w:val="20"/>
          <w:lang w:eastAsia="en-US"/>
        </w:rPr>
      </w:pPr>
      <w:r w:rsidRPr="00DB644A">
        <w:rPr>
          <w:rFonts w:eastAsia="Calibri"/>
          <w:szCs w:val="20"/>
          <w:lang w:eastAsia="en-US"/>
        </w:rPr>
        <w:t>Compared to children with two parents who</w:t>
      </w:r>
      <w:r w:rsidR="006C7B21" w:rsidRPr="00DB644A">
        <w:rPr>
          <w:rFonts w:eastAsia="Calibri"/>
          <w:szCs w:val="20"/>
          <w:lang w:eastAsia="en-US"/>
        </w:rPr>
        <w:t>se mothers</w:t>
      </w:r>
      <w:r w:rsidRPr="00DB644A">
        <w:rPr>
          <w:rFonts w:eastAsia="Calibri"/>
          <w:szCs w:val="20"/>
          <w:lang w:eastAsia="en-US"/>
        </w:rPr>
        <w:t xml:space="preserve"> don’t </w:t>
      </w:r>
      <w:r w:rsidR="006C7B21" w:rsidRPr="00DB644A">
        <w:rPr>
          <w:rFonts w:eastAsia="Calibri"/>
          <w:szCs w:val="20"/>
          <w:lang w:eastAsia="en-US"/>
        </w:rPr>
        <w:t xml:space="preserve">report </w:t>
      </w:r>
      <w:r w:rsidRPr="00DB644A">
        <w:rPr>
          <w:rFonts w:eastAsia="Calibri"/>
          <w:szCs w:val="20"/>
          <w:lang w:eastAsia="en-US"/>
        </w:rPr>
        <w:t xml:space="preserve">violent arguments, children whose parents do have violent arguments had </w:t>
      </w:r>
      <w:r w:rsidR="00A835E0" w:rsidRPr="00DB644A">
        <w:rPr>
          <w:rFonts w:eastAsia="Calibri"/>
          <w:szCs w:val="20"/>
          <w:lang w:eastAsia="en-US"/>
        </w:rPr>
        <w:t>social and emotional d</w:t>
      </w:r>
      <w:r w:rsidRPr="00DB644A">
        <w:rPr>
          <w:rFonts w:eastAsia="Calibri"/>
          <w:szCs w:val="20"/>
          <w:lang w:eastAsia="en-US"/>
        </w:rPr>
        <w:t xml:space="preserve">ifficulties scores between 1 and 2 points higher (significant in </w:t>
      </w:r>
      <w:r w:rsidR="006D7608" w:rsidRPr="00DB644A">
        <w:rPr>
          <w:rFonts w:eastAsia="Calibri"/>
          <w:szCs w:val="20"/>
          <w:lang w:eastAsia="en-US"/>
        </w:rPr>
        <w:t>Wave</w:t>
      </w:r>
      <w:r w:rsidRPr="00DB644A">
        <w:rPr>
          <w:rFonts w:eastAsia="Calibri"/>
          <w:szCs w:val="20"/>
          <w:lang w:eastAsia="en-US"/>
        </w:rPr>
        <w:t xml:space="preserve"> 3 but not in </w:t>
      </w:r>
      <w:r w:rsidR="006D7608" w:rsidRPr="00DB644A">
        <w:rPr>
          <w:rFonts w:eastAsia="Calibri"/>
          <w:szCs w:val="20"/>
          <w:lang w:eastAsia="en-US"/>
        </w:rPr>
        <w:t>Wave</w:t>
      </w:r>
      <w:r w:rsidRPr="00DB644A">
        <w:rPr>
          <w:rFonts w:eastAsia="Calibri"/>
          <w:szCs w:val="20"/>
          <w:lang w:eastAsia="en-US"/>
        </w:rPr>
        <w:t xml:space="preserve"> 6</w:t>
      </w:r>
      <w:r w:rsidR="00787380" w:rsidRPr="00DB644A">
        <w:rPr>
          <w:rFonts w:eastAsia="Calibri"/>
          <w:szCs w:val="20"/>
          <w:lang w:eastAsia="en-US"/>
        </w:rPr>
        <w:t>)</w:t>
      </w:r>
      <w:r w:rsidR="009A6E32" w:rsidRPr="00DB644A">
        <w:rPr>
          <w:rFonts w:eastAsia="Calibri"/>
          <w:szCs w:val="20"/>
          <w:lang w:eastAsia="en-US"/>
        </w:rPr>
        <w:t xml:space="preserve"> (Table 1)</w:t>
      </w:r>
      <w:r w:rsidR="00787380" w:rsidRPr="00DB644A">
        <w:rPr>
          <w:rFonts w:eastAsia="Calibri"/>
          <w:szCs w:val="20"/>
          <w:lang w:eastAsia="en-US"/>
        </w:rPr>
        <w:t>.</w:t>
      </w:r>
    </w:p>
    <w:p w:rsidR="003F6C3F" w:rsidRDefault="003F6C3F">
      <w:pPr>
        <w:spacing w:before="0" w:after="0" w:line="240" w:lineRule="auto"/>
        <w:rPr>
          <w:rFonts w:eastAsia="Calibri"/>
          <w:szCs w:val="20"/>
          <w:lang w:eastAsia="en-US"/>
        </w:rPr>
      </w:pPr>
      <w:r>
        <w:rPr>
          <w:rFonts w:eastAsia="Calibri"/>
          <w:szCs w:val="20"/>
          <w:lang w:eastAsia="en-US"/>
        </w:rPr>
        <w:br w:type="page"/>
      </w:r>
    </w:p>
    <w:p w:rsidR="008F1FBB" w:rsidRPr="00DB644A" w:rsidRDefault="008F1FBB" w:rsidP="00E44428">
      <w:pPr>
        <w:spacing w:before="0" w:after="200" w:line="276" w:lineRule="auto"/>
        <w:jc w:val="both"/>
        <w:rPr>
          <w:rFonts w:eastAsia="Calibri"/>
          <w:szCs w:val="20"/>
          <w:lang w:eastAsia="en-US"/>
        </w:rPr>
      </w:pPr>
    </w:p>
    <w:p w:rsidR="003F6C3F" w:rsidRDefault="009A6E32" w:rsidP="003F6C3F">
      <w:pPr>
        <w:pStyle w:val="Caption"/>
        <w:keepNext/>
        <w:spacing w:after="0"/>
        <w:rPr>
          <w:rFonts w:eastAsia="Calibri"/>
          <w:color w:val="auto"/>
          <w:sz w:val="20"/>
          <w:szCs w:val="20"/>
          <w:lang w:eastAsia="en-US"/>
        </w:rPr>
      </w:pPr>
      <w:r w:rsidRPr="00381B7E">
        <w:rPr>
          <w:rFonts w:eastAsia="Calibri"/>
          <w:color w:val="auto"/>
          <w:sz w:val="20"/>
          <w:szCs w:val="20"/>
          <w:lang w:eastAsia="en-US"/>
        </w:rPr>
        <w:t xml:space="preserve">Table 1: Relationship between children’s </w:t>
      </w:r>
      <w:r w:rsidR="00787380" w:rsidRPr="00381B7E">
        <w:rPr>
          <w:rFonts w:eastAsia="Calibri"/>
          <w:color w:val="auto"/>
          <w:sz w:val="20"/>
          <w:szCs w:val="20"/>
          <w:lang w:eastAsia="en-US"/>
        </w:rPr>
        <w:t xml:space="preserve">Strengths and Difficulties </w:t>
      </w:r>
      <w:r w:rsidRPr="00381B7E">
        <w:rPr>
          <w:rFonts w:eastAsia="Calibri"/>
          <w:color w:val="auto"/>
          <w:sz w:val="20"/>
          <w:szCs w:val="20"/>
          <w:lang w:eastAsia="en-US"/>
        </w:rPr>
        <w:t>scores and their experience of conflict and violence in the home</w:t>
      </w:r>
      <w:r w:rsidR="00C43240" w:rsidRPr="00381B7E">
        <w:rPr>
          <w:rFonts w:eastAsia="Calibri"/>
          <w:color w:val="auto"/>
          <w:sz w:val="20"/>
          <w:szCs w:val="20"/>
          <w:lang w:eastAsia="en-US"/>
        </w:rPr>
        <w:t>- bivariate regression analysis</w:t>
      </w:r>
    </w:p>
    <w:p w:rsidR="003F6C3F" w:rsidRPr="003F6C3F" w:rsidRDefault="003F6C3F" w:rsidP="003F6C3F">
      <w:pPr>
        <w:rPr>
          <w:rFonts w:eastAsia="Calibri"/>
          <w:lang w:eastAsia="en-US"/>
        </w:rPr>
      </w:pPr>
    </w:p>
    <w:tbl>
      <w:tblPr>
        <w:tblW w:w="9000" w:type="dxa"/>
        <w:tblInd w:w="108" w:type="dxa"/>
        <w:tblCellMar>
          <w:left w:w="0" w:type="dxa"/>
          <w:right w:w="0" w:type="dxa"/>
        </w:tblCellMar>
        <w:tblLook w:val="04A0" w:firstRow="1" w:lastRow="0" w:firstColumn="1" w:lastColumn="0" w:noHBand="0" w:noVBand="1"/>
      </w:tblPr>
      <w:tblGrid>
        <w:gridCol w:w="3686"/>
        <w:gridCol w:w="2614"/>
        <w:gridCol w:w="2700"/>
      </w:tblGrid>
      <w:tr w:rsidR="00F86C23" w:rsidTr="00974FB4">
        <w:trPr>
          <w:trHeight w:val="300"/>
        </w:trPr>
        <w:tc>
          <w:tcPr>
            <w:tcW w:w="3686" w:type="dxa"/>
            <w:tcBorders>
              <w:top w:val="single" w:sz="8" w:space="0" w:color="auto"/>
              <w:left w:val="single" w:sz="8" w:space="0" w:color="auto"/>
              <w:bottom w:val="single" w:sz="8" w:space="0" w:color="auto"/>
              <w:right w:val="single" w:sz="8" w:space="0" w:color="auto"/>
            </w:tcBorders>
            <w:shd w:val="clear" w:color="auto" w:fill="CAEE9C" w:themeFill="accent4" w:themeFillTint="66"/>
            <w:tcMar>
              <w:top w:w="0" w:type="dxa"/>
              <w:left w:w="108" w:type="dxa"/>
              <w:bottom w:w="0" w:type="dxa"/>
              <w:right w:w="108" w:type="dxa"/>
            </w:tcMar>
            <w:vAlign w:val="center"/>
            <w:hideMark/>
          </w:tcPr>
          <w:p w:rsidR="00F86C23" w:rsidRDefault="00F86C23" w:rsidP="00674AAF">
            <w:pPr>
              <w:rPr>
                <w:rFonts w:ascii="Calibri" w:eastAsiaTheme="minorHAnsi" w:hAnsi="Calibri"/>
                <w:b/>
                <w:bCs/>
                <w:color w:val="000000"/>
                <w:sz w:val="22"/>
                <w:szCs w:val="22"/>
              </w:rPr>
            </w:pPr>
            <w:r>
              <w:rPr>
                <w:b/>
                <w:bCs/>
                <w:color w:val="000000"/>
              </w:rPr>
              <w:t>Outcomes</w:t>
            </w:r>
          </w:p>
        </w:tc>
        <w:tc>
          <w:tcPr>
            <w:tcW w:w="2614" w:type="dxa"/>
            <w:tcBorders>
              <w:top w:val="single" w:sz="8" w:space="0" w:color="auto"/>
              <w:left w:val="single" w:sz="8" w:space="0" w:color="auto"/>
              <w:bottom w:val="single" w:sz="8" w:space="0" w:color="auto"/>
              <w:right w:val="single" w:sz="8" w:space="0" w:color="auto"/>
            </w:tcBorders>
            <w:shd w:val="clear" w:color="auto" w:fill="CAEE9C" w:themeFill="accent4" w:themeFillTint="66"/>
            <w:noWrap/>
            <w:tcMar>
              <w:top w:w="0" w:type="dxa"/>
              <w:left w:w="108" w:type="dxa"/>
              <w:bottom w:w="0" w:type="dxa"/>
              <w:right w:w="108" w:type="dxa"/>
            </w:tcMar>
            <w:vAlign w:val="center"/>
            <w:hideMark/>
          </w:tcPr>
          <w:p w:rsidR="00F86C23" w:rsidRDefault="006D7608" w:rsidP="00674AAF">
            <w:pPr>
              <w:jc w:val="center"/>
              <w:rPr>
                <w:rFonts w:ascii="Calibri" w:eastAsiaTheme="minorHAnsi" w:hAnsi="Calibri"/>
                <w:b/>
                <w:bCs/>
                <w:color w:val="000000"/>
                <w:sz w:val="22"/>
                <w:szCs w:val="22"/>
              </w:rPr>
            </w:pPr>
            <w:r>
              <w:rPr>
                <w:b/>
                <w:bCs/>
                <w:color w:val="000000"/>
              </w:rPr>
              <w:t>Wave</w:t>
            </w:r>
            <w:r w:rsidR="00F86C23">
              <w:rPr>
                <w:b/>
                <w:bCs/>
                <w:color w:val="000000"/>
              </w:rPr>
              <w:t xml:space="preserve"> 3</w:t>
            </w:r>
          </w:p>
        </w:tc>
        <w:tc>
          <w:tcPr>
            <w:tcW w:w="2700" w:type="dxa"/>
            <w:tcBorders>
              <w:top w:val="single" w:sz="8" w:space="0" w:color="auto"/>
              <w:left w:val="single" w:sz="8" w:space="0" w:color="auto"/>
              <w:bottom w:val="single" w:sz="8" w:space="0" w:color="auto"/>
              <w:right w:val="single" w:sz="8" w:space="0" w:color="auto"/>
            </w:tcBorders>
            <w:shd w:val="clear" w:color="auto" w:fill="CAEE9C" w:themeFill="accent4" w:themeFillTint="66"/>
            <w:noWrap/>
            <w:tcMar>
              <w:top w:w="0" w:type="dxa"/>
              <w:left w:w="108" w:type="dxa"/>
              <w:bottom w:w="0" w:type="dxa"/>
              <w:right w:w="108" w:type="dxa"/>
            </w:tcMar>
            <w:vAlign w:val="center"/>
            <w:hideMark/>
          </w:tcPr>
          <w:p w:rsidR="00F86C23" w:rsidRDefault="006D7608" w:rsidP="00674AAF">
            <w:pPr>
              <w:jc w:val="center"/>
              <w:rPr>
                <w:rFonts w:ascii="Calibri" w:eastAsiaTheme="minorHAnsi" w:hAnsi="Calibri"/>
                <w:b/>
                <w:bCs/>
                <w:color w:val="000000"/>
                <w:sz w:val="22"/>
                <w:szCs w:val="22"/>
              </w:rPr>
            </w:pPr>
            <w:r>
              <w:rPr>
                <w:b/>
                <w:bCs/>
                <w:color w:val="000000"/>
              </w:rPr>
              <w:t>Wave</w:t>
            </w:r>
            <w:r w:rsidR="00F86C23">
              <w:rPr>
                <w:b/>
                <w:bCs/>
                <w:color w:val="000000"/>
              </w:rPr>
              <w:t xml:space="preserve"> 6</w:t>
            </w:r>
          </w:p>
        </w:tc>
      </w:tr>
      <w:tr w:rsidR="00F86C23" w:rsidTr="00974FB4">
        <w:trPr>
          <w:trHeight w:val="600"/>
        </w:trPr>
        <w:tc>
          <w:tcPr>
            <w:tcW w:w="3686" w:type="dxa"/>
            <w:tcBorders>
              <w:top w:val="single" w:sz="8" w:space="0" w:color="auto"/>
              <w:left w:val="single" w:sz="8" w:space="0" w:color="auto"/>
              <w:bottom w:val="single" w:sz="8" w:space="0" w:color="auto"/>
              <w:right w:val="single" w:sz="8" w:space="0" w:color="auto"/>
            </w:tcBorders>
            <w:shd w:val="clear" w:color="auto" w:fill="E4F6CD" w:themeFill="accent4" w:themeFillTint="33"/>
            <w:tcMar>
              <w:top w:w="0" w:type="dxa"/>
              <w:left w:w="108" w:type="dxa"/>
              <w:bottom w:w="0" w:type="dxa"/>
              <w:right w:w="108" w:type="dxa"/>
            </w:tcMar>
            <w:vAlign w:val="center"/>
            <w:hideMark/>
          </w:tcPr>
          <w:p w:rsidR="00F86C23" w:rsidRDefault="00F86C23" w:rsidP="00674AAF">
            <w:pPr>
              <w:rPr>
                <w:rFonts w:ascii="Calibri" w:eastAsiaTheme="minorHAnsi" w:hAnsi="Calibri"/>
                <w:b/>
                <w:bCs/>
                <w:color w:val="000000"/>
                <w:sz w:val="22"/>
                <w:szCs w:val="22"/>
              </w:rPr>
            </w:pPr>
            <w:r>
              <w:rPr>
                <w:b/>
                <w:bCs/>
                <w:color w:val="000000"/>
              </w:rPr>
              <w:t>Child upset by family arguments</w:t>
            </w:r>
          </w:p>
        </w:tc>
        <w:tc>
          <w:tcPr>
            <w:tcW w:w="2614" w:type="dxa"/>
            <w:tcBorders>
              <w:top w:val="single" w:sz="8" w:space="0" w:color="auto"/>
              <w:left w:val="single" w:sz="8" w:space="0" w:color="auto"/>
              <w:bottom w:val="single" w:sz="8" w:space="0" w:color="auto"/>
              <w:right w:val="single" w:sz="8" w:space="0" w:color="auto"/>
            </w:tcBorders>
            <w:shd w:val="clear" w:color="auto" w:fill="E4F6CD" w:themeFill="accent4" w:themeFillTint="33"/>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1.8 points higher***</w:t>
            </w:r>
          </w:p>
        </w:tc>
        <w:tc>
          <w:tcPr>
            <w:tcW w:w="2700" w:type="dxa"/>
            <w:tcBorders>
              <w:top w:val="single" w:sz="8" w:space="0" w:color="auto"/>
              <w:left w:val="single" w:sz="8" w:space="0" w:color="auto"/>
              <w:bottom w:val="single" w:sz="8" w:space="0" w:color="auto"/>
              <w:right w:val="single" w:sz="8" w:space="0" w:color="auto"/>
            </w:tcBorders>
            <w:shd w:val="clear" w:color="auto" w:fill="E4F6CD" w:themeFill="accent4" w:themeFillTint="33"/>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1.8 points higher***</w:t>
            </w:r>
          </w:p>
        </w:tc>
      </w:tr>
      <w:tr w:rsidR="00F86C23" w:rsidTr="00974FB4">
        <w:trPr>
          <w:trHeight w:val="600"/>
        </w:trPr>
        <w:tc>
          <w:tcPr>
            <w:tcW w:w="3686" w:type="dxa"/>
            <w:tcBorders>
              <w:top w:val="single" w:sz="8" w:space="0" w:color="auto"/>
              <w:left w:val="single" w:sz="8" w:space="0" w:color="auto"/>
              <w:bottom w:val="single" w:sz="8" w:space="0" w:color="auto"/>
              <w:right w:val="single" w:sz="8" w:space="0" w:color="auto"/>
            </w:tcBorders>
            <w:shd w:val="clear" w:color="auto" w:fill="E4F6CD" w:themeFill="accent4" w:themeFillTint="33"/>
            <w:tcMar>
              <w:top w:w="0" w:type="dxa"/>
              <w:left w:w="108" w:type="dxa"/>
              <w:bottom w:w="0" w:type="dxa"/>
              <w:right w:w="108" w:type="dxa"/>
            </w:tcMar>
            <w:vAlign w:val="center"/>
            <w:hideMark/>
          </w:tcPr>
          <w:p w:rsidR="00F86C23" w:rsidRDefault="00F86C23" w:rsidP="00674AAF">
            <w:pPr>
              <w:rPr>
                <w:rFonts w:ascii="Calibri" w:eastAsiaTheme="minorHAnsi" w:hAnsi="Calibri"/>
                <w:b/>
                <w:bCs/>
                <w:color w:val="000000"/>
                <w:sz w:val="22"/>
                <w:szCs w:val="22"/>
              </w:rPr>
            </w:pPr>
            <w:r>
              <w:rPr>
                <w:b/>
                <w:bCs/>
                <w:color w:val="000000"/>
              </w:rPr>
              <w:t>Parents have had violent arguments</w:t>
            </w:r>
          </w:p>
        </w:tc>
        <w:tc>
          <w:tcPr>
            <w:tcW w:w="2614" w:type="dxa"/>
            <w:tcBorders>
              <w:top w:val="single" w:sz="8" w:space="0" w:color="auto"/>
              <w:left w:val="single" w:sz="8" w:space="0" w:color="auto"/>
              <w:bottom w:val="single" w:sz="8" w:space="0" w:color="auto"/>
              <w:right w:val="single" w:sz="8" w:space="0" w:color="auto"/>
            </w:tcBorders>
            <w:shd w:val="clear" w:color="auto" w:fill="E4F6CD" w:themeFill="accent4" w:themeFillTint="33"/>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2.</w:t>
            </w:r>
            <w:r w:rsidR="006D7608">
              <w:rPr>
                <w:color w:val="000000"/>
              </w:rPr>
              <w:t>1</w:t>
            </w:r>
            <w:r>
              <w:rPr>
                <w:color w:val="000000"/>
              </w:rPr>
              <w:t xml:space="preserve"> points higher***</w:t>
            </w:r>
          </w:p>
        </w:tc>
        <w:tc>
          <w:tcPr>
            <w:tcW w:w="2700" w:type="dxa"/>
            <w:tcBorders>
              <w:top w:val="single" w:sz="8" w:space="0" w:color="auto"/>
              <w:left w:val="single" w:sz="8" w:space="0" w:color="auto"/>
              <w:bottom w:val="single" w:sz="8" w:space="0" w:color="auto"/>
              <w:right w:val="single" w:sz="8" w:space="0" w:color="auto"/>
            </w:tcBorders>
            <w:shd w:val="clear" w:color="auto" w:fill="E4F6CD" w:themeFill="accent4" w:themeFillTint="33"/>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1.1 points higher</w:t>
            </w:r>
          </w:p>
        </w:tc>
      </w:tr>
      <w:tr w:rsidR="00F86C23" w:rsidTr="00974FB4">
        <w:trPr>
          <w:trHeight w:val="300"/>
        </w:trPr>
        <w:tc>
          <w:tcPr>
            <w:tcW w:w="3686" w:type="dxa"/>
            <w:tcBorders>
              <w:top w:val="single" w:sz="8" w:space="0" w:color="auto"/>
            </w:tcBorders>
            <w:tcMar>
              <w:top w:w="0" w:type="dxa"/>
              <w:left w:w="108" w:type="dxa"/>
              <w:bottom w:w="0" w:type="dxa"/>
              <w:right w:w="108" w:type="dxa"/>
            </w:tcMar>
            <w:vAlign w:val="center"/>
            <w:hideMark/>
          </w:tcPr>
          <w:p w:rsidR="00F86C23" w:rsidRDefault="00F86C23" w:rsidP="00674AAF">
            <w:pPr>
              <w:rPr>
                <w:rFonts w:ascii="Calibri" w:eastAsiaTheme="minorHAnsi" w:hAnsi="Calibri"/>
                <w:b/>
                <w:bCs/>
                <w:color w:val="000000"/>
                <w:sz w:val="22"/>
                <w:szCs w:val="22"/>
              </w:rPr>
            </w:pPr>
            <w:r>
              <w:rPr>
                <w:b/>
                <w:bCs/>
                <w:color w:val="000000"/>
              </w:rPr>
              <w:t> </w:t>
            </w:r>
          </w:p>
        </w:tc>
        <w:tc>
          <w:tcPr>
            <w:tcW w:w="2614" w:type="dxa"/>
            <w:tcBorders>
              <w:top w:val="single" w:sz="8" w:space="0" w:color="auto"/>
            </w:tcBorders>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 </w:t>
            </w:r>
          </w:p>
        </w:tc>
        <w:tc>
          <w:tcPr>
            <w:tcW w:w="2700" w:type="dxa"/>
            <w:tcBorders>
              <w:top w:val="single" w:sz="8" w:space="0" w:color="auto"/>
            </w:tcBorders>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 </w:t>
            </w:r>
          </w:p>
        </w:tc>
      </w:tr>
      <w:tr w:rsidR="00F86C23" w:rsidTr="00974FB4">
        <w:trPr>
          <w:trHeight w:val="300"/>
        </w:trPr>
        <w:tc>
          <w:tcPr>
            <w:tcW w:w="3686" w:type="dxa"/>
            <w:noWrap/>
            <w:tcMar>
              <w:top w:w="0" w:type="dxa"/>
              <w:left w:w="108" w:type="dxa"/>
              <w:bottom w:w="0" w:type="dxa"/>
              <w:right w:w="108" w:type="dxa"/>
            </w:tcMar>
            <w:vAlign w:val="center"/>
            <w:hideMark/>
          </w:tcPr>
          <w:p w:rsidR="00F86C23" w:rsidRDefault="00F86C23" w:rsidP="009A6E32">
            <w:pPr>
              <w:rPr>
                <w:rFonts w:ascii="Calibri" w:eastAsiaTheme="minorHAnsi" w:hAnsi="Calibri"/>
                <w:color w:val="000000"/>
                <w:sz w:val="22"/>
                <w:szCs w:val="22"/>
              </w:rPr>
            </w:pPr>
            <w:r>
              <w:rPr>
                <w:color w:val="000000"/>
              </w:rPr>
              <w:t>*** indicates significance at &lt;0.00</w:t>
            </w:r>
            <w:r w:rsidR="009A6E32">
              <w:rPr>
                <w:color w:val="000000"/>
              </w:rPr>
              <w:t>1</w:t>
            </w:r>
            <w:r w:rsidR="00D151F4">
              <w:rPr>
                <w:color w:val="000000"/>
              </w:rPr>
              <w:t>.</w:t>
            </w:r>
          </w:p>
        </w:tc>
        <w:tc>
          <w:tcPr>
            <w:tcW w:w="2614" w:type="dxa"/>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 </w:t>
            </w:r>
          </w:p>
        </w:tc>
        <w:tc>
          <w:tcPr>
            <w:tcW w:w="2700" w:type="dxa"/>
            <w:noWrap/>
            <w:tcMar>
              <w:top w:w="0" w:type="dxa"/>
              <w:left w:w="108" w:type="dxa"/>
              <w:bottom w:w="0" w:type="dxa"/>
              <w:right w:w="108" w:type="dxa"/>
            </w:tcMar>
            <w:vAlign w:val="center"/>
            <w:hideMark/>
          </w:tcPr>
          <w:p w:rsidR="00F86C23" w:rsidRDefault="00F86C23" w:rsidP="00674AAF">
            <w:pPr>
              <w:jc w:val="center"/>
              <w:rPr>
                <w:rFonts w:ascii="Calibri" w:eastAsiaTheme="minorHAnsi" w:hAnsi="Calibri"/>
                <w:color w:val="000000"/>
                <w:sz w:val="22"/>
                <w:szCs w:val="22"/>
              </w:rPr>
            </w:pPr>
            <w:r>
              <w:rPr>
                <w:color w:val="000000"/>
              </w:rPr>
              <w:t> </w:t>
            </w:r>
          </w:p>
        </w:tc>
      </w:tr>
    </w:tbl>
    <w:p w:rsidR="00381B7E" w:rsidRDefault="00381B7E" w:rsidP="000555A8">
      <w:pPr>
        <w:spacing w:before="0" w:after="0" w:line="240" w:lineRule="auto"/>
        <w:rPr>
          <w:b/>
          <w:bCs/>
          <w:sz w:val="22"/>
          <w:szCs w:val="22"/>
          <w:lang w:eastAsia="en-US"/>
        </w:rPr>
      </w:pPr>
    </w:p>
    <w:p w:rsidR="003F6C3F" w:rsidRDefault="003F6C3F" w:rsidP="003F6C3F">
      <w:pPr>
        <w:pStyle w:val="Heading2"/>
        <w:spacing w:before="0" w:after="0"/>
        <w:rPr>
          <w:rFonts w:eastAsia="Calibri"/>
          <w:lang w:eastAsia="en-US"/>
        </w:rPr>
      </w:pPr>
    </w:p>
    <w:p w:rsidR="00321454" w:rsidRDefault="000555A8" w:rsidP="003F6C3F">
      <w:pPr>
        <w:pStyle w:val="Heading2"/>
        <w:spacing w:before="0" w:after="0"/>
        <w:rPr>
          <w:rFonts w:eastAsia="Calibri"/>
          <w:lang w:eastAsia="en-US"/>
        </w:rPr>
      </w:pPr>
      <w:r w:rsidRPr="003A730F">
        <w:rPr>
          <w:rFonts w:eastAsia="Calibri"/>
          <w:lang w:eastAsia="en-US"/>
        </w:rPr>
        <w:t>Perceptions of violence in the community</w:t>
      </w:r>
    </w:p>
    <w:p w:rsidR="003F6C3F" w:rsidRPr="003F6C3F" w:rsidRDefault="003F6C3F" w:rsidP="003F6C3F">
      <w:pPr>
        <w:spacing w:before="0" w:after="0"/>
        <w:rPr>
          <w:rFonts w:eastAsia="Calibri"/>
          <w:lang w:eastAsia="en-US"/>
        </w:rPr>
      </w:pPr>
    </w:p>
    <w:p w:rsidR="00321454" w:rsidRPr="00DB644A" w:rsidRDefault="00321454" w:rsidP="003F6C3F">
      <w:pPr>
        <w:spacing w:before="0" w:after="0" w:line="240" w:lineRule="auto"/>
        <w:jc w:val="both"/>
        <w:rPr>
          <w:rFonts w:eastAsia="Calibri"/>
          <w:szCs w:val="20"/>
          <w:lang w:eastAsia="en-US"/>
        </w:rPr>
      </w:pPr>
      <w:r w:rsidRPr="00DB644A">
        <w:rPr>
          <w:rFonts w:eastAsia="Calibri"/>
          <w:szCs w:val="20"/>
          <w:lang w:eastAsia="en-US"/>
        </w:rPr>
        <w:t>In 2013</w:t>
      </w:r>
      <w:r w:rsidR="00591154" w:rsidRPr="00DB644A">
        <w:rPr>
          <w:rFonts w:eastAsia="Calibri"/>
          <w:szCs w:val="20"/>
          <w:lang w:eastAsia="en-US"/>
        </w:rPr>
        <w:t>,</w:t>
      </w:r>
      <w:r w:rsidRPr="00DB644A">
        <w:rPr>
          <w:rFonts w:eastAsia="Calibri"/>
          <w:szCs w:val="20"/>
          <w:lang w:eastAsia="en-US"/>
        </w:rPr>
        <w:t xml:space="preserve"> parents were asked about the safety of their communities. One question focused on the question of whether family violence was a problem in their community</w:t>
      </w:r>
      <w:r w:rsidR="0095018E" w:rsidRPr="00DB644A">
        <w:rPr>
          <w:rFonts w:eastAsia="Calibri"/>
          <w:szCs w:val="20"/>
          <w:lang w:eastAsia="en-US"/>
        </w:rPr>
        <w:t xml:space="preserve"> (see </w:t>
      </w:r>
      <w:r w:rsidR="006C7B21" w:rsidRPr="00DB644A">
        <w:rPr>
          <w:rFonts w:eastAsia="Calibri"/>
          <w:szCs w:val="20"/>
          <w:lang w:eastAsia="en-US"/>
        </w:rPr>
        <w:t>F</w:t>
      </w:r>
      <w:r w:rsidR="0095018E" w:rsidRPr="00DB644A">
        <w:rPr>
          <w:rFonts w:eastAsia="Calibri"/>
          <w:szCs w:val="20"/>
          <w:lang w:eastAsia="en-US"/>
        </w:rPr>
        <w:t xml:space="preserve">igure </w:t>
      </w:r>
      <w:r w:rsidR="002639F6" w:rsidRPr="00DB644A">
        <w:rPr>
          <w:rFonts w:eastAsia="Calibri"/>
          <w:szCs w:val="20"/>
          <w:lang w:eastAsia="en-US"/>
        </w:rPr>
        <w:t>9</w:t>
      </w:r>
      <w:r w:rsidR="0095018E" w:rsidRPr="00DB644A">
        <w:rPr>
          <w:rFonts w:eastAsia="Calibri"/>
          <w:szCs w:val="20"/>
          <w:lang w:eastAsia="en-US"/>
        </w:rPr>
        <w:t>)</w:t>
      </w:r>
      <w:r w:rsidRPr="00DB644A">
        <w:rPr>
          <w:rFonts w:eastAsia="Calibri"/>
          <w:szCs w:val="20"/>
          <w:lang w:eastAsia="en-US"/>
        </w:rPr>
        <w:t>.</w:t>
      </w:r>
    </w:p>
    <w:p w:rsidR="007D3093" w:rsidRDefault="007D3093" w:rsidP="00D529EA">
      <w:pPr>
        <w:keepNext/>
        <w:spacing w:before="0" w:after="0" w:line="240" w:lineRule="auto"/>
        <w:rPr>
          <w:b/>
        </w:rPr>
      </w:pPr>
    </w:p>
    <w:p w:rsidR="003F6C3F" w:rsidRPr="003466C6" w:rsidRDefault="00171E73" w:rsidP="00D529EA">
      <w:pPr>
        <w:keepNext/>
        <w:spacing w:before="0" w:after="0" w:line="240" w:lineRule="auto"/>
        <w:rPr>
          <w:rFonts w:eastAsiaTheme="majorEastAsia"/>
          <w:bCs/>
          <w:spacing w:val="5"/>
        </w:rPr>
      </w:pPr>
      <w:r w:rsidRPr="00381B7E">
        <w:rPr>
          <w:b/>
        </w:rPr>
        <w:t>Figure 9</w:t>
      </w:r>
      <w:r w:rsidR="003466C6" w:rsidRPr="00381B7E">
        <w:rPr>
          <w:b/>
        </w:rPr>
        <w:t xml:space="preserve">: </w:t>
      </w:r>
      <w:r w:rsidR="003466C6" w:rsidRPr="00381B7E">
        <w:rPr>
          <w:rFonts w:eastAsiaTheme="majorEastAsia"/>
          <w:b/>
          <w:bCs/>
          <w:spacing w:val="5"/>
        </w:rPr>
        <w:t>LSIC parents</w:t>
      </w:r>
      <w:r w:rsidR="00E047BC" w:rsidRPr="00381B7E">
        <w:rPr>
          <w:rFonts w:eastAsiaTheme="majorEastAsia"/>
          <w:b/>
          <w:bCs/>
          <w:spacing w:val="5"/>
        </w:rPr>
        <w:t>’</w:t>
      </w:r>
      <w:r w:rsidR="003466C6" w:rsidRPr="00381B7E">
        <w:rPr>
          <w:rFonts w:eastAsiaTheme="majorEastAsia"/>
          <w:b/>
          <w:bCs/>
          <w:spacing w:val="5"/>
        </w:rPr>
        <w:t xml:space="preserve"> perceptions of </w:t>
      </w:r>
      <w:r w:rsidR="006C7B21" w:rsidRPr="00381B7E">
        <w:rPr>
          <w:rFonts w:eastAsiaTheme="majorEastAsia"/>
          <w:b/>
          <w:bCs/>
          <w:spacing w:val="5"/>
        </w:rPr>
        <w:t xml:space="preserve">frequency of </w:t>
      </w:r>
      <w:r w:rsidR="003466C6" w:rsidRPr="00381B7E">
        <w:rPr>
          <w:rFonts w:eastAsiaTheme="majorEastAsia"/>
          <w:b/>
          <w:bCs/>
          <w:spacing w:val="5"/>
        </w:rPr>
        <w:t>family violence in their community (2013)</w:t>
      </w:r>
      <w:r w:rsidR="003466C6" w:rsidRPr="00E54A8C">
        <w:rPr>
          <w:rFonts w:eastAsiaTheme="majorEastAsia"/>
          <w:bCs/>
          <w:spacing w:val="5"/>
        </w:rPr>
        <w:t xml:space="preserve"> </w:t>
      </w:r>
    </w:p>
    <w:p w:rsidR="00EA1D76" w:rsidRDefault="00A043C0" w:rsidP="003A730F">
      <w:pPr>
        <w:spacing w:before="0" w:after="200" w:line="276" w:lineRule="auto"/>
        <w:jc w:val="both"/>
        <w:rPr>
          <w:rFonts w:eastAsia="Calibri"/>
          <w:sz w:val="22"/>
          <w:szCs w:val="22"/>
          <w:lang w:eastAsia="en-US"/>
        </w:rPr>
      </w:pPr>
      <w:r>
        <w:rPr>
          <w:noProof/>
        </w:rPr>
        <w:drawing>
          <wp:inline distT="0" distB="0" distL="0" distR="0" wp14:anchorId="7DE568CE" wp14:editId="64F293EE">
            <wp:extent cx="5715000" cy="2990850"/>
            <wp:effectExtent l="0" t="0" r="19050" b="19050"/>
            <wp:docPr id="24" name="Chart 24" descr="Perceptions family violence in the community." title="Figure 9: LSIC parents’ perceptions of frequency of family violence in their community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Look w:val="04A0" w:firstRow="1" w:lastRow="0" w:firstColumn="1" w:lastColumn="0" w:noHBand="0" w:noVBand="1"/>
        <w:tblCaption w:val="Figure 9: LSIC parents' perceptions of frequency of family violence in their community"/>
        <w:tblDescription w:val="This figure and table show the perecentage of LSIC parents' perception of violence in their community. It is broken down to Dont know; Doesn't happen here; Happens a bit of the time, happens a lot of the time and happens all the time."/>
      </w:tblPr>
      <w:tblGrid>
        <w:gridCol w:w="5103"/>
        <w:gridCol w:w="4031"/>
      </w:tblGrid>
      <w:tr w:rsidR="000A5CDE" w:rsidRPr="00D74A97" w:rsidTr="00246261">
        <w:trPr>
          <w:tblHeader/>
        </w:trPr>
        <w:tc>
          <w:tcPr>
            <w:tcW w:w="5103" w:type="dxa"/>
          </w:tcPr>
          <w:p w:rsidR="000A5CDE" w:rsidRPr="00D74A97" w:rsidRDefault="0095348E" w:rsidP="00D74A97">
            <w:pPr>
              <w:spacing w:before="0" w:after="0"/>
              <w:jc w:val="both"/>
              <w:rPr>
                <w:szCs w:val="20"/>
              </w:rPr>
            </w:pPr>
            <w:r w:rsidRPr="00D74A97">
              <w:rPr>
                <w:szCs w:val="20"/>
              </w:rPr>
              <w:t>Don’t know</w:t>
            </w:r>
          </w:p>
        </w:tc>
        <w:tc>
          <w:tcPr>
            <w:tcW w:w="4031" w:type="dxa"/>
          </w:tcPr>
          <w:p w:rsidR="000A5CDE" w:rsidRPr="00D74A97" w:rsidRDefault="0095348E" w:rsidP="00D74A97">
            <w:pPr>
              <w:spacing w:before="0" w:after="0"/>
              <w:jc w:val="center"/>
              <w:rPr>
                <w:szCs w:val="20"/>
              </w:rPr>
            </w:pPr>
            <w:r w:rsidRPr="00D74A97">
              <w:rPr>
                <w:szCs w:val="20"/>
              </w:rPr>
              <w:t>7%</w:t>
            </w:r>
          </w:p>
        </w:tc>
      </w:tr>
      <w:tr w:rsidR="000A5CDE" w:rsidRPr="00D74A97" w:rsidTr="00D74A97">
        <w:tc>
          <w:tcPr>
            <w:tcW w:w="5103" w:type="dxa"/>
          </w:tcPr>
          <w:p w:rsidR="000A5CDE" w:rsidRPr="00D74A97" w:rsidRDefault="0095348E" w:rsidP="00D74A97">
            <w:pPr>
              <w:spacing w:before="0" w:after="0"/>
              <w:jc w:val="both"/>
              <w:rPr>
                <w:szCs w:val="20"/>
              </w:rPr>
            </w:pPr>
            <w:r w:rsidRPr="00D74A97">
              <w:rPr>
                <w:szCs w:val="20"/>
              </w:rPr>
              <w:t>Doesn’t happen here</w:t>
            </w:r>
          </w:p>
        </w:tc>
        <w:tc>
          <w:tcPr>
            <w:tcW w:w="4031" w:type="dxa"/>
          </w:tcPr>
          <w:p w:rsidR="000A5CDE" w:rsidRPr="00D74A97" w:rsidRDefault="0095348E" w:rsidP="00D74A97">
            <w:pPr>
              <w:spacing w:before="0" w:after="0"/>
              <w:jc w:val="center"/>
              <w:rPr>
                <w:szCs w:val="20"/>
              </w:rPr>
            </w:pPr>
            <w:r w:rsidRPr="00D74A97">
              <w:rPr>
                <w:szCs w:val="20"/>
              </w:rPr>
              <w:t>64%</w:t>
            </w:r>
          </w:p>
        </w:tc>
      </w:tr>
      <w:tr w:rsidR="000A5CDE" w:rsidRPr="00D74A97" w:rsidTr="00D74A97">
        <w:tc>
          <w:tcPr>
            <w:tcW w:w="5103" w:type="dxa"/>
          </w:tcPr>
          <w:p w:rsidR="000A5CDE" w:rsidRPr="00D74A97" w:rsidRDefault="0095348E" w:rsidP="00D74A97">
            <w:pPr>
              <w:spacing w:before="0" w:after="0"/>
              <w:jc w:val="both"/>
              <w:rPr>
                <w:szCs w:val="20"/>
              </w:rPr>
            </w:pPr>
            <w:r w:rsidRPr="00D74A97">
              <w:rPr>
                <w:szCs w:val="20"/>
              </w:rPr>
              <w:t>Happens a bit of the time</w:t>
            </w:r>
          </w:p>
        </w:tc>
        <w:tc>
          <w:tcPr>
            <w:tcW w:w="4031" w:type="dxa"/>
          </w:tcPr>
          <w:p w:rsidR="000A5CDE" w:rsidRPr="00D74A97" w:rsidRDefault="0095348E" w:rsidP="00D74A97">
            <w:pPr>
              <w:spacing w:before="0" w:after="0"/>
              <w:jc w:val="center"/>
              <w:rPr>
                <w:szCs w:val="20"/>
              </w:rPr>
            </w:pPr>
            <w:r w:rsidRPr="00D74A97">
              <w:rPr>
                <w:szCs w:val="20"/>
              </w:rPr>
              <w:t>14%</w:t>
            </w:r>
          </w:p>
        </w:tc>
      </w:tr>
      <w:tr w:rsidR="000A5CDE" w:rsidRPr="00D74A97" w:rsidTr="00D74A97">
        <w:tc>
          <w:tcPr>
            <w:tcW w:w="5103" w:type="dxa"/>
          </w:tcPr>
          <w:p w:rsidR="000A5CDE" w:rsidRPr="00D74A97" w:rsidRDefault="0095348E" w:rsidP="00D74A97">
            <w:pPr>
              <w:spacing w:before="0" w:after="0"/>
              <w:jc w:val="both"/>
              <w:rPr>
                <w:szCs w:val="20"/>
              </w:rPr>
            </w:pPr>
            <w:r w:rsidRPr="00D74A97">
              <w:rPr>
                <w:szCs w:val="20"/>
              </w:rPr>
              <w:t>Happens a lot of the time</w:t>
            </w:r>
          </w:p>
        </w:tc>
        <w:tc>
          <w:tcPr>
            <w:tcW w:w="4031" w:type="dxa"/>
          </w:tcPr>
          <w:p w:rsidR="000A5CDE" w:rsidRPr="00D74A97" w:rsidRDefault="0095348E" w:rsidP="00D74A97">
            <w:pPr>
              <w:spacing w:before="0" w:after="0"/>
              <w:jc w:val="center"/>
              <w:rPr>
                <w:szCs w:val="20"/>
              </w:rPr>
            </w:pPr>
            <w:r w:rsidRPr="00D74A97">
              <w:rPr>
                <w:szCs w:val="20"/>
              </w:rPr>
              <w:t>10%</w:t>
            </w:r>
          </w:p>
        </w:tc>
      </w:tr>
      <w:tr w:rsidR="000A5CDE" w:rsidRPr="00D74A97" w:rsidTr="00D74A97">
        <w:tc>
          <w:tcPr>
            <w:tcW w:w="5103" w:type="dxa"/>
          </w:tcPr>
          <w:p w:rsidR="000A5CDE" w:rsidRPr="00D74A97" w:rsidRDefault="0095348E" w:rsidP="00D74A97">
            <w:pPr>
              <w:spacing w:before="0" w:after="0"/>
              <w:jc w:val="both"/>
              <w:rPr>
                <w:szCs w:val="20"/>
              </w:rPr>
            </w:pPr>
            <w:r w:rsidRPr="00D74A97">
              <w:rPr>
                <w:szCs w:val="20"/>
              </w:rPr>
              <w:t>Happens all the time</w:t>
            </w:r>
          </w:p>
        </w:tc>
        <w:tc>
          <w:tcPr>
            <w:tcW w:w="4031" w:type="dxa"/>
          </w:tcPr>
          <w:p w:rsidR="000A5CDE" w:rsidRPr="00D74A97" w:rsidRDefault="0095348E" w:rsidP="00D74A97">
            <w:pPr>
              <w:spacing w:before="0" w:after="0"/>
              <w:jc w:val="center"/>
              <w:rPr>
                <w:szCs w:val="20"/>
              </w:rPr>
            </w:pPr>
            <w:r w:rsidRPr="00D74A97">
              <w:rPr>
                <w:szCs w:val="20"/>
              </w:rPr>
              <w:t>5%</w:t>
            </w:r>
          </w:p>
        </w:tc>
      </w:tr>
    </w:tbl>
    <w:p w:rsidR="000A5CDE" w:rsidRDefault="000A5CDE" w:rsidP="003A730F">
      <w:pPr>
        <w:spacing w:before="0" w:after="200" w:line="276" w:lineRule="auto"/>
        <w:jc w:val="both"/>
        <w:rPr>
          <w:rFonts w:eastAsia="Calibri"/>
          <w:sz w:val="22"/>
          <w:szCs w:val="22"/>
          <w:lang w:eastAsia="en-US"/>
        </w:rPr>
      </w:pPr>
    </w:p>
    <w:p w:rsidR="008F1FBB" w:rsidRDefault="008F1FBB">
      <w:pPr>
        <w:spacing w:before="0" w:after="0" w:line="240" w:lineRule="auto"/>
        <w:rPr>
          <w:rFonts w:eastAsia="Calibri"/>
          <w:szCs w:val="20"/>
          <w:lang w:eastAsia="en-US"/>
        </w:rPr>
      </w:pPr>
      <w:r>
        <w:rPr>
          <w:rFonts w:eastAsia="Calibri"/>
          <w:szCs w:val="20"/>
          <w:lang w:eastAsia="en-US"/>
        </w:rPr>
        <w:br w:type="page"/>
      </w:r>
    </w:p>
    <w:p w:rsidR="002639F6" w:rsidRPr="00DB644A" w:rsidRDefault="00321454" w:rsidP="003A730F">
      <w:pPr>
        <w:spacing w:before="0" w:after="200" w:line="276" w:lineRule="auto"/>
        <w:jc w:val="both"/>
        <w:rPr>
          <w:rFonts w:eastAsia="Calibri"/>
          <w:szCs w:val="20"/>
          <w:lang w:eastAsia="en-US"/>
        </w:rPr>
      </w:pPr>
      <w:proofErr w:type="gramStart"/>
      <w:r w:rsidRPr="00DB644A">
        <w:rPr>
          <w:rFonts w:eastAsia="Calibri"/>
          <w:szCs w:val="20"/>
          <w:lang w:eastAsia="en-US"/>
        </w:rPr>
        <w:lastRenderedPageBreak/>
        <w:t>Families</w:t>
      </w:r>
      <w:proofErr w:type="gramEnd"/>
      <w:r w:rsidRPr="00DB644A">
        <w:rPr>
          <w:rFonts w:eastAsia="Calibri"/>
          <w:szCs w:val="20"/>
          <w:lang w:eastAsia="en-US"/>
        </w:rPr>
        <w:t xml:space="preserve"> who had reported having arguments that ended up with people pushing, hitting, kicking or shoving, were significantly</w:t>
      </w:r>
      <w:r w:rsidR="00035FE2" w:rsidRPr="00DB644A">
        <w:rPr>
          <w:rStyle w:val="EndnoteReference"/>
          <w:rFonts w:eastAsia="Calibri"/>
          <w:szCs w:val="20"/>
          <w:lang w:eastAsia="en-US"/>
        </w:rPr>
        <w:endnoteReference w:id="7"/>
      </w:r>
      <w:r w:rsidR="00591154" w:rsidRPr="00DB644A">
        <w:rPr>
          <w:rFonts w:eastAsia="Calibri"/>
          <w:szCs w:val="20"/>
          <w:lang w:eastAsia="en-US"/>
        </w:rPr>
        <w:t xml:space="preserve"> </w:t>
      </w:r>
      <w:r w:rsidRPr="00DB644A">
        <w:rPr>
          <w:rFonts w:eastAsia="Calibri"/>
          <w:szCs w:val="20"/>
          <w:lang w:eastAsia="en-US"/>
        </w:rPr>
        <w:t>more likely to rate family violence as a big problem in their community</w:t>
      </w:r>
      <w:r w:rsidR="002639F6" w:rsidRPr="00DB644A">
        <w:rPr>
          <w:rFonts w:eastAsia="Calibri"/>
          <w:szCs w:val="20"/>
          <w:lang w:eastAsia="en-US"/>
        </w:rPr>
        <w:t xml:space="preserve"> (see </w:t>
      </w:r>
      <w:r w:rsidR="006C7B21" w:rsidRPr="00DB644A">
        <w:rPr>
          <w:rFonts w:eastAsia="Calibri"/>
          <w:szCs w:val="20"/>
          <w:lang w:eastAsia="en-US"/>
        </w:rPr>
        <w:t>F</w:t>
      </w:r>
      <w:r w:rsidR="002639F6" w:rsidRPr="00DB644A">
        <w:rPr>
          <w:rFonts w:eastAsia="Calibri"/>
          <w:szCs w:val="20"/>
          <w:lang w:eastAsia="en-US"/>
        </w:rPr>
        <w:t>igure 10)</w:t>
      </w:r>
      <w:r w:rsidRPr="00DB644A">
        <w:rPr>
          <w:rFonts w:eastAsia="Calibri"/>
          <w:szCs w:val="20"/>
          <w:lang w:eastAsia="en-US"/>
        </w:rPr>
        <w:t xml:space="preserve">. </w:t>
      </w:r>
    </w:p>
    <w:p w:rsidR="002639F6" w:rsidRDefault="002639F6" w:rsidP="0059575B">
      <w:pPr>
        <w:spacing w:before="0" w:after="0" w:line="240" w:lineRule="auto"/>
        <w:rPr>
          <w:rFonts w:eastAsia="Calibri"/>
          <w:sz w:val="22"/>
          <w:szCs w:val="22"/>
          <w:lang w:eastAsia="en-US"/>
        </w:rPr>
      </w:pPr>
    </w:p>
    <w:p w:rsidR="003F6C3F" w:rsidRDefault="003466C6" w:rsidP="00D529EA">
      <w:pPr>
        <w:keepNext/>
        <w:spacing w:before="0" w:after="0" w:line="240" w:lineRule="auto"/>
        <w:rPr>
          <w:rFonts w:eastAsiaTheme="majorEastAsia"/>
          <w:bCs/>
          <w:spacing w:val="5"/>
        </w:rPr>
      </w:pPr>
      <w:r w:rsidRPr="00381B7E">
        <w:rPr>
          <w:b/>
        </w:rPr>
        <w:t xml:space="preserve">Figure </w:t>
      </w:r>
      <w:r w:rsidR="00171E73" w:rsidRPr="00381B7E">
        <w:rPr>
          <w:b/>
        </w:rPr>
        <w:t>10</w:t>
      </w:r>
      <w:r w:rsidRPr="00381B7E">
        <w:rPr>
          <w:b/>
        </w:rPr>
        <w:t xml:space="preserve">: </w:t>
      </w:r>
      <w:r w:rsidRPr="00381B7E">
        <w:rPr>
          <w:rFonts w:eastAsiaTheme="majorEastAsia"/>
          <w:b/>
          <w:bCs/>
          <w:spacing w:val="5"/>
        </w:rPr>
        <w:t>LSIC parents</w:t>
      </w:r>
      <w:r w:rsidR="00E047BC" w:rsidRPr="00381B7E">
        <w:rPr>
          <w:rFonts w:eastAsiaTheme="majorEastAsia"/>
          <w:b/>
          <w:bCs/>
          <w:spacing w:val="5"/>
        </w:rPr>
        <w:t>’</w:t>
      </w:r>
      <w:r w:rsidRPr="00381B7E">
        <w:rPr>
          <w:rFonts w:eastAsiaTheme="majorEastAsia"/>
          <w:b/>
          <w:bCs/>
          <w:spacing w:val="5"/>
        </w:rPr>
        <w:t xml:space="preserve"> perceptions of family violence in their community by personal situation (2013)</w:t>
      </w:r>
      <w:r w:rsidRPr="00E54A8C">
        <w:rPr>
          <w:rFonts w:eastAsiaTheme="majorEastAsia"/>
          <w:bCs/>
          <w:spacing w:val="5"/>
        </w:rPr>
        <w:t xml:space="preserve"> </w:t>
      </w:r>
    </w:p>
    <w:p w:rsidR="00321454" w:rsidRDefault="00321454" w:rsidP="00D529EA">
      <w:pPr>
        <w:keepNext/>
        <w:spacing w:before="0" w:after="0" w:line="240" w:lineRule="auto"/>
        <w:rPr>
          <w:rFonts w:eastAsiaTheme="majorEastAsia"/>
          <w:bCs/>
          <w:spacing w:val="5"/>
        </w:rPr>
      </w:pPr>
      <w:r w:rsidRPr="00321454">
        <w:rPr>
          <w:rFonts w:eastAsia="Calibri"/>
          <w:noProof/>
          <w:sz w:val="22"/>
          <w:szCs w:val="22"/>
        </w:rPr>
        <w:drawing>
          <wp:inline distT="0" distB="0" distL="0" distR="0" wp14:anchorId="2CFBED77" wp14:editId="57D1AD05">
            <wp:extent cx="5715000" cy="3028950"/>
            <wp:effectExtent l="0" t="0" r="19050" b="19050"/>
            <wp:docPr id="27" name="Chart 27" descr="Graph depicting the perception of family violence in the community by the household type in terms of violence, no violence or single parent." title="Figure 10: LSIC parents’ perceptions of family violence in their community by personal situation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5CDE" w:rsidRDefault="000A5CDE" w:rsidP="00D529EA">
      <w:pPr>
        <w:keepNext/>
        <w:spacing w:before="0" w:after="0" w:line="240" w:lineRule="auto"/>
        <w:rPr>
          <w:rFonts w:eastAsiaTheme="majorEastAsia"/>
          <w:bCs/>
          <w:spacing w:val="5"/>
        </w:rPr>
      </w:pPr>
    </w:p>
    <w:p w:rsidR="003F6C3F" w:rsidRDefault="003F6C3F" w:rsidP="00D529EA">
      <w:pPr>
        <w:keepNext/>
        <w:spacing w:before="0" w:after="0" w:line="240" w:lineRule="auto"/>
        <w:rPr>
          <w:rFonts w:eastAsiaTheme="majorEastAsia"/>
          <w:bCs/>
          <w:spacing w:val="5"/>
        </w:rPr>
      </w:pPr>
    </w:p>
    <w:tbl>
      <w:tblPr>
        <w:tblStyle w:val="TableGrid"/>
        <w:tblW w:w="0" w:type="auto"/>
        <w:tblLook w:val="04A0" w:firstRow="1" w:lastRow="0" w:firstColumn="1" w:lastColumn="0" w:noHBand="0" w:noVBand="1"/>
        <w:tblCaption w:val="Figure 10: LSIC parents' perceptions of family violence in their community by personal situation"/>
        <w:tblDescription w:val="This figure and table demonstrates the percentage of LSIC parents' perceptions of family vioience in their community by personal situation. it is broken down into Family violence happens a lot/all the time in this community and Family violence rarely/never happens in this community."/>
      </w:tblPr>
      <w:tblGrid>
        <w:gridCol w:w="3686"/>
        <w:gridCol w:w="1843"/>
        <w:gridCol w:w="1701"/>
        <w:gridCol w:w="1904"/>
      </w:tblGrid>
      <w:tr w:rsidR="00D74A97" w:rsidRPr="00D74A97" w:rsidTr="00246261">
        <w:trPr>
          <w:tblHeader/>
        </w:trPr>
        <w:tc>
          <w:tcPr>
            <w:tcW w:w="3686" w:type="dxa"/>
          </w:tcPr>
          <w:p w:rsidR="000A5CDE" w:rsidRPr="00D74A97" w:rsidRDefault="000A5CDE" w:rsidP="00D74A97">
            <w:pPr>
              <w:spacing w:before="0" w:after="0"/>
              <w:jc w:val="both"/>
              <w:rPr>
                <w:szCs w:val="20"/>
              </w:rPr>
            </w:pPr>
          </w:p>
        </w:tc>
        <w:tc>
          <w:tcPr>
            <w:tcW w:w="1843" w:type="dxa"/>
          </w:tcPr>
          <w:p w:rsidR="000A5CDE" w:rsidRPr="00D74A97" w:rsidRDefault="0095348E" w:rsidP="00D74A97">
            <w:pPr>
              <w:spacing w:before="0" w:after="0"/>
              <w:jc w:val="center"/>
              <w:rPr>
                <w:szCs w:val="20"/>
              </w:rPr>
            </w:pPr>
            <w:r w:rsidRPr="00D74A97">
              <w:rPr>
                <w:szCs w:val="20"/>
              </w:rPr>
              <w:t>Single parent, n=444</w:t>
            </w:r>
          </w:p>
        </w:tc>
        <w:tc>
          <w:tcPr>
            <w:tcW w:w="1701" w:type="dxa"/>
          </w:tcPr>
          <w:p w:rsidR="000A5CDE" w:rsidRPr="00D74A97" w:rsidRDefault="0095348E" w:rsidP="00D74A97">
            <w:pPr>
              <w:spacing w:before="0" w:after="0"/>
              <w:jc w:val="center"/>
              <w:rPr>
                <w:szCs w:val="20"/>
              </w:rPr>
            </w:pPr>
            <w:r w:rsidRPr="00D74A97">
              <w:rPr>
                <w:szCs w:val="20"/>
              </w:rPr>
              <w:t>No violence, n=506</w:t>
            </w:r>
          </w:p>
        </w:tc>
        <w:tc>
          <w:tcPr>
            <w:tcW w:w="1904" w:type="dxa"/>
          </w:tcPr>
          <w:p w:rsidR="000A5CDE" w:rsidRPr="00D74A97" w:rsidRDefault="0095348E" w:rsidP="00D74A97">
            <w:pPr>
              <w:spacing w:before="0" w:after="0"/>
              <w:jc w:val="center"/>
              <w:rPr>
                <w:szCs w:val="20"/>
              </w:rPr>
            </w:pPr>
            <w:r w:rsidRPr="00D74A97">
              <w:rPr>
                <w:szCs w:val="20"/>
              </w:rPr>
              <w:t>Some violence, n=77</w:t>
            </w:r>
          </w:p>
        </w:tc>
      </w:tr>
      <w:tr w:rsidR="00D74A97" w:rsidRPr="00D74A97" w:rsidTr="00D74A97">
        <w:tc>
          <w:tcPr>
            <w:tcW w:w="3686" w:type="dxa"/>
          </w:tcPr>
          <w:p w:rsidR="000A5CDE" w:rsidRPr="00D74A97" w:rsidRDefault="0095348E" w:rsidP="00D74A97">
            <w:pPr>
              <w:spacing w:before="0" w:after="0"/>
              <w:rPr>
                <w:szCs w:val="20"/>
              </w:rPr>
            </w:pPr>
            <w:r w:rsidRPr="00D74A97">
              <w:rPr>
                <w:szCs w:val="20"/>
              </w:rPr>
              <w:t>Family violence happens a lot/all the time in this community</w:t>
            </w:r>
          </w:p>
        </w:tc>
        <w:tc>
          <w:tcPr>
            <w:tcW w:w="1843" w:type="dxa"/>
            <w:vAlign w:val="center"/>
          </w:tcPr>
          <w:p w:rsidR="000A5CDE" w:rsidRPr="00D74A97" w:rsidRDefault="0095348E" w:rsidP="00D74A97">
            <w:pPr>
              <w:spacing w:before="0" w:after="0"/>
              <w:jc w:val="center"/>
              <w:rPr>
                <w:szCs w:val="20"/>
              </w:rPr>
            </w:pPr>
            <w:r w:rsidRPr="00D74A97">
              <w:rPr>
                <w:szCs w:val="20"/>
              </w:rPr>
              <w:t>14.4%</w:t>
            </w:r>
          </w:p>
        </w:tc>
        <w:tc>
          <w:tcPr>
            <w:tcW w:w="1701" w:type="dxa"/>
            <w:vAlign w:val="center"/>
          </w:tcPr>
          <w:p w:rsidR="000A5CDE" w:rsidRPr="00D74A97" w:rsidRDefault="0095348E" w:rsidP="00D74A97">
            <w:pPr>
              <w:spacing w:before="0" w:after="0"/>
              <w:jc w:val="center"/>
              <w:rPr>
                <w:szCs w:val="20"/>
              </w:rPr>
            </w:pPr>
            <w:r w:rsidRPr="00D74A97">
              <w:rPr>
                <w:szCs w:val="20"/>
              </w:rPr>
              <w:t>10.3%</w:t>
            </w:r>
          </w:p>
        </w:tc>
        <w:tc>
          <w:tcPr>
            <w:tcW w:w="1904" w:type="dxa"/>
            <w:vAlign w:val="center"/>
          </w:tcPr>
          <w:p w:rsidR="000A5CDE" w:rsidRPr="00D74A97" w:rsidRDefault="0095348E" w:rsidP="00D74A97">
            <w:pPr>
              <w:spacing w:before="0" w:after="0"/>
              <w:jc w:val="center"/>
              <w:rPr>
                <w:szCs w:val="20"/>
              </w:rPr>
            </w:pPr>
            <w:r w:rsidRPr="00D74A97">
              <w:rPr>
                <w:szCs w:val="20"/>
              </w:rPr>
              <w:t>22.1%</w:t>
            </w:r>
          </w:p>
        </w:tc>
      </w:tr>
      <w:tr w:rsidR="00D74A97" w:rsidRPr="00D74A97" w:rsidTr="00D74A97">
        <w:tc>
          <w:tcPr>
            <w:tcW w:w="3686" w:type="dxa"/>
          </w:tcPr>
          <w:p w:rsidR="000A5CDE" w:rsidRPr="00D74A97" w:rsidRDefault="0095348E" w:rsidP="00D74A97">
            <w:pPr>
              <w:spacing w:before="0" w:after="0"/>
              <w:rPr>
                <w:szCs w:val="20"/>
              </w:rPr>
            </w:pPr>
            <w:r w:rsidRPr="00D74A97">
              <w:rPr>
                <w:szCs w:val="20"/>
              </w:rPr>
              <w:t>Family violence rarely/never happens in this community</w:t>
            </w:r>
          </w:p>
        </w:tc>
        <w:tc>
          <w:tcPr>
            <w:tcW w:w="1843" w:type="dxa"/>
            <w:vAlign w:val="center"/>
          </w:tcPr>
          <w:p w:rsidR="000A5CDE" w:rsidRPr="00D74A97" w:rsidRDefault="0095348E" w:rsidP="00D74A97">
            <w:pPr>
              <w:spacing w:before="0" w:after="0"/>
              <w:jc w:val="center"/>
              <w:rPr>
                <w:szCs w:val="20"/>
              </w:rPr>
            </w:pPr>
            <w:r w:rsidRPr="00D74A97">
              <w:rPr>
                <w:szCs w:val="20"/>
              </w:rPr>
              <w:t>85.6%</w:t>
            </w:r>
          </w:p>
        </w:tc>
        <w:tc>
          <w:tcPr>
            <w:tcW w:w="1701" w:type="dxa"/>
            <w:vAlign w:val="center"/>
          </w:tcPr>
          <w:p w:rsidR="000A5CDE" w:rsidRPr="00D74A97" w:rsidRDefault="0095348E" w:rsidP="00D74A97">
            <w:pPr>
              <w:spacing w:before="0" w:after="0"/>
              <w:jc w:val="center"/>
              <w:rPr>
                <w:szCs w:val="20"/>
              </w:rPr>
            </w:pPr>
            <w:r w:rsidRPr="00D74A97">
              <w:rPr>
                <w:szCs w:val="20"/>
              </w:rPr>
              <w:t>89.7%</w:t>
            </w:r>
          </w:p>
        </w:tc>
        <w:tc>
          <w:tcPr>
            <w:tcW w:w="1904" w:type="dxa"/>
            <w:vAlign w:val="center"/>
          </w:tcPr>
          <w:p w:rsidR="000A5CDE" w:rsidRPr="00D74A97" w:rsidRDefault="0095348E" w:rsidP="00D74A97">
            <w:pPr>
              <w:spacing w:before="0" w:after="0"/>
              <w:jc w:val="center"/>
              <w:rPr>
                <w:szCs w:val="20"/>
              </w:rPr>
            </w:pPr>
            <w:r w:rsidRPr="00D74A97">
              <w:rPr>
                <w:szCs w:val="20"/>
              </w:rPr>
              <w:t>77.9%</w:t>
            </w:r>
          </w:p>
        </w:tc>
      </w:tr>
    </w:tbl>
    <w:p w:rsidR="000A5CDE" w:rsidRDefault="000A5CDE" w:rsidP="00D529EA">
      <w:pPr>
        <w:keepNext/>
        <w:spacing w:before="0" w:after="0" w:line="240" w:lineRule="auto"/>
        <w:rPr>
          <w:rFonts w:eastAsiaTheme="majorEastAsia"/>
          <w:bCs/>
          <w:spacing w:val="5"/>
        </w:rPr>
      </w:pPr>
    </w:p>
    <w:p w:rsidR="00EA1D76" w:rsidRDefault="00EA1D76" w:rsidP="00D529EA">
      <w:pPr>
        <w:keepNext/>
        <w:spacing w:before="0" w:after="0" w:line="240" w:lineRule="auto"/>
        <w:rPr>
          <w:rFonts w:eastAsiaTheme="majorEastAsia"/>
          <w:bCs/>
          <w:spacing w:val="5"/>
        </w:rPr>
      </w:pPr>
    </w:p>
    <w:p w:rsidR="008F1FBB" w:rsidRDefault="008F1FBB">
      <w:pPr>
        <w:spacing w:before="0" w:after="0" w:line="240" w:lineRule="auto"/>
        <w:rPr>
          <w:rFonts w:eastAsia="Calibri"/>
          <w:b/>
          <w:sz w:val="22"/>
          <w:szCs w:val="22"/>
          <w:lang w:eastAsia="en-US"/>
        </w:rPr>
      </w:pPr>
      <w:r>
        <w:rPr>
          <w:rFonts w:eastAsia="Calibri"/>
          <w:b/>
          <w:sz w:val="22"/>
          <w:szCs w:val="22"/>
          <w:lang w:eastAsia="en-US"/>
        </w:rPr>
        <w:br w:type="page"/>
      </w:r>
    </w:p>
    <w:p w:rsidR="00C116A7" w:rsidRDefault="00C116A7" w:rsidP="007D3093">
      <w:pPr>
        <w:pStyle w:val="Heading2"/>
        <w:spacing w:before="0" w:after="0"/>
        <w:rPr>
          <w:rFonts w:eastAsia="Calibri"/>
          <w:lang w:eastAsia="en-US"/>
        </w:rPr>
      </w:pPr>
      <w:r w:rsidRPr="003A730F">
        <w:rPr>
          <w:rFonts w:eastAsia="Calibri"/>
          <w:lang w:eastAsia="en-US"/>
        </w:rPr>
        <w:lastRenderedPageBreak/>
        <w:t>Geographic remoteness and community disadvantage</w:t>
      </w:r>
    </w:p>
    <w:p w:rsidR="003F6C3F" w:rsidRPr="003F6C3F" w:rsidRDefault="003F6C3F" w:rsidP="007D3093">
      <w:pPr>
        <w:spacing w:before="0" w:after="0" w:line="240" w:lineRule="auto"/>
        <w:rPr>
          <w:rFonts w:eastAsia="Calibri"/>
          <w:lang w:eastAsia="en-US"/>
        </w:rPr>
      </w:pPr>
    </w:p>
    <w:p w:rsidR="007D3093" w:rsidRDefault="00C116A7" w:rsidP="007D3093">
      <w:pPr>
        <w:spacing w:before="0" w:after="0" w:line="240" w:lineRule="auto"/>
        <w:jc w:val="both"/>
        <w:rPr>
          <w:rFonts w:eastAsia="Calibri"/>
          <w:szCs w:val="20"/>
          <w:lang w:eastAsia="en-US"/>
        </w:rPr>
      </w:pPr>
      <w:r w:rsidRPr="00DB644A">
        <w:rPr>
          <w:rFonts w:eastAsia="Calibri"/>
          <w:szCs w:val="20"/>
          <w:lang w:eastAsia="en-US"/>
        </w:rPr>
        <w:t>Families living in remote areas were significantly</w:t>
      </w:r>
      <w:r w:rsidR="00035FE2" w:rsidRPr="00DB644A">
        <w:rPr>
          <w:rStyle w:val="EndnoteReference"/>
          <w:rFonts w:eastAsia="Calibri"/>
          <w:szCs w:val="20"/>
          <w:lang w:eastAsia="en-US"/>
        </w:rPr>
        <w:endnoteReference w:id="8"/>
      </w:r>
      <w:r w:rsidRPr="00DB644A">
        <w:rPr>
          <w:rFonts w:eastAsia="Calibri"/>
          <w:szCs w:val="20"/>
          <w:lang w:eastAsia="en-US"/>
        </w:rPr>
        <w:t xml:space="preserve"> more likely to rate family violence in the community as a big problem. For example, in very remote areas, 29.2 per cent of respondents said family violence was a big problem (happens all or a lot of the time)</w:t>
      </w:r>
      <w:r w:rsidR="00456214" w:rsidRPr="00DB644A">
        <w:rPr>
          <w:rFonts w:eastAsia="Calibri"/>
          <w:szCs w:val="20"/>
          <w:lang w:eastAsia="en-US"/>
        </w:rPr>
        <w:t>;</w:t>
      </w:r>
      <w:r w:rsidRPr="00DB644A">
        <w:rPr>
          <w:rFonts w:eastAsia="Calibri"/>
          <w:szCs w:val="20"/>
          <w:lang w:eastAsia="en-US"/>
        </w:rPr>
        <w:t xml:space="preserve"> however</w:t>
      </w:r>
      <w:r w:rsidR="00456214" w:rsidRPr="00DB644A">
        <w:rPr>
          <w:rFonts w:eastAsia="Calibri"/>
          <w:szCs w:val="20"/>
          <w:lang w:eastAsia="en-US"/>
        </w:rPr>
        <w:t>,</w:t>
      </w:r>
      <w:r w:rsidRPr="00DB644A">
        <w:rPr>
          <w:rFonts w:eastAsia="Calibri"/>
          <w:szCs w:val="20"/>
          <w:lang w:eastAsia="en-US"/>
        </w:rPr>
        <w:t xml:space="preserve"> 17.5 per cent said it was a big problem in outer regional areas, and 7.5 per cent said it was a </w:t>
      </w:r>
      <w:r w:rsidR="006C7B21" w:rsidRPr="00DB644A">
        <w:rPr>
          <w:rFonts w:eastAsia="Calibri"/>
          <w:szCs w:val="20"/>
          <w:lang w:eastAsia="en-US"/>
        </w:rPr>
        <w:t xml:space="preserve">big </w:t>
      </w:r>
      <w:r w:rsidRPr="00DB644A">
        <w:rPr>
          <w:rFonts w:eastAsia="Calibri"/>
          <w:szCs w:val="20"/>
          <w:lang w:eastAsia="en-US"/>
        </w:rPr>
        <w:t>problem in major cities (</w:t>
      </w:r>
      <w:r w:rsidR="00D151F4" w:rsidRPr="00DB644A">
        <w:rPr>
          <w:rFonts w:eastAsia="Calibri"/>
          <w:szCs w:val="20"/>
          <w:lang w:eastAsia="en-US"/>
        </w:rPr>
        <w:t>F</w:t>
      </w:r>
      <w:r w:rsidR="007D3093">
        <w:rPr>
          <w:rFonts w:eastAsia="Calibri"/>
          <w:szCs w:val="20"/>
          <w:lang w:eastAsia="en-US"/>
        </w:rPr>
        <w:t>igure 11).</w:t>
      </w:r>
    </w:p>
    <w:p w:rsidR="007D3093" w:rsidRPr="007D3093" w:rsidRDefault="007D3093" w:rsidP="007D3093">
      <w:pPr>
        <w:spacing w:before="0" w:after="0" w:line="240" w:lineRule="auto"/>
        <w:jc w:val="both"/>
        <w:rPr>
          <w:rFonts w:eastAsia="Calibri"/>
          <w:szCs w:val="20"/>
          <w:lang w:eastAsia="en-US"/>
        </w:rPr>
      </w:pPr>
    </w:p>
    <w:p w:rsidR="003F6C3F" w:rsidRDefault="003466C6" w:rsidP="00D529EA">
      <w:pPr>
        <w:keepNext/>
        <w:spacing w:before="0" w:after="0" w:line="240" w:lineRule="auto"/>
        <w:rPr>
          <w:rFonts w:eastAsiaTheme="majorEastAsia"/>
          <w:b/>
          <w:bCs/>
          <w:spacing w:val="5"/>
        </w:rPr>
      </w:pPr>
      <w:r w:rsidRPr="00381B7E">
        <w:rPr>
          <w:b/>
        </w:rPr>
        <w:t xml:space="preserve">Figure </w:t>
      </w:r>
      <w:r w:rsidR="00171E73" w:rsidRPr="00381B7E">
        <w:rPr>
          <w:b/>
        </w:rPr>
        <w:t>11</w:t>
      </w:r>
      <w:r w:rsidRPr="00381B7E">
        <w:rPr>
          <w:b/>
        </w:rPr>
        <w:t xml:space="preserve">: </w:t>
      </w:r>
      <w:r w:rsidRPr="00381B7E">
        <w:rPr>
          <w:rFonts w:eastAsiaTheme="majorEastAsia"/>
          <w:b/>
          <w:bCs/>
          <w:spacing w:val="5"/>
        </w:rPr>
        <w:t xml:space="preserve">Perception of family violence in the community by </w:t>
      </w:r>
      <w:r w:rsidR="0010681E" w:rsidRPr="00381B7E">
        <w:rPr>
          <w:rFonts w:eastAsiaTheme="majorEastAsia"/>
          <w:b/>
          <w:bCs/>
          <w:spacing w:val="5"/>
        </w:rPr>
        <w:t xml:space="preserve">AGSC </w:t>
      </w:r>
      <w:r w:rsidR="00D151F4" w:rsidRPr="00381B7E">
        <w:rPr>
          <w:rFonts w:eastAsiaTheme="majorEastAsia"/>
          <w:b/>
          <w:bCs/>
          <w:spacing w:val="5"/>
        </w:rPr>
        <w:t>r</w:t>
      </w:r>
      <w:r w:rsidRPr="00381B7E">
        <w:rPr>
          <w:rFonts w:eastAsiaTheme="majorEastAsia"/>
          <w:b/>
          <w:bCs/>
          <w:spacing w:val="5"/>
        </w:rPr>
        <w:t>emoteness area (LSIC 2013)</w:t>
      </w:r>
    </w:p>
    <w:p w:rsidR="00321454" w:rsidRDefault="00321454" w:rsidP="00D529EA">
      <w:pPr>
        <w:keepNext/>
        <w:spacing w:before="0" w:after="0" w:line="240" w:lineRule="auto"/>
        <w:rPr>
          <w:rFonts w:eastAsiaTheme="majorEastAsia"/>
          <w:b/>
          <w:bCs/>
          <w:spacing w:val="5"/>
        </w:rPr>
      </w:pPr>
      <w:r w:rsidRPr="00321454">
        <w:rPr>
          <w:rFonts w:eastAsia="Calibri"/>
          <w:noProof/>
          <w:sz w:val="22"/>
          <w:szCs w:val="22"/>
        </w:rPr>
        <w:drawing>
          <wp:inline distT="0" distB="0" distL="0" distR="0" wp14:anchorId="1067251B" wp14:editId="60073F91">
            <wp:extent cx="5715000" cy="2943225"/>
            <wp:effectExtent l="0" t="0" r="19050" b="9525"/>
            <wp:docPr id="28" name="Chart 28" descr="Compares perceptions of family violence by remoteness areas." title="Figure 11: Perception of family violence in the community by AGSC remoteness area (LSIC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5CDE" w:rsidRDefault="000A5CDE" w:rsidP="00D529EA">
      <w:pPr>
        <w:keepNext/>
        <w:spacing w:before="0" w:after="0" w:line="240" w:lineRule="auto"/>
        <w:rPr>
          <w:rFonts w:eastAsiaTheme="majorEastAsia"/>
          <w:b/>
          <w:bCs/>
          <w:spacing w:val="5"/>
        </w:rPr>
      </w:pPr>
    </w:p>
    <w:p w:rsidR="003F6C3F" w:rsidRDefault="003F6C3F" w:rsidP="00D529EA">
      <w:pPr>
        <w:keepNext/>
        <w:spacing w:before="0" w:after="0" w:line="240" w:lineRule="auto"/>
        <w:rPr>
          <w:rFonts w:eastAsiaTheme="majorEastAsia"/>
          <w:b/>
          <w:bCs/>
          <w:spacing w:val="5"/>
        </w:rPr>
      </w:pPr>
    </w:p>
    <w:tbl>
      <w:tblPr>
        <w:tblStyle w:val="TableGrid"/>
        <w:tblW w:w="0" w:type="auto"/>
        <w:tblLook w:val="04A0" w:firstRow="1" w:lastRow="0" w:firstColumn="1" w:lastColumn="0" w:noHBand="0" w:noVBand="1"/>
        <w:tblCaption w:val="Figure 11: perception of family violence in the community by AGSC remoteness area "/>
        <w:tblDescription w:val="This figure and table show the perception of family violence in the community by AGSC remotess. it is broken down into 'happens all the time', happens a lot of the time, happens a bit of the time and doesn't happen here. The remoteness categories are Major cities, Inner regional, Outer regional, Remote and Very Remote"/>
      </w:tblPr>
      <w:tblGrid>
        <w:gridCol w:w="1525"/>
        <w:gridCol w:w="1519"/>
        <w:gridCol w:w="1523"/>
        <w:gridCol w:w="1523"/>
        <w:gridCol w:w="1523"/>
        <w:gridCol w:w="1521"/>
      </w:tblGrid>
      <w:tr w:rsidR="0095348E" w:rsidRPr="00D74A97" w:rsidTr="00246261">
        <w:trPr>
          <w:tblHeader/>
        </w:trPr>
        <w:tc>
          <w:tcPr>
            <w:tcW w:w="1540" w:type="dxa"/>
          </w:tcPr>
          <w:p w:rsidR="000A5CDE" w:rsidRPr="00D74A97" w:rsidRDefault="000A5CDE" w:rsidP="00D74A97">
            <w:pPr>
              <w:spacing w:before="0" w:after="0"/>
              <w:jc w:val="both"/>
              <w:rPr>
                <w:szCs w:val="20"/>
              </w:rPr>
            </w:pPr>
          </w:p>
        </w:tc>
        <w:tc>
          <w:tcPr>
            <w:tcW w:w="1540" w:type="dxa"/>
            <w:vAlign w:val="center"/>
          </w:tcPr>
          <w:p w:rsidR="000A5CDE" w:rsidRPr="00D74A97" w:rsidRDefault="0095348E" w:rsidP="00D74A97">
            <w:pPr>
              <w:spacing w:before="0" w:after="0"/>
              <w:jc w:val="center"/>
              <w:rPr>
                <w:szCs w:val="20"/>
              </w:rPr>
            </w:pPr>
            <w:r w:rsidRPr="00D74A97">
              <w:rPr>
                <w:szCs w:val="20"/>
              </w:rPr>
              <w:t>Major cities</w:t>
            </w:r>
          </w:p>
        </w:tc>
        <w:tc>
          <w:tcPr>
            <w:tcW w:w="1540" w:type="dxa"/>
            <w:vAlign w:val="center"/>
          </w:tcPr>
          <w:p w:rsidR="000A5CDE" w:rsidRPr="00D74A97" w:rsidRDefault="0095348E" w:rsidP="00D74A97">
            <w:pPr>
              <w:spacing w:before="0" w:after="0"/>
              <w:jc w:val="center"/>
              <w:rPr>
                <w:szCs w:val="20"/>
              </w:rPr>
            </w:pPr>
            <w:r w:rsidRPr="00D74A97">
              <w:rPr>
                <w:szCs w:val="20"/>
              </w:rPr>
              <w:t>Inner regional</w:t>
            </w:r>
          </w:p>
        </w:tc>
        <w:tc>
          <w:tcPr>
            <w:tcW w:w="1540" w:type="dxa"/>
            <w:vAlign w:val="center"/>
          </w:tcPr>
          <w:p w:rsidR="000A5CDE" w:rsidRPr="00D74A97" w:rsidRDefault="0095348E" w:rsidP="00D74A97">
            <w:pPr>
              <w:spacing w:before="0" w:after="0"/>
              <w:jc w:val="center"/>
              <w:rPr>
                <w:szCs w:val="20"/>
              </w:rPr>
            </w:pPr>
            <w:r w:rsidRPr="00D74A97">
              <w:rPr>
                <w:szCs w:val="20"/>
              </w:rPr>
              <w:t>Outer regional</w:t>
            </w:r>
          </w:p>
        </w:tc>
        <w:tc>
          <w:tcPr>
            <w:tcW w:w="1541" w:type="dxa"/>
            <w:vAlign w:val="center"/>
          </w:tcPr>
          <w:p w:rsidR="000A5CDE" w:rsidRPr="00D74A97" w:rsidRDefault="0095348E" w:rsidP="00D74A97">
            <w:pPr>
              <w:spacing w:before="0" w:after="0"/>
              <w:jc w:val="center"/>
              <w:rPr>
                <w:szCs w:val="20"/>
              </w:rPr>
            </w:pPr>
            <w:r w:rsidRPr="00D74A97">
              <w:rPr>
                <w:szCs w:val="20"/>
              </w:rPr>
              <w:t>Remote</w:t>
            </w:r>
          </w:p>
        </w:tc>
        <w:tc>
          <w:tcPr>
            <w:tcW w:w="1541" w:type="dxa"/>
            <w:vAlign w:val="center"/>
          </w:tcPr>
          <w:p w:rsidR="000A5CDE" w:rsidRPr="00D74A97" w:rsidRDefault="0095348E" w:rsidP="00D74A97">
            <w:pPr>
              <w:spacing w:before="0" w:after="0"/>
              <w:jc w:val="center"/>
              <w:rPr>
                <w:szCs w:val="20"/>
              </w:rPr>
            </w:pPr>
            <w:r w:rsidRPr="00D74A97">
              <w:rPr>
                <w:szCs w:val="20"/>
              </w:rPr>
              <w:t>Very remote</w:t>
            </w:r>
          </w:p>
        </w:tc>
      </w:tr>
      <w:tr w:rsidR="0095348E" w:rsidRPr="00D74A97" w:rsidTr="00D74A97">
        <w:tc>
          <w:tcPr>
            <w:tcW w:w="1540" w:type="dxa"/>
          </w:tcPr>
          <w:p w:rsidR="000A5CDE" w:rsidRPr="00D74A97" w:rsidRDefault="0095348E" w:rsidP="00D74A97">
            <w:pPr>
              <w:spacing w:before="0" w:after="0"/>
              <w:rPr>
                <w:szCs w:val="20"/>
              </w:rPr>
            </w:pPr>
            <w:r w:rsidRPr="00D74A97">
              <w:rPr>
                <w:szCs w:val="20"/>
              </w:rPr>
              <w:t>Happens all the time</w:t>
            </w:r>
          </w:p>
        </w:tc>
        <w:tc>
          <w:tcPr>
            <w:tcW w:w="1540" w:type="dxa"/>
            <w:vAlign w:val="center"/>
          </w:tcPr>
          <w:p w:rsidR="000A5CDE" w:rsidRPr="00D74A97" w:rsidRDefault="0095348E" w:rsidP="00D74A97">
            <w:pPr>
              <w:spacing w:before="0" w:after="0"/>
              <w:jc w:val="center"/>
              <w:rPr>
                <w:szCs w:val="20"/>
              </w:rPr>
            </w:pPr>
            <w:r w:rsidRPr="00D74A97">
              <w:rPr>
                <w:szCs w:val="20"/>
              </w:rPr>
              <w:t>1.9%</w:t>
            </w:r>
          </w:p>
        </w:tc>
        <w:tc>
          <w:tcPr>
            <w:tcW w:w="1540" w:type="dxa"/>
            <w:vAlign w:val="center"/>
          </w:tcPr>
          <w:p w:rsidR="000A5CDE" w:rsidRPr="00D74A97" w:rsidRDefault="00485D80" w:rsidP="00D74A97">
            <w:pPr>
              <w:spacing w:before="0" w:after="0"/>
              <w:jc w:val="center"/>
              <w:rPr>
                <w:szCs w:val="20"/>
              </w:rPr>
            </w:pPr>
            <w:r w:rsidRPr="00D74A97">
              <w:rPr>
                <w:szCs w:val="20"/>
              </w:rPr>
              <w:t>3.2%</w:t>
            </w:r>
          </w:p>
        </w:tc>
        <w:tc>
          <w:tcPr>
            <w:tcW w:w="1540" w:type="dxa"/>
            <w:vAlign w:val="center"/>
          </w:tcPr>
          <w:p w:rsidR="000A5CDE" w:rsidRPr="00D74A97" w:rsidRDefault="00485D80" w:rsidP="00D74A97">
            <w:pPr>
              <w:spacing w:before="0" w:after="0"/>
              <w:jc w:val="center"/>
              <w:rPr>
                <w:szCs w:val="20"/>
              </w:rPr>
            </w:pPr>
            <w:r w:rsidRPr="00D74A97">
              <w:rPr>
                <w:szCs w:val="20"/>
              </w:rPr>
              <w:t>2.2%</w:t>
            </w:r>
          </w:p>
        </w:tc>
        <w:tc>
          <w:tcPr>
            <w:tcW w:w="1541" w:type="dxa"/>
            <w:vAlign w:val="center"/>
          </w:tcPr>
          <w:p w:rsidR="000A5CDE" w:rsidRPr="00D74A97" w:rsidRDefault="00485D80" w:rsidP="00D74A97">
            <w:pPr>
              <w:spacing w:before="0" w:after="0"/>
              <w:jc w:val="center"/>
              <w:rPr>
                <w:szCs w:val="20"/>
              </w:rPr>
            </w:pPr>
            <w:r w:rsidRPr="00D74A97">
              <w:rPr>
                <w:szCs w:val="20"/>
              </w:rPr>
              <w:t>6.2%</w:t>
            </w:r>
          </w:p>
        </w:tc>
        <w:tc>
          <w:tcPr>
            <w:tcW w:w="1541" w:type="dxa"/>
            <w:vAlign w:val="center"/>
          </w:tcPr>
          <w:p w:rsidR="000A5CDE" w:rsidRPr="00D74A97" w:rsidRDefault="00485D80" w:rsidP="00D74A97">
            <w:pPr>
              <w:spacing w:before="0" w:after="0"/>
              <w:jc w:val="center"/>
              <w:rPr>
                <w:szCs w:val="20"/>
              </w:rPr>
            </w:pPr>
            <w:r w:rsidRPr="00D74A97">
              <w:rPr>
                <w:szCs w:val="20"/>
              </w:rPr>
              <w:t>14.2%</w:t>
            </w:r>
          </w:p>
        </w:tc>
      </w:tr>
      <w:tr w:rsidR="0095348E" w:rsidRPr="00D74A97" w:rsidTr="00D74A97">
        <w:tc>
          <w:tcPr>
            <w:tcW w:w="1540" w:type="dxa"/>
          </w:tcPr>
          <w:p w:rsidR="000A5CDE" w:rsidRPr="00D74A97" w:rsidRDefault="0095348E" w:rsidP="00D74A97">
            <w:pPr>
              <w:spacing w:before="0" w:after="0"/>
              <w:rPr>
                <w:szCs w:val="20"/>
              </w:rPr>
            </w:pPr>
            <w:r w:rsidRPr="00D74A97">
              <w:rPr>
                <w:szCs w:val="20"/>
              </w:rPr>
              <w:t>Happens a lot of the time</w:t>
            </w:r>
          </w:p>
        </w:tc>
        <w:tc>
          <w:tcPr>
            <w:tcW w:w="1540" w:type="dxa"/>
            <w:vAlign w:val="center"/>
          </w:tcPr>
          <w:p w:rsidR="000A5CDE" w:rsidRPr="00D74A97" w:rsidRDefault="0095348E" w:rsidP="00D74A97">
            <w:pPr>
              <w:spacing w:before="0" w:after="0"/>
              <w:jc w:val="center"/>
              <w:rPr>
                <w:szCs w:val="20"/>
              </w:rPr>
            </w:pPr>
            <w:r w:rsidRPr="00D74A97">
              <w:rPr>
                <w:szCs w:val="20"/>
              </w:rPr>
              <w:t>5.6%</w:t>
            </w:r>
          </w:p>
        </w:tc>
        <w:tc>
          <w:tcPr>
            <w:tcW w:w="1540" w:type="dxa"/>
            <w:vAlign w:val="center"/>
          </w:tcPr>
          <w:p w:rsidR="000A5CDE" w:rsidRPr="00D74A97" w:rsidRDefault="00485D80" w:rsidP="00D74A97">
            <w:pPr>
              <w:spacing w:before="0" w:after="0"/>
              <w:jc w:val="center"/>
              <w:rPr>
                <w:szCs w:val="20"/>
              </w:rPr>
            </w:pPr>
            <w:r w:rsidRPr="00D74A97">
              <w:rPr>
                <w:szCs w:val="20"/>
              </w:rPr>
              <w:t>8.3%</w:t>
            </w:r>
          </w:p>
        </w:tc>
        <w:tc>
          <w:tcPr>
            <w:tcW w:w="1540" w:type="dxa"/>
            <w:vAlign w:val="center"/>
          </w:tcPr>
          <w:p w:rsidR="000A5CDE" w:rsidRPr="00D74A97" w:rsidRDefault="00485D80" w:rsidP="00D74A97">
            <w:pPr>
              <w:spacing w:before="0" w:after="0"/>
              <w:jc w:val="center"/>
              <w:rPr>
                <w:szCs w:val="20"/>
              </w:rPr>
            </w:pPr>
            <w:r w:rsidRPr="00D74A97">
              <w:rPr>
                <w:szCs w:val="20"/>
              </w:rPr>
              <w:t>15.3%</w:t>
            </w:r>
          </w:p>
        </w:tc>
        <w:tc>
          <w:tcPr>
            <w:tcW w:w="1541" w:type="dxa"/>
            <w:vAlign w:val="center"/>
          </w:tcPr>
          <w:p w:rsidR="000A5CDE" w:rsidRPr="00D74A97" w:rsidRDefault="00485D80" w:rsidP="00D74A97">
            <w:pPr>
              <w:spacing w:before="0" w:after="0"/>
              <w:jc w:val="center"/>
              <w:rPr>
                <w:szCs w:val="20"/>
              </w:rPr>
            </w:pPr>
            <w:r w:rsidRPr="00D74A97">
              <w:rPr>
                <w:szCs w:val="20"/>
              </w:rPr>
              <w:t>12.4%</w:t>
            </w:r>
          </w:p>
        </w:tc>
        <w:tc>
          <w:tcPr>
            <w:tcW w:w="1541" w:type="dxa"/>
            <w:vAlign w:val="center"/>
          </w:tcPr>
          <w:p w:rsidR="000A5CDE" w:rsidRPr="00D74A97" w:rsidRDefault="00485D80" w:rsidP="00D74A97">
            <w:pPr>
              <w:spacing w:before="0" w:after="0"/>
              <w:jc w:val="center"/>
              <w:rPr>
                <w:szCs w:val="20"/>
              </w:rPr>
            </w:pPr>
            <w:r w:rsidRPr="00D74A97">
              <w:rPr>
                <w:szCs w:val="20"/>
              </w:rPr>
              <w:t>15.1%</w:t>
            </w:r>
          </w:p>
        </w:tc>
      </w:tr>
      <w:tr w:rsidR="0095348E" w:rsidRPr="00D74A97" w:rsidTr="00D74A97">
        <w:tc>
          <w:tcPr>
            <w:tcW w:w="1540" w:type="dxa"/>
          </w:tcPr>
          <w:p w:rsidR="000A5CDE" w:rsidRPr="00D74A97" w:rsidRDefault="0095348E" w:rsidP="00D74A97">
            <w:pPr>
              <w:spacing w:before="0" w:after="0"/>
              <w:rPr>
                <w:szCs w:val="20"/>
              </w:rPr>
            </w:pPr>
            <w:r w:rsidRPr="00D74A97">
              <w:rPr>
                <w:szCs w:val="20"/>
              </w:rPr>
              <w:t>Happens a bit of the time</w:t>
            </w:r>
          </w:p>
        </w:tc>
        <w:tc>
          <w:tcPr>
            <w:tcW w:w="1540" w:type="dxa"/>
            <w:vAlign w:val="center"/>
          </w:tcPr>
          <w:p w:rsidR="000A5CDE" w:rsidRPr="00D74A97" w:rsidRDefault="0095348E" w:rsidP="00D74A97">
            <w:pPr>
              <w:spacing w:before="0" w:after="0"/>
              <w:jc w:val="center"/>
              <w:rPr>
                <w:szCs w:val="20"/>
              </w:rPr>
            </w:pPr>
            <w:r w:rsidRPr="00D74A97">
              <w:rPr>
                <w:szCs w:val="20"/>
              </w:rPr>
              <w:t>10.3%</w:t>
            </w:r>
          </w:p>
        </w:tc>
        <w:tc>
          <w:tcPr>
            <w:tcW w:w="1540" w:type="dxa"/>
            <w:vAlign w:val="center"/>
          </w:tcPr>
          <w:p w:rsidR="000A5CDE" w:rsidRPr="00D74A97" w:rsidRDefault="00485D80" w:rsidP="00D74A97">
            <w:pPr>
              <w:spacing w:before="0" w:after="0"/>
              <w:jc w:val="center"/>
              <w:rPr>
                <w:szCs w:val="20"/>
              </w:rPr>
            </w:pPr>
            <w:r w:rsidRPr="00D74A97">
              <w:rPr>
                <w:szCs w:val="20"/>
              </w:rPr>
              <w:t>15.1%</w:t>
            </w:r>
          </w:p>
        </w:tc>
        <w:tc>
          <w:tcPr>
            <w:tcW w:w="1540" w:type="dxa"/>
            <w:vAlign w:val="center"/>
          </w:tcPr>
          <w:p w:rsidR="000A5CDE" w:rsidRPr="00D74A97" w:rsidRDefault="00485D80" w:rsidP="00D74A97">
            <w:pPr>
              <w:spacing w:before="0" w:after="0"/>
              <w:jc w:val="center"/>
              <w:rPr>
                <w:szCs w:val="20"/>
              </w:rPr>
            </w:pPr>
            <w:r w:rsidRPr="00D74A97">
              <w:rPr>
                <w:szCs w:val="20"/>
              </w:rPr>
              <w:t>15.3%</w:t>
            </w:r>
          </w:p>
        </w:tc>
        <w:tc>
          <w:tcPr>
            <w:tcW w:w="1541" w:type="dxa"/>
            <w:vAlign w:val="center"/>
          </w:tcPr>
          <w:p w:rsidR="000A5CDE" w:rsidRPr="00D74A97" w:rsidRDefault="00485D80" w:rsidP="00D74A97">
            <w:pPr>
              <w:spacing w:before="0" w:after="0"/>
              <w:jc w:val="center"/>
              <w:rPr>
                <w:szCs w:val="20"/>
              </w:rPr>
            </w:pPr>
            <w:r w:rsidRPr="00D74A97">
              <w:rPr>
                <w:szCs w:val="20"/>
              </w:rPr>
              <w:t>17.7%</w:t>
            </w:r>
          </w:p>
        </w:tc>
        <w:tc>
          <w:tcPr>
            <w:tcW w:w="1541" w:type="dxa"/>
            <w:vAlign w:val="center"/>
          </w:tcPr>
          <w:p w:rsidR="000A5CDE" w:rsidRPr="00D74A97" w:rsidRDefault="00485D80" w:rsidP="00D74A97">
            <w:pPr>
              <w:spacing w:before="0" w:after="0"/>
              <w:jc w:val="center"/>
              <w:rPr>
                <w:szCs w:val="20"/>
              </w:rPr>
            </w:pPr>
            <w:r w:rsidRPr="00D74A97">
              <w:rPr>
                <w:szCs w:val="20"/>
              </w:rPr>
              <w:t>21.9%</w:t>
            </w:r>
          </w:p>
        </w:tc>
      </w:tr>
      <w:tr w:rsidR="0095348E" w:rsidRPr="00D74A97" w:rsidTr="00D74A97">
        <w:tc>
          <w:tcPr>
            <w:tcW w:w="1540" w:type="dxa"/>
          </w:tcPr>
          <w:p w:rsidR="000A5CDE" w:rsidRPr="00D74A97" w:rsidRDefault="0095348E" w:rsidP="00D74A97">
            <w:pPr>
              <w:spacing w:before="0" w:after="0"/>
              <w:rPr>
                <w:szCs w:val="20"/>
              </w:rPr>
            </w:pPr>
            <w:r w:rsidRPr="00D74A97">
              <w:rPr>
                <w:szCs w:val="20"/>
              </w:rPr>
              <w:t>Doesn’t happen here</w:t>
            </w:r>
          </w:p>
        </w:tc>
        <w:tc>
          <w:tcPr>
            <w:tcW w:w="1540" w:type="dxa"/>
            <w:vAlign w:val="center"/>
          </w:tcPr>
          <w:p w:rsidR="000A5CDE" w:rsidRPr="00D74A97" w:rsidRDefault="00485D80" w:rsidP="00D74A97">
            <w:pPr>
              <w:spacing w:before="0" w:after="0"/>
              <w:jc w:val="center"/>
              <w:rPr>
                <w:szCs w:val="20"/>
              </w:rPr>
            </w:pPr>
            <w:r w:rsidRPr="00D74A97">
              <w:rPr>
                <w:szCs w:val="20"/>
              </w:rPr>
              <w:t>82.3%</w:t>
            </w:r>
          </w:p>
        </w:tc>
        <w:tc>
          <w:tcPr>
            <w:tcW w:w="1540" w:type="dxa"/>
            <w:vAlign w:val="center"/>
          </w:tcPr>
          <w:p w:rsidR="000A5CDE" w:rsidRPr="00D74A97" w:rsidRDefault="00485D80" w:rsidP="00D74A97">
            <w:pPr>
              <w:spacing w:before="0" w:after="0"/>
              <w:jc w:val="center"/>
              <w:rPr>
                <w:szCs w:val="20"/>
              </w:rPr>
            </w:pPr>
            <w:r w:rsidRPr="00D74A97">
              <w:rPr>
                <w:szCs w:val="20"/>
              </w:rPr>
              <w:t>73.4%</w:t>
            </w:r>
          </w:p>
        </w:tc>
        <w:tc>
          <w:tcPr>
            <w:tcW w:w="1540" w:type="dxa"/>
            <w:vAlign w:val="center"/>
          </w:tcPr>
          <w:p w:rsidR="000A5CDE" w:rsidRPr="00D74A97" w:rsidRDefault="00485D80" w:rsidP="00D74A97">
            <w:pPr>
              <w:spacing w:before="0" w:after="0"/>
              <w:jc w:val="center"/>
              <w:rPr>
                <w:szCs w:val="20"/>
              </w:rPr>
            </w:pPr>
            <w:r w:rsidRPr="00D74A97">
              <w:rPr>
                <w:szCs w:val="20"/>
              </w:rPr>
              <w:t>67.2%</w:t>
            </w:r>
          </w:p>
        </w:tc>
        <w:tc>
          <w:tcPr>
            <w:tcW w:w="1541" w:type="dxa"/>
            <w:vAlign w:val="center"/>
          </w:tcPr>
          <w:p w:rsidR="000A5CDE" w:rsidRPr="00D74A97" w:rsidRDefault="00485D80" w:rsidP="00D74A97">
            <w:pPr>
              <w:spacing w:before="0" w:after="0"/>
              <w:jc w:val="center"/>
              <w:rPr>
                <w:szCs w:val="20"/>
              </w:rPr>
            </w:pPr>
            <w:r w:rsidRPr="00D74A97">
              <w:rPr>
                <w:szCs w:val="20"/>
              </w:rPr>
              <w:t>63.7%</w:t>
            </w:r>
          </w:p>
        </w:tc>
        <w:tc>
          <w:tcPr>
            <w:tcW w:w="1541" w:type="dxa"/>
            <w:vAlign w:val="center"/>
          </w:tcPr>
          <w:p w:rsidR="000A5CDE" w:rsidRPr="00D74A97" w:rsidRDefault="00485D80" w:rsidP="00D74A97">
            <w:pPr>
              <w:spacing w:before="0" w:after="0"/>
              <w:jc w:val="center"/>
              <w:rPr>
                <w:szCs w:val="20"/>
              </w:rPr>
            </w:pPr>
            <w:r w:rsidRPr="00D74A97">
              <w:rPr>
                <w:szCs w:val="20"/>
              </w:rPr>
              <w:t>48.9%</w:t>
            </w:r>
          </w:p>
        </w:tc>
      </w:tr>
    </w:tbl>
    <w:p w:rsidR="00DF6C34" w:rsidRDefault="00DF6C34" w:rsidP="003A730F">
      <w:pPr>
        <w:spacing w:before="0" w:after="200" w:line="276" w:lineRule="auto"/>
        <w:jc w:val="both"/>
        <w:rPr>
          <w:rFonts w:eastAsia="Calibri"/>
          <w:szCs w:val="20"/>
          <w:lang w:eastAsia="en-US"/>
        </w:rPr>
      </w:pPr>
    </w:p>
    <w:p w:rsidR="008F1FBB" w:rsidRDefault="008F1FBB">
      <w:pPr>
        <w:spacing w:before="0" w:after="0" w:line="240" w:lineRule="auto"/>
        <w:rPr>
          <w:rFonts w:eastAsia="Calibri"/>
          <w:szCs w:val="20"/>
          <w:lang w:eastAsia="en-US"/>
        </w:rPr>
      </w:pPr>
      <w:r>
        <w:rPr>
          <w:rFonts w:eastAsia="Calibri"/>
          <w:szCs w:val="20"/>
          <w:lang w:eastAsia="en-US"/>
        </w:rPr>
        <w:br w:type="page"/>
      </w:r>
    </w:p>
    <w:p w:rsidR="009F3154" w:rsidRPr="00DB644A" w:rsidRDefault="009F3154" w:rsidP="003A730F">
      <w:pPr>
        <w:spacing w:before="0" w:after="200" w:line="276" w:lineRule="auto"/>
        <w:jc w:val="both"/>
        <w:rPr>
          <w:rFonts w:eastAsia="Calibri"/>
          <w:szCs w:val="20"/>
          <w:lang w:eastAsia="en-US"/>
        </w:rPr>
      </w:pPr>
      <w:r w:rsidRPr="00DB644A">
        <w:rPr>
          <w:rFonts w:eastAsia="Calibri"/>
          <w:szCs w:val="20"/>
          <w:lang w:eastAsia="en-US"/>
        </w:rPr>
        <w:lastRenderedPageBreak/>
        <w:t xml:space="preserve">The relationship of remoteness area to personal experience of </w:t>
      </w:r>
      <w:r w:rsidR="00AE4525" w:rsidRPr="00DB644A">
        <w:rPr>
          <w:rFonts w:eastAsia="Calibri"/>
          <w:szCs w:val="20"/>
          <w:lang w:eastAsia="en-US"/>
        </w:rPr>
        <w:t>partner violence</w:t>
      </w:r>
      <w:r w:rsidRPr="00DB644A">
        <w:rPr>
          <w:rFonts w:eastAsia="Calibri"/>
          <w:szCs w:val="20"/>
          <w:lang w:eastAsia="en-US"/>
        </w:rPr>
        <w:t xml:space="preserve"> is complex, and </w:t>
      </w:r>
      <w:r w:rsidR="00AE4525" w:rsidRPr="00DB644A">
        <w:rPr>
          <w:rFonts w:eastAsia="Calibri"/>
          <w:szCs w:val="20"/>
          <w:lang w:eastAsia="en-US"/>
        </w:rPr>
        <w:t>partner violence</w:t>
      </w:r>
      <w:r w:rsidRPr="00DB644A">
        <w:rPr>
          <w:rFonts w:eastAsia="Calibri"/>
          <w:szCs w:val="20"/>
          <w:lang w:eastAsia="en-US"/>
        </w:rPr>
        <w:t xml:space="preserve"> doesn’t increase incrementally with each level of remoteness in the same way as the perceptions of community violence increase. Instead, Major Cities share the same pattern with Inner Regional </w:t>
      </w:r>
      <w:proofErr w:type="gramStart"/>
      <w:r w:rsidRPr="00DB644A">
        <w:rPr>
          <w:rFonts w:eastAsia="Calibri"/>
          <w:szCs w:val="20"/>
          <w:lang w:eastAsia="en-US"/>
        </w:rPr>
        <w:t>Areas,</w:t>
      </w:r>
      <w:proofErr w:type="gramEnd"/>
      <w:r w:rsidRPr="00DB644A">
        <w:rPr>
          <w:rFonts w:eastAsia="Calibri"/>
          <w:szCs w:val="20"/>
          <w:lang w:eastAsia="en-US"/>
        </w:rPr>
        <w:t xml:space="preserve"> while Outer Regional, Remote and Very Remote areas share a pattern (see </w:t>
      </w:r>
      <w:r w:rsidR="006C7B21" w:rsidRPr="00DB644A">
        <w:rPr>
          <w:rFonts w:eastAsia="Calibri"/>
          <w:szCs w:val="20"/>
          <w:lang w:eastAsia="en-US"/>
        </w:rPr>
        <w:t>F</w:t>
      </w:r>
      <w:r w:rsidRPr="00DB644A">
        <w:rPr>
          <w:rFonts w:eastAsia="Calibri"/>
          <w:szCs w:val="20"/>
          <w:lang w:eastAsia="en-US"/>
        </w:rPr>
        <w:t>igure 12).</w:t>
      </w:r>
    </w:p>
    <w:p w:rsidR="00CF03B2" w:rsidRPr="00381B7E" w:rsidRDefault="00F837D6" w:rsidP="00D529EA">
      <w:pPr>
        <w:keepNext/>
        <w:spacing w:before="0" w:after="0" w:line="240" w:lineRule="auto"/>
        <w:rPr>
          <w:rFonts w:eastAsiaTheme="majorEastAsia"/>
          <w:b/>
          <w:bCs/>
          <w:spacing w:val="5"/>
        </w:rPr>
      </w:pPr>
      <w:r w:rsidRPr="00381B7E">
        <w:rPr>
          <w:b/>
        </w:rPr>
        <w:t xml:space="preserve">Figure </w:t>
      </w:r>
      <w:r w:rsidR="00171E73" w:rsidRPr="00381B7E">
        <w:rPr>
          <w:b/>
        </w:rPr>
        <w:t>12</w:t>
      </w:r>
      <w:r w:rsidRPr="00381B7E">
        <w:rPr>
          <w:b/>
        </w:rPr>
        <w:t xml:space="preserve">: </w:t>
      </w:r>
      <w:r w:rsidRPr="00381B7E">
        <w:rPr>
          <w:rFonts w:eastAsiaTheme="majorEastAsia"/>
          <w:b/>
          <w:bCs/>
          <w:spacing w:val="5"/>
        </w:rPr>
        <w:t>Perception of family violence in the community and experience in the home</w:t>
      </w:r>
      <w:r w:rsidR="005402E6" w:rsidRPr="00381B7E">
        <w:rPr>
          <w:rFonts w:eastAsiaTheme="majorEastAsia"/>
          <w:b/>
          <w:bCs/>
          <w:spacing w:val="5"/>
        </w:rPr>
        <w:t>—</w:t>
      </w:r>
      <w:r w:rsidRPr="00381B7E">
        <w:rPr>
          <w:rFonts w:eastAsiaTheme="majorEastAsia"/>
          <w:b/>
          <w:bCs/>
          <w:spacing w:val="5"/>
        </w:rPr>
        <w:t>differences by Remoteness Area (LSIC 2013)</w:t>
      </w:r>
    </w:p>
    <w:p w:rsidR="00F837D6" w:rsidRDefault="00C43240" w:rsidP="00F837D6">
      <w:pPr>
        <w:spacing w:before="0" w:after="0" w:line="240" w:lineRule="auto"/>
        <w:rPr>
          <w:noProof/>
        </w:rPr>
      </w:pPr>
      <w:r>
        <w:rPr>
          <w:noProof/>
        </w:rPr>
        <w:drawing>
          <wp:inline distT="0" distB="0" distL="0" distR="0" wp14:anchorId="417BCC2E" wp14:editId="4554E5F0">
            <wp:extent cx="5715000" cy="3038475"/>
            <wp:effectExtent l="0" t="0" r="19050" b="9525"/>
            <wp:docPr id="9" name="Chart 9" descr="Considers family violence perceptions and experience of across remoteness areas." title="Figure 12: Perception of family violence in the community and experience in the home—differences by Remoteness Area and community disadvantage (LSIC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A5CDE" w:rsidRDefault="000A5CDE" w:rsidP="00F837D6">
      <w:pPr>
        <w:spacing w:before="0" w:after="0" w:line="240" w:lineRule="auto"/>
        <w:rPr>
          <w:noProof/>
        </w:rPr>
      </w:pPr>
    </w:p>
    <w:p w:rsidR="003F6C3F" w:rsidRDefault="003F6C3F" w:rsidP="00F837D6">
      <w:pPr>
        <w:spacing w:before="0" w:after="0" w:line="240" w:lineRule="auto"/>
        <w:rPr>
          <w:noProof/>
        </w:rPr>
      </w:pPr>
    </w:p>
    <w:tbl>
      <w:tblPr>
        <w:tblStyle w:val="TableGrid"/>
        <w:tblW w:w="0" w:type="auto"/>
        <w:tblLook w:val="04A0" w:firstRow="1" w:lastRow="0" w:firstColumn="1" w:lastColumn="0" w:noHBand="0" w:noVBand="1"/>
        <w:tblCaption w:val="Figure 12: Perception of family violence in the community and experience in the home, by differences in remotess area."/>
        <w:tblDescription w:val="This figure and table show the percentage of perception of family violoence by remoteness area."/>
      </w:tblPr>
      <w:tblGrid>
        <w:gridCol w:w="2552"/>
        <w:gridCol w:w="3402"/>
        <w:gridCol w:w="3180"/>
      </w:tblGrid>
      <w:tr w:rsidR="00F80E90" w:rsidRPr="00D74A97" w:rsidTr="00246261">
        <w:trPr>
          <w:tblHeader/>
        </w:trPr>
        <w:tc>
          <w:tcPr>
            <w:tcW w:w="2552" w:type="dxa"/>
          </w:tcPr>
          <w:p w:rsidR="000A5CDE" w:rsidRPr="00D74A97" w:rsidRDefault="000A5CDE" w:rsidP="00D74A97">
            <w:pPr>
              <w:spacing w:before="0" w:after="0"/>
              <w:jc w:val="both"/>
              <w:rPr>
                <w:szCs w:val="20"/>
              </w:rPr>
            </w:pPr>
          </w:p>
        </w:tc>
        <w:tc>
          <w:tcPr>
            <w:tcW w:w="3402" w:type="dxa"/>
            <w:vAlign w:val="center"/>
          </w:tcPr>
          <w:p w:rsidR="000A5CDE" w:rsidRPr="00D74A97" w:rsidRDefault="00485D80" w:rsidP="00F80E90">
            <w:pPr>
              <w:spacing w:before="0" w:after="0"/>
              <w:jc w:val="center"/>
              <w:rPr>
                <w:szCs w:val="20"/>
              </w:rPr>
            </w:pPr>
            <w:r w:rsidRPr="00D74A97">
              <w:rPr>
                <w:szCs w:val="20"/>
              </w:rPr>
              <w:t>Urban (Remoteness areas 1 and 2)</w:t>
            </w:r>
          </w:p>
        </w:tc>
        <w:tc>
          <w:tcPr>
            <w:tcW w:w="3180" w:type="dxa"/>
            <w:vAlign w:val="center"/>
          </w:tcPr>
          <w:p w:rsidR="000A5CDE" w:rsidRPr="00D74A97" w:rsidRDefault="00485D80" w:rsidP="00F80E90">
            <w:pPr>
              <w:spacing w:before="0" w:after="0"/>
              <w:jc w:val="center"/>
              <w:rPr>
                <w:szCs w:val="20"/>
              </w:rPr>
            </w:pPr>
            <w:r w:rsidRPr="00D74A97">
              <w:rPr>
                <w:szCs w:val="20"/>
              </w:rPr>
              <w:t>Remote (Remoteness areas 3-5)</w:t>
            </w:r>
          </w:p>
        </w:tc>
      </w:tr>
      <w:tr w:rsidR="00F80E90" w:rsidRPr="00D74A97" w:rsidTr="00F80E90">
        <w:tc>
          <w:tcPr>
            <w:tcW w:w="2552" w:type="dxa"/>
          </w:tcPr>
          <w:p w:rsidR="000A5CDE" w:rsidRPr="00D74A97" w:rsidRDefault="00485D80" w:rsidP="00F80E90">
            <w:pPr>
              <w:spacing w:before="0" w:after="0"/>
              <w:rPr>
                <w:szCs w:val="20"/>
              </w:rPr>
            </w:pPr>
            <w:r w:rsidRPr="00D74A97">
              <w:rPr>
                <w:szCs w:val="20"/>
              </w:rPr>
              <w:t>Perception of family violence in the community</w:t>
            </w:r>
          </w:p>
        </w:tc>
        <w:tc>
          <w:tcPr>
            <w:tcW w:w="3402" w:type="dxa"/>
            <w:vAlign w:val="center"/>
          </w:tcPr>
          <w:p w:rsidR="000A5CDE" w:rsidRPr="00D74A97" w:rsidRDefault="00485D80" w:rsidP="00F80E90">
            <w:pPr>
              <w:spacing w:before="0" w:after="0"/>
              <w:jc w:val="center"/>
              <w:rPr>
                <w:szCs w:val="20"/>
              </w:rPr>
            </w:pPr>
            <w:r w:rsidRPr="00D74A97">
              <w:rPr>
                <w:szCs w:val="20"/>
              </w:rPr>
              <w:t>9.5%</w:t>
            </w:r>
          </w:p>
        </w:tc>
        <w:tc>
          <w:tcPr>
            <w:tcW w:w="3180" w:type="dxa"/>
            <w:vAlign w:val="center"/>
          </w:tcPr>
          <w:p w:rsidR="000A5CDE" w:rsidRPr="00D74A97" w:rsidRDefault="00485D80" w:rsidP="00F80E90">
            <w:pPr>
              <w:spacing w:before="0" w:after="0"/>
              <w:jc w:val="center"/>
              <w:rPr>
                <w:szCs w:val="20"/>
              </w:rPr>
            </w:pPr>
            <w:r w:rsidRPr="00D74A97">
              <w:rPr>
                <w:szCs w:val="20"/>
              </w:rPr>
              <w:t>22.7%</w:t>
            </w:r>
          </w:p>
        </w:tc>
      </w:tr>
      <w:tr w:rsidR="00F80E90" w:rsidRPr="00D74A97" w:rsidTr="00F80E90">
        <w:tc>
          <w:tcPr>
            <w:tcW w:w="2552" w:type="dxa"/>
          </w:tcPr>
          <w:p w:rsidR="000A5CDE" w:rsidRPr="00D74A97" w:rsidRDefault="00485D80" w:rsidP="0089648C">
            <w:pPr>
              <w:spacing w:before="0" w:after="0"/>
              <w:rPr>
                <w:szCs w:val="20"/>
              </w:rPr>
            </w:pPr>
            <w:r w:rsidRPr="00D74A97">
              <w:rPr>
                <w:szCs w:val="20"/>
              </w:rPr>
              <w:t xml:space="preserve">Experience of </w:t>
            </w:r>
            <w:r w:rsidR="0089648C">
              <w:rPr>
                <w:szCs w:val="20"/>
              </w:rPr>
              <w:t>partner violence in the home</w:t>
            </w:r>
          </w:p>
        </w:tc>
        <w:tc>
          <w:tcPr>
            <w:tcW w:w="3402" w:type="dxa"/>
            <w:vAlign w:val="center"/>
          </w:tcPr>
          <w:p w:rsidR="000A5CDE" w:rsidRPr="00D74A97" w:rsidRDefault="00485D80" w:rsidP="00F80E90">
            <w:pPr>
              <w:spacing w:before="0" w:after="0"/>
              <w:jc w:val="center"/>
              <w:rPr>
                <w:szCs w:val="20"/>
              </w:rPr>
            </w:pPr>
            <w:r w:rsidRPr="00D74A97">
              <w:rPr>
                <w:szCs w:val="20"/>
              </w:rPr>
              <w:t>5.5%</w:t>
            </w:r>
          </w:p>
        </w:tc>
        <w:tc>
          <w:tcPr>
            <w:tcW w:w="3180" w:type="dxa"/>
            <w:vAlign w:val="center"/>
          </w:tcPr>
          <w:p w:rsidR="000A5CDE" w:rsidRPr="00D74A97" w:rsidRDefault="00485D80" w:rsidP="00F80E90">
            <w:pPr>
              <w:spacing w:before="0" w:after="0"/>
              <w:jc w:val="center"/>
              <w:rPr>
                <w:szCs w:val="20"/>
              </w:rPr>
            </w:pPr>
            <w:r w:rsidRPr="00D74A97">
              <w:rPr>
                <w:szCs w:val="20"/>
              </w:rPr>
              <w:t>9.9%</w:t>
            </w:r>
          </w:p>
        </w:tc>
      </w:tr>
    </w:tbl>
    <w:p w:rsidR="00A94723" w:rsidRDefault="00A94723" w:rsidP="00D529EA">
      <w:pPr>
        <w:spacing w:before="0" w:after="200" w:line="276" w:lineRule="auto"/>
        <w:jc w:val="both"/>
        <w:rPr>
          <w:rFonts w:eastAsia="Calibri"/>
          <w:szCs w:val="20"/>
          <w:lang w:eastAsia="en-US"/>
        </w:rPr>
      </w:pPr>
    </w:p>
    <w:p w:rsidR="008F1FBB" w:rsidRDefault="008F1FBB">
      <w:pPr>
        <w:spacing w:before="0" w:after="0" w:line="240" w:lineRule="auto"/>
        <w:rPr>
          <w:rFonts w:eastAsia="Calibri"/>
          <w:szCs w:val="20"/>
          <w:lang w:eastAsia="en-US"/>
        </w:rPr>
      </w:pPr>
      <w:r>
        <w:rPr>
          <w:rFonts w:eastAsia="Calibri"/>
          <w:szCs w:val="20"/>
          <w:lang w:eastAsia="en-US"/>
        </w:rPr>
        <w:br w:type="page"/>
      </w:r>
    </w:p>
    <w:p w:rsidR="003F6C3F" w:rsidRPr="00DB644A" w:rsidRDefault="006D4F0C" w:rsidP="00D529EA">
      <w:pPr>
        <w:spacing w:before="0" w:after="200" w:line="276" w:lineRule="auto"/>
        <w:jc w:val="both"/>
        <w:rPr>
          <w:rFonts w:eastAsia="Calibri"/>
          <w:szCs w:val="20"/>
          <w:lang w:eastAsia="en-US"/>
        </w:rPr>
      </w:pPr>
      <w:r w:rsidRPr="00DB644A">
        <w:rPr>
          <w:rFonts w:eastAsia="Calibri"/>
          <w:szCs w:val="20"/>
          <w:lang w:eastAsia="en-US"/>
        </w:rPr>
        <w:lastRenderedPageBreak/>
        <w:t>Perceptions of family violence in the community were also significantly</w:t>
      </w:r>
      <w:r w:rsidR="00035FE2" w:rsidRPr="00DB644A">
        <w:rPr>
          <w:rStyle w:val="EndnoteReference"/>
          <w:rFonts w:eastAsia="Calibri"/>
          <w:szCs w:val="20"/>
          <w:lang w:eastAsia="en-US"/>
        </w:rPr>
        <w:endnoteReference w:id="9"/>
      </w:r>
      <w:r w:rsidRPr="00DB644A">
        <w:rPr>
          <w:rFonts w:eastAsia="Calibri"/>
          <w:szCs w:val="20"/>
          <w:lang w:eastAsia="en-US"/>
        </w:rPr>
        <w:t xml:space="preserve"> related to the Socio-Economic Indexes for Areas (SEIFA) Index of Relative Socio-Economic Disadvantage (see Figure 13). Among families living in the lowest SEIFA </w:t>
      </w:r>
      <w:proofErr w:type="spellStart"/>
      <w:r w:rsidRPr="00DB644A">
        <w:rPr>
          <w:rFonts w:eastAsia="Calibri"/>
          <w:szCs w:val="20"/>
          <w:lang w:eastAsia="en-US"/>
        </w:rPr>
        <w:t>decile</w:t>
      </w:r>
      <w:proofErr w:type="spellEnd"/>
      <w:r w:rsidRPr="00DB644A">
        <w:rPr>
          <w:rFonts w:eastAsia="Calibri"/>
          <w:szCs w:val="20"/>
          <w:lang w:eastAsia="en-US"/>
        </w:rPr>
        <w:t xml:space="preserve"> (where 43.4 per cent of LSIC families live), 23.5 per cent identified family violence as a big problem in their community, while only 8.8 per cent of families living in higher </w:t>
      </w:r>
      <w:proofErr w:type="spellStart"/>
      <w:r w:rsidRPr="00DB644A">
        <w:rPr>
          <w:rFonts w:eastAsia="Calibri"/>
          <w:szCs w:val="20"/>
          <w:lang w:eastAsia="en-US"/>
        </w:rPr>
        <w:t>deciles</w:t>
      </w:r>
      <w:proofErr w:type="spellEnd"/>
      <w:r w:rsidRPr="00DB644A">
        <w:rPr>
          <w:rFonts w:eastAsia="Calibri"/>
          <w:szCs w:val="20"/>
          <w:lang w:eastAsia="en-US"/>
        </w:rPr>
        <w:t xml:space="preserve"> (2–10) said the same. In no other </w:t>
      </w:r>
      <w:proofErr w:type="spellStart"/>
      <w:r w:rsidRPr="00DB644A">
        <w:rPr>
          <w:rFonts w:eastAsia="Calibri"/>
          <w:szCs w:val="20"/>
          <w:lang w:eastAsia="en-US"/>
        </w:rPr>
        <w:t>decile</w:t>
      </w:r>
      <w:proofErr w:type="spellEnd"/>
      <w:r w:rsidRPr="00DB644A">
        <w:rPr>
          <w:rFonts w:eastAsia="Calibri"/>
          <w:szCs w:val="20"/>
          <w:lang w:eastAsia="en-US"/>
        </w:rPr>
        <w:t xml:space="preserve"> did the proportion of people who thought it a big problem exceed 12.3 per cent. Personal experience of partner violence in the home was also significantly related to the Index of Relative Socio-Economic Disadvantage. As shown in Figure 12, both the perception and the reality of occurrence of family violence were higher in the most disadvantaged communities, as they were in remote communities. </w:t>
      </w:r>
      <w:bookmarkStart w:id="0" w:name="_GoBack"/>
      <w:bookmarkEnd w:id="0"/>
    </w:p>
    <w:p w:rsidR="003F6C3F" w:rsidRPr="00381B7E" w:rsidRDefault="006D4F0C" w:rsidP="00D529EA">
      <w:pPr>
        <w:keepNext/>
        <w:spacing w:before="0" w:after="0" w:line="240" w:lineRule="auto"/>
        <w:rPr>
          <w:rFonts w:eastAsiaTheme="majorEastAsia"/>
          <w:b/>
          <w:bCs/>
          <w:spacing w:val="5"/>
        </w:rPr>
      </w:pPr>
      <w:r w:rsidRPr="00381B7E">
        <w:rPr>
          <w:b/>
        </w:rPr>
        <w:t xml:space="preserve">Figure 13: </w:t>
      </w:r>
      <w:r w:rsidRPr="00381B7E">
        <w:rPr>
          <w:rFonts w:eastAsiaTheme="majorEastAsia"/>
          <w:b/>
          <w:bCs/>
          <w:spacing w:val="5"/>
        </w:rPr>
        <w:t>Perception of family violence in the community and experience in the home—differences by community disadvantage (LSIC 2013)</w:t>
      </w:r>
    </w:p>
    <w:p w:rsidR="00F837D6" w:rsidRDefault="00C43240" w:rsidP="00F837D6">
      <w:pPr>
        <w:spacing w:before="0" w:after="0" w:line="240" w:lineRule="auto"/>
        <w:rPr>
          <w:sz w:val="22"/>
          <w:szCs w:val="22"/>
        </w:rPr>
      </w:pPr>
      <w:r>
        <w:rPr>
          <w:noProof/>
        </w:rPr>
        <w:drawing>
          <wp:inline distT="0" distB="0" distL="0" distR="0" wp14:anchorId="55B41832" wp14:editId="79110788">
            <wp:extent cx="5715000" cy="2809875"/>
            <wp:effectExtent l="0" t="0" r="19050" b="9525"/>
            <wp:docPr id="13" name="Chart 13" descr="Compares perceptions of and experience of family violence by SEIFA disadvantage of areas." title="Figure 13: Perception of family violence in the community and experience in the home—differences by Remoteness Area and community disadvantage (LSIC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5CDE" w:rsidRDefault="000A5CDE" w:rsidP="00F837D6">
      <w:pPr>
        <w:spacing w:before="0" w:after="0" w:line="240" w:lineRule="auto"/>
        <w:rPr>
          <w:sz w:val="22"/>
          <w:szCs w:val="22"/>
        </w:rPr>
      </w:pPr>
    </w:p>
    <w:p w:rsidR="003F6C3F" w:rsidRDefault="003F6C3F" w:rsidP="00F837D6">
      <w:pPr>
        <w:spacing w:before="0" w:after="0" w:line="240" w:lineRule="auto"/>
        <w:rPr>
          <w:sz w:val="22"/>
          <w:szCs w:val="22"/>
        </w:rPr>
      </w:pPr>
    </w:p>
    <w:tbl>
      <w:tblPr>
        <w:tblStyle w:val="TableGrid"/>
        <w:tblW w:w="0" w:type="auto"/>
        <w:tblLook w:val="04A0" w:firstRow="1" w:lastRow="0" w:firstColumn="1" w:lastColumn="0" w:noHBand="0" w:noVBand="1"/>
        <w:tblCaption w:val="Figure 13: Perception of family violence in the community and experience in the home-differences by community disadvantage."/>
        <w:tblDescription w:val="This figure and table displays the percentage of perception of family violence  by disadvantage."/>
      </w:tblPr>
      <w:tblGrid>
        <w:gridCol w:w="2936"/>
        <w:gridCol w:w="3045"/>
        <w:gridCol w:w="3045"/>
      </w:tblGrid>
      <w:tr w:rsidR="000A5CDE" w:rsidRPr="00D74A97" w:rsidTr="003F6C3F">
        <w:trPr>
          <w:tblHeader/>
        </w:trPr>
        <w:tc>
          <w:tcPr>
            <w:tcW w:w="2936" w:type="dxa"/>
          </w:tcPr>
          <w:p w:rsidR="000A5CDE" w:rsidRPr="00D74A97" w:rsidRDefault="000A5CDE" w:rsidP="00D74A97">
            <w:pPr>
              <w:spacing w:before="0" w:after="0"/>
              <w:jc w:val="both"/>
              <w:rPr>
                <w:szCs w:val="20"/>
              </w:rPr>
            </w:pPr>
          </w:p>
        </w:tc>
        <w:tc>
          <w:tcPr>
            <w:tcW w:w="3045" w:type="dxa"/>
            <w:vAlign w:val="center"/>
          </w:tcPr>
          <w:p w:rsidR="000A5CDE" w:rsidRPr="00D74A97" w:rsidRDefault="00485D80" w:rsidP="00F80E90">
            <w:pPr>
              <w:spacing w:before="0" w:after="0"/>
              <w:jc w:val="center"/>
              <w:rPr>
                <w:szCs w:val="20"/>
              </w:rPr>
            </w:pPr>
            <w:r w:rsidRPr="00D74A97">
              <w:rPr>
                <w:szCs w:val="20"/>
              </w:rPr>
              <w:t xml:space="preserve">Less severely disadvantaged (SEIFA </w:t>
            </w:r>
            <w:proofErr w:type="spellStart"/>
            <w:r w:rsidRPr="00D74A97">
              <w:rPr>
                <w:szCs w:val="20"/>
              </w:rPr>
              <w:t>decile</w:t>
            </w:r>
            <w:proofErr w:type="spellEnd"/>
            <w:r w:rsidRPr="00D74A97">
              <w:rPr>
                <w:szCs w:val="20"/>
              </w:rPr>
              <w:t xml:space="preserve"> 2-10)</w:t>
            </w:r>
          </w:p>
        </w:tc>
        <w:tc>
          <w:tcPr>
            <w:tcW w:w="3045" w:type="dxa"/>
            <w:vAlign w:val="center"/>
          </w:tcPr>
          <w:p w:rsidR="000A5CDE" w:rsidRPr="00D74A97" w:rsidRDefault="00485D80" w:rsidP="00F80E90">
            <w:pPr>
              <w:spacing w:before="0" w:after="0"/>
              <w:jc w:val="center"/>
              <w:rPr>
                <w:szCs w:val="20"/>
              </w:rPr>
            </w:pPr>
            <w:r w:rsidRPr="00D74A97">
              <w:rPr>
                <w:szCs w:val="20"/>
              </w:rPr>
              <w:t xml:space="preserve">Most severely disadvantaged (SEIFA </w:t>
            </w:r>
            <w:proofErr w:type="spellStart"/>
            <w:r w:rsidRPr="00D74A97">
              <w:rPr>
                <w:szCs w:val="20"/>
              </w:rPr>
              <w:t>decile</w:t>
            </w:r>
            <w:proofErr w:type="spellEnd"/>
            <w:r w:rsidRPr="00D74A97">
              <w:rPr>
                <w:szCs w:val="20"/>
              </w:rPr>
              <w:t xml:space="preserve"> 1)</w:t>
            </w:r>
          </w:p>
        </w:tc>
      </w:tr>
      <w:tr w:rsidR="00485D80" w:rsidRPr="00D74A97" w:rsidTr="003F6C3F">
        <w:tc>
          <w:tcPr>
            <w:tcW w:w="2936" w:type="dxa"/>
          </w:tcPr>
          <w:p w:rsidR="00485D80" w:rsidRPr="00D74A97" w:rsidRDefault="00485D80" w:rsidP="00D74A97">
            <w:pPr>
              <w:spacing w:before="0" w:after="0"/>
              <w:jc w:val="both"/>
              <w:rPr>
                <w:szCs w:val="20"/>
              </w:rPr>
            </w:pPr>
            <w:r w:rsidRPr="00D74A97">
              <w:rPr>
                <w:szCs w:val="20"/>
              </w:rPr>
              <w:t>Perception of family violence in the community</w:t>
            </w:r>
          </w:p>
        </w:tc>
        <w:tc>
          <w:tcPr>
            <w:tcW w:w="3045" w:type="dxa"/>
            <w:vAlign w:val="center"/>
          </w:tcPr>
          <w:p w:rsidR="00485D80" w:rsidRPr="00D74A97" w:rsidRDefault="00485D80" w:rsidP="00F80E90">
            <w:pPr>
              <w:spacing w:before="0" w:after="0"/>
              <w:jc w:val="center"/>
              <w:rPr>
                <w:szCs w:val="20"/>
              </w:rPr>
            </w:pPr>
            <w:r w:rsidRPr="00D74A97">
              <w:rPr>
                <w:szCs w:val="20"/>
              </w:rPr>
              <w:t>8.8%</w:t>
            </w:r>
          </w:p>
        </w:tc>
        <w:tc>
          <w:tcPr>
            <w:tcW w:w="3045" w:type="dxa"/>
            <w:vAlign w:val="center"/>
          </w:tcPr>
          <w:p w:rsidR="00485D80" w:rsidRPr="00D74A97" w:rsidRDefault="00485D80" w:rsidP="00F80E90">
            <w:pPr>
              <w:spacing w:before="0" w:after="0"/>
              <w:jc w:val="center"/>
              <w:rPr>
                <w:szCs w:val="20"/>
              </w:rPr>
            </w:pPr>
            <w:r w:rsidRPr="00D74A97">
              <w:rPr>
                <w:szCs w:val="20"/>
              </w:rPr>
              <w:t>23.5%</w:t>
            </w:r>
          </w:p>
        </w:tc>
      </w:tr>
      <w:tr w:rsidR="00485D80" w:rsidRPr="00D74A97" w:rsidTr="003F6C3F">
        <w:tc>
          <w:tcPr>
            <w:tcW w:w="2936" w:type="dxa"/>
          </w:tcPr>
          <w:p w:rsidR="00485D80" w:rsidRPr="00D74A97" w:rsidRDefault="0089648C" w:rsidP="00D74A97">
            <w:pPr>
              <w:spacing w:before="0" w:after="0"/>
              <w:jc w:val="both"/>
              <w:rPr>
                <w:szCs w:val="20"/>
              </w:rPr>
            </w:pPr>
            <w:r w:rsidRPr="00D74A97">
              <w:rPr>
                <w:szCs w:val="20"/>
              </w:rPr>
              <w:t xml:space="preserve">Experience of </w:t>
            </w:r>
            <w:r>
              <w:rPr>
                <w:szCs w:val="20"/>
              </w:rPr>
              <w:t>partner violence in the home</w:t>
            </w:r>
          </w:p>
        </w:tc>
        <w:tc>
          <w:tcPr>
            <w:tcW w:w="3045" w:type="dxa"/>
            <w:vAlign w:val="center"/>
          </w:tcPr>
          <w:p w:rsidR="00485D80" w:rsidRPr="00D74A97" w:rsidRDefault="00485D80" w:rsidP="00F80E90">
            <w:pPr>
              <w:spacing w:before="0" w:after="0"/>
              <w:jc w:val="center"/>
              <w:rPr>
                <w:szCs w:val="20"/>
              </w:rPr>
            </w:pPr>
            <w:r w:rsidRPr="00D74A97">
              <w:rPr>
                <w:szCs w:val="20"/>
              </w:rPr>
              <w:t>5.8%</w:t>
            </w:r>
          </w:p>
        </w:tc>
        <w:tc>
          <w:tcPr>
            <w:tcW w:w="3045" w:type="dxa"/>
            <w:vAlign w:val="center"/>
          </w:tcPr>
          <w:p w:rsidR="00485D80" w:rsidRPr="00D74A97" w:rsidRDefault="00485D80" w:rsidP="00F80E90">
            <w:pPr>
              <w:spacing w:before="0" w:after="0"/>
              <w:jc w:val="center"/>
              <w:rPr>
                <w:szCs w:val="20"/>
              </w:rPr>
            </w:pPr>
            <w:r w:rsidRPr="00D74A97">
              <w:rPr>
                <w:szCs w:val="20"/>
              </w:rPr>
              <w:t>9.4%</w:t>
            </w:r>
          </w:p>
        </w:tc>
      </w:tr>
    </w:tbl>
    <w:p w:rsidR="000A5CDE" w:rsidRDefault="000A5CDE" w:rsidP="00F837D6">
      <w:pPr>
        <w:spacing w:before="0" w:after="0" w:line="240" w:lineRule="auto"/>
        <w:rPr>
          <w:sz w:val="22"/>
          <w:szCs w:val="22"/>
        </w:rPr>
      </w:pPr>
    </w:p>
    <w:p w:rsidR="008F1FBB" w:rsidRDefault="008F1FBB">
      <w:pPr>
        <w:spacing w:before="0" w:after="0" w:line="240" w:lineRule="auto"/>
        <w:rPr>
          <w:rFonts w:eastAsia="Calibri"/>
          <w:szCs w:val="20"/>
          <w:lang w:eastAsia="en-US"/>
        </w:rPr>
      </w:pPr>
      <w:r>
        <w:rPr>
          <w:rFonts w:eastAsia="Calibri"/>
          <w:szCs w:val="20"/>
          <w:lang w:eastAsia="en-US"/>
        </w:rPr>
        <w:br w:type="page"/>
      </w:r>
    </w:p>
    <w:p w:rsidR="003A730F" w:rsidRPr="00DB644A" w:rsidRDefault="009D27F7" w:rsidP="003A730F">
      <w:pPr>
        <w:spacing w:before="0" w:after="200" w:line="276" w:lineRule="auto"/>
        <w:jc w:val="both"/>
        <w:rPr>
          <w:rFonts w:eastAsia="Calibri"/>
          <w:szCs w:val="20"/>
          <w:lang w:eastAsia="en-US"/>
        </w:rPr>
      </w:pPr>
      <w:r w:rsidRPr="00DB644A">
        <w:rPr>
          <w:rFonts w:eastAsia="Calibri"/>
          <w:szCs w:val="20"/>
          <w:lang w:eastAsia="en-US"/>
        </w:rPr>
        <w:lastRenderedPageBreak/>
        <w:t xml:space="preserve">There </w:t>
      </w:r>
      <w:r w:rsidR="006D7608" w:rsidRPr="00DB644A">
        <w:rPr>
          <w:rFonts w:eastAsia="Calibri"/>
          <w:szCs w:val="20"/>
          <w:lang w:eastAsia="en-US"/>
        </w:rPr>
        <w:t>is overlap</w:t>
      </w:r>
      <w:r w:rsidRPr="00DB644A">
        <w:rPr>
          <w:rFonts w:eastAsia="Calibri"/>
          <w:szCs w:val="20"/>
          <w:lang w:eastAsia="en-US"/>
        </w:rPr>
        <w:t xml:space="preserve"> between the remotest communities and the most disadvantaged communities (57</w:t>
      </w:r>
      <w:r w:rsidR="00811918" w:rsidRPr="00DB644A">
        <w:rPr>
          <w:rFonts w:eastAsia="Calibri"/>
          <w:szCs w:val="20"/>
          <w:lang w:eastAsia="en-US"/>
        </w:rPr>
        <w:t> </w:t>
      </w:r>
      <w:r w:rsidRPr="00DB644A">
        <w:rPr>
          <w:rFonts w:eastAsia="Calibri"/>
          <w:szCs w:val="20"/>
          <w:lang w:eastAsia="en-US"/>
        </w:rPr>
        <w:t>per cent of the</w:t>
      </w:r>
      <w:r w:rsidR="008C7437" w:rsidRPr="00DB644A">
        <w:rPr>
          <w:rFonts w:eastAsia="Calibri"/>
          <w:szCs w:val="20"/>
          <w:lang w:eastAsia="en-US"/>
        </w:rPr>
        <w:t xml:space="preserve"> sample living in the</w:t>
      </w:r>
      <w:r w:rsidRPr="00DB644A">
        <w:rPr>
          <w:rFonts w:eastAsia="Calibri"/>
          <w:szCs w:val="20"/>
          <w:lang w:eastAsia="en-US"/>
        </w:rPr>
        <w:t xml:space="preserve"> more remote communities are in the lowest SEIFA </w:t>
      </w:r>
      <w:proofErr w:type="spellStart"/>
      <w:r w:rsidRPr="00DB644A">
        <w:rPr>
          <w:rFonts w:eastAsia="Calibri"/>
          <w:szCs w:val="20"/>
          <w:lang w:eastAsia="en-US"/>
        </w:rPr>
        <w:t>decile</w:t>
      </w:r>
      <w:proofErr w:type="spellEnd"/>
      <w:r w:rsidRPr="00DB644A">
        <w:rPr>
          <w:rFonts w:eastAsia="Calibri"/>
          <w:szCs w:val="20"/>
          <w:lang w:eastAsia="en-US"/>
        </w:rPr>
        <w:t xml:space="preserve"> compared to 33 per cent of t</w:t>
      </w:r>
      <w:r w:rsidR="008C7437" w:rsidRPr="00DB644A">
        <w:rPr>
          <w:rFonts w:eastAsia="Calibri"/>
          <w:szCs w:val="20"/>
          <w:lang w:eastAsia="en-US"/>
        </w:rPr>
        <w:t xml:space="preserve">hose living in the </w:t>
      </w:r>
      <w:r w:rsidRPr="00DB644A">
        <w:rPr>
          <w:rFonts w:eastAsia="Calibri"/>
          <w:szCs w:val="20"/>
          <w:lang w:eastAsia="en-US"/>
        </w:rPr>
        <w:t>more urban communities)</w:t>
      </w:r>
      <w:r w:rsidR="008C7437" w:rsidRPr="00DB644A">
        <w:rPr>
          <w:rFonts w:eastAsia="Calibri"/>
          <w:szCs w:val="20"/>
          <w:lang w:eastAsia="en-US"/>
        </w:rPr>
        <w:t xml:space="preserve">. </w:t>
      </w:r>
      <w:r w:rsidR="006D7608" w:rsidRPr="00DB644A">
        <w:rPr>
          <w:rFonts w:eastAsia="Calibri"/>
          <w:szCs w:val="20"/>
          <w:lang w:eastAsia="en-US"/>
        </w:rPr>
        <w:t>After controlling for other variables, the strongest single predictor of partner violence was remoteness, closely followed by SEIFA. Father’s education also remained a significant predictor</w:t>
      </w:r>
      <w:r w:rsidR="00035FE2" w:rsidRPr="00DB644A">
        <w:rPr>
          <w:rStyle w:val="EndnoteReference"/>
          <w:rFonts w:eastAsia="Calibri"/>
          <w:szCs w:val="20"/>
          <w:lang w:eastAsia="en-US"/>
        </w:rPr>
        <w:endnoteReference w:id="10"/>
      </w:r>
      <w:r w:rsidR="006D7608" w:rsidRPr="00DB644A">
        <w:rPr>
          <w:rFonts w:eastAsia="Calibri"/>
          <w:szCs w:val="20"/>
          <w:lang w:eastAsia="en-US"/>
        </w:rPr>
        <w:t xml:space="preserve"> (Table 2)</w:t>
      </w:r>
      <w:r w:rsidR="00811918" w:rsidRPr="00DB644A">
        <w:rPr>
          <w:rFonts w:eastAsia="Calibri"/>
          <w:szCs w:val="20"/>
          <w:lang w:eastAsia="en-US"/>
        </w:rPr>
        <w:t>.</w:t>
      </w:r>
    </w:p>
    <w:p w:rsidR="00277C34" w:rsidRPr="00381B7E" w:rsidRDefault="00277C34" w:rsidP="00D529EA">
      <w:pPr>
        <w:pStyle w:val="Caption"/>
        <w:keepNext/>
        <w:rPr>
          <w:rFonts w:eastAsia="Calibri"/>
          <w:sz w:val="20"/>
          <w:szCs w:val="20"/>
          <w:lang w:eastAsia="en-US"/>
        </w:rPr>
      </w:pPr>
      <w:proofErr w:type="gramStart"/>
      <w:r w:rsidRPr="00381B7E">
        <w:rPr>
          <w:rFonts w:eastAsia="Calibri"/>
          <w:color w:val="auto"/>
          <w:sz w:val="20"/>
          <w:szCs w:val="20"/>
          <w:lang w:eastAsia="en-US"/>
        </w:rPr>
        <w:t>Table 2: Association between geographic and personal characteristics and partner violence</w:t>
      </w:r>
      <w:r w:rsidR="00C43240" w:rsidRPr="00381B7E">
        <w:rPr>
          <w:rFonts w:eastAsia="Calibri"/>
          <w:color w:val="auto"/>
          <w:sz w:val="20"/>
          <w:szCs w:val="20"/>
          <w:lang w:eastAsia="en-US"/>
        </w:rPr>
        <w:t>, logistic regression analysis, LSIC 2013.</w:t>
      </w:r>
      <w:proofErr w:type="gramEnd"/>
    </w:p>
    <w:tbl>
      <w:tblPr>
        <w:tblStyle w:val="TableGrid"/>
        <w:tblW w:w="0" w:type="auto"/>
        <w:tblLook w:val="04A0" w:firstRow="1" w:lastRow="0" w:firstColumn="1" w:lastColumn="0" w:noHBand="0" w:noVBand="1"/>
        <w:tblCaption w:val="Table 2: Association between geographic and personal characteristics and partner violence"/>
        <w:tblDescription w:val="This table demonstrates the association between geographic and personal characteristics and partner violence. "/>
      </w:tblPr>
      <w:tblGrid>
        <w:gridCol w:w="5670"/>
        <w:gridCol w:w="3330"/>
      </w:tblGrid>
      <w:tr w:rsidR="00851F09" w:rsidRPr="00851F09" w:rsidTr="006678AD">
        <w:trPr>
          <w:trHeight w:val="300"/>
          <w:tblHeader/>
        </w:trPr>
        <w:tc>
          <w:tcPr>
            <w:tcW w:w="5670" w:type="dxa"/>
            <w:shd w:val="clear" w:color="auto" w:fill="CAEE9C" w:themeFill="accent4" w:themeFillTint="66"/>
            <w:noWrap/>
            <w:hideMark/>
          </w:tcPr>
          <w:p w:rsidR="00851F09" w:rsidRPr="00851F09" w:rsidRDefault="00D93B2E" w:rsidP="00851F09">
            <w:pPr>
              <w:spacing w:before="0" w:after="200" w:line="276" w:lineRule="auto"/>
              <w:rPr>
                <w:b/>
                <w:bCs/>
                <w:sz w:val="22"/>
                <w:szCs w:val="22"/>
              </w:rPr>
            </w:pPr>
            <w:r>
              <w:rPr>
                <w:b/>
                <w:bCs/>
                <w:sz w:val="22"/>
                <w:szCs w:val="22"/>
              </w:rPr>
              <w:t>Factor</w:t>
            </w:r>
          </w:p>
        </w:tc>
        <w:tc>
          <w:tcPr>
            <w:tcW w:w="3330" w:type="dxa"/>
            <w:shd w:val="clear" w:color="auto" w:fill="CAEE9C" w:themeFill="accent4" w:themeFillTint="66"/>
            <w:noWrap/>
            <w:hideMark/>
          </w:tcPr>
          <w:p w:rsidR="00851F09" w:rsidRPr="00851F09" w:rsidRDefault="00851F09" w:rsidP="00851F09">
            <w:pPr>
              <w:spacing w:before="0" w:after="200" w:line="276" w:lineRule="auto"/>
              <w:rPr>
                <w:b/>
                <w:bCs/>
                <w:sz w:val="22"/>
                <w:szCs w:val="22"/>
              </w:rPr>
            </w:pPr>
            <w:r w:rsidRPr="00851F09">
              <w:rPr>
                <w:b/>
                <w:bCs/>
                <w:sz w:val="22"/>
                <w:szCs w:val="22"/>
              </w:rPr>
              <w:t xml:space="preserve">Association with </w:t>
            </w:r>
            <w:r w:rsidR="00811918">
              <w:rPr>
                <w:b/>
                <w:bCs/>
                <w:sz w:val="22"/>
                <w:szCs w:val="22"/>
              </w:rPr>
              <w:t>p</w:t>
            </w:r>
            <w:r w:rsidR="00AE4525">
              <w:rPr>
                <w:b/>
                <w:bCs/>
                <w:sz w:val="22"/>
                <w:szCs w:val="22"/>
              </w:rPr>
              <w:t>artner violence</w:t>
            </w:r>
          </w:p>
        </w:tc>
      </w:tr>
      <w:tr w:rsidR="00851F09" w:rsidRPr="00851F09" w:rsidTr="006678AD">
        <w:trPr>
          <w:trHeight w:val="300"/>
        </w:trPr>
        <w:tc>
          <w:tcPr>
            <w:tcW w:w="5670" w:type="dxa"/>
            <w:shd w:val="clear" w:color="auto" w:fill="E4F6CD" w:themeFill="accent4" w:themeFillTint="33"/>
            <w:hideMark/>
          </w:tcPr>
          <w:p w:rsidR="00851F09" w:rsidRPr="00A266C6" w:rsidRDefault="00851F09" w:rsidP="00811918">
            <w:pPr>
              <w:spacing w:before="0" w:after="200" w:line="276" w:lineRule="auto"/>
              <w:rPr>
                <w:bCs/>
                <w:sz w:val="22"/>
                <w:szCs w:val="22"/>
              </w:rPr>
            </w:pPr>
            <w:r w:rsidRPr="00A266C6">
              <w:rPr>
                <w:bCs/>
                <w:sz w:val="22"/>
                <w:szCs w:val="22"/>
              </w:rPr>
              <w:t xml:space="preserve">Lowest SEIFA </w:t>
            </w:r>
            <w:proofErr w:type="spellStart"/>
            <w:r w:rsidRPr="00A266C6">
              <w:rPr>
                <w:bCs/>
                <w:sz w:val="22"/>
                <w:szCs w:val="22"/>
              </w:rPr>
              <w:t>decile</w:t>
            </w:r>
            <w:proofErr w:type="spellEnd"/>
            <w:r w:rsidRPr="00A266C6">
              <w:rPr>
                <w:bCs/>
                <w:sz w:val="22"/>
                <w:szCs w:val="22"/>
              </w:rPr>
              <w:t xml:space="preserve"> (0=</w:t>
            </w:r>
            <w:proofErr w:type="spellStart"/>
            <w:r w:rsidR="00811918">
              <w:rPr>
                <w:bCs/>
                <w:sz w:val="22"/>
                <w:szCs w:val="22"/>
              </w:rPr>
              <w:t>d</w:t>
            </w:r>
            <w:r w:rsidRPr="00A266C6">
              <w:rPr>
                <w:bCs/>
                <w:sz w:val="22"/>
                <w:szCs w:val="22"/>
              </w:rPr>
              <w:t>eciles</w:t>
            </w:r>
            <w:proofErr w:type="spellEnd"/>
            <w:r w:rsidRPr="00A266C6">
              <w:rPr>
                <w:bCs/>
                <w:sz w:val="22"/>
                <w:szCs w:val="22"/>
              </w:rPr>
              <w:t xml:space="preserve"> 2</w:t>
            </w:r>
            <w:r w:rsidR="00811918">
              <w:rPr>
                <w:bCs/>
                <w:sz w:val="22"/>
                <w:szCs w:val="22"/>
              </w:rPr>
              <w:t>–</w:t>
            </w:r>
            <w:r w:rsidRPr="00A266C6">
              <w:rPr>
                <w:bCs/>
                <w:sz w:val="22"/>
                <w:szCs w:val="22"/>
              </w:rPr>
              <w:t>10)</w:t>
            </w:r>
          </w:p>
        </w:tc>
        <w:tc>
          <w:tcPr>
            <w:tcW w:w="3330" w:type="dxa"/>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Nearly twice as likely*</w:t>
            </w:r>
          </w:p>
        </w:tc>
      </w:tr>
      <w:tr w:rsidR="00851F09" w:rsidRPr="00851F09" w:rsidTr="006678AD">
        <w:trPr>
          <w:trHeight w:val="300"/>
        </w:trPr>
        <w:tc>
          <w:tcPr>
            <w:tcW w:w="5670" w:type="dxa"/>
            <w:shd w:val="clear" w:color="auto" w:fill="E4F6CD" w:themeFill="accent4" w:themeFillTint="33"/>
            <w:hideMark/>
          </w:tcPr>
          <w:p w:rsidR="00851F09" w:rsidRPr="00A266C6" w:rsidRDefault="00C43240" w:rsidP="00851F09">
            <w:pPr>
              <w:spacing w:before="0" w:after="200" w:line="276" w:lineRule="auto"/>
              <w:rPr>
                <w:bCs/>
                <w:sz w:val="22"/>
                <w:szCs w:val="22"/>
              </w:rPr>
            </w:pPr>
            <w:r>
              <w:rPr>
                <w:bCs/>
                <w:sz w:val="22"/>
                <w:szCs w:val="22"/>
              </w:rPr>
              <w:t>Remote (0=urban/</w:t>
            </w:r>
            <w:r w:rsidR="00851F09" w:rsidRPr="00A266C6">
              <w:rPr>
                <w:bCs/>
                <w:sz w:val="22"/>
                <w:szCs w:val="22"/>
              </w:rPr>
              <w:t>inner regional)</w:t>
            </w:r>
          </w:p>
        </w:tc>
        <w:tc>
          <w:tcPr>
            <w:tcW w:w="3330" w:type="dxa"/>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More than twice as likely**</w:t>
            </w:r>
          </w:p>
        </w:tc>
      </w:tr>
      <w:tr w:rsidR="00851F09" w:rsidRPr="00851F09" w:rsidTr="006678AD">
        <w:trPr>
          <w:trHeight w:val="300"/>
        </w:trPr>
        <w:tc>
          <w:tcPr>
            <w:tcW w:w="5670" w:type="dxa"/>
            <w:shd w:val="clear" w:color="auto" w:fill="E4F6CD" w:themeFill="accent4" w:themeFillTint="33"/>
            <w:hideMark/>
          </w:tcPr>
          <w:p w:rsidR="00851F09" w:rsidRPr="00A266C6" w:rsidRDefault="00851F09" w:rsidP="00851F09">
            <w:pPr>
              <w:spacing w:before="0" w:after="200" w:line="276" w:lineRule="auto"/>
              <w:rPr>
                <w:bCs/>
                <w:sz w:val="22"/>
                <w:szCs w:val="22"/>
              </w:rPr>
            </w:pPr>
            <w:r w:rsidRPr="00A266C6">
              <w:rPr>
                <w:bCs/>
                <w:sz w:val="22"/>
                <w:szCs w:val="22"/>
              </w:rPr>
              <w:t xml:space="preserve">Multiple </w:t>
            </w:r>
            <w:r w:rsidR="00811918">
              <w:rPr>
                <w:bCs/>
                <w:sz w:val="22"/>
                <w:szCs w:val="22"/>
              </w:rPr>
              <w:t>f</w:t>
            </w:r>
            <w:r w:rsidRPr="00A266C6">
              <w:rPr>
                <w:bCs/>
                <w:sz w:val="22"/>
                <w:szCs w:val="22"/>
              </w:rPr>
              <w:t>inancial hardship (0=zero or one type of hardship)</w:t>
            </w:r>
          </w:p>
        </w:tc>
        <w:tc>
          <w:tcPr>
            <w:tcW w:w="3330" w:type="dxa"/>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Nearly twice as likely^</w:t>
            </w:r>
          </w:p>
        </w:tc>
      </w:tr>
      <w:tr w:rsidR="00851F09" w:rsidRPr="00851F09" w:rsidTr="006678AD">
        <w:trPr>
          <w:trHeight w:val="300"/>
        </w:trPr>
        <w:tc>
          <w:tcPr>
            <w:tcW w:w="5670" w:type="dxa"/>
            <w:shd w:val="clear" w:color="auto" w:fill="E4F6CD" w:themeFill="accent4" w:themeFillTint="33"/>
            <w:hideMark/>
          </w:tcPr>
          <w:p w:rsidR="00851F09" w:rsidRPr="00A266C6" w:rsidRDefault="00851F09" w:rsidP="00851F09">
            <w:pPr>
              <w:spacing w:before="0" w:after="200" w:line="276" w:lineRule="auto"/>
              <w:rPr>
                <w:bCs/>
                <w:sz w:val="22"/>
                <w:szCs w:val="22"/>
              </w:rPr>
            </w:pPr>
            <w:r w:rsidRPr="00A266C6">
              <w:rPr>
                <w:bCs/>
                <w:sz w:val="22"/>
                <w:szCs w:val="22"/>
              </w:rPr>
              <w:t>P</w:t>
            </w:r>
            <w:r w:rsidR="00C43240">
              <w:rPr>
                <w:bCs/>
                <w:sz w:val="22"/>
                <w:szCs w:val="22"/>
              </w:rPr>
              <w:t>rimary carer</w:t>
            </w:r>
            <w:r w:rsidRPr="00A266C6">
              <w:rPr>
                <w:bCs/>
                <w:sz w:val="22"/>
                <w:szCs w:val="22"/>
              </w:rPr>
              <w:t xml:space="preserve"> has no job</w:t>
            </w:r>
          </w:p>
        </w:tc>
        <w:tc>
          <w:tcPr>
            <w:tcW w:w="3330" w:type="dxa"/>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No relationship</w:t>
            </w:r>
          </w:p>
        </w:tc>
      </w:tr>
      <w:tr w:rsidR="00851F09" w:rsidRPr="00851F09" w:rsidTr="006678AD">
        <w:trPr>
          <w:trHeight w:val="300"/>
        </w:trPr>
        <w:tc>
          <w:tcPr>
            <w:tcW w:w="5670" w:type="dxa"/>
            <w:tcBorders>
              <w:bottom w:val="single" w:sz="4" w:space="0" w:color="auto"/>
            </w:tcBorders>
            <w:shd w:val="clear" w:color="auto" w:fill="E4F6CD" w:themeFill="accent4" w:themeFillTint="33"/>
            <w:hideMark/>
          </w:tcPr>
          <w:p w:rsidR="00851F09" w:rsidRPr="00A266C6" w:rsidRDefault="00851F09" w:rsidP="00851F09">
            <w:pPr>
              <w:spacing w:before="0" w:after="200" w:line="276" w:lineRule="auto"/>
              <w:rPr>
                <w:bCs/>
                <w:sz w:val="22"/>
                <w:szCs w:val="22"/>
              </w:rPr>
            </w:pPr>
            <w:r w:rsidRPr="00A266C6">
              <w:rPr>
                <w:bCs/>
                <w:sz w:val="22"/>
                <w:szCs w:val="22"/>
              </w:rPr>
              <w:t>Partner has no job</w:t>
            </w:r>
          </w:p>
        </w:tc>
        <w:tc>
          <w:tcPr>
            <w:tcW w:w="3330" w:type="dxa"/>
            <w:tcBorders>
              <w:bottom w:val="single" w:sz="4" w:space="0" w:color="auto"/>
            </w:tcBorders>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Nearly twice as likely^</w:t>
            </w:r>
          </w:p>
        </w:tc>
      </w:tr>
      <w:tr w:rsidR="00851F09" w:rsidRPr="00851F09" w:rsidTr="006678AD">
        <w:trPr>
          <w:trHeight w:val="300"/>
        </w:trPr>
        <w:tc>
          <w:tcPr>
            <w:tcW w:w="5670" w:type="dxa"/>
            <w:tcBorders>
              <w:bottom w:val="single" w:sz="4" w:space="0" w:color="auto"/>
            </w:tcBorders>
            <w:shd w:val="clear" w:color="auto" w:fill="E4F6CD" w:themeFill="accent4" w:themeFillTint="33"/>
            <w:hideMark/>
          </w:tcPr>
          <w:p w:rsidR="00851F09" w:rsidRPr="00A266C6" w:rsidRDefault="00851F09" w:rsidP="00851F09">
            <w:pPr>
              <w:spacing w:before="0" w:after="200" w:line="276" w:lineRule="auto"/>
              <w:rPr>
                <w:bCs/>
                <w:sz w:val="22"/>
                <w:szCs w:val="22"/>
              </w:rPr>
            </w:pPr>
            <w:r w:rsidRPr="00A266C6">
              <w:rPr>
                <w:bCs/>
                <w:sz w:val="22"/>
                <w:szCs w:val="22"/>
              </w:rPr>
              <w:t>Father less than y</w:t>
            </w:r>
            <w:r w:rsidR="00811918">
              <w:rPr>
                <w:bCs/>
                <w:sz w:val="22"/>
                <w:szCs w:val="22"/>
              </w:rPr>
              <w:t>ea</w:t>
            </w:r>
            <w:r w:rsidRPr="00A266C6">
              <w:rPr>
                <w:bCs/>
                <w:sz w:val="22"/>
                <w:szCs w:val="22"/>
              </w:rPr>
              <w:t>r</w:t>
            </w:r>
            <w:r w:rsidR="00811918">
              <w:rPr>
                <w:bCs/>
                <w:sz w:val="22"/>
                <w:szCs w:val="22"/>
              </w:rPr>
              <w:t xml:space="preserve"> </w:t>
            </w:r>
            <w:r w:rsidRPr="00A266C6">
              <w:rPr>
                <w:bCs/>
                <w:sz w:val="22"/>
                <w:szCs w:val="22"/>
              </w:rPr>
              <w:t>10 education</w:t>
            </w:r>
          </w:p>
        </w:tc>
        <w:tc>
          <w:tcPr>
            <w:tcW w:w="3330" w:type="dxa"/>
            <w:tcBorders>
              <w:bottom w:val="single" w:sz="4" w:space="0" w:color="auto"/>
            </w:tcBorders>
            <w:shd w:val="clear" w:color="auto" w:fill="E4F6CD" w:themeFill="accent4" w:themeFillTint="33"/>
            <w:noWrap/>
            <w:hideMark/>
          </w:tcPr>
          <w:p w:rsidR="00851F09" w:rsidRPr="00851F09" w:rsidRDefault="00851F09" w:rsidP="00851F09">
            <w:pPr>
              <w:spacing w:before="0" w:after="200" w:line="276" w:lineRule="auto"/>
              <w:rPr>
                <w:sz w:val="22"/>
                <w:szCs w:val="22"/>
              </w:rPr>
            </w:pPr>
            <w:r w:rsidRPr="00851F09">
              <w:rPr>
                <w:sz w:val="22"/>
                <w:szCs w:val="22"/>
              </w:rPr>
              <w:t>More than twice as likely*</w:t>
            </w:r>
          </w:p>
        </w:tc>
      </w:tr>
      <w:tr w:rsidR="006678AD" w:rsidRPr="00851F09" w:rsidTr="006678AD">
        <w:trPr>
          <w:trHeight w:val="300"/>
        </w:trPr>
        <w:tc>
          <w:tcPr>
            <w:tcW w:w="5670" w:type="dxa"/>
            <w:tcBorders>
              <w:top w:val="single" w:sz="4" w:space="0" w:color="auto"/>
              <w:left w:val="nil"/>
              <w:bottom w:val="nil"/>
              <w:right w:val="nil"/>
            </w:tcBorders>
            <w:shd w:val="clear" w:color="auto" w:fill="auto"/>
          </w:tcPr>
          <w:p w:rsidR="006678AD" w:rsidRPr="00A266C6" w:rsidRDefault="006678AD" w:rsidP="00851F09">
            <w:pPr>
              <w:spacing w:before="0" w:after="200" w:line="276" w:lineRule="auto"/>
              <w:rPr>
                <w:bCs/>
                <w:sz w:val="22"/>
                <w:szCs w:val="22"/>
              </w:rPr>
            </w:pPr>
            <w:r w:rsidRPr="00851F09">
              <w:rPr>
                <w:sz w:val="22"/>
                <w:szCs w:val="22"/>
              </w:rPr>
              <w:t>** significant at &lt;0.01; * significant at &lt;0.05; ^ significant</w:t>
            </w:r>
          </w:p>
        </w:tc>
        <w:tc>
          <w:tcPr>
            <w:tcW w:w="3330" w:type="dxa"/>
            <w:tcBorders>
              <w:top w:val="single" w:sz="4" w:space="0" w:color="auto"/>
              <w:left w:val="nil"/>
              <w:bottom w:val="nil"/>
              <w:right w:val="nil"/>
            </w:tcBorders>
            <w:shd w:val="clear" w:color="auto" w:fill="auto"/>
            <w:noWrap/>
          </w:tcPr>
          <w:p w:rsidR="006678AD" w:rsidRPr="00851F09" w:rsidRDefault="006678AD" w:rsidP="00851F09">
            <w:pPr>
              <w:spacing w:before="0" w:after="200" w:line="276" w:lineRule="auto"/>
              <w:rPr>
                <w:sz w:val="22"/>
                <w:szCs w:val="22"/>
              </w:rPr>
            </w:pPr>
            <w:r w:rsidRPr="00851F09">
              <w:rPr>
                <w:sz w:val="22"/>
                <w:szCs w:val="22"/>
              </w:rPr>
              <w:t>at &lt;0.1</w:t>
            </w:r>
          </w:p>
        </w:tc>
      </w:tr>
    </w:tbl>
    <w:p w:rsidR="00D529EA" w:rsidRDefault="00D529EA" w:rsidP="008F1FBB">
      <w:pPr>
        <w:spacing w:before="0" w:after="0" w:line="240" w:lineRule="auto"/>
        <w:rPr>
          <w:sz w:val="22"/>
          <w:szCs w:val="22"/>
        </w:rPr>
      </w:pPr>
    </w:p>
    <w:sectPr w:rsidR="00D529EA" w:rsidSect="00807A92">
      <w:footerReference w:type="default" r:id="rId22"/>
      <w:headerReference w:type="first" r:id="rId23"/>
      <w:footerReference w:type="first" r:id="rId24"/>
      <w:pgSz w:w="11906" w:h="16838" w:code="9"/>
      <w:pgMar w:top="1134" w:right="1440" w:bottom="1077" w:left="1440" w:header="425"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55" w:rsidRDefault="00296A55">
      <w:r>
        <w:separator/>
      </w:r>
    </w:p>
  </w:endnote>
  <w:endnote w:type="continuationSeparator" w:id="0">
    <w:p w:rsidR="00296A55" w:rsidRDefault="00296A55">
      <w:r>
        <w:continuationSeparator/>
      </w:r>
    </w:p>
  </w:endnote>
  <w:endnote w:id="1">
    <w:p w:rsidR="004A3717" w:rsidRDefault="004A3717">
      <w:pPr>
        <w:pStyle w:val="EndnoteText"/>
      </w:pPr>
      <w:r>
        <w:rPr>
          <w:rStyle w:val="EndnoteReference"/>
        </w:rPr>
        <w:endnoteRef/>
      </w:r>
      <w:r>
        <w:t xml:space="preserve"> </w:t>
      </w:r>
      <w:r w:rsidR="006E04E1">
        <w:rPr>
          <w:sz w:val="16"/>
          <w:szCs w:val="16"/>
        </w:rPr>
        <w:t xml:space="preserve"> Total sample here (881</w:t>
      </w:r>
      <w:r w:rsidRPr="00381B7E">
        <w:rPr>
          <w:sz w:val="16"/>
          <w:szCs w:val="16"/>
        </w:rPr>
        <w:t>) are participants who responded to relationship question in both 2010 and 2013. Those with missing data w</w:t>
      </w:r>
      <w:r w:rsidR="006E04E1">
        <w:rPr>
          <w:sz w:val="16"/>
          <w:szCs w:val="16"/>
        </w:rPr>
        <w:t>ere excluded from this analysis as were cases where the primary carer changed.</w:t>
      </w:r>
    </w:p>
  </w:endnote>
  <w:endnote w:id="2">
    <w:p w:rsidR="00035FE2" w:rsidRDefault="00035FE2">
      <w:pPr>
        <w:pStyle w:val="EndnoteText"/>
      </w:pPr>
      <w:r>
        <w:rPr>
          <w:rStyle w:val="EndnoteReference"/>
        </w:rPr>
        <w:endnoteRef/>
      </w:r>
      <w:r>
        <w:t xml:space="preserve"> </w:t>
      </w:r>
      <w:r w:rsidRPr="00381B7E">
        <w:rPr>
          <w:sz w:val="16"/>
          <w:szCs w:val="16"/>
        </w:rPr>
        <w:t>Chi</w:t>
      </w:r>
      <w:r w:rsidRPr="00381B7E">
        <w:rPr>
          <w:rFonts w:cs="Arial"/>
          <w:sz w:val="16"/>
          <w:szCs w:val="16"/>
        </w:rPr>
        <w:t>²</w:t>
      </w:r>
      <w:r w:rsidRPr="00381B7E">
        <w:rPr>
          <w:sz w:val="16"/>
          <w:szCs w:val="16"/>
        </w:rPr>
        <w:t xml:space="preserve"> test, significance level set at 0.05.</w:t>
      </w:r>
    </w:p>
  </w:endnote>
  <w:endnote w:id="3">
    <w:p w:rsidR="00035FE2" w:rsidRDefault="00035FE2">
      <w:pPr>
        <w:pStyle w:val="EndnoteText"/>
      </w:pPr>
      <w:r>
        <w:rPr>
          <w:rStyle w:val="EndnoteReference"/>
        </w:rPr>
        <w:endnoteRef/>
      </w:r>
      <w:r>
        <w:t xml:space="preserve"> </w:t>
      </w:r>
      <w:r w:rsidRPr="00381B7E">
        <w:rPr>
          <w:sz w:val="16"/>
          <w:szCs w:val="16"/>
        </w:rPr>
        <w:t>The terms ‘mothers’</w:t>
      </w:r>
      <w:r w:rsidRPr="00381B7E">
        <w:rPr>
          <w:i/>
          <w:sz w:val="16"/>
          <w:szCs w:val="16"/>
        </w:rPr>
        <w:t xml:space="preserve"> </w:t>
      </w:r>
      <w:r w:rsidRPr="00381B7E">
        <w:rPr>
          <w:sz w:val="16"/>
          <w:szCs w:val="16"/>
        </w:rPr>
        <w:t>and ‘fathers’ are used in this article to refer to the female parent and her male partner respectively as approximately 95 per cent of the female primary carers are the mother of the study child. The small number of same sex couples and couples with a male as the primary carer are excluded from analysis relating to ‘mothers’ and ‘fathers’ characteristics, but included in all other analyses in this paper relating to LSIC.</w:t>
      </w:r>
    </w:p>
  </w:endnote>
  <w:endnote w:id="4">
    <w:p w:rsidR="00035FE2" w:rsidRPr="00BB5528" w:rsidRDefault="00035FE2">
      <w:pPr>
        <w:pStyle w:val="EndnoteText"/>
        <w:rPr>
          <w:sz w:val="16"/>
          <w:szCs w:val="16"/>
        </w:rPr>
      </w:pPr>
      <w:r w:rsidRPr="00BB5528">
        <w:rPr>
          <w:rStyle w:val="EndnoteReference"/>
        </w:rPr>
        <w:endnoteRef/>
      </w:r>
      <w:r w:rsidRPr="00BB5528">
        <w:rPr>
          <w:sz w:val="16"/>
          <w:szCs w:val="16"/>
        </w:rPr>
        <w:t xml:space="preserve"> Chi² test, significance level set at 0.05.</w:t>
      </w:r>
    </w:p>
  </w:endnote>
  <w:endnote w:id="5">
    <w:p w:rsidR="00035FE2" w:rsidRPr="00BB5528" w:rsidRDefault="00035FE2">
      <w:pPr>
        <w:pStyle w:val="EndnoteText"/>
        <w:rPr>
          <w:sz w:val="16"/>
          <w:szCs w:val="16"/>
        </w:rPr>
      </w:pPr>
      <w:r w:rsidRPr="00BB5528">
        <w:rPr>
          <w:rStyle w:val="EndnoteReference"/>
        </w:rPr>
        <w:endnoteRef/>
      </w:r>
      <w:r w:rsidRPr="00BB5528">
        <w:rPr>
          <w:rStyle w:val="EndnoteReference"/>
        </w:rPr>
        <w:t xml:space="preserve"> </w:t>
      </w:r>
      <w:r w:rsidRPr="00BB5528">
        <w:rPr>
          <w:sz w:val="16"/>
          <w:szCs w:val="16"/>
        </w:rPr>
        <w:t>Chi² test, significance level set at 0.05.</w:t>
      </w:r>
    </w:p>
  </w:endnote>
  <w:endnote w:id="6">
    <w:p w:rsidR="00035FE2" w:rsidRPr="00BB5528" w:rsidRDefault="00035FE2">
      <w:pPr>
        <w:pStyle w:val="EndnoteText"/>
        <w:rPr>
          <w:sz w:val="16"/>
          <w:szCs w:val="16"/>
        </w:rPr>
      </w:pPr>
      <w:r w:rsidRPr="00BB5528">
        <w:rPr>
          <w:rStyle w:val="EndnoteReference"/>
        </w:rPr>
        <w:endnoteRef/>
      </w:r>
      <w:r w:rsidRPr="00BB5528">
        <w:rPr>
          <w:rStyle w:val="EndnoteReference"/>
        </w:rPr>
        <w:t xml:space="preserve"> </w:t>
      </w:r>
      <w:r w:rsidRPr="00BB5528">
        <w:rPr>
          <w:sz w:val="16"/>
          <w:szCs w:val="16"/>
        </w:rPr>
        <w:t>Chi² test, significance level set at 0.05.</w:t>
      </w:r>
    </w:p>
  </w:endnote>
  <w:endnote w:id="7">
    <w:p w:rsidR="00035FE2" w:rsidRPr="00BB5528" w:rsidRDefault="00035FE2">
      <w:pPr>
        <w:pStyle w:val="EndnoteText"/>
        <w:rPr>
          <w:sz w:val="16"/>
          <w:szCs w:val="16"/>
        </w:rPr>
      </w:pPr>
      <w:r w:rsidRPr="00BB5528">
        <w:rPr>
          <w:rStyle w:val="EndnoteReference"/>
        </w:rPr>
        <w:endnoteRef/>
      </w:r>
      <w:r w:rsidRPr="00BB5528">
        <w:rPr>
          <w:rStyle w:val="EndnoteReference"/>
        </w:rPr>
        <w:t xml:space="preserve"> </w:t>
      </w:r>
      <w:r w:rsidRPr="00BB5528">
        <w:rPr>
          <w:sz w:val="16"/>
          <w:szCs w:val="16"/>
        </w:rPr>
        <w:t>Chi² test, significance level set at 0.05.</w:t>
      </w:r>
    </w:p>
  </w:endnote>
  <w:endnote w:id="8">
    <w:p w:rsidR="00035FE2" w:rsidRDefault="00035FE2">
      <w:pPr>
        <w:pStyle w:val="EndnoteText"/>
      </w:pPr>
      <w:r w:rsidRPr="00BB5528">
        <w:rPr>
          <w:rStyle w:val="EndnoteReference"/>
        </w:rPr>
        <w:endnoteRef/>
      </w:r>
      <w:r w:rsidRPr="00BB5528">
        <w:rPr>
          <w:sz w:val="16"/>
          <w:szCs w:val="16"/>
        </w:rPr>
        <w:t xml:space="preserve"> Chi² test, significance level set at 0.05.</w:t>
      </w:r>
    </w:p>
  </w:endnote>
  <w:endnote w:id="9">
    <w:p w:rsidR="00035FE2" w:rsidRDefault="00035FE2">
      <w:pPr>
        <w:pStyle w:val="EndnoteText"/>
      </w:pPr>
      <w:r>
        <w:rPr>
          <w:rStyle w:val="EndnoteReference"/>
        </w:rPr>
        <w:endnoteRef/>
      </w:r>
      <w:r>
        <w:t xml:space="preserve"> </w:t>
      </w:r>
      <w:r w:rsidRPr="00BB5528">
        <w:rPr>
          <w:sz w:val="16"/>
          <w:szCs w:val="16"/>
        </w:rPr>
        <w:t>Chi² test, significance level set at 0.05.</w:t>
      </w:r>
    </w:p>
  </w:endnote>
  <w:endnote w:id="10">
    <w:p w:rsidR="00035FE2" w:rsidRDefault="00035FE2">
      <w:pPr>
        <w:pStyle w:val="EndnoteText"/>
      </w:pPr>
      <w:r>
        <w:rPr>
          <w:rStyle w:val="EndnoteReference"/>
        </w:rPr>
        <w:endnoteRef/>
      </w:r>
      <w:r>
        <w:t xml:space="preserve"> </w:t>
      </w:r>
      <w:r w:rsidRPr="00BB5528">
        <w:rPr>
          <w:sz w:val="16"/>
          <w:szCs w:val="16"/>
        </w:rPr>
        <w:t>Method used was logistic regression restricted to LSIC couples in 2013 (n=580), in which occurrence of partner violence is the outcome variable, and with SEIFA Index of Relative Socio-Economic Disadvantage, remoteness, financial hardship, parent and partner employment status and partner education as the predictors.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474C4D" w:rsidRDefault="00474C4D" w:rsidP="006678AD">
    <w:pPr>
      <w:pStyle w:val="Footer"/>
      <w:tabs>
        <w:tab w:val="clear" w:pos="10433"/>
        <w:tab w:val="right" w:pos="7655"/>
      </w:tabs>
      <w:spacing w:before="240"/>
      <w:ind w:right="57"/>
      <w:jc w:val="both"/>
      <w:rPr>
        <w:rFonts w:asciiTheme="minorHAnsi" w:hAnsiTheme="minorHAnsi" w:cstheme="minorHAnsi"/>
        <w:color w:val="000000" w:themeColor="text1"/>
        <w:sz w:val="16"/>
        <w:szCs w:val="16"/>
      </w:rPr>
    </w:pPr>
    <w:r w:rsidRPr="0074638C">
      <w:rPr>
        <w:rFonts w:ascii="Arial" w:hAnsi="Arial" w:cs="Arial"/>
        <w:color w:val="000000" w:themeColor="text1"/>
        <w:sz w:val="16"/>
        <w:szCs w:val="16"/>
      </w:rPr>
      <w:t xml:space="preserve">For queries regarding this research, please email </w:t>
    </w:r>
    <w:hyperlink r:id="rId1" w:history="1">
      <w:r w:rsidRPr="00474C4D">
        <w:rPr>
          <w:rStyle w:val="Hyperlink"/>
          <w:rFonts w:ascii="Arial" w:hAnsi="Arial" w:cs="Arial"/>
          <w:sz w:val="16"/>
          <w:szCs w:val="16"/>
        </w:rPr>
        <w:t>NCLD@dss.gov.au</w:t>
      </w:r>
    </w:hyperlink>
    <w:r w:rsidR="006678AD">
      <w:rPr>
        <w:rStyle w:val="Hyperlink"/>
        <w:rFonts w:ascii="Arial" w:hAnsi="Arial" w:cs="Arial"/>
        <w:sz w:val="16"/>
        <w:szCs w:val="16"/>
      </w:rPr>
      <w:tab/>
    </w:r>
    <w:r w:rsidR="006678AD" w:rsidRPr="00B42948">
      <w:rPr>
        <w:rFonts w:asciiTheme="minorHAnsi" w:hAnsiTheme="minorHAnsi" w:cstheme="minorHAnsi"/>
        <w:color w:val="000000" w:themeColor="text1"/>
        <w:sz w:val="16"/>
        <w:szCs w:val="16"/>
      </w:rPr>
      <w:t xml:space="preserve">Page </w:t>
    </w:r>
    <w:r w:rsidR="006678AD" w:rsidRPr="00B42948">
      <w:rPr>
        <w:rFonts w:asciiTheme="minorHAnsi" w:hAnsiTheme="minorHAnsi" w:cstheme="minorHAnsi"/>
        <w:b/>
        <w:color w:val="000000" w:themeColor="text1"/>
        <w:sz w:val="16"/>
        <w:szCs w:val="16"/>
      </w:rPr>
      <w:fldChar w:fldCharType="begin"/>
    </w:r>
    <w:r w:rsidR="006678AD" w:rsidRPr="00B42948">
      <w:rPr>
        <w:rFonts w:asciiTheme="minorHAnsi" w:hAnsiTheme="minorHAnsi" w:cstheme="minorHAnsi"/>
        <w:b/>
        <w:color w:val="000000" w:themeColor="text1"/>
        <w:sz w:val="16"/>
        <w:szCs w:val="16"/>
      </w:rPr>
      <w:instrText xml:space="preserve"> PAGE  \* Arabic  \* MERGEFORMAT </w:instrText>
    </w:r>
    <w:r w:rsidR="006678AD" w:rsidRPr="00B42948">
      <w:rPr>
        <w:rFonts w:asciiTheme="minorHAnsi" w:hAnsiTheme="minorHAnsi" w:cstheme="minorHAnsi"/>
        <w:b/>
        <w:color w:val="000000" w:themeColor="text1"/>
        <w:sz w:val="16"/>
        <w:szCs w:val="16"/>
      </w:rPr>
      <w:fldChar w:fldCharType="separate"/>
    </w:r>
    <w:r w:rsidR="007D3093">
      <w:rPr>
        <w:rFonts w:asciiTheme="minorHAnsi" w:hAnsiTheme="minorHAnsi" w:cstheme="minorHAnsi"/>
        <w:b/>
        <w:noProof/>
        <w:color w:val="000000" w:themeColor="text1"/>
        <w:sz w:val="16"/>
        <w:szCs w:val="16"/>
      </w:rPr>
      <w:t>12</w:t>
    </w:r>
    <w:r w:rsidR="006678AD" w:rsidRPr="00B42948">
      <w:rPr>
        <w:rFonts w:asciiTheme="minorHAnsi" w:hAnsiTheme="minorHAnsi" w:cstheme="minorHAnsi"/>
        <w:b/>
        <w:color w:val="000000" w:themeColor="text1"/>
        <w:sz w:val="16"/>
        <w:szCs w:val="16"/>
      </w:rPr>
      <w:fldChar w:fldCharType="end"/>
    </w:r>
    <w:r w:rsidR="006678AD" w:rsidRPr="00B42948">
      <w:rPr>
        <w:rFonts w:asciiTheme="minorHAnsi" w:hAnsiTheme="minorHAnsi" w:cstheme="minorHAnsi"/>
        <w:color w:val="000000" w:themeColor="text1"/>
        <w:sz w:val="16"/>
        <w:szCs w:val="16"/>
      </w:rPr>
      <w:t xml:space="preserve"> of </w:t>
    </w:r>
    <w:r w:rsidR="006678AD" w:rsidRPr="00B42948">
      <w:rPr>
        <w:rFonts w:asciiTheme="minorHAnsi" w:hAnsiTheme="minorHAnsi" w:cstheme="minorHAnsi"/>
        <w:b/>
        <w:color w:val="000000" w:themeColor="text1"/>
        <w:sz w:val="16"/>
        <w:szCs w:val="16"/>
      </w:rPr>
      <w:fldChar w:fldCharType="begin"/>
    </w:r>
    <w:r w:rsidR="006678AD" w:rsidRPr="00B42948">
      <w:rPr>
        <w:rFonts w:asciiTheme="minorHAnsi" w:hAnsiTheme="minorHAnsi" w:cstheme="minorHAnsi"/>
        <w:b/>
        <w:color w:val="000000" w:themeColor="text1"/>
        <w:sz w:val="16"/>
        <w:szCs w:val="16"/>
      </w:rPr>
      <w:instrText xml:space="preserve"> NUMPAGES  \* Arabic  \* MERGEFORMAT </w:instrText>
    </w:r>
    <w:r w:rsidR="006678AD" w:rsidRPr="00B42948">
      <w:rPr>
        <w:rFonts w:asciiTheme="minorHAnsi" w:hAnsiTheme="minorHAnsi" w:cstheme="minorHAnsi"/>
        <w:b/>
        <w:color w:val="000000" w:themeColor="text1"/>
        <w:sz w:val="16"/>
        <w:szCs w:val="16"/>
      </w:rPr>
      <w:fldChar w:fldCharType="separate"/>
    </w:r>
    <w:r w:rsidR="007D3093">
      <w:rPr>
        <w:rFonts w:asciiTheme="minorHAnsi" w:hAnsiTheme="minorHAnsi" w:cstheme="minorHAnsi"/>
        <w:b/>
        <w:noProof/>
        <w:color w:val="000000" w:themeColor="text1"/>
        <w:sz w:val="16"/>
        <w:szCs w:val="16"/>
      </w:rPr>
      <w:t>12</w:t>
    </w:r>
    <w:r w:rsidR="006678AD" w:rsidRPr="00B42948">
      <w:rPr>
        <w:rFonts w:asciiTheme="minorHAnsi" w:hAnsiTheme="minorHAnsi" w:cstheme="minorHAnsi"/>
        <w:b/>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4D" w:rsidRPr="00474C4D" w:rsidRDefault="00474C4D" w:rsidP="006678AD">
    <w:pPr>
      <w:pStyle w:val="Footer"/>
      <w:tabs>
        <w:tab w:val="clear" w:pos="10433"/>
        <w:tab w:val="right" w:pos="7655"/>
      </w:tabs>
      <w:jc w:val="both"/>
      <w:rPr>
        <w:rFonts w:asciiTheme="minorHAnsi" w:hAnsiTheme="minorHAnsi" w:cstheme="minorHAnsi"/>
        <w:color w:val="000000" w:themeColor="text1"/>
        <w:sz w:val="16"/>
        <w:szCs w:val="16"/>
      </w:rPr>
    </w:pPr>
    <w:r w:rsidRPr="0074638C">
      <w:rPr>
        <w:rFonts w:ascii="Arial" w:hAnsi="Arial" w:cs="Arial"/>
        <w:color w:val="000000" w:themeColor="text1"/>
        <w:sz w:val="16"/>
        <w:szCs w:val="16"/>
      </w:rPr>
      <w:t xml:space="preserve">For queries regarding this research, please email </w:t>
    </w:r>
    <w:hyperlink r:id="rId1" w:history="1">
      <w:r w:rsidRPr="00474C4D">
        <w:rPr>
          <w:rStyle w:val="Hyperlink"/>
          <w:rFonts w:ascii="Arial" w:hAnsi="Arial" w:cs="Arial"/>
          <w:sz w:val="16"/>
          <w:szCs w:val="16"/>
        </w:rPr>
        <w:t>NCLD@dss.gov.au</w:t>
      </w:r>
    </w:hyperlink>
    <w:r>
      <w:rPr>
        <w:rStyle w:val="Hyperlink"/>
        <w:rFonts w:ascii="Arial" w:hAnsi="Arial" w:cs="Arial"/>
        <w:b w:val="0"/>
        <w:sz w:val="16"/>
        <w:szCs w:val="16"/>
      </w:rPr>
      <w:t xml:space="preserve"> </w:t>
    </w:r>
    <w:r w:rsidR="006678AD">
      <w:rPr>
        <w:rStyle w:val="Hyperlink"/>
        <w:rFonts w:ascii="Arial" w:hAnsi="Arial" w:cs="Arial"/>
        <w:b w:val="0"/>
        <w:sz w:val="16"/>
        <w:szCs w:val="16"/>
      </w:rPr>
      <w:tab/>
    </w:r>
    <w:r w:rsidR="006678AD" w:rsidRPr="00B42948">
      <w:rPr>
        <w:rFonts w:asciiTheme="minorHAnsi" w:hAnsiTheme="minorHAnsi" w:cstheme="minorHAnsi"/>
        <w:color w:val="000000" w:themeColor="text1"/>
        <w:sz w:val="16"/>
        <w:szCs w:val="16"/>
      </w:rPr>
      <w:t xml:space="preserve">Page </w:t>
    </w:r>
    <w:r w:rsidR="006678AD" w:rsidRPr="00B42948">
      <w:rPr>
        <w:rFonts w:asciiTheme="minorHAnsi" w:hAnsiTheme="minorHAnsi" w:cstheme="minorHAnsi"/>
        <w:b/>
        <w:color w:val="000000" w:themeColor="text1"/>
        <w:sz w:val="16"/>
        <w:szCs w:val="16"/>
      </w:rPr>
      <w:fldChar w:fldCharType="begin"/>
    </w:r>
    <w:r w:rsidR="006678AD" w:rsidRPr="00B42948">
      <w:rPr>
        <w:rFonts w:asciiTheme="minorHAnsi" w:hAnsiTheme="minorHAnsi" w:cstheme="minorHAnsi"/>
        <w:b/>
        <w:color w:val="000000" w:themeColor="text1"/>
        <w:sz w:val="16"/>
        <w:szCs w:val="16"/>
      </w:rPr>
      <w:instrText xml:space="preserve"> PAGE  \* Arabic  \* MERGEFORMAT </w:instrText>
    </w:r>
    <w:r w:rsidR="006678AD" w:rsidRPr="00B42948">
      <w:rPr>
        <w:rFonts w:asciiTheme="minorHAnsi" w:hAnsiTheme="minorHAnsi" w:cstheme="minorHAnsi"/>
        <w:b/>
        <w:color w:val="000000" w:themeColor="text1"/>
        <w:sz w:val="16"/>
        <w:szCs w:val="16"/>
      </w:rPr>
      <w:fldChar w:fldCharType="separate"/>
    </w:r>
    <w:r w:rsidR="003F6C3F">
      <w:rPr>
        <w:rFonts w:asciiTheme="minorHAnsi" w:hAnsiTheme="minorHAnsi" w:cstheme="minorHAnsi"/>
        <w:b/>
        <w:noProof/>
        <w:color w:val="000000" w:themeColor="text1"/>
        <w:sz w:val="16"/>
        <w:szCs w:val="16"/>
      </w:rPr>
      <w:t>1</w:t>
    </w:r>
    <w:r w:rsidR="006678AD" w:rsidRPr="00B42948">
      <w:rPr>
        <w:rFonts w:asciiTheme="minorHAnsi" w:hAnsiTheme="minorHAnsi" w:cstheme="minorHAnsi"/>
        <w:b/>
        <w:color w:val="000000" w:themeColor="text1"/>
        <w:sz w:val="16"/>
        <w:szCs w:val="16"/>
      </w:rPr>
      <w:fldChar w:fldCharType="end"/>
    </w:r>
    <w:r w:rsidR="006678AD" w:rsidRPr="00B42948">
      <w:rPr>
        <w:rFonts w:asciiTheme="minorHAnsi" w:hAnsiTheme="minorHAnsi" w:cstheme="minorHAnsi"/>
        <w:color w:val="000000" w:themeColor="text1"/>
        <w:sz w:val="16"/>
        <w:szCs w:val="16"/>
      </w:rPr>
      <w:t xml:space="preserve"> of </w:t>
    </w:r>
    <w:r w:rsidR="006678AD" w:rsidRPr="00B42948">
      <w:rPr>
        <w:rFonts w:asciiTheme="minorHAnsi" w:hAnsiTheme="minorHAnsi" w:cstheme="minorHAnsi"/>
        <w:b/>
        <w:color w:val="000000" w:themeColor="text1"/>
        <w:sz w:val="16"/>
        <w:szCs w:val="16"/>
      </w:rPr>
      <w:fldChar w:fldCharType="begin"/>
    </w:r>
    <w:r w:rsidR="006678AD" w:rsidRPr="00B42948">
      <w:rPr>
        <w:rFonts w:asciiTheme="minorHAnsi" w:hAnsiTheme="minorHAnsi" w:cstheme="minorHAnsi"/>
        <w:b/>
        <w:color w:val="000000" w:themeColor="text1"/>
        <w:sz w:val="16"/>
        <w:szCs w:val="16"/>
      </w:rPr>
      <w:instrText xml:space="preserve"> NUMPAGES  \* Arabic  \* MERGEFORMAT </w:instrText>
    </w:r>
    <w:r w:rsidR="006678AD" w:rsidRPr="00B42948">
      <w:rPr>
        <w:rFonts w:asciiTheme="minorHAnsi" w:hAnsiTheme="minorHAnsi" w:cstheme="minorHAnsi"/>
        <w:b/>
        <w:color w:val="000000" w:themeColor="text1"/>
        <w:sz w:val="16"/>
        <w:szCs w:val="16"/>
      </w:rPr>
      <w:fldChar w:fldCharType="separate"/>
    </w:r>
    <w:r w:rsidR="003F6C3F">
      <w:rPr>
        <w:rFonts w:asciiTheme="minorHAnsi" w:hAnsiTheme="minorHAnsi" w:cstheme="minorHAnsi"/>
        <w:b/>
        <w:noProof/>
        <w:color w:val="000000" w:themeColor="text1"/>
        <w:sz w:val="16"/>
        <w:szCs w:val="16"/>
      </w:rPr>
      <w:t>12</w:t>
    </w:r>
    <w:r w:rsidR="006678AD" w:rsidRPr="00B42948">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55" w:rsidRDefault="00296A55">
      <w:r>
        <w:separator/>
      </w:r>
    </w:p>
  </w:footnote>
  <w:footnote w:type="continuationSeparator" w:id="0">
    <w:p w:rsidR="00296A55" w:rsidRDefault="0029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4A0E6A">
    <w:pPr>
      <w:pStyle w:val="Header"/>
      <w:spacing w:after="120"/>
      <w:rPr>
        <w:noProof/>
      </w:rPr>
    </w:pPr>
    <w:r w:rsidRPr="00360B93">
      <w:rPr>
        <w:noProof/>
      </w:rPr>
      <w:drawing>
        <wp:anchor distT="0" distB="0" distL="114300" distR="114300" simplePos="0" relativeHeight="251664384" behindDoc="0" locked="0" layoutInCell="1" allowOverlap="1" wp14:anchorId="5ADFE058" wp14:editId="59AE775E">
          <wp:simplePos x="0" y="0"/>
          <wp:positionH relativeFrom="column">
            <wp:posOffset>-31115</wp:posOffset>
          </wp:positionH>
          <wp:positionV relativeFrom="paragraph">
            <wp:posOffset>-127635</wp:posOffset>
          </wp:positionV>
          <wp:extent cx="2313940" cy="616585"/>
          <wp:effectExtent l="0" t="0" r="0" b="0"/>
          <wp:wrapNone/>
          <wp:docPr id="7" name="Picture 20"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1" name="Picture 20" descr="Australian Government, Department of Social Services logo"/>
                  <pic:cNvPicPr/>
                </pic:nvPicPr>
                <pic:blipFill rotWithShape="1">
                  <a:blip r:embed="rId1" cstate="print">
                    <a:extLst>
                      <a:ext uri="{28A0092B-C50C-407E-A947-70E740481C1C}">
                        <a14:useLocalDpi xmlns:a14="http://schemas.microsoft.com/office/drawing/2010/main" val="0"/>
                      </a:ext>
                    </a:extLst>
                  </a:blip>
                  <a:srcRect l="6380" r="57907" b="50000"/>
                  <a:stretch/>
                </pic:blipFill>
                <pic:spPr>
                  <a:xfrm>
                    <a:off x="0" y="0"/>
                    <a:ext cx="2313940" cy="616585"/>
                  </a:xfrm>
                  <a:prstGeom prst="rect">
                    <a:avLst/>
                  </a:prstGeom>
                </pic:spPr>
              </pic:pic>
            </a:graphicData>
          </a:graphic>
        </wp:anchor>
      </w:drawing>
    </w:r>
  </w:p>
  <w:p w:rsidR="00474C4D" w:rsidRDefault="00474C4D" w:rsidP="00474C4D">
    <w:pPr>
      <w:pStyle w:val="Header"/>
      <w:spacing w:after="120"/>
      <w:rPr>
        <w:noProof/>
      </w:rPr>
    </w:pPr>
  </w:p>
  <w:p w:rsidR="00474C4D" w:rsidRDefault="00474C4D" w:rsidP="00474C4D">
    <w:pPr>
      <w:pStyle w:val="Header"/>
      <w:spacing w:after="120"/>
      <w:rPr>
        <w:noProof/>
      </w:rPr>
    </w:pPr>
    <w:r>
      <w:rPr>
        <w:rFonts w:ascii="Calibri" w:hAnsi="Calibri"/>
        <w:b/>
        <w:bCs/>
        <w:smallCaps/>
        <w:noProof/>
        <w:color w:val="500778"/>
        <w:kern w:val="24"/>
        <w:sz w:val="40"/>
        <w:szCs w:val="40"/>
      </w:rPr>
      <w:drawing>
        <wp:anchor distT="0" distB="0" distL="114300" distR="114300" simplePos="0" relativeHeight="251670528" behindDoc="1" locked="0" layoutInCell="1" allowOverlap="1" wp14:anchorId="15264477" wp14:editId="781D519C">
          <wp:simplePos x="0" y="0"/>
          <wp:positionH relativeFrom="column">
            <wp:posOffset>4560570</wp:posOffset>
          </wp:positionH>
          <wp:positionV relativeFrom="paragraph">
            <wp:posOffset>98425</wp:posOffset>
          </wp:positionV>
          <wp:extent cx="1666875" cy="762000"/>
          <wp:effectExtent l="0" t="0" r="9525" b="0"/>
          <wp:wrapNone/>
          <wp:docPr id="26" name="Picture 26" descr="National Centre for Longitudinal Data logo" title="National Centre for Longitudin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66875" cy="762000"/>
                  </a:xfrm>
                  <a:prstGeom prst="rect">
                    <a:avLst/>
                  </a:prstGeom>
                  <a:noFill/>
                </pic:spPr>
              </pic:pic>
            </a:graphicData>
          </a:graphic>
          <wp14:sizeRelH relativeFrom="margin">
            <wp14:pctWidth>0</wp14:pctWidth>
          </wp14:sizeRelH>
          <wp14:sizeRelV relativeFrom="margin">
            <wp14:pctHeight>0</wp14:pctHeight>
          </wp14:sizeRelV>
        </wp:anchor>
      </w:drawing>
    </w:r>
  </w:p>
  <w:p w:rsidR="00474C4D" w:rsidRDefault="00474C4D" w:rsidP="00474C4D">
    <w:pPr>
      <w:pStyle w:val="Header"/>
      <w:tabs>
        <w:tab w:val="clear" w:pos="4153"/>
        <w:tab w:val="clear" w:pos="8306"/>
        <w:tab w:val="right" w:pos="9639"/>
      </w:tabs>
      <w:spacing w:after="0"/>
      <w:contextualSpacing w:val="0"/>
      <w:rPr>
        <w:noProof/>
      </w:rPr>
    </w:pPr>
  </w:p>
  <w:p w:rsidR="00474C4D" w:rsidRPr="00901FB7" w:rsidRDefault="00474C4D" w:rsidP="00474C4D">
    <w:pPr>
      <w:pStyle w:val="Header"/>
      <w:tabs>
        <w:tab w:val="clear" w:pos="4153"/>
        <w:tab w:val="clear" w:pos="8306"/>
        <w:tab w:val="right" w:pos="9639"/>
      </w:tabs>
      <w:spacing w:after="0"/>
      <w:contextualSpacing w:val="0"/>
      <w:rPr>
        <w:noProof/>
        <w:color w:val="FFFFFF" w:themeColor="background1"/>
      </w:rPr>
    </w:pPr>
  </w:p>
  <w:p w:rsidR="00474C4D" w:rsidRPr="00901FB7" w:rsidRDefault="00474C4D" w:rsidP="00474C4D">
    <w:pPr>
      <w:pStyle w:val="Header"/>
      <w:tabs>
        <w:tab w:val="clear" w:pos="4153"/>
        <w:tab w:val="clear" w:pos="8306"/>
        <w:tab w:val="right" w:pos="9639"/>
      </w:tabs>
      <w:spacing w:after="0"/>
      <w:contextualSpacing w:val="0"/>
      <w:rPr>
        <w:noProof/>
        <w:color w:val="FFFFFF" w:themeColor="background1"/>
      </w:rPr>
    </w:pPr>
    <w:r w:rsidRPr="00901FB7">
      <w:rPr>
        <w:noProof/>
        <w:color w:val="FFFFFF" w:themeColor="background1"/>
      </w:rPr>
      <mc:AlternateContent>
        <mc:Choice Requires="wps">
          <w:drawing>
            <wp:anchor distT="0" distB="0" distL="114300" distR="114300" simplePos="0" relativeHeight="251671552" behindDoc="0" locked="0" layoutInCell="1" allowOverlap="1" wp14:anchorId="17D0B959" wp14:editId="3D633F8F">
              <wp:simplePos x="0" y="0"/>
              <wp:positionH relativeFrom="column">
                <wp:posOffset>-95250</wp:posOffset>
              </wp:positionH>
              <wp:positionV relativeFrom="paragraph">
                <wp:posOffset>136525</wp:posOffset>
              </wp:positionV>
              <wp:extent cx="4666280" cy="338554"/>
              <wp:effectExtent l="0" t="0" r="0" b="0"/>
              <wp:wrapNone/>
              <wp:docPr id="15" name="TextBox 14"/>
              <wp:cNvGraphicFramePr/>
              <a:graphic xmlns:a="http://schemas.openxmlformats.org/drawingml/2006/main">
                <a:graphicData uri="http://schemas.microsoft.com/office/word/2010/wordprocessingShape">
                  <wps:wsp>
                    <wps:cNvSpPr txBox="1"/>
                    <wps:spPr>
                      <a:xfrm>
                        <a:off x="0" y="0"/>
                        <a:ext cx="4666280" cy="338554"/>
                      </a:xfrm>
                      <a:prstGeom prst="rect">
                        <a:avLst/>
                      </a:prstGeom>
                      <a:noFill/>
                    </wps:spPr>
                    <wps:txbx>
                      <w:txbxContent>
                        <w:p w:rsidR="00474C4D" w:rsidRPr="00901FB7" w:rsidRDefault="00474C4D" w:rsidP="00474C4D">
                          <w:pPr>
                            <w:pStyle w:val="NormalWeb"/>
                            <w:spacing w:before="0" w:beforeAutospacing="0" w:after="0" w:afterAutospacing="0"/>
                            <w:rPr>
                              <w:rFonts w:ascii="Georgia" w:hAnsi="Georgia" w:cstheme="minorHAnsi"/>
                              <w:sz w:val="28"/>
                            </w:rPr>
                          </w:pPr>
                          <w:r w:rsidRPr="00901FB7">
                            <w:rPr>
                              <w:rFonts w:ascii="Georgia" w:hAnsi="Georgia" w:cstheme="minorHAnsi"/>
                              <w:b/>
                              <w:bCs/>
                              <w:color w:val="500778"/>
                              <w:kern w:val="24"/>
                              <w:sz w:val="28"/>
                              <w:szCs w:val="32"/>
                            </w:rPr>
                            <w:t>National Centre for Longitudinal Data</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7.5pt;margin-top:10.75pt;width:367.4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" filled="f" stroked="f">
              <v:textbox style="mso-fit-shape-to-text:t">
                <w:txbxContent>
                  <w:p w:rsidR="00474C4D" w:rsidRPr="00901FB7" w:rsidRDefault="00474C4D" w:rsidP="00474C4D">
                    <w:pPr>
                      <w:pStyle w:val="NormalWeb"/>
                      <w:spacing w:before="0" w:beforeAutospacing="0" w:after="0" w:afterAutospacing="0"/>
                      <w:rPr>
                        <w:rFonts w:ascii="Georgia" w:hAnsi="Georgia" w:cstheme="minorHAnsi"/>
                        <w:sz w:val="28"/>
                      </w:rPr>
                    </w:pPr>
                    <w:r w:rsidRPr="00901FB7">
                      <w:rPr>
                        <w:rFonts w:ascii="Georgia" w:hAnsi="Georgia" w:cstheme="minorHAnsi"/>
                        <w:b/>
                        <w:bCs/>
                        <w:color w:val="500778"/>
                        <w:kern w:val="24"/>
                        <w:sz w:val="28"/>
                        <w:szCs w:val="32"/>
                      </w:rPr>
                      <w:t>National Centre for Longitudinal Data</w:t>
                    </w:r>
                  </w:p>
                </w:txbxContent>
              </v:textbox>
            </v:shape>
          </w:pict>
        </mc:Fallback>
      </mc:AlternateContent>
    </w:r>
  </w:p>
  <w:p w:rsidR="00474C4D" w:rsidRPr="00901FB7" w:rsidRDefault="00474C4D" w:rsidP="00474C4D">
    <w:pPr>
      <w:pStyle w:val="Header"/>
      <w:tabs>
        <w:tab w:val="clear" w:pos="4153"/>
        <w:tab w:val="clear" w:pos="8306"/>
        <w:tab w:val="right" w:pos="9639"/>
      </w:tabs>
      <w:spacing w:after="0"/>
      <w:contextualSpacing w:val="0"/>
      <w:rPr>
        <w:noProof/>
        <w:color w:val="FFFFFF" w:themeColor="background1"/>
      </w:rPr>
    </w:pPr>
  </w:p>
  <w:p w:rsidR="00474C4D" w:rsidRPr="00901FB7" w:rsidRDefault="00474C4D" w:rsidP="00474C4D">
    <w:pPr>
      <w:pStyle w:val="Header"/>
      <w:tabs>
        <w:tab w:val="clear" w:pos="4153"/>
        <w:tab w:val="clear" w:pos="8306"/>
        <w:tab w:val="right" w:pos="9639"/>
      </w:tabs>
      <w:spacing w:after="0"/>
      <w:contextualSpacing w:val="0"/>
      <w:rPr>
        <w:noProof/>
        <w:color w:val="FFFFFF" w:themeColor="background1"/>
      </w:rPr>
    </w:pPr>
  </w:p>
  <w:p w:rsidR="00474C4D" w:rsidRPr="00901FB7" w:rsidRDefault="00474C4D" w:rsidP="00474C4D">
    <w:pPr>
      <w:pStyle w:val="Header"/>
      <w:tabs>
        <w:tab w:val="clear" w:pos="4153"/>
        <w:tab w:val="clear" w:pos="8306"/>
        <w:tab w:val="right" w:pos="9639"/>
      </w:tabs>
      <w:spacing w:after="0"/>
      <w:contextualSpacing w:val="0"/>
      <w:rPr>
        <w:rFonts w:ascii="Arial" w:hAnsi="Arial"/>
        <w:noProof/>
        <w:color w:val="auto"/>
      </w:rPr>
    </w:pPr>
    <w:r w:rsidRPr="00901FB7">
      <w:rPr>
        <w:noProof/>
        <w:color w:val="FFFFFF" w:themeColor="background1"/>
      </w:rPr>
      <mc:AlternateContent>
        <mc:Choice Requires="wps">
          <w:drawing>
            <wp:anchor distT="0" distB="0" distL="114300" distR="114300" simplePos="0" relativeHeight="251672576" behindDoc="0" locked="0" layoutInCell="1" allowOverlap="1" wp14:anchorId="238A1B94" wp14:editId="0450D350">
              <wp:simplePos x="0" y="0"/>
              <wp:positionH relativeFrom="column">
                <wp:align>left</wp:align>
              </wp:positionH>
              <wp:positionV relativeFrom="paragraph">
                <wp:posOffset>6985</wp:posOffset>
              </wp:positionV>
              <wp:extent cx="6249600" cy="0"/>
              <wp:effectExtent l="0" t="0" r="18415" b="19050"/>
              <wp:wrapNone/>
              <wp:docPr id="2" name="Straight Connector 4" descr="National Centre for Longitudinal Data - line under title and logo" title="National Centre for Longitudinal Data"/>
              <wp:cNvGraphicFramePr/>
              <a:graphic xmlns:a="http://schemas.openxmlformats.org/drawingml/2006/main">
                <a:graphicData uri="http://schemas.microsoft.com/office/word/2010/wordprocessingShape">
                  <wps:wsp>
                    <wps:cNvCnPr/>
                    <wps:spPr>
                      <a:xfrm>
                        <a:off x="0" y="0"/>
                        <a:ext cx="6249600" cy="0"/>
                      </a:xfrm>
                      <a:prstGeom prst="line">
                        <a:avLst/>
                      </a:prstGeom>
                      <a:ln w="19050">
                        <a:solidFill>
                          <a:srgbClr val="5007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alt="Title: National Centre for Longitudinal Data - Description: National Centre for Longitudinal Data - line under title and logo" style="position:absolute;z-index:25167257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55pt" to="49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" strokecolor="#500778" strokeweight="1.5pt"/>
          </w:pict>
        </mc:Fallback>
      </mc:AlternateContent>
    </w:r>
    <w:r w:rsidRPr="00901FB7">
      <w:rPr>
        <w:noProof/>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3F6D34"/>
    <w:multiLevelType w:val="hybridMultilevel"/>
    <w:tmpl w:val="7F984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483913"/>
    <w:multiLevelType w:val="hybridMultilevel"/>
    <w:tmpl w:val="01404F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9C4483"/>
    <w:multiLevelType w:val="hybridMultilevel"/>
    <w:tmpl w:val="346C5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903028"/>
    <w:multiLevelType w:val="hybridMultilevel"/>
    <w:tmpl w:val="58B80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D000286"/>
    <w:multiLevelType w:val="hybridMultilevel"/>
    <w:tmpl w:val="37FAE1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96640DF"/>
    <w:multiLevelType w:val="hybridMultilevel"/>
    <w:tmpl w:val="B7D8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2"/>
  </w:num>
  <w:num w:numId="5">
    <w:abstractNumId w:val="16"/>
  </w:num>
  <w:num w:numId="6">
    <w:abstractNumId w:val="62"/>
  </w:num>
  <w:num w:numId="7">
    <w:abstractNumId w:val="48"/>
  </w:num>
  <w:num w:numId="8">
    <w:abstractNumId w:val="54"/>
  </w:num>
  <w:num w:numId="9">
    <w:abstractNumId w:val="7"/>
  </w:num>
  <w:num w:numId="10">
    <w:abstractNumId w:val="61"/>
  </w:num>
  <w:num w:numId="11">
    <w:abstractNumId w:val="17"/>
  </w:num>
  <w:num w:numId="12">
    <w:abstractNumId w:val="45"/>
  </w:num>
  <w:num w:numId="13">
    <w:abstractNumId w:val="56"/>
  </w:num>
  <w:num w:numId="14">
    <w:abstractNumId w:val="37"/>
  </w:num>
  <w:num w:numId="15">
    <w:abstractNumId w:val="3"/>
  </w:num>
  <w:num w:numId="16">
    <w:abstractNumId w:val="13"/>
  </w:num>
  <w:num w:numId="17">
    <w:abstractNumId w:val="60"/>
  </w:num>
  <w:num w:numId="18">
    <w:abstractNumId w:val="53"/>
  </w:num>
  <w:num w:numId="19">
    <w:abstractNumId w:val="14"/>
  </w:num>
  <w:num w:numId="20">
    <w:abstractNumId w:val="2"/>
  </w:num>
  <w:num w:numId="21">
    <w:abstractNumId w:val="5"/>
  </w:num>
  <w:num w:numId="22">
    <w:abstractNumId w:val="23"/>
  </w:num>
  <w:num w:numId="23">
    <w:abstractNumId w:val="18"/>
  </w:num>
  <w:num w:numId="24">
    <w:abstractNumId w:val="64"/>
  </w:num>
  <w:num w:numId="25">
    <w:abstractNumId w:val="36"/>
  </w:num>
  <w:num w:numId="26">
    <w:abstractNumId w:val="41"/>
  </w:num>
  <w:num w:numId="27">
    <w:abstractNumId w:val="20"/>
  </w:num>
  <w:num w:numId="28">
    <w:abstractNumId w:val="63"/>
  </w:num>
  <w:num w:numId="29">
    <w:abstractNumId w:val="52"/>
  </w:num>
  <w:num w:numId="30">
    <w:abstractNumId w:val="29"/>
  </w:num>
  <w:num w:numId="31">
    <w:abstractNumId w:val="47"/>
  </w:num>
  <w:num w:numId="32">
    <w:abstractNumId w:val="57"/>
  </w:num>
  <w:num w:numId="33">
    <w:abstractNumId w:val="59"/>
  </w:num>
  <w:num w:numId="34">
    <w:abstractNumId w:val="4"/>
  </w:num>
  <w:num w:numId="35">
    <w:abstractNumId w:val="27"/>
  </w:num>
  <w:num w:numId="36">
    <w:abstractNumId w:val="50"/>
  </w:num>
  <w:num w:numId="37">
    <w:abstractNumId w:val="8"/>
  </w:num>
  <w:num w:numId="38">
    <w:abstractNumId w:val="32"/>
  </w:num>
  <w:num w:numId="39">
    <w:abstractNumId w:val="26"/>
  </w:num>
  <w:num w:numId="40">
    <w:abstractNumId w:val="35"/>
  </w:num>
  <w:num w:numId="41">
    <w:abstractNumId w:val="39"/>
  </w:num>
  <w:num w:numId="42">
    <w:abstractNumId w:val="24"/>
  </w:num>
  <w:num w:numId="43">
    <w:abstractNumId w:val="15"/>
  </w:num>
  <w:num w:numId="44">
    <w:abstractNumId w:val="44"/>
  </w:num>
  <w:num w:numId="45">
    <w:abstractNumId w:val="49"/>
  </w:num>
  <w:num w:numId="46">
    <w:abstractNumId w:val="34"/>
  </w:num>
  <w:num w:numId="47">
    <w:abstractNumId w:val="33"/>
  </w:num>
  <w:num w:numId="48">
    <w:abstractNumId w:val="1"/>
  </w:num>
  <w:num w:numId="49">
    <w:abstractNumId w:val="46"/>
  </w:num>
  <w:num w:numId="50">
    <w:abstractNumId w:val="58"/>
  </w:num>
  <w:num w:numId="51">
    <w:abstractNumId w:val="43"/>
  </w:num>
  <w:num w:numId="52">
    <w:abstractNumId w:val="9"/>
  </w:num>
  <w:num w:numId="53">
    <w:abstractNumId w:val="55"/>
  </w:num>
  <w:num w:numId="54">
    <w:abstractNumId w:val="28"/>
  </w:num>
  <w:num w:numId="55">
    <w:abstractNumId w:val="19"/>
  </w:num>
  <w:num w:numId="56">
    <w:abstractNumId w:val="31"/>
  </w:num>
  <w:num w:numId="57">
    <w:abstractNumId w:val="30"/>
  </w:num>
  <w:num w:numId="58">
    <w:abstractNumId w:val="11"/>
  </w:num>
  <w:num w:numId="59">
    <w:abstractNumId w:val="38"/>
  </w:num>
  <w:num w:numId="60">
    <w:abstractNumId w:val="6"/>
  </w:num>
  <w:num w:numId="61">
    <w:abstractNumId w:val="22"/>
  </w:num>
  <w:num w:numId="62">
    <w:abstractNumId w:val="42"/>
  </w:num>
  <w:num w:numId="63">
    <w:abstractNumId w:val="21"/>
  </w:num>
  <w:num w:numId="64">
    <w:abstractNumId w:val="10"/>
  </w:num>
  <w:num w:numId="65">
    <w:abstractNumId w:val="25"/>
  </w:num>
  <w:num w:numId="66">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C6"/>
    <w:rsid w:val="00002C18"/>
    <w:rsid w:val="00005CC8"/>
    <w:rsid w:val="00007944"/>
    <w:rsid w:val="00010549"/>
    <w:rsid w:val="00010FE4"/>
    <w:rsid w:val="00012F84"/>
    <w:rsid w:val="00013F99"/>
    <w:rsid w:val="00024FB7"/>
    <w:rsid w:val="00025376"/>
    <w:rsid w:val="00027B26"/>
    <w:rsid w:val="0003104E"/>
    <w:rsid w:val="00031195"/>
    <w:rsid w:val="00032861"/>
    <w:rsid w:val="00035CA1"/>
    <w:rsid w:val="00035FE2"/>
    <w:rsid w:val="0003679F"/>
    <w:rsid w:val="000373D7"/>
    <w:rsid w:val="000435BB"/>
    <w:rsid w:val="00045CCD"/>
    <w:rsid w:val="00047524"/>
    <w:rsid w:val="00047ACD"/>
    <w:rsid w:val="000505B2"/>
    <w:rsid w:val="00050E5B"/>
    <w:rsid w:val="000547EF"/>
    <w:rsid w:val="00054B89"/>
    <w:rsid w:val="000555A8"/>
    <w:rsid w:val="00066311"/>
    <w:rsid w:val="0006672F"/>
    <w:rsid w:val="00067CD0"/>
    <w:rsid w:val="00074CF9"/>
    <w:rsid w:val="00077CD4"/>
    <w:rsid w:val="00080ECC"/>
    <w:rsid w:val="00080F2E"/>
    <w:rsid w:val="00081CEB"/>
    <w:rsid w:val="00083791"/>
    <w:rsid w:val="00086E3C"/>
    <w:rsid w:val="00087B2C"/>
    <w:rsid w:val="00087DBD"/>
    <w:rsid w:val="00090570"/>
    <w:rsid w:val="00090753"/>
    <w:rsid w:val="00094E07"/>
    <w:rsid w:val="00094FB3"/>
    <w:rsid w:val="00096F54"/>
    <w:rsid w:val="00097BFF"/>
    <w:rsid w:val="000A5CDE"/>
    <w:rsid w:val="000A669D"/>
    <w:rsid w:val="000A66A8"/>
    <w:rsid w:val="000C014D"/>
    <w:rsid w:val="000D0F21"/>
    <w:rsid w:val="000D31E6"/>
    <w:rsid w:val="000D4703"/>
    <w:rsid w:val="000D693C"/>
    <w:rsid w:val="000E12D4"/>
    <w:rsid w:val="000F5B88"/>
    <w:rsid w:val="00100AF2"/>
    <w:rsid w:val="00104669"/>
    <w:rsid w:val="0010681E"/>
    <w:rsid w:val="001077D3"/>
    <w:rsid w:val="00110028"/>
    <w:rsid w:val="00116EDF"/>
    <w:rsid w:val="00124B26"/>
    <w:rsid w:val="00124EF3"/>
    <w:rsid w:val="00125DBD"/>
    <w:rsid w:val="00126415"/>
    <w:rsid w:val="001306D9"/>
    <w:rsid w:val="00130C4E"/>
    <w:rsid w:val="00131B54"/>
    <w:rsid w:val="001354B7"/>
    <w:rsid w:val="001404FA"/>
    <w:rsid w:val="001413C5"/>
    <w:rsid w:val="00142956"/>
    <w:rsid w:val="00143502"/>
    <w:rsid w:val="00144494"/>
    <w:rsid w:val="00144868"/>
    <w:rsid w:val="00145397"/>
    <w:rsid w:val="00157709"/>
    <w:rsid w:val="00157BAC"/>
    <w:rsid w:val="00167330"/>
    <w:rsid w:val="00167CF4"/>
    <w:rsid w:val="00171E73"/>
    <w:rsid w:val="0017784A"/>
    <w:rsid w:val="00184FFA"/>
    <w:rsid w:val="00185F6A"/>
    <w:rsid w:val="001943DD"/>
    <w:rsid w:val="00195374"/>
    <w:rsid w:val="00195B11"/>
    <w:rsid w:val="001A127F"/>
    <w:rsid w:val="001A1F53"/>
    <w:rsid w:val="001A3CA4"/>
    <w:rsid w:val="001A3EA4"/>
    <w:rsid w:val="001B3AEC"/>
    <w:rsid w:val="001B5000"/>
    <w:rsid w:val="001B6F28"/>
    <w:rsid w:val="001B772D"/>
    <w:rsid w:val="001C1DE4"/>
    <w:rsid w:val="001C60E8"/>
    <w:rsid w:val="001D0326"/>
    <w:rsid w:val="001D4585"/>
    <w:rsid w:val="001D5D54"/>
    <w:rsid w:val="001E41C8"/>
    <w:rsid w:val="001F3AD7"/>
    <w:rsid w:val="002015E5"/>
    <w:rsid w:val="00207630"/>
    <w:rsid w:val="00207E4F"/>
    <w:rsid w:val="00213082"/>
    <w:rsid w:val="002136CA"/>
    <w:rsid w:val="00213B52"/>
    <w:rsid w:val="0021714E"/>
    <w:rsid w:val="00220558"/>
    <w:rsid w:val="00222187"/>
    <w:rsid w:val="00222C8D"/>
    <w:rsid w:val="00222E33"/>
    <w:rsid w:val="00227B95"/>
    <w:rsid w:val="0023523A"/>
    <w:rsid w:val="002353DF"/>
    <w:rsid w:val="00235F71"/>
    <w:rsid w:val="00244249"/>
    <w:rsid w:val="00246261"/>
    <w:rsid w:val="0025272A"/>
    <w:rsid w:val="00260AEF"/>
    <w:rsid w:val="002639F6"/>
    <w:rsid w:val="00271922"/>
    <w:rsid w:val="0027204E"/>
    <w:rsid w:val="0027284C"/>
    <w:rsid w:val="00273412"/>
    <w:rsid w:val="00274ACF"/>
    <w:rsid w:val="00275337"/>
    <w:rsid w:val="00276654"/>
    <w:rsid w:val="00277C34"/>
    <w:rsid w:val="00285F1B"/>
    <w:rsid w:val="0029010D"/>
    <w:rsid w:val="00293412"/>
    <w:rsid w:val="00295831"/>
    <w:rsid w:val="00296A55"/>
    <w:rsid w:val="00296F1B"/>
    <w:rsid w:val="002A56EC"/>
    <w:rsid w:val="002A6DF5"/>
    <w:rsid w:val="002D00B0"/>
    <w:rsid w:val="002D2E16"/>
    <w:rsid w:val="002D57A2"/>
    <w:rsid w:val="002E39F5"/>
    <w:rsid w:val="002F19EF"/>
    <w:rsid w:val="002F1E55"/>
    <w:rsid w:val="002F4E5B"/>
    <w:rsid w:val="00302415"/>
    <w:rsid w:val="003052EB"/>
    <w:rsid w:val="003102F6"/>
    <w:rsid w:val="00313304"/>
    <w:rsid w:val="00313C48"/>
    <w:rsid w:val="0031564C"/>
    <w:rsid w:val="003162AD"/>
    <w:rsid w:val="0032000B"/>
    <w:rsid w:val="00321148"/>
    <w:rsid w:val="00321454"/>
    <w:rsid w:val="00321798"/>
    <w:rsid w:val="003218C6"/>
    <w:rsid w:val="00325F44"/>
    <w:rsid w:val="00326976"/>
    <w:rsid w:val="003311D7"/>
    <w:rsid w:val="00332B8B"/>
    <w:rsid w:val="00333723"/>
    <w:rsid w:val="0033442B"/>
    <w:rsid w:val="003351C7"/>
    <w:rsid w:val="0033726E"/>
    <w:rsid w:val="003466C6"/>
    <w:rsid w:val="00347104"/>
    <w:rsid w:val="0035213F"/>
    <w:rsid w:val="003555D2"/>
    <w:rsid w:val="00360B93"/>
    <w:rsid w:val="00363DF3"/>
    <w:rsid w:val="003656B1"/>
    <w:rsid w:val="003658F3"/>
    <w:rsid w:val="0037056B"/>
    <w:rsid w:val="00372267"/>
    <w:rsid w:val="00377173"/>
    <w:rsid w:val="003774DA"/>
    <w:rsid w:val="00380D88"/>
    <w:rsid w:val="00381B7E"/>
    <w:rsid w:val="003834E6"/>
    <w:rsid w:val="003871AE"/>
    <w:rsid w:val="00392557"/>
    <w:rsid w:val="003945C0"/>
    <w:rsid w:val="003A06C2"/>
    <w:rsid w:val="003A730F"/>
    <w:rsid w:val="003B6D2E"/>
    <w:rsid w:val="003C430D"/>
    <w:rsid w:val="003C7404"/>
    <w:rsid w:val="003D055C"/>
    <w:rsid w:val="003D3C5A"/>
    <w:rsid w:val="003D404A"/>
    <w:rsid w:val="003E6FDA"/>
    <w:rsid w:val="003F3072"/>
    <w:rsid w:val="003F6C3F"/>
    <w:rsid w:val="003F7537"/>
    <w:rsid w:val="00401A2A"/>
    <w:rsid w:val="004103D7"/>
    <w:rsid w:val="0041307C"/>
    <w:rsid w:val="004167B4"/>
    <w:rsid w:val="00430D7E"/>
    <w:rsid w:val="004316C9"/>
    <w:rsid w:val="00433B04"/>
    <w:rsid w:val="00440BD3"/>
    <w:rsid w:val="00444EBF"/>
    <w:rsid w:val="00446F93"/>
    <w:rsid w:val="00456214"/>
    <w:rsid w:val="00456719"/>
    <w:rsid w:val="004649E2"/>
    <w:rsid w:val="00464E8C"/>
    <w:rsid w:val="00465A93"/>
    <w:rsid w:val="00466D36"/>
    <w:rsid w:val="00467185"/>
    <w:rsid w:val="0047050C"/>
    <w:rsid w:val="004728EB"/>
    <w:rsid w:val="00474C4D"/>
    <w:rsid w:val="00475504"/>
    <w:rsid w:val="00480F21"/>
    <w:rsid w:val="00481DB1"/>
    <w:rsid w:val="00484FED"/>
    <w:rsid w:val="00485D80"/>
    <w:rsid w:val="004926EE"/>
    <w:rsid w:val="00495AF1"/>
    <w:rsid w:val="004A0E6A"/>
    <w:rsid w:val="004A3717"/>
    <w:rsid w:val="004B3EE2"/>
    <w:rsid w:val="004D1061"/>
    <w:rsid w:val="004E528C"/>
    <w:rsid w:val="004F775C"/>
    <w:rsid w:val="0050136B"/>
    <w:rsid w:val="005015E4"/>
    <w:rsid w:val="0050202C"/>
    <w:rsid w:val="0050291D"/>
    <w:rsid w:val="0050697E"/>
    <w:rsid w:val="00512D51"/>
    <w:rsid w:val="00524B3C"/>
    <w:rsid w:val="00530522"/>
    <w:rsid w:val="005315A9"/>
    <w:rsid w:val="005316BE"/>
    <w:rsid w:val="00532B56"/>
    <w:rsid w:val="005402E6"/>
    <w:rsid w:val="00540AD0"/>
    <w:rsid w:val="0054322A"/>
    <w:rsid w:val="00543923"/>
    <w:rsid w:val="005519C9"/>
    <w:rsid w:val="005523D1"/>
    <w:rsid w:val="00554A9C"/>
    <w:rsid w:val="00557624"/>
    <w:rsid w:val="0056023E"/>
    <w:rsid w:val="00564573"/>
    <w:rsid w:val="005658EF"/>
    <w:rsid w:val="00570778"/>
    <w:rsid w:val="005777FC"/>
    <w:rsid w:val="005822A3"/>
    <w:rsid w:val="0059070B"/>
    <w:rsid w:val="00591154"/>
    <w:rsid w:val="00594445"/>
    <w:rsid w:val="00595467"/>
    <w:rsid w:val="0059575B"/>
    <w:rsid w:val="005A2930"/>
    <w:rsid w:val="005B1225"/>
    <w:rsid w:val="005C09F4"/>
    <w:rsid w:val="005C47E4"/>
    <w:rsid w:val="005C561A"/>
    <w:rsid w:val="005C5B93"/>
    <w:rsid w:val="005C66FF"/>
    <w:rsid w:val="005C785A"/>
    <w:rsid w:val="005C7E40"/>
    <w:rsid w:val="005D03CA"/>
    <w:rsid w:val="005D45AB"/>
    <w:rsid w:val="005E4662"/>
    <w:rsid w:val="005E5FDF"/>
    <w:rsid w:val="005F093F"/>
    <w:rsid w:val="005F214A"/>
    <w:rsid w:val="005F6BD6"/>
    <w:rsid w:val="00601C99"/>
    <w:rsid w:val="00607597"/>
    <w:rsid w:val="006255E4"/>
    <w:rsid w:val="00635EF9"/>
    <w:rsid w:val="0064086A"/>
    <w:rsid w:val="00641020"/>
    <w:rsid w:val="006410C1"/>
    <w:rsid w:val="00647F05"/>
    <w:rsid w:val="006530EF"/>
    <w:rsid w:val="006544A1"/>
    <w:rsid w:val="00654D06"/>
    <w:rsid w:val="006575FD"/>
    <w:rsid w:val="00660825"/>
    <w:rsid w:val="00661536"/>
    <w:rsid w:val="006678AD"/>
    <w:rsid w:val="0067233D"/>
    <w:rsid w:val="006745AE"/>
    <w:rsid w:val="00675BEF"/>
    <w:rsid w:val="00676AF3"/>
    <w:rsid w:val="00676D10"/>
    <w:rsid w:val="00680F71"/>
    <w:rsid w:val="00682A53"/>
    <w:rsid w:val="0069174B"/>
    <w:rsid w:val="0069191E"/>
    <w:rsid w:val="00693FA1"/>
    <w:rsid w:val="00697956"/>
    <w:rsid w:val="006A38D5"/>
    <w:rsid w:val="006B05E3"/>
    <w:rsid w:val="006B09BC"/>
    <w:rsid w:val="006B42A0"/>
    <w:rsid w:val="006B4E59"/>
    <w:rsid w:val="006C3402"/>
    <w:rsid w:val="006C3622"/>
    <w:rsid w:val="006C395C"/>
    <w:rsid w:val="006C45D4"/>
    <w:rsid w:val="006C7B21"/>
    <w:rsid w:val="006D0041"/>
    <w:rsid w:val="006D4F0C"/>
    <w:rsid w:val="006D7608"/>
    <w:rsid w:val="006E04E1"/>
    <w:rsid w:val="006E19EF"/>
    <w:rsid w:val="006E1F3C"/>
    <w:rsid w:val="006E6073"/>
    <w:rsid w:val="006F7300"/>
    <w:rsid w:val="00703C09"/>
    <w:rsid w:val="00704A9C"/>
    <w:rsid w:val="00712300"/>
    <w:rsid w:val="00720739"/>
    <w:rsid w:val="00721695"/>
    <w:rsid w:val="007242B4"/>
    <w:rsid w:val="00725FB2"/>
    <w:rsid w:val="00730C64"/>
    <w:rsid w:val="007322AF"/>
    <w:rsid w:val="00735477"/>
    <w:rsid w:val="00736DCA"/>
    <w:rsid w:val="007416F9"/>
    <w:rsid w:val="00742399"/>
    <w:rsid w:val="007457E8"/>
    <w:rsid w:val="0074640C"/>
    <w:rsid w:val="0075003D"/>
    <w:rsid w:val="007514FB"/>
    <w:rsid w:val="00751B37"/>
    <w:rsid w:val="00754D44"/>
    <w:rsid w:val="0075781C"/>
    <w:rsid w:val="00766D08"/>
    <w:rsid w:val="00767B7E"/>
    <w:rsid w:val="00773721"/>
    <w:rsid w:val="007746A9"/>
    <w:rsid w:val="007766FC"/>
    <w:rsid w:val="00785465"/>
    <w:rsid w:val="00787380"/>
    <w:rsid w:val="00787656"/>
    <w:rsid w:val="00794E8B"/>
    <w:rsid w:val="007A2A8E"/>
    <w:rsid w:val="007A67EA"/>
    <w:rsid w:val="007B15AF"/>
    <w:rsid w:val="007B7E83"/>
    <w:rsid w:val="007C1631"/>
    <w:rsid w:val="007C636F"/>
    <w:rsid w:val="007C674D"/>
    <w:rsid w:val="007D0EF8"/>
    <w:rsid w:val="007D10D0"/>
    <w:rsid w:val="007D240D"/>
    <w:rsid w:val="007D3093"/>
    <w:rsid w:val="007D39EB"/>
    <w:rsid w:val="00803093"/>
    <w:rsid w:val="00807A92"/>
    <w:rsid w:val="00811550"/>
    <w:rsid w:val="00811918"/>
    <w:rsid w:val="008131E7"/>
    <w:rsid w:val="00813711"/>
    <w:rsid w:val="00814279"/>
    <w:rsid w:val="008263C2"/>
    <w:rsid w:val="00830E6F"/>
    <w:rsid w:val="00831E65"/>
    <w:rsid w:val="00836A87"/>
    <w:rsid w:val="008375EE"/>
    <w:rsid w:val="0084024B"/>
    <w:rsid w:val="00842959"/>
    <w:rsid w:val="008451FE"/>
    <w:rsid w:val="008466A1"/>
    <w:rsid w:val="00846C1D"/>
    <w:rsid w:val="00851758"/>
    <w:rsid w:val="00851F09"/>
    <w:rsid w:val="00856D5A"/>
    <w:rsid w:val="008609EB"/>
    <w:rsid w:val="00862D6D"/>
    <w:rsid w:val="008653E0"/>
    <w:rsid w:val="008657FB"/>
    <w:rsid w:val="00871D4F"/>
    <w:rsid w:val="00874FB3"/>
    <w:rsid w:val="00880BE3"/>
    <w:rsid w:val="00882588"/>
    <w:rsid w:val="00895792"/>
    <w:rsid w:val="0089648C"/>
    <w:rsid w:val="00897305"/>
    <w:rsid w:val="008A3738"/>
    <w:rsid w:val="008B645B"/>
    <w:rsid w:val="008B67B8"/>
    <w:rsid w:val="008B774D"/>
    <w:rsid w:val="008C123E"/>
    <w:rsid w:val="008C3ED0"/>
    <w:rsid w:val="008C5585"/>
    <w:rsid w:val="008C5E94"/>
    <w:rsid w:val="008C7437"/>
    <w:rsid w:val="008D44D9"/>
    <w:rsid w:val="008E6E9D"/>
    <w:rsid w:val="008F1FBB"/>
    <w:rsid w:val="008F3E73"/>
    <w:rsid w:val="008F68F7"/>
    <w:rsid w:val="008F6A5A"/>
    <w:rsid w:val="008F7480"/>
    <w:rsid w:val="00901236"/>
    <w:rsid w:val="00902470"/>
    <w:rsid w:val="009037B6"/>
    <w:rsid w:val="00906CBE"/>
    <w:rsid w:val="00906FFA"/>
    <w:rsid w:val="00910384"/>
    <w:rsid w:val="009139C0"/>
    <w:rsid w:val="009161C8"/>
    <w:rsid w:val="009164AD"/>
    <w:rsid w:val="00922289"/>
    <w:rsid w:val="00923B72"/>
    <w:rsid w:val="0092639C"/>
    <w:rsid w:val="00932304"/>
    <w:rsid w:val="00936F46"/>
    <w:rsid w:val="0094271E"/>
    <w:rsid w:val="00943142"/>
    <w:rsid w:val="00943A29"/>
    <w:rsid w:val="0095018E"/>
    <w:rsid w:val="0095197E"/>
    <w:rsid w:val="00952AB2"/>
    <w:rsid w:val="0095348E"/>
    <w:rsid w:val="009551E0"/>
    <w:rsid w:val="00955801"/>
    <w:rsid w:val="0095654E"/>
    <w:rsid w:val="00956F3C"/>
    <w:rsid w:val="0095779B"/>
    <w:rsid w:val="0096485D"/>
    <w:rsid w:val="00974FB4"/>
    <w:rsid w:val="00977606"/>
    <w:rsid w:val="009900F0"/>
    <w:rsid w:val="00991769"/>
    <w:rsid w:val="00994E9F"/>
    <w:rsid w:val="00996931"/>
    <w:rsid w:val="009A4CD8"/>
    <w:rsid w:val="009A6E32"/>
    <w:rsid w:val="009B3ED1"/>
    <w:rsid w:val="009C433C"/>
    <w:rsid w:val="009D27F7"/>
    <w:rsid w:val="009D28B7"/>
    <w:rsid w:val="009D7E1A"/>
    <w:rsid w:val="009E2162"/>
    <w:rsid w:val="009E3FA5"/>
    <w:rsid w:val="009F0DF9"/>
    <w:rsid w:val="009F3154"/>
    <w:rsid w:val="00A006EB"/>
    <w:rsid w:val="00A036F1"/>
    <w:rsid w:val="00A03709"/>
    <w:rsid w:val="00A043C0"/>
    <w:rsid w:val="00A06C77"/>
    <w:rsid w:val="00A10147"/>
    <w:rsid w:val="00A10E8F"/>
    <w:rsid w:val="00A12EFF"/>
    <w:rsid w:val="00A13D26"/>
    <w:rsid w:val="00A146A5"/>
    <w:rsid w:val="00A14B42"/>
    <w:rsid w:val="00A17411"/>
    <w:rsid w:val="00A2223D"/>
    <w:rsid w:val="00A223EF"/>
    <w:rsid w:val="00A266C6"/>
    <w:rsid w:val="00A34A74"/>
    <w:rsid w:val="00A35351"/>
    <w:rsid w:val="00A42ADE"/>
    <w:rsid w:val="00A52BA4"/>
    <w:rsid w:val="00A60693"/>
    <w:rsid w:val="00A67728"/>
    <w:rsid w:val="00A81A4F"/>
    <w:rsid w:val="00A82E14"/>
    <w:rsid w:val="00A835E0"/>
    <w:rsid w:val="00A901E9"/>
    <w:rsid w:val="00A94723"/>
    <w:rsid w:val="00A9762C"/>
    <w:rsid w:val="00AA4067"/>
    <w:rsid w:val="00AB1A5B"/>
    <w:rsid w:val="00AB4AFA"/>
    <w:rsid w:val="00AC0A54"/>
    <w:rsid w:val="00AC125E"/>
    <w:rsid w:val="00AC29D7"/>
    <w:rsid w:val="00AC45DF"/>
    <w:rsid w:val="00AC474D"/>
    <w:rsid w:val="00AC4A60"/>
    <w:rsid w:val="00AC4DFD"/>
    <w:rsid w:val="00AC58FD"/>
    <w:rsid w:val="00AC60CD"/>
    <w:rsid w:val="00AD60E6"/>
    <w:rsid w:val="00AD793A"/>
    <w:rsid w:val="00AE02E7"/>
    <w:rsid w:val="00AE4525"/>
    <w:rsid w:val="00AE5956"/>
    <w:rsid w:val="00AE619F"/>
    <w:rsid w:val="00AF373A"/>
    <w:rsid w:val="00AF7EFE"/>
    <w:rsid w:val="00B03BEE"/>
    <w:rsid w:val="00B049AA"/>
    <w:rsid w:val="00B0517E"/>
    <w:rsid w:val="00B056E2"/>
    <w:rsid w:val="00B11314"/>
    <w:rsid w:val="00B1192C"/>
    <w:rsid w:val="00B138E3"/>
    <w:rsid w:val="00B16942"/>
    <w:rsid w:val="00B23267"/>
    <w:rsid w:val="00B235CA"/>
    <w:rsid w:val="00B25891"/>
    <w:rsid w:val="00B27149"/>
    <w:rsid w:val="00B32379"/>
    <w:rsid w:val="00B40D26"/>
    <w:rsid w:val="00B4451B"/>
    <w:rsid w:val="00B51316"/>
    <w:rsid w:val="00B55563"/>
    <w:rsid w:val="00B623E3"/>
    <w:rsid w:val="00B72D62"/>
    <w:rsid w:val="00B843C8"/>
    <w:rsid w:val="00B85D1A"/>
    <w:rsid w:val="00B951E2"/>
    <w:rsid w:val="00B96F37"/>
    <w:rsid w:val="00BA607C"/>
    <w:rsid w:val="00BB3E2A"/>
    <w:rsid w:val="00BB5528"/>
    <w:rsid w:val="00BC16F5"/>
    <w:rsid w:val="00BC287D"/>
    <w:rsid w:val="00BC4A76"/>
    <w:rsid w:val="00BC4D2E"/>
    <w:rsid w:val="00BD32E5"/>
    <w:rsid w:val="00BD7ADD"/>
    <w:rsid w:val="00BE41C3"/>
    <w:rsid w:val="00BE6767"/>
    <w:rsid w:val="00BE68D7"/>
    <w:rsid w:val="00BF0140"/>
    <w:rsid w:val="00BF20EF"/>
    <w:rsid w:val="00BF269A"/>
    <w:rsid w:val="00BF7763"/>
    <w:rsid w:val="00C04D5E"/>
    <w:rsid w:val="00C07CF8"/>
    <w:rsid w:val="00C116A7"/>
    <w:rsid w:val="00C15528"/>
    <w:rsid w:val="00C24EA2"/>
    <w:rsid w:val="00C24F70"/>
    <w:rsid w:val="00C33479"/>
    <w:rsid w:val="00C43240"/>
    <w:rsid w:val="00C444DA"/>
    <w:rsid w:val="00C47BA2"/>
    <w:rsid w:val="00C57F65"/>
    <w:rsid w:val="00C612DC"/>
    <w:rsid w:val="00C622CB"/>
    <w:rsid w:val="00C64D15"/>
    <w:rsid w:val="00C74D01"/>
    <w:rsid w:val="00C74F74"/>
    <w:rsid w:val="00C7554B"/>
    <w:rsid w:val="00C8175B"/>
    <w:rsid w:val="00C83E31"/>
    <w:rsid w:val="00C916A4"/>
    <w:rsid w:val="00CA2A52"/>
    <w:rsid w:val="00CA2B15"/>
    <w:rsid w:val="00CA42BC"/>
    <w:rsid w:val="00CA6490"/>
    <w:rsid w:val="00CB5744"/>
    <w:rsid w:val="00CB7022"/>
    <w:rsid w:val="00CB7B42"/>
    <w:rsid w:val="00CD1937"/>
    <w:rsid w:val="00CE214C"/>
    <w:rsid w:val="00CE6858"/>
    <w:rsid w:val="00CF03B2"/>
    <w:rsid w:val="00CF50BE"/>
    <w:rsid w:val="00CF6A52"/>
    <w:rsid w:val="00D03583"/>
    <w:rsid w:val="00D117B4"/>
    <w:rsid w:val="00D151F4"/>
    <w:rsid w:val="00D169F7"/>
    <w:rsid w:val="00D22456"/>
    <w:rsid w:val="00D26D01"/>
    <w:rsid w:val="00D33636"/>
    <w:rsid w:val="00D33DA3"/>
    <w:rsid w:val="00D41751"/>
    <w:rsid w:val="00D4213C"/>
    <w:rsid w:val="00D4359C"/>
    <w:rsid w:val="00D4723B"/>
    <w:rsid w:val="00D529EA"/>
    <w:rsid w:val="00D55EE8"/>
    <w:rsid w:val="00D5785A"/>
    <w:rsid w:val="00D60E5E"/>
    <w:rsid w:val="00D64C48"/>
    <w:rsid w:val="00D6635A"/>
    <w:rsid w:val="00D731C4"/>
    <w:rsid w:val="00D74A97"/>
    <w:rsid w:val="00D76BB8"/>
    <w:rsid w:val="00D81BAA"/>
    <w:rsid w:val="00D856F4"/>
    <w:rsid w:val="00D85BE0"/>
    <w:rsid w:val="00D87C1A"/>
    <w:rsid w:val="00D87FD7"/>
    <w:rsid w:val="00D92167"/>
    <w:rsid w:val="00D93B2E"/>
    <w:rsid w:val="00D9502B"/>
    <w:rsid w:val="00D97047"/>
    <w:rsid w:val="00D97108"/>
    <w:rsid w:val="00DB644A"/>
    <w:rsid w:val="00DC5665"/>
    <w:rsid w:val="00DD4F44"/>
    <w:rsid w:val="00DD5D8B"/>
    <w:rsid w:val="00DE0F9E"/>
    <w:rsid w:val="00DE21C0"/>
    <w:rsid w:val="00DE38C5"/>
    <w:rsid w:val="00DE5D76"/>
    <w:rsid w:val="00DF6C34"/>
    <w:rsid w:val="00E047BC"/>
    <w:rsid w:val="00E04C8D"/>
    <w:rsid w:val="00E128D8"/>
    <w:rsid w:val="00E149E1"/>
    <w:rsid w:val="00E21BBC"/>
    <w:rsid w:val="00E30D45"/>
    <w:rsid w:val="00E42FE4"/>
    <w:rsid w:val="00E44428"/>
    <w:rsid w:val="00E46FAA"/>
    <w:rsid w:val="00E51764"/>
    <w:rsid w:val="00E54A8C"/>
    <w:rsid w:val="00E5750B"/>
    <w:rsid w:val="00E60E2E"/>
    <w:rsid w:val="00E63A24"/>
    <w:rsid w:val="00E70A73"/>
    <w:rsid w:val="00E71A2D"/>
    <w:rsid w:val="00E755C0"/>
    <w:rsid w:val="00E8698A"/>
    <w:rsid w:val="00E923F2"/>
    <w:rsid w:val="00E96006"/>
    <w:rsid w:val="00EA1934"/>
    <w:rsid w:val="00EA1D76"/>
    <w:rsid w:val="00EA31CC"/>
    <w:rsid w:val="00EA46F6"/>
    <w:rsid w:val="00EB14DF"/>
    <w:rsid w:val="00EB2B64"/>
    <w:rsid w:val="00EB3A07"/>
    <w:rsid w:val="00EB4143"/>
    <w:rsid w:val="00EB4728"/>
    <w:rsid w:val="00EB69D0"/>
    <w:rsid w:val="00EC207A"/>
    <w:rsid w:val="00EC3F31"/>
    <w:rsid w:val="00ED20DE"/>
    <w:rsid w:val="00ED3C91"/>
    <w:rsid w:val="00ED4112"/>
    <w:rsid w:val="00ED4B7C"/>
    <w:rsid w:val="00EE13EB"/>
    <w:rsid w:val="00EE1B43"/>
    <w:rsid w:val="00EE764E"/>
    <w:rsid w:val="00EF1347"/>
    <w:rsid w:val="00EF2BEB"/>
    <w:rsid w:val="00EF34F5"/>
    <w:rsid w:val="00EF799D"/>
    <w:rsid w:val="00F01129"/>
    <w:rsid w:val="00F01136"/>
    <w:rsid w:val="00F02C9A"/>
    <w:rsid w:val="00F03D93"/>
    <w:rsid w:val="00F03D9E"/>
    <w:rsid w:val="00F15704"/>
    <w:rsid w:val="00F227BF"/>
    <w:rsid w:val="00F374B2"/>
    <w:rsid w:val="00F40AFC"/>
    <w:rsid w:val="00F4730E"/>
    <w:rsid w:val="00F50A92"/>
    <w:rsid w:val="00F53F24"/>
    <w:rsid w:val="00F57F98"/>
    <w:rsid w:val="00F57FEE"/>
    <w:rsid w:val="00F63341"/>
    <w:rsid w:val="00F7536E"/>
    <w:rsid w:val="00F770E1"/>
    <w:rsid w:val="00F80E90"/>
    <w:rsid w:val="00F81F93"/>
    <w:rsid w:val="00F837D6"/>
    <w:rsid w:val="00F85430"/>
    <w:rsid w:val="00F86C23"/>
    <w:rsid w:val="00F86F1B"/>
    <w:rsid w:val="00F92A21"/>
    <w:rsid w:val="00F92E9B"/>
    <w:rsid w:val="00F95814"/>
    <w:rsid w:val="00FA01D9"/>
    <w:rsid w:val="00FA031C"/>
    <w:rsid w:val="00FB13C1"/>
    <w:rsid w:val="00FB3A25"/>
    <w:rsid w:val="00FB420B"/>
    <w:rsid w:val="00FC1C5F"/>
    <w:rsid w:val="00FC5C0C"/>
    <w:rsid w:val="00FC64EF"/>
    <w:rsid w:val="00FD2673"/>
    <w:rsid w:val="00FD29B2"/>
    <w:rsid w:val="00FE2A29"/>
    <w:rsid w:val="00FE69A7"/>
    <w:rsid w:val="00FF1BD4"/>
    <w:rsid w:val="00FF38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uiPriority="99"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F6C3F"/>
    <w:pPr>
      <w:keepNext/>
      <w:keepLines/>
      <w:spacing w:before="240" w:line="240" w:lineRule="auto"/>
      <w:contextualSpacing/>
      <w:outlineLvl w:val="0"/>
    </w:pPr>
    <w:rPr>
      <w:rFonts w:ascii="Georgia" w:hAnsi="Georgia" w:cs="Arial"/>
      <w:b/>
      <w:bCs/>
      <w:color w:val="7030A0"/>
      <w:kern w:val="32"/>
      <w:sz w:val="32"/>
      <w:szCs w:val="32"/>
    </w:rPr>
  </w:style>
  <w:style w:type="paragraph" w:styleId="Heading2">
    <w:name w:val="heading 2"/>
    <w:basedOn w:val="Normal"/>
    <w:next w:val="Normal"/>
    <w:link w:val="Heading2Char"/>
    <w:uiPriority w:val="2"/>
    <w:qFormat/>
    <w:rsid w:val="003F6C3F"/>
    <w:pPr>
      <w:keepNext/>
      <w:keepLines/>
      <w:spacing w:before="240" w:line="240" w:lineRule="auto"/>
      <w:contextualSpacing/>
      <w:outlineLvl w:val="1"/>
    </w:pPr>
    <w:rPr>
      <w:rFonts w:ascii="Georgia" w:hAnsi="Georgia" w:cs="Arial"/>
      <w:b/>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uiPriority w:val="99"/>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3F6C3F"/>
    <w:rPr>
      <w:rFonts w:ascii="Georgia" w:hAnsi="Georgia" w:cs="Arial"/>
      <w:b/>
      <w:bCs/>
      <w:iCs/>
      <w:sz w:val="24"/>
      <w:szCs w:val="28"/>
    </w:rPr>
  </w:style>
  <w:style w:type="character" w:customStyle="1" w:styleId="PullouttextChar">
    <w:name w:val="Pullout text Char"/>
    <w:basedOn w:val="Heading2Char"/>
    <w:link w:val="Pullouttext"/>
    <w:uiPriority w:val="3"/>
    <w:rsid w:val="00096F54"/>
    <w:rPr>
      <w:rFonts w:ascii="Georgia" w:hAnsi="Georgia" w:cs="Arial"/>
      <w:b/>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F6C3F"/>
    <w:rPr>
      <w:rFonts w:ascii="Georgia" w:hAnsi="Georgia" w:cs="Arial"/>
      <w:b/>
      <w:bCs/>
      <w:color w:val="7030A0"/>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uiPriority w:val="99"/>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Shading">
    <w:name w:val="Light Shading"/>
    <w:basedOn w:val="TableNormal"/>
    <w:uiPriority w:val="60"/>
    <w:rsid w:val="005E5F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4">
    <w:name w:val="Medium Shading 1 Accent 4"/>
    <w:basedOn w:val="TableNormal"/>
    <w:uiPriority w:val="63"/>
    <w:rsid w:val="00811550"/>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010FE4"/>
    <w:rPr>
      <w:color w:val="598E18" w:themeColor="accent4" w:themeShade="BF"/>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List-Accent4">
    <w:name w:val="Light List Accent 4"/>
    <w:basedOn w:val="TableNormal"/>
    <w:uiPriority w:val="61"/>
    <w:rsid w:val="00010FE4"/>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character" w:customStyle="1" w:styleId="ecxmsobooktitle">
    <w:name w:val="ecxmsobooktitle"/>
    <w:basedOn w:val="DefaultParagraphFont"/>
    <w:rsid w:val="00010FE4"/>
  </w:style>
  <w:style w:type="character" w:styleId="CommentReference">
    <w:name w:val="annotation reference"/>
    <w:basedOn w:val="DefaultParagraphFont"/>
    <w:rsid w:val="004728EB"/>
    <w:rPr>
      <w:sz w:val="16"/>
      <w:szCs w:val="16"/>
    </w:rPr>
  </w:style>
  <w:style w:type="paragraph" w:styleId="CommentText">
    <w:name w:val="annotation text"/>
    <w:basedOn w:val="Normal"/>
    <w:link w:val="CommentTextChar"/>
    <w:rsid w:val="004728EB"/>
    <w:pPr>
      <w:spacing w:line="240" w:lineRule="auto"/>
    </w:pPr>
    <w:rPr>
      <w:szCs w:val="20"/>
    </w:rPr>
  </w:style>
  <w:style w:type="character" w:customStyle="1" w:styleId="CommentTextChar">
    <w:name w:val="Comment Text Char"/>
    <w:basedOn w:val="DefaultParagraphFont"/>
    <w:link w:val="CommentText"/>
    <w:rsid w:val="004728EB"/>
    <w:rPr>
      <w:rFonts w:ascii="Arial" w:hAnsi="Arial"/>
    </w:rPr>
  </w:style>
  <w:style w:type="paragraph" w:styleId="CommentSubject">
    <w:name w:val="annotation subject"/>
    <w:basedOn w:val="CommentText"/>
    <w:next w:val="CommentText"/>
    <w:link w:val="CommentSubjectChar"/>
    <w:rsid w:val="004728EB"/>
    <w:rPr>
      <w:b/>
      <w:bCs/>
    </w:rPr>
  </w:style>
  <w:style w:type="character" w:customStyle="1" w:styleId="CommentSubjectChar">
    <w:name w:val="Comment Subject Char"/>
    <w:basedOn w:val="CommentTextChar"/>
    <w:link w:val="CommentSubject"/>
    <w:rsid w:val="004728EB"/>
    <w:rPr>
      <w:rFonts w:ascii="Arial" w:hAnsi="Arial"/>
      <w:b/>
      <w:bCs/>
    </w:rPr>
  </w:style>
  <w:style w:type="table" w:styleId="Table3Deffects3">
    <w:name w:val="Table 3D effects 3"/>
    <w:basedOn w:val="TableNormal"/>
    <w:rsid w:val="00372267"/>
    <w:pPr>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F3154"/>
    <w:rPr>
      <w:rFonts w:ascii="Arial" w:hAnsi="Arial"/>
      <w:szCs w:val="24"/>
    </w:rPr>
  </w:style>
  <w:style w:type="paragraph" w:styleId="Caption">
    <w:name w:val="caption"/>
    <w:basedOn w:val="Normal"/>
    <w:next w:val="Normal"/>
    <w:unhideWhenUsed/>
    <w:qFormat/>
    <w:rsid w:val="009A6E32"/>
    <w:pPr>
      <w:spacing w:before="0" w:after="200" w:line="240" w:lineRule="auto"/>
    </w:pPr>
    <w:rPr>
      <w:b/>
      <w:bCs/>
      <w:color w:val="005A70"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uiPriority="99"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F6C3F"/>
    <w:pPr>
      <w:keepNext/>
      <w:keepLines/>
      <w:spacing w:before="240" w:line="240" w:lineRule="auto"/>
      <w:contextualSpacing/>
      <w:outlineLvl w:val="0"/>
    </w:pPr>
    <w:rPr>
      <w:rFonts w:ascii="Georgia" w:hAnsi="Georgia" w:cs="Arial"/>
      <w:b/>
      <w:bCs/>
      <w:color w:val="7030A0"/>
      <w:kern w:val="32"/>
      <w:sz w:val="32"/>
      <w:szCs w:val="32"/>
    </w:rPr>
  </w:style>
  <w:style w:type="paragraph" w:styleId="Heading2">
    <w:name w:val="heading 2"/>
    <w:basedOn w:val="Normal"/>
    <w:next w:val="Normal"/>
    <w:link w:val="Heading2Char"/>
    <w:uiPriority w:val="2"/>
    <w:qFormat/>
    <w:rsid w:val="003F6C3F"/>
    <w:pPr>
      <w:keepNext/>
      <w:keepLines/>
      <w:spacing w:before="240" w:line="240" w:lineRule="auto"/>
      <w:contextualSpacing/>
      <w:outlineLvl w:val="1"/>
    </w:pPr>
    <w:rPr>
      <w:rFonts w:ascii="Georgia" w:hAnsi="Georgia" w:cs="Arial"/>
      <w:b/>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uiPriority w:val="99"/>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3F6C3F"/>
    <w:rPr>
      <w:rFonts w:ascii="Georgia" w:hAnsi="Georgia" w:cs="Arial"/>
      <w:b/>
      <w:bCs/>
      <w:iCs/>
      <w:sz w:val="24"/>
      <w:szCs w:val="28"/>
    </w:rPr>
  </w:style>
  <w:style w:type="character" w:customStyle="1" w:styleId="PullouttextChar">
    <w:name w:val="Pullout text Char"/>
    <w:basedOn w:val="Heading2Char"/>
    <w:link w:val="Pullouttext"/>
    <w:uiPriority w:val="3"/>
    <w:rsid w:val="00096F54"/>
    <w:rPr>
      <w:rFonts w:ascii="Georgia" w:hAnsi="Georgia" w:cs="Arial"/>
      <w:b/>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F6C3F"/>
    <w:rPr>
      <w:rFonts w:ascii="Georgia" w:hAnsi="Georgia" w:cs="Arial"/>
      <w:b/>
      <w:bCs/>
      <w:color w:val="7030A0"/>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uiPriority w:val="99"/>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Shading">
    <w:name w:val="Light Shading"/>
    <w:basedOn w:val="TableNormal"/>
    <w:uiPriority w:val="60"/>
    <w:rsid w:val="005E5F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4">
    <w:name w:val="Medium Shading 1 Accent 4"/>
    <w:basedOn w:val="TableNormal"/>
    <w:uiPriority w:val="63"/>
    <w:rsid w:val="00811550"/>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010FE4"/>
    <w:rPr>
      <w:color w:val="598E18" w:themeColor="accent4" w:themeShade="BF"/>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List-Accent4">
    <w:name w:val="Light List Accent 4"/>
    <w:basedOn w:val="TableNormal"/>
    <w:uiPriority w:val="61"/>
    <w:rsid w:val="00010FE4"/>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character" w:customStyle="1" w:styleId="ecxmsobooktitle">
    <w:name w:val="ecxmsobooktitle"/>
    <w:basedOn w:val="DefaultParagraphFont"/>
    <w:rsid w:val="00010FE4"/>
  </w:style>
  <w:style w:type="character" w:styleId="CommentReference">
    <w:name w:val="annotation reference"/>
    <w:basedOn w:val="DefaultParagraphFont"/>
    <w:rsid w:val="004728EB"/>
    <w:rPr>
      <w:sz w:val="16"/>
      <w:szCs w:val="16"/>
    </w:rPr>
  </w:style>
  <w:style w:type="paragraph" w:styleId="CommentText">
    <w:name w:val="annotation text"/>
    <w:basedOn w:val="Normal"/>
    <w:link w:val="CommentTextChar"/>
    <w:rsid w:val="004728EB"/>
    <w:pPr>
      <w:spacing w:line="240" w:lineRule="auto"/>
    </w:pPr>
    <w:rPr>
      <w:szCs w:val="20"/>
    </w:rPr>
  </w:style>
  <w:style w:type="character" w:customStyle="1" w:styleId="CommentTextChar">
    <w:name w:val="Comment Text Char"/>
    <w:basedOn w:val="DefaultParagraphFont"/>
    <w:link w:val="CommentText"/>
    <w:rsid w:val="004728EB"/>
    <w:rPr>
      <w:rFonts w:ascii="Arial" w:hAnsi="Arial"/>
    </w:rPr>
  </w:style>
  <w:style w:type="paragraph" w:styleId="CommentSubject">
    <w:name w:val="annotation subject"/>
    <w:basedOn w:val="CommentText"/>
    <w:next w:val="CommentText"/>
    <w:link w:val="CommentSubjectChar"/>
    <w:rsid w:val="004728EB"/>
    <w:rPr>
      <w:b/>
      <w:bCs/>
    </w:rPr>
  </w:style>
  <w:style w:type="character" w:customStyle="1" w:styleId="CommentSubjectChar">
    <w:name w:val="Comment Subject Char"/>
    <w:basedOn w:val="CommentTextChar"/>
    <w:link w:val="CommentSubject"/>
    <w:rsid w:val="004728EB"/>
    <w:rPr>
      <w:rFonts w:ascii="Arial" w:hAnsi="Arial"/>
      <w:b/>
      <w:bCs/>
    </w:rPr>
  </w:style>
  <w:style w:type="table" w:styleId="Table3Deffects3">
    <w:name w:val="Table 3D effects 3"/>
    <w:basedOn w:val="TableNormal"/>
    <w:rsid w:val="00372267"/>
    <w:pPr>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F3154"/>
    <w:rPr>
      <w:rFonts w:ascii="Arial" w:hAnsi="Arial"/>
      <w:szCs w:val="24"/>
    </w:rPr>
  </w:style>
  <w:style w:type="paragraph" w:styleId="Caption">
    <w:name w:val="caption"/>
    <w:basedOn w:val="Normal"/>
    <w:next w:val="Normal"/>
    <w:unhideWhenUsed/>
    <w:qFormat/>
    <w:rsid w:val="009A6E32"/>
    <w:pPr>
      <w:spacing w:before="0" w:after="200" w:line="240" w:lineRule="auto"/>
    </w:pPr>
    <w:rPr>
      <w:b/>
      <w:bCs/>
      <w:color w:val="005A7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3599">
      <w:bodyDiv w:val="1"/>
      <w:marLeft w:val="0"/>
      <w:marRight w:val="0"/>
      <w:marTop w:val="0"/>
      <w:marBottom w:val="0"/>
      <w:divBdr>
        <w:top w:val="none" w:sz="0" w:space="0" w:color="auto"/>
        <w:left w:val="none" w:sz="0" w:space="0" w:color="auto"/>
        <w:bottom w:val="none" w:sz="0" w:space="0" w:color="auto"/>
        <w:right w:val="none" w:sz="0" w:space="0" w:color="auto"/>
      </w:divBdr>
    </w:div>
    <w:div w:id="91323152">
      <w:bodyDiv w:val="1"/>
      <w:marLeft w:val="0"/>
      <w:marRight w:val="0"/>
      <w:marTop w:val="0"/>
      <w:marBottom w:val="0"/>
      <w:divBdr>
        <w:top w:val="none" w:sz="0" w:space="0" w:color="auto"/>
        <w:left w:val="none" w:sz="0" w:space="0" w:color="auto"/>
        <w:bottom w:val="none" w:sz="0" w:space="0" w:color="auto"/>
        <w:right w:val="none" w:sz="0" w:space="0" w:color="auto"/>
      </w:divBdr>
    </w:div>
    <w:div w:id="232618630">
      <w:bodyDiv w:val="1"/>
      <w:marLeft w:val="0"/>
      <w:marRight w:val="0"/>
      <w:marTop w:val="0"/>
      <w:marBottom w:val="0"/>
      <w:divBdr>
        <w:top w:val="none" w:sz="0" w:space="0" w:color="auto"/>
        <w:left w:val="none" w:sz="0" w:space="0" w:color="auto"/>
        <w:bottom w:val="none" w:sz="0" w:space="0" w:color="auto"/>
        <w:right w:val="none" w:sz="0" w:space="0" w:color="auto"/>
      </w:divBdr>
    </w:div>
    <w:div w:id="235363359">
      <w:bodyDiv w:val="1"/>
      <w:marLeft w:val="0"/>
      <w:marRight w:val="0"/>
      <w:marTop w:val="0"/>
      <w:marBottom w:val="0"/>
      <w:divBdr>
        <w:top w:val="none" w:sz="0" w:space="0" w:color="auto"/>
        <w:left w:val="none" w:sz="0" w:space="0" w:color="auto"/>
        <w:bottom w:val="none" w:sz="0" w:space="0" w:color="auto"/>
        <w:right w:val="none" w:sz="0" w:space="0" w:color="auto"/>
      </w:divBdr>
    </w:div>
    <w:div w:id="286663034">
      <w:bodyDiv w:val="1"/>
      <w:marLeft w:val="0"/>
      <w:marRight w:val="0"/>
      <w:marTop w:val="0"/>
      <w:marBottom w:val="0"/>
      <w:divBdr>
        <w:top w:val="none" w:sz="0" w:space="0" w:color="auto"/>
        <w:left w:val="none" w:sz="0" w:space="0" w:color="auto"/>
        <w:bottom w:val="none" w:sz="0" w:space="0" w:color="auto"/>
        <w:right w:val="none" w:sz="0" w:space="0" w:color="auto"/>
      </w:divBdr>
    </w:div>
    <w:div w:id="419765655">
      <w:bodyDiv w:val="1"/>
      <w:marLeft w:val="0"/>
      <w:marRight w:val="0"/>
      <w:marTop w:val="0"/>
      <w:marBottom w:val="0"/>
      <w:divBdr>
        <w:top w:val="none" w:sz="0" w:space="0" w:color="auto"/>
        <w:left w:val="none" w:sz="0" w:space="0" w:color="auto"/>
        <w:bottom w:val="none" w:sz="0" w:space="0" w:color="auto"/>
        <w:right w:val="none" w:sz="0" w:space="0" w:color="auto"/>
      </w:divBdr>
    </w:div>
    <w:div w:id="424150289">
      <w:bodyDiv w:val="1"/>
      <w:marLeft w:val="0"/>
      <w:marRight w:val="0"/>
      <w:marTop w:val="0"/>
      <w:marBottom w:val="0"/>
      <w:divBdr>
        <w:top w:val="none" w:sz="0" w:space="0" w:color="auto"/>
        <w:left w:val="none" w:sz="0" w:space="0" w:color="auto"/>
        <w:bottom w:val="none" w:sz="0" w:space="0" w:color="auto"/>
        <w:right w:val="none" w:sz="0" w:space="0" w:color="auto"/>
      </w:divBdr>
    </w:div>
    <w:div w:id="455684765">
      <w:bodyDiv w:val="1"/>
      <w:marLeft w:val="0"/>
      <w:marRight w:val="0"/>
      <w:marTop w:val="0"/>
      <w:marBottom w:val="0"/>
      <w:divBdr>
        <w:top w:val="none" w:sz="0" w:space="0" w:color="auto"/>
        <w:left w:val="none" w:sz="0" w:space="0" w:color="auto"/>
        <w:bottom w:val="none" w:sz="0" w:space="0" w:color="auto"/>
        <w:right w:val="none" w:sz="0" w:space="0" w:color="auto"/>
      </w:divBdr>
    </w:div>
    <w:div w:id="486628073">
      <w:bodyDiv w:val="1"/>
      <w:marLeft w:val="0"/>
      <w:marRight w:val="0"/>
      <w:marTop w:val="0"/>
      <w:marBottom w:val="0"/>
      <w:divBdr>
        <w:top w:val="none" w:sz="0" w:space="0" w:color="auto"/>
        <w:left w:val="none" w:sz="0" w:space="0" w:color="auto"/>
        <w:bottom w:val="none" w:sz="0" w:space="0" w:color="auto"/>
        <w:right w:val="none" w:sz="0" w:space="0" w:color="auto"/>
      </w:divBdr>
    </w:div>
    <w:div w:id="518979803">
      <w:bodyDiv w:val="1"/>
      <w:marLeft w:val="0"/>
      <w:marRight w:val="0"/>
      <w:marTop w:val="0"/>
      <w:marBottom w:val="0"/>
      <w:divBdr>
        <w:top w:val="none" w:sz="0" w:space="0" w:color="auto"/>
        <w:left w:val="none" w:sz="0" w:space="0" w:color="auto"/>
        <w:bottom w:val="none" w:sz="0" w:space="0" w:color="auto"/>
        <w:right w:val="none" w:sz="0" w:space="0" w:color="auto"/>
      </w:divBdr>
    </w:div>
    <w:div w:id="551235030">
      <w:bodyDiv w:val="1"/>
      <w:marLeft w:val="0"/>
      <w:marRight w:val="0"/>
      <w:marTop w:val="0"/>
      <w:marBottom w:val="0"/>
      <w:divBdr>
        <w:top w:val="none" w:sz="0" w:space="0" w:color="auto"/>
        <w:left w:val="none" w:sz="0" w:space="0" w:color="auto"/>
        <w:bottom w:val="none" w:sz="0" w:space="0" w:color="auto"/>
        <w:right w:val="none" w:sz="0" w:space="0" w:color="auto"/>
      </w:divBdr>
    </w:div>
    <w:div w:id="551766824">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70186341">
      <w:bodyDiv w:val="1"/>
      <w:marLeft w:val="0"/>
      <w:marRight w:val="0"/>
      <w:marTop w:val="0"/>
      <w:marBottom w:val="0"/>
      <w:divBdr>
        <w:top w:val="none" w:sz="0" w:space="0" w:color="auto"/>
        <w:left w:val="none" w:sz="0" w:space="0" w:color="auto"/>
        <w:bottom w:val="none" w:sz="0" w:space="0" w:color="auto"/>
        <w:right w:val="none" w:sz="0" w:space="0" w:color="auto"/>
      </w:divBdr>
    </w:div>
    <w:div w:id="719472822">
      <w:bodyDiv w:val="1"/>
      <w:marLeft w:val="0"/>
      <w:marRight w:val="0"/>
      <w:marTop w:val="0"/>
      <w:marBottom w:val="0"/>
      <w:divBdr>
        <w:top w:val="none" w:sz="0" w:space="0" w:color="auto"/>
        <w:left w:val="none" w:sz="0" w:space="0" w:color="auto"/>
        <w:bottom w:val="none" w:sz="0" w:space="0" w:color="auto"/>
        <w:right w:val="none" w:sz="0" w:space="0" w:color="auto"/>
      </w:divBdr>
    </w:div>
    <w:div w:id="74221972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81189382">
      <w:bodyDiv w:val="1"/>
      <w:marLeft w:val="0"/>
      <w:marRight w:val="0"/>
      <w:marTop w:val="0"/>
      <w:marBottom w:val="0"/>
      <w:divBdr>
        <w:top w:val="none" w:sz="0" w:space="0" w:color="auto"/>
        <w:left w:val="none" w:sz="0" w:space="0" w:color="auto"/>
        <w:bottom w:val="none" w:sz="0" w:space="0" w:color="auto"/>
        <w:right w:val="none" w:sz="0" w:space="0" w:color="auto"/>
      </w:divBdr>
    </w:div>
    <w:div w:id="844789184">
      <w:bodyDiv w:val="1"/>
      <w:marLeft w:val="0"/>
      <w:marRight w:val="0"/>
      <w:marTop w:val="0"/>
      <w:marBottom w:val="0"/>
      <w:divBdr>
        <w:top w:val="none" w:sz="0" w:space="0" w:color="auto"/>
        <w:left w:val="none" w:sz="0" w:space="0" w:color="auto"/>
        <w:bottom w:val="none" w:sz="0" w:space="0" w:color="auto"/>
        <w:right w:val="none" w:sz="0" w:space="0" w:color="auto"/>
      </w:divBdr>
    </w:div>
    <w:div w:id="848523306">
      <w:bodyDiv w:val="1"/>
      <w:marLeft w:val="0"/>
      <w:marRight w:val="0"/>
      <w:marTop w:val="0"/>
      <w:marBottom w:val="0"/>
      <w:divBdr>
        <w:top w:val="none" w:sz="0" w:space="0" w:color="auto"/>
        <w:left w:val="none" w:sz="0" w:space="0" w:color="auto"/>
        <w:bottom w:val="none" w:sz="0" w:space="0" w:color="auto"/>
        <w:right w:val="none" w:sz="0" w:space="0" w:color="auto"/>
      </w:divBdr>
    </w:div>
    <w:div w:id="976953708">
      <w:bodyDiv w:val="1"/>
      <w:marLeft w:val="0"/>
      <w:marRight w:val="0"/>
      <w:marTop w:val="0"/>
      <w:marBottom w:val="0"/>
      <w:divBdr>
        <w:top w:val="none" w:sz="0" w:space="0" w:color="auto"/>
        <w:left w:val="none" w:sz="0" w:space="0" w:color="auto"/>
        <w:bottom w:val="none" w:sz="0" w:space="0" w:color="auto"/>
        <w:right w:val="none" w:sz="0" w:space="0" w:color="auto"/>
      </w:divBdr>
    </w:div>
    <w:div w:id="1049575659">
      <w:bodyDiv w:val="1"/>
      <w:marLeft w:val="0"/>
      <w:marRight w:val="0"/>
      <w:marTop w:val="0"/>
      <w:marBottom w:val="0"/>
      <w:divBdr>
        <w:top w:val="none" w:sz="0" w:space="0" w:color="auto"/>
        <w:left w:val="none" w:sz="0" w:space="0" w:color="auto"/>
        <w:bottom w:val="none" w:sz="0" w:space="0" w:color="auto"/>
        <w:right w:val="none" w:sz="0" w:space="0" w:color="auto"/>
      </w:divBdr>
    </w:div>
    <w:div w:id="1209411146">
      <w:bodyDiv w:val="1"/>
      <w:marLeft w:val="0"/>
      <w:marRight w:val="0"/>
      <w:marTop w:val="0"/>
      <w:marBottom w:val="0"/>
      <w:divBdr>
        <w:top w:val="none" w:sz="0" w:space="0" w:color="auto"/>
        <w:left w:val="none" w:sz="0" w:space="0" w:color="auto"/>
        <w:bottom w:val="none" w:sz="0" w:space="0" w:color="auto"/>
        <w:right w:val="none" w:sz="0" w:space="0" w:color="auto"/>
      </w:divBdr>
    </w:div>
    <w:div w:id="12738252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45732110">
      <w:bodyDiv w:val="1"/>
      <w:marLeft w:val="0"/>
      <w:marRight w:val="0"/>
      <w:marTop w:val="0"/>
      <w:marBottom w:val="0"/>
      <w:divBdr>
        <w:top w:val="none" w:sz="0" w:space="0" w:color="auto"/>
        <w:left w:val="none" w:sz="0" w:space="0" w:color="auto"/>
        <w:bottom w:val="none" w:sz="0" w:space="0" w:color="auto"/>
        <w:right w:val="none" w:sz="0" w:space="0" w:color="auto"/>
      </w:divBdr>
    </w:div>
    <w:div w:id="1471944690">
      <w:bodyDiv w:val="1"/>
      <w:marLeft w:val="0"/>
      <w:marRight w:val="0"/>
      <w:marTop w:val="0"/>
      <w:marBottom w:val="0"/>
      <w:divBdr>
        <w:top w:val="none" w:sz="0" w:space="0" w:color="auto"/>
        <w:left w:val="none" w:sz="0" w:space="0" w:color="auto"/>
        <w:bottom w:val="none" w:sz="0" w:space="0" w:color="auto"/>
        <w:right w:val="none" w:sz="0" w:space="0" w:color="auto"/>
      </w:divBdr>
    </w:div>
    <w:div w:id="1492914470">
      <w:bodyDiv w:val="1"/>
      <w:marLeft w:val="0"/>
      <w:marRight w:val="0"/>
      <w:marTop w:val="0"/>
      <w:marBottom w:val="0"/>
      <w:divBdr>
        <w:top w:val="none" w:sz="0" w:space="0" w:color="auto"/>
        <w:left w:val="none" w:sz="0" w:space="0" w:color="auto"/>
        <w:bottom w:val="none" w:sz="0" w:space="0" w:color="auto"/>
        <w:right w:val="none" w:sz="0" w:space="0" w:color="auto"/>
      </w:divBdr>
    </w:div>
    <w:div w:id="1526363093">
      <w:bodyDiv w:val="1"/>
      <w:marLeft w:val="0"/>
      <w:marRight w:val="0"/>
      <w:marTop w:val="0"/>
      <w:marBottom w:val="0"/>
      <w:divBdr>
        <w:top w:val="none" w:sz="0" w:space="0" w:color="auto"/>
        <w:left w:val="none" w:sz="0" w:space="0" w:color="auto"/>
        <w:bottom w:val="none" w:sz="0" w:space="0" w:color="auto"/>
        <w:right w:val="none" w:sz="0" w:space="0" w:color="auto"/>
      </w:divBdr>
    </w:div>
    <w:div w:id="1605066194">
      <w:bodyDiv w:val="1"/>
      <w:marLeft w:val="0"/>
      <w:marRight w:val="0"/>
      <w:marTop w:val="0"/>
      <w:marBottom w:val="0"/>
      <w:divBdr>
        <w:top w:val="none" w:sz="0" w:space="0" w:color="auto"/>
        <w:left w:val="none" w:sz="0" w:space="0" w:color="auto"/>
        <w:bottom w:val="none" w:sz="0" w:space="0" w:color="auto"/>
        <w:right w:val="none" w:sz="0" w:space="0" w:color="auto"/>
      </w:divBdr>
    </w:div>
    <w:div w:id="1618638811">
      <w:bodyDiv w:val="1"/>
      <w:marLeft w:val="0"/>
      <w:marRight w:val="0"/>
      <w:marTop w:val="0"/>
      <w:marBottom w:val="0"/>
      <w:divBdr>
        <w:top w:val="none" w:sz="0" w:space="0" w:color="auto"/>
        <w:left w:val="none" w:sz="0" w:space="0" w:color="auto"/>
        <w:bottom w:val="none" w:sz="0" w:space="0" w:color="auto"/>
        <w:right w:val="none" w:sz="0" w:space="0" w:color="auto"/>
      </w:divBdr>
    </w:div>
    <w:div w:id="1663848081">
      <w:bodyDiv w:val="1"/>
      <w:marLeft w:val="0"/>
      <w:marRight w:val="0"/>
      <w:marTop w:val="0"/>
      <w:marBottom w:val="0"/>
      <w:divBdr>
        <w:top w:val="none" w:sz="0" w:space="0" w:color="auto"/>
        <w:left w:val="none" w:sz="0" w:space="0" w:color="auto"/>
        <w:bottom w:val="none" w:sz="0" w:space="0" w:color="auto"/>
        <w:right w:val="none" w:sz="0" w:space="0" w:color="auto"/>
      </w:divBdr>
    </w:div>
    <w:div w:id="1715959471">
      <w:bodyDiv w:val="1"/>
      <w:marLeft w:val="0"/>
      <w:marRight w:val="0"/>
      <w:marTop w:val="0"/>
      <w:marBottom w:val="0"/>
      <w:divBdr>
        <w:top w:val="none" w:sz="0" w:space="0" w:color="auto"/>
        <w:left w:val="none" w:sz="0" w:space="0" w:color="auto"/>
        <w:bottom w:val="none" w:sz="0" w:space="0" w:color="auto"/>
        <w:right w:val="none" w:sz="0" w:space="0" w:color="auto"/>
      </w:divBdr>
    </w:div>
    <w:div w:id="1727800586">
      <w:bodyDiv w:val="1"/>
      <w:marLeft w:val="0"/>
      <w:marRight w:val="0"/>
      <w:marTop w:val="0"/>
      <w:marBottom w:val="0"/>
      <w:divBdr>
        <w:top w:val="none" w:sz="0" w:space="0" w:color="auto"/>
        <w:left w:val="none" w:sz="0" w:space="0" w:color="auto"/>
        <w:bottom w:val="none" w:sz="0" w:space="0" w:color="auto"/>
        <w:right w:val="none" w:sz="0" w:space="0" w:color="auto"/>
      </w:divBdr>
    </w:div>
    <w:div w:id="1768849335">
      <w:bodyDiv w:val="1"/>
      <w:marLeft w:val="0"/>
      <w:marRight w:val="0"/>
      <w:marTop w:val="0"/>
      <w:marBottom w:val="0"/>
      <w:divBdr>
        <w:top w:val="none" w:sz="0" w:space="0" w:color="auto"/>
        <w:left w:val="none" w:sz="0" w:space="0" w:color="auto"/>
        <w:bottom w:val="none" w:sz="0" w:space="0" w:color="auto"/>
        <w:right w:val="none" w:sz="0" w:space="0" w:color="auto"/>
      </w:divBdr>
    </w:div>
    <w:div w:id="1831409793">
      <w:bodyDiv w:val="1"/>
      <w:marLeft w:val="0"/>
      <w:marRight w:val="0"/>
      <w:marTop w:val="0"/>
      <w:marBottom w:val="0"/>
      <w:divBdr>
        <w:top w:val="none" w:sz="0" w:space="0" w:color="auto"/>
        <w:left w:val="none" w:sz="0" w:space="0" w:color="auto"/>
        <w:bottom w:val="none" w:sz="0" w:space="0" w:color="auto"/>
        <w:right w:val="none" w:sz="0" w:space="0" w:color="auto"/>
      </w:divBdr>
    </w:div>
    <w:div w:id="1853687561">
      <w:bodyDiv w:val="1"/>
      <w:marLeft w:val="0"/>
      <w:marRight w:val="0"/>
      <w:marTop w:val="0"/>
      <w:marBottom w:val="0"/>
      <w:divBdr>
        <w:top w:val="none" w:sz="0" w:space="0" w:color="auto"/>
        <w:left w:val="none" w:sz="0" w:space="0" w:color="auto"/>
        <w:bottom w:val="none" w:sz="0" w:space="0" w:color="auto"/>
        <w:right w:val="none" w:sz="0" w:space="0" w:color="auto"/>
      </w:divBdr>
    </w:div>
    <w:div w:id="1880244311">
      <w:bodyDiv w:val="1"/>
      <w:marLeft w:val="0"/>
      <w:marRight w:val="0"/>
      <w:marTop w:val="0"/>
      <w:marBottom w:val="0"/>
      <w:divBdr>
        <w:top w:val="none" w:sz="0" w:space="0" w:color="auto"/>
        <w:left w:val="none" w:sz="0" w:space="0" w:color="auto"/>
        <w:bottom w:val="none" w:sz="0" w:space="0" w:color="auto"/>
        <w:right w:val="none" w:sz="0" w:space="0" w:color="auto"/>
      </w:divBdr>
    </w:div>
    <w:div w:id="1928348450">
      <w:bodyDiv w:val="1"/>
      <w:marLeft w:val="0"/>
      <w:marRight w:val="0"/>
      <w:marTop w:val="0"/>
      <w:marBottom w:val="0"/>
      <w:divBdr>
        <w:top w:val="none" w:sz="0" w:space="0" w:color="auto"/>
        <w:left w:val="none" w:sz="0" w:space="0" w:color="auto"/>
        <w:bottom w:val="none" w:sz="0" w:space="0" w:color="auto"/>
        <w:right w:val="none" w:sz="0" w:space="0" w:color="auto"/>
      </w:divBdr>
    </w:div>
    <w:div w:id="1952858034">
      <w:bodyDiv w:val="1"/>
      <w:marLeft w:val="0"/>
      <w:marRight w:val="0"/>
      <w:marTop w:val="0"/>
      <w:marBottom w:val="0"/>
      <w:divBdr>
        <w:top w:val="none" w:sz="0" w:space="0" w:color="auto"/>
        <w:left w:val="none" w:sz="0" w:space="0" w:color="auto"/>
        <w:bottom w:val="none" w:sz="0" w:space="0" w:color="auto"/>
        <w:right w:val="none" w:sz="0" w:space="0" w:color="auto"/>
      </w:divBdr>
    </w:div>
    <w:div w:id="1985621970">
      <w:bodyDiv w:val="1"/>
      <w:marLeft w:val="0"/>
      <w:marRight w:val="0"/>
      <w:marTop w:val="0"/>
      <w:marBottom w:val="0"/>
      <w:divBdr>
        <w:top w:val="none" w:sz="0" w:space="0" w:color="auto"/>
        <w:left w:val="none" w:sz="0" w:space="0" w:color="auto"/>
        <w:bottom w:val="none" w:sz="0" w:space="0" w:color="auto"/>
        <w:right w:val="none" w:sz="0" w:space="0" w:color="auto"/>
      </w:divBdr>
    </w:div>
    <w:div w:id="20147232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1" Type="http://schemas.openxmlformats.org/officeDocument/2006/relationships/oleObject" Target="file:///\\PRINFNAS001N\Stata_Data\LSICUnconfidentialisedWorking\Laura%20BK\2015\HRC%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PRINFNAS001N\Stata_Data\LSICUnconfidentialisedWorking\Laura%20BK\2015\HRC%20chart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1458812733364529"/>
          <c:y val="2.9596509895722493E-2"/>
          <c:w val="0.4239380433610182"/>
          <c:h val="0.94698522537803953"/>
        </c:manualLayout>
      </c:layout>
      <c:pieChart>
        <c:varyColors val="1"/>
        <c:ser>
          <c:idx val="0"/>
          <c:order val="0"/>
          <c:dLbls>
            <c:numFmt formatCode="#,##0.0" sourceLinked="0"/>
            <c:showLegendKey val="0"/>
            <c:showVal val="1"/>
            <c:showCatName val="0"/>
            <c:showSerName val="0"/>
            <c:showPercent val="0"/>
            <c:showBubbleSize val="0"/>
            <c:showLeaderLines val="1"/>
          </c:dLbls>
          <c:cat>
            <c:strRef>
              <c:f>Sheet1!$A$6:$A$10</c:f>
              <c:strCache>
                <c:ptCount val="5"/>
                <c:pt idx="0">
                  <c:v>Major Cities of Australia</c:v>
                </c:pt>
                <c:pt idx="1">
                  <c:v>Inner Regional Australia</c:v>
                </c:pt>
                <c:pt idx="2">
                  <c:v>Outer Regional Australia</c:v>
                </c:pt>
                <c:pt idx="3">
                  <c:v>Remote Australia</c:v>
                </c:pt>
                <c:pt idx="4">
                  <c:v>Very Remote Australia</c:v>
                </c:pt>
              </c:strCache>
            </c:strRef>
          </c:cat>
          <c:val>
            <c:numRef>
              <c:f>Sheet1!$B$6:$B$10</c:f>
              <c:numCache>
                <c:formatCode>General</c:formatCode>
                <c:ptCount val="5"/>
                <c:pt idx="0">
                  <c:v>25.98</c:v>
                </c:pt>
                <c:pt idx="1">
                  <c:v>25.2</c:v>
                </c:pt>
                <c:pt idx="2">
                  <c:v>13.35</c:v>
                </c:pt>
                <c:pt idx="3">
                  <c:v>14.98</c:v>
                </c:pt>
                <c:pt idx="4">
                  <c:v>20.48</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619522967710049"/>
          <c:y val="8.5778775817037564E-2"/>
          <c:w val="0.35498358512472677"/>
          <c:h val="0.85641423943230377"/>
        </c:manualLayout>
      </c:layout>
      <c:overlay val="0"/>
    </c:legend>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Sheet1!$B$151</c:f>
              <c:strCache>
                <c:ptCount val="1"/>
                <c:pt idx="0">
                  <c:v>Doesn't happen here</c:v>
                </c:pt>
              </c:strCache>
            </c:strRef>
          </c:tx>
          <c:spPr>
            <a:ln>
              <a:solidFill>
                <a:srgbClr val="500778"/>
              </a:solidFill>
            </a:ln>
          </c:spPr>
          <c:invertIfNegative val="0"/>
          <c:cat>
            <c:strRef>
              <c:f>Sheet1!$C$150:$G$150</c:f>
              <c:strCache>
                <c:ptCount val="5"/>
                <c:pt idx="0">
                  <c:v>Major Cities</c:v>
                </c:pt>
                <c:pt idx="1">
                  <c:v>Inner Regional</c:v>
                </c:pt>
                <c:pt idx="2">
                  <c:v>Outer Regional</c:v>
                </c:pt>
                <c:pt idx="3">
                  <c:v>Remote</c:v>
                </c:pt>
                <c:pt idx="4">
                  <c:v>Very Remote</c:v>
                </c:pt>
              </c:strCache>
            </c:strRef>
          </c:cat>
          <c:val>
            <c:numRef>
              <c:f>Sheet1!$C$151:$G$151</c:f>
              <c:numCache>
                <c:formatCode>General</c:formatCode>
                <c:ptCount val="5"/>
                <c:pt idx="0">
                  <c:v>82.3</c:v>
                </c:pt>
                <c:pt idx="1">
                  <c:v>73.400000000000006</c:v>
                </c:pt>
                <c:pt idx="2">
                  <c:v>67.209999999999994</c:v>
                </c:pt>
                <c:pt idx="3">
                  <c:v>63.72</c:v>
                </c:pt>
                <c:pt idx="4">
                  <c:v>48.86</c:v>
                </c:pt>
              </c:numCache>
            </c:numRef>
          </c:val>
        </c:ser>
        <c:ser>
          <c:idx val="1"/>
          <c:order val="1"/>
          <c:tx>
            <c:strRef>
              <c:f>Sheet1!$B$152</c:f>
              <c:strCache>
                <c:ptCount val="1"/>
                <c:pt idx="0">
                  <c:v>Happens a bit of the time</c:v>
                </c:pt>
              </c:strCache>
            </c:strRef>
          </c:tx>
          <c:spPr>
            <a:pattFill prst="wave">
              <a:fgClr>
                <a:srgbClr val="78BE20"/>
              </a:fgClr>
              <a:bgClr>
                <a:sysClr val="window" lastClr="FFFFFF"/>
              </a:bgClr>
            </a:pattFill>
            <a:ln>
              <a:solidFill>
                <a:srgbClr val="78BE20"/>
              </a:solidFill>
            </a:ln>
          </c:spPr>
          <c:invertIfNegative val="0"/>
          <c:cat>
            <c:strRef>
              <c:f>Sheet1!$C$150:$G$150</c:f>
              <c:strCache>
                <c:ptCount val="5"/>
                <c:pt idx="0">
                  <c:v>Major Cities</c:v>
                </c:pt>
                <c:pt idx="1">
                  <c:v>Inner Regional</c:v>
                </c:pt>
                <c:pt idx="2">
                  <c:v>Outer Regional</c:v>
                </c:pt>
                <c:pt idx="3">
                  <c:v>Remote</c:v>
                </c:pt>
                <c:pt idx="4">
                  <c:v>Very Remote</c:v>
                </c:pt>
              </c:strCache>
            </c:strRef>
          </c:cat>
          <c:val>
            <c:numRef>
              <c:f>Sheet1!$C$152:$G$152</c:f>
              <c:numCache>
                <c:formatCode>General</c:formatCode>
                <c:ptCount val="5"/>
                <c:pt idx="0">
                  <c:v>10.25</c:v>
                </c:pt>
                <c:pt idx="1">
                  <c:v>15.06</c:v>
                </c:pt>
                <c:pt idx="2">
                  <c:v>15.3</c:v>
                </c:pt>
                <c:pt idx="3">
                  <c:v>17.7</c:v>
                </c:pt>
                <c:pt idx="4">
                  <c:v>21.92</c:v>
                </c:pt>
              </c:numCache>
            </c:numRef>
          </c:val>
        </c:ser>
        <c:ser>
          <c:idx val="2"/>
          <c:order val="2"/>
          <c:tx>
            <c:strRef>
              <c:f>Sheet1!$B$153</c:f>
              <c:strCache>
                <c:ptCount val="1"/>
                <c:pt idx="0">
                  <c:v>Happens a lot of the time</c:v>
                </c:pt>
              </c:strCache>
            </c:strRef>
          </c:tx>
          <c:spPr>
            <a:pattFill prst="narVert">
              <a:fgClr>
                <a:srgbClr val="78BE20"/>
              </a:fgClr>
              <a:bgClr>
                <a:sysClr val="window" lastClr="FFFFFF"/>
              </a:bgClr>
            </a:pattFill>
            <a:ln>
              <a:solidFill>
                <a:srgbClr val="78BE20"/>
              </a:solidFill>
            </a:ln>
          </c:spPr>
          <c:invertIfNegative val="0"/>
          <c:cat>
            <c:strRef>
              <c:f>Sheet1!$C$150:$G$150</c:f>
              <c:strCache>
                <c:ptCount val="5"/>
                <c:pt idx="0">
                  <c:v>Major Cities</c:v>
                </c:pt>
                <c:pt idx="1">
                  <c:v>Inner Regional</c:v>
                </c:pt>
                <c:pt idx="2">
                  <c:v>Outer Regional</c:v>
                </c:pt>
                <c:pt idx="3">
                  <c:v>Remote</c:v>
                </c:pt>
                <c:pt idx="4">
                  <c:v>Very Remote</c:v>
                </c:pt>
              </c:strCache>
            </c:strRef>
          </c:cat>
          <c:val>
            <c:numRef>
              <c:f>Sheet1!$C$153:$G$153</c:f>
              <c:numCache>
                <c:formatCode>General</c:formatCode>
                <c:ptCount val="5"/>
                <c:pt idx="0">
                  <c:v>5.59</c:v>
                </c:pt>
                <c:pt idx="1">
                  <c:v>8.33</c:v>
                </c:pt>
                <c:pt idx="2">
                  <c:v>15.3</c:v>
                </c:pt>
                <c:pt idx="3">
                  <c:v>12.39</c:v>
                </c:pt>
                <c:pt idx="4">
                  <c:v>15.07</c:v>
                </c:pt>
              </c:numCache>
            </c:numRef>
          </c:val>
        </c:ser>
        <c:ser>
          <c:idx val="3"/>
          <c:order val="3"/>
          <c:tx>
            <c:strRef>
              <c:f>Sheet1!$B$154</c:f>
              <c:strCache>
                <c:ptCount val="1"/>
                <c:pt idx="0">
                  <c:v>Happens all the time</c:v>
                </c:pt>
              </c:strCache>
            </c:strRef>
          </c:tx>
          <c:spPr>
            <a:solidFill>
              <a:srgbClr val="78BE20"/>
            </a:solidFill>
            <a:ln>
              <a:solidFill>
                <a:srgbClr val="78BE20"/>
              </a:solidFill>
            </a:ln>
          </c:spPr>
          <c:invertIfNegative val="0"/>
          <c:cat>
            <c:strRef>
              <c:f>Sheet1!$C$150:$G$150</c:f>
              <c:strCache>
                <c:ptCount val="5"/>
                <c:pt idx="0">
                  <c:v>Major Cities</c:v>
                </c:pt>
                <c:pt idx="1">
                  <c:v>Inner Regional</c:v>
                </c:pt>
                <c:pt idx="2">
                  <c:v>Outer Regional</c:v>
                </c:pt>
                <c:pt idx="3">
                  <c:v>Remote</c:v>
                </c:pt>
                <c:pt idx="4">
                  <c:v>Very Remote</c:v>
                </c:pt>
              </c:strCache>
            </c:strRef>
          </c:cat>
          <c:val>
            <c:numRef>
              <c:f>Sheet1!$C$154:$G$154</c:f>
              <c:numCache>
                <c:formatCode>General</c:formatCode>
                <c:ptCount val="5"/>
                <c:pt idx="0">
                  <c:v>1.86</c:v>
                </c:pt>
                <c:pt idx="1">
                  <c:v>3.21</c:v>
                </c:pt>
                <c:pt idx="2">
                  <c:v>2.19</c:v>
                </c:pt>
                <c:pt idx="3">
                  <c:v>6.19</c:v>
                </c:pt>
                <c:pt idx="4">
                  <c:v>14.16</c:v>
                </c:pt>
              </c:numCache>
            </c:numRef>
          </c:val>
        </c:ser>
        <c:dLbls>
          <c:showLegendKey val="0"/>
          <c:showVal val="0"/>
          <c:showCatName val="0"/>
          <c:showSerName val="0"/>
          <c:showPercent val="0"/>
          <c:showBubbleSize val="0"/>
        </c:dLbls>
        <c:gapWidth val="150"/>
        <c:overlap val="100"/>
        <c:axId val="49018752"/>
        <c:axId val="49020288"/>
      </c:barChart>
      <c:catAx>
        <c:axId val="49018752"/>
        <c:scaling>
          <c:orientation val="minMax"/>
        </c:scaling>
        <c:delete val="0"/>
        <c:axPos val="b"/>
        <c:majorTickMark val="out"/>
        <c:minorTickMark val="none"/>
        <c:tickLblPos val="nextTo"/>
        <c:crossAx val="49020288"/>
        <c:crosses val="autoZero"/>
        <c:auto val="1"/>
        <c:lblAlgn val="ctr"/>
        <c:lblOffset val="100"/>
        <c:noMultiLvlLbl val="0"/>
      </c:catAx>
      <c:valAx>
        <c:axId val="49020288"/>
        <c:scaling>
          <c:orientation val="minMax"/>
        </c:scaling>
        <c:delete val="0"/>
        <c:axPos val="l"/>
        <c:numFmt formatCode="0%" sourceLinked="1"/>
        <c:majorTickMark val="out"/>
        <c:minorTickMark val="none"/>
        <c:tickLblPos val="nextTo"/>
        <c:crossAx val="49018752"/>
        <c:crosses val="autoZero"/>
        <c:crossBetween val="between"/>
      </c:valAx>
    </c:plotArea>
    <c:legend>
      <c:legendPos val="r"/>
      <c:layout>
        <c:manualLayout>
          <c:xMode val="edge"/>
          <c:yMode val="edge"/>
          <c:x val="0.7043285510349121"/>
          <c:y val="0.18227290701290325"/>
          <c:w val="0.26882881391308022"/>
          <c:h val="0.35266530250271616"/>
        </c:manualLayout>
      </c:layout>
      <c:overlay val="0"/>
    </c:legend>
    <c:plotVisOnly val="1"/>
    <c:dispBlanksAs val="gap"/>
    <c:showDLblsOverMax val="0"/>
  </c:chart>
  <c:spPr>
    <a:ln>
      <a:solidFill>
        <a:sysClr val="windowText" lastClr="000000"/>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charts!$A$276</c:f>
              <c:strCache>
                <c:ptCount val="1"/>
                <c:pt idx="0">
                  <c:v>Perception of family violence in the community</c:v>
                </c:pt>
              </c:strCache>
            </c:strRef>
          </c:tx>
          <c:spPr>
            <a:solidFill>
              <a:srgbClr val="8064A2"/>
            </a:solidFill>
          </c:spPr>
          <c:invertIfNegative val="0"/>
          <c:dLbls>
            <c:numFmt formatCode="#,##0.0" sourceLinked="0"/>
            <c:showLegendKey val="0"/>
            <c:showVal val="1"/>
            <c:showCatName val="0"/>
            <c:showSerName val="0"/>
            <c:showPercent val="0"/>
            <c:showBubbleSize val="0"/>
            <c:showLeaderLines val="0"/>
          </c:dLbls>
          <c:cat>
            <c:strRef>
              <c:f>charts!$B$275:$C$275</c:f>
              <c:strCache>
                <c:ptCount val="2"/>
                <c:pt idx="0">
                  <c:v>Urban(Remoteness Area=1-2)</c:v>
                </c:pt>
                <c:pt idx="1">
                  <c:v>Remote (Remoteness Area=3-5)</c:v>
                </c:pt>
              </c:strCache>
            </c:strRef>
          </c:cat>
          <c:val>
            <c:numRef>
              <c:f>charts!$B$276:$C$276</c:f>
              <c:numCache>
                <c:formatCode>General</c:formatCode>
                <c:ptCount val="2"/>
                <c:pt idx="0">
                  <c:v>9.4600000000000009</c:v>
                </c:pt>
                <c:pt idx="1">
                  <c:v>22.72</c:v>
                </c:pt>
              </c:numCache>
            </c:numRef>
          </c:val>
        </c:ser>
        <c:ser>
          <c:idx val="1"/>
          <c:order val="1"/>
          <c:tx>
            <c:strRef>
              <c:f>charts!$A$277</c:f>
              <c:strCache>
                <c:ptCount val="1"/>
                <c:pt idx="0">
                  <c:v>Experience of partner violence in the home</c:v>
                </c:pt>
              </c:strCache>
            </c:strRef>
          </c:tx>
          <c:spPr>
            <a:solidFill>
              <a:schemeClr val="accent4">
                <a:lumMod val="60000"/>
                <a:lumOff val="40000"/>
              </a:schemeClr>
            </a:solidFill>
          </c:spPr>
          <c:invertIfNegative val="0"/>
          <c:dLbls>
            <c:numFmt formatCode="#,##0.0" sourceLinked="0"/>
            <c:showLegendKey val="0"/>
            <c:showVal val="1"/>
            <c:showCatName val="0"/>
            <c:showSerName val="0"/>
            <c:showPercent val="0"/>
            <c:showBubbleSize val="0"/>
            <c:showLeaderLines val="0"/>
          </c:dLbls>
          <c:cat>
            <c:strRef>
              <c:f>charts!$B$275:$C$275</c:f>
              <c:strCache>
                <c:ptCount val="2"/>
                <c:pt idx="0">
                  <c:v>Urban(Remoteness Area=1-2)</c:v>
                </c:pt>
                <c:pt idx="1">
                  <c:v>Remote (Remoteness Area=3-5)</c:v>
                </c:pt>
              </c:strCache>
            </c:strRef>
          </c:cat>
          <c:val>
            <c:numRef>
              <c:f>charts!$B$277:$C$277</c:f>
              <c:numCache>
                <c:formatCode>General</c:formatCode>
                <c:ptCount val="2"/>
                <c:pt idx="0">
                  <c:v>5.45</c:v>
                </c:pt>
                <c:pt idx="1">
                  <c:v>9.91</c:v>
                </c:pt>
              </c:numCache>
            </c:numRef>
          </c:val>
        </c:ser>
        <c:dLbls>
          <c:showLegendKey val="0"/>
          <c:showVal val="0"/>
          <c:showCatName val="0"/>
          <c:showSerName val="0"/>
          <c:showPercent val="0"/>
          <c:showBubbleSize val="0"/>
        </c:dLbls>
        <c:gapWidth val="150"/>
        <c:axId val="49169536"/>
        <c:axId val="49171456"/>
      </c:barChart>
      <c:catAx>
        <c:axId val="49169536"/>
        <c:scaling>
          <c:orientation val="minMax"/>
        </c:scaling>
        <c:delete val="0"/>
        <c:axPos val="b"/>
        <c:title>
          <c:tx>
            <c:rich>
              <a:bodyPr/>
              <a:lstStyle/>
              <a:p>
                <a:pPr>
                  <a:defRPr/>
                </a:pPr>
                <a:r>
                  <a:rPr lang="en-AU"/>
                  <a:t>Region</a:t>
                </a:r>
                <a:r>
                  <a:rPr lang="en-AU" baseline="0"/>
                  <a:t> type: Remoteness Area</a:t>
                </a:r>
                <a:endParaRPr lang="en-AU"/>
              </a:p>
            </c:rich>
          </c:tx>
          <c:overlay val="0"/>
        </c:title>
        <c:majorTickMark val="out"/>
        <c:minorTickMark val="none"/>
        <c:tickLblPos val="nextTo"/>
        <c:crossAx val="49171456"/>
        <c:crosses val="autoZero"/>
        <c:auto val="1"/>
        <c:lblAlgn val="ctr"/>
        <c:lblOffset val="100"/>
        <c:noMultiLvlLbl val="0"/>
      </c:catAx>
      <c:valAx>
        <c:axId val="49171456"/>
        <c:scaling>
          <c:orientation val="minMax"/>
        </c:scaling>
        <c:delete val="0"/>
        <c:axPos val="l"/>
        <c:title>
          <c:tx>
            <c:rich>
              <a:bodyPr rot="-5400000" vert="horz"/>
              <a:lstStyle/>
              <a:p>
                <a:pPr>
                  <a:defRPr/>
                </a:pPr>
                <a:r>
                  <a:rPr lang="en-AU"/>
                  <a:t>Per cent</a:t>
                </a:r>
              </a:p>
            </c:rich>
          </c:tx>
          <c:overlay val="0"/>
        </c:title>
        <c:numFmt formatCode="General" sourceLinked="1"/>
        <c:majorTickMark val="out"/>
        <c:minorTickMark val="none"/>
        <c:tickLblPos val="nextTo"/>
        <c:crossAx val="49169536"/>
        <c:crosses val="autoZero"/>
        <c:crossBetween val="between"/>
      </c:valAx>
    </c:plotArea>
    <c:legend>
      <c:legendPos val="t"/>
      <c:overlay val="0"/>
    </c:legend>
    <c:plotVisOnly val="1"/>
    <c:dispBlanksAs val="gap"/>
    <c:showDLblsOverMax val="0"/>
  </c:chart>
  <c:spPr>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charts!$A$269</c:f>
              <c:strCache>
                <c:ptCount val="1"/>
                <c:pt idx="0">
                  <c:v>Perception of family violence in the community</c:v>
                </c:pt>
              </c:strCache>
            </c:strRef>
          </c:tx>
          <c:spPr>
            <a:solidFill>
              <a:srgbClr val="8064A2"/>
            </a:solidFill>
          </c:spPr>
          <c:invertIfNegative val="0"/>
          <c:dLbls>
            <c:numFmt formatCode="#,##0.0" sourceLinked="0"/>
            <c:showLegendKey val="0"/>
            <c:showVal val="1"/>
            <c:showCatName val="0"/>
            <c:showSerName val="0"/>
            <c:showPercent val="0"/>
            <c:showBubbleSize val="0"/>
            <c:showLeaderLines val="0"/>
          </c:dLbls>
          <c:cat>
            <c:strRef>
              <c:f>charts!$B$268:$C$268</c:f>
              <c:strCache>
                <c:ptCount val="2"/>
                <c:pt idx="0">
                  <c:v>Less severely disadvantaged (SEIFA decile=2-10)</c:v>
                </c:pt>
                <c:pt idx="1">
                  <c:v>Most disadvantaged (SEIFA decile=1)</c:v>
                </c:pt>
              </c:strCache>
            </c:strRef>
          </c:cat>
          <c:val>
            <c:numRef>
              <c:f>charts!$B$269:$C$269</c:f>
              <c:numCache>
                <c:formatCode>General</c:formatCode>
                <c:ptCount val="2"/>
                <c:pt idx="0">
                  <c:v>8.82</c:v>
                </c:pt>
                <c:pt idx="1">
                  <c:v>23.52</c:v>
                </c:pt>
              </c:numCache>
            </c:numRef>
          </c:val>
        </c:ser>
        <c:ser>
          <c:idx val="1"/>
          <c:order val="1"/>
          <c:tx>
            <c:strRef>
              <c:f>charts!$A$270</c:f>
              <c:strCache>
                <c:ptCount val="1"/>
                <c:pt idx="0">
                  <c:v>Experience of partner violence in the home</c:v>
                </c:pt>
              </c:strCache>
            </c:strRef>
          </c:tx>
          <c:spPr>
            <a:solidFill>
              <a:schemeClr val="accent4">
                <a:lumMod val="60000"/>
                <a:lumOff val="40000"/>
              </a:schemeClr>
            </a:solidFill>
          </c:spPr>
          <c:invertIfNegative val="0"/>
          <c:dLbls>
            <c:numFmt formatCode="#,##0.0" sourceLinked="0"/>
            <c:showLegendKey val="0"/>
            <c:showVal val="1"/>
            <c:showCatName val="0"/>
            <c:showSerName val="0"/>
            <c:showPercent val="0"/>
            <c:showBubbleSize val="0"/>
            <c:showLeaderLines val="0"/>
          </c:dLbls>
          <c:cat>
            <c:strRef>
              <c:f>charts!$B$268:$C$268</c:f>
              <c:strCache>
                <c:ptCount val="2"/>
                <c:pt idx="0">
                  <c:v>Less severely disadvantaged (SEIFA decile=2-10)</c:v>
                </c:pt>
                <c:pt idx="1">
                  <c:v>Most disadvantaged (SEIFA decile=1)</c:v>
                </c:pt>
              </c:strCache>
            </c:strRef>
          </c:cat>
          <c:val>
            <c:numRef>
              <c:f>charts!$B$270:$C$270</c:f>
              <c:numCache>
                <c:formatCode>General</c:formatCode>
                <c:ptCount val="2"/>
                <c:pt idx="0">
                  <c:v>5.84</c:v>
                </c:pt>
                <c:pt idx="1">
                  <c:v>9.42</c:v>
                </c:pt>
              </c:numCache>
            </c:numRef>
          </c:val>
        </c:ser>
        <c:dLbls>
          <c:showLegendKey val="0"/>
          <c:showVal val="0"/>
          <c:showCatName val="0"/>
          <c:showSerName val="0"/>
          <c:showPercent val="0"/>
          <c:showBubbleSize val="0"/>
        </c:dLbls>
        <c:gapWidth val="150"/>
        <c:axId val="48243456"/>
        <c:axId val="48245376"/>
      </c:barChart>
      <c:catAx>
        <c:axId val="48243456"/>
        <c:scaling>
          <c:orientation val="minMax"/>
        </c:scaling>
        <c:delete val="0"/>
        <c:axPos val="b"/>
        <c:title>
          <c:tx>
            <c:rich>
              <a:bodyPr/>
              <a:lstStyle/>
              <a:p>
                <a:pPr>
                  <a:defRPr/>
                </a:pPr>
                <a:r>
                  <a:rPr lang="en-AU"/>
                  <a:t>Region</a:t>
                </a:r>
                <a:r>
                  <a:rPr lang="en-AU" baseline="0"/>
                  <a:t> type: SEIFA decile</a:t>
                </a:r>
                <a:endParaRPr lang="en-AU"/>
              </a:p>
            </c:rich>
          </c:tx>
          <c:overlay val="0"/>
        </c:title>
        <c:majorTickMark val="out"/>
        <c:minorTickMark val="none"/>
        <c:tickLblPos val="nextTo"/>
        <c:crossAx val="48245376"/>
        <c:crosses val="autoZero"/>
        <c:auto val="1"/>
        <c:lblAlgn val="ctr"/>
        <c:lblOffset val="100"/>
        <c:noMultiLvlLbl val="0"/>
      </c:catAx>
      <c:valAx>
        <c:axId val="48245376"/>
        <c:scaling>
          <c:orientation val="minMax"/>
        </c:scaling>
        <c:delete val="0"/>
        <c:axPos val="l"/>
        <c:title>
          <c:tx>
            <c:rich>
              <a:bodyPr rot="-5400000" vert="horz"/>
              <a:lstStyle/>
              <a:p>
                <a:pPr>
                  <a:defRPr/>
                </a:pPr>
                <a:r>
                  <a:rPr lang="en-AU"/>
                  <a:t>Per cent</a:t>
                </a:r>
              </a:p>
            </c:rich>
          </c:tx>
          <c:overlay val="0"/>
        </c:title>
        <c:numFmt formatCode="General" sourceLinked="1"/>
        <c:majorTickMark val="out"/>
        <c:minorTickMark val="none"/>
        <c:tickLblPos val="nextTo"/>
        <c:crossAx val="48243456"/>
        <c:crosses val="autoZero"/>
        <c:crossBetween val="between"/>
      </c:valAx>
    </c:plotArea>
    <c:legend>
      <c:legendPos val="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c:spPr>
          <c:invertIfNegative val="0"/>
          <c:dPt>
            <c:idx val="0"/>
            <c:invertIfNegative val="0"/>
            <c:bubble3D val="0"/>
            <c:spPr>
              <a:solidFill>
                <a:srgbClr val="8064A2"/>
              </a:solidFill>
            </c:spPr>
          </c:dPt>
          <c:dPt>
            <c:idx val="1"/>
            <c:invertIfNegative val="0"/>
            <c:bubble3D val="0"/>
            <c:spPr>
              <a:pattFill prst="narVert">
                <a:fgClr>
                  <a:srgbClr val="78BE20"/>
                </a:fgClr>
                <a:bgClr>
                  <a:sysClr val="window" lastClr="FFFFFF"/>
                </a:bgClr>
              </a:pattFill>
              <a:ln>
                <a:solidFill>
                  <a:srgbClr val="78BE20"/>
                </a:solidFill>
              </a:ln>
            </c:spPr>
          </c:dPt>
          <c:dPt>
            <c:idx val="2"/>
            <c:invertIfNegative val="0"/>
            <c:bubble3D val="0"/>
            <c:spPr>
              <a:solidFill>
                <a:srgbClr val="78BE20"/>
              </a:solidFill>
              <a:ln>
                <a:solidFill>
                  <a:srgbClr val="78BE20"/>
                </a:solidFill>
              </a:ln>
            </c:spPr>
          </c:dPt>
          <c:dPt>
            <c:idx val="3"/>
            <c:invertIfNegative val="0"/>
            <c:bubble3D val="0"/>
            <c:spPr>
              <a:solidFill>
                <a:srgbClr val="275D38"/>
              </a:solidFill>
            </c:spPr>
          </c:dPt>
          <c:dLbls>
            <c:dLblPos val="outEnd"/>
            <c:showLegendKey val="0"/>
            <c:showVal val="1"/>
            <c:showCatName val="0"/>
            <c:showSerName val="0"/>
            <c:showPercent val="0"/>
            <c:showBubbleSize val="0"/>
            <c:showLeaderLines val="0"/>
          </c:dLbls>
          <c:cat>
            <c:strRef>
              <c:f>Sheet1!$A$26:$A$29</c:f>
              <c:strCache>
                <c:ptCount val="4"/>
                <c:pt idx="0">
                  <c:v>[1] Never</c:v>
                </c:pt>
                <c:pt idx="1">
                  <c:v>[2] Rarely</c:v>
                </c:pt>
                <c:pt idx="2">
                  <c:v>[3] Sometimes</c:v>
                </c:pt>
                <c:pt idx="3">
                  <c:v>[4] Often</c:v>
                </c:pt>
              </c:strCache>
            </c:strRef>
          </c:cat>
          <c:val>
            <c:numRef>
              <c:f>Sheet1!$B$26:$B$29</c:f>
              <c:numCache>
                <c:formatCode>0.0</c:formatCode>
                <c:ptCount val="4"/>
                <c:pt idx="0">
                  <c:v>86.22</c:v>
                </c:pt>
                <c:pt idx="1">
                  <c:v>10.27</c:v>
                </c:pt>
                <c:pt idx="2">
                  <c:v>3.25</c:v>
                </c:pt>
                <c:pt idx="3">
                  <c:v>0.26</c:v>
                </c:pt>
              </c:numCache>
            </c:numRef>
          </c:val>
        </c:ser>
        <c:dLbls>
          <c:showLegendKey val="0"/>
          <c:showVal val="0"/>
          <c:showCatName val="0"/>
          <c:showSerName val="0"/>
          <c:showPercent val="0"/>
          <c:showBubbleSize val="0"/>
        </c:dLbls>
        <c:gapWidth val="150"/>
        <c:axId val="47105536"/>
        <c:axId val="47107072"/>
      </c:barChart>
      <c:catAx>
        <c:axId val="47105536"/>
        <c:scaling>
          <c:orientation val="minMax"/>
        </c:scaling>
        <c:delete val="0"/>
        <c:axPos val="b"/>
        <c:majorTickMark val="out"/>
        <c:minorTickMark val="none"/>
        <c:tickLblPos val="nextTo"/>
        <c:crossAx val="47107072"/>
        <c:crosses val="autoZero"/>
        <c:auto val="1"/>
        <c:lblAlgn val="ctr"/>
        <c:lblOffset val="100"/>
        <c:noMultiLvlLbl val="0"/>
      </c:catAx>
      <c:valAx>
        <c:axId val="47107072"/>
        <c:scaling>
          <c:orientation val="minMax"/>
        </c:scaling>
        <c:delete val="0"/>
        <c:axPos val="l"/>
        <c:numFmt formatCode="0&quot;%&quot;" sourceLinked="0"/>
        <c:majorTickMark val="out"/>
        <c:minorTickMark val="none"/>
        <c:tickLblPos val="nextTo"/>
        <c:crossAx val="47105536"/>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pieChart>
        <c:varyColors val="0"/>
        <c:ser>
          <c:idx val="0"/>
          <c:order val="0"/>
          <c:dPt>
            <c:idx val="0"/>
            <c:bubble3D val="0"/>
            <c:spPr>
              <a:solidFill>
                <a:schemeClr val="bg1">
                  <a:lumMod val="75000"/>
                </a:schemeClr>
              </a:solidFill>
            </c:spPr>
          </c:dPt>
          <c:dPt>
            <c:idx val="2"/>
            <c:bubble3D val="0"/>
            <c:spPr>
              <a:solidFill>
                <a:srgbClr val="92D050"/>
              </a:solidFill>
            </c:spPr>
          </c:dPt>
          <c:dLbls>
            <c:txPr>
              <a:bodyPr/>
              <a:lstStyle/>
              <a:p>
                <a:pPr>
                  <a:defRPr sz="1100"/>
                </a:pPr>
                <a:endParaRPr lang="en-US"/>
              </a:p>
            </c:txPr>
            <c:dLblPos val="inEnd"/>
            <c:showLegendKey val="0"/>
            <c:showVal val="1"/>
            <c:showCatName val="0"/>
            <c:showSerName val="0"/>
            <c:showPercent val="0"/>
            <c:showBubbleSize val="0"/>
            <c:showLeaderLines val="1"/>
          </c:dLbls>
          <c:cat>
            <c:strRef>
              <c:f>charts!$A$41:$A$43</c:f>
              <c:strCache>
                <c:ptCount val="3"/>
                <c:pt idx="0">
                  <c:v>Single parent household (family violence questions not asked)</c:v>
                </c:pt>
                <c:pt idx="1">
                  <c:v>No violence between parents</c:v>
                </c:pt>
                <c:pt idx="2">
                  <c:v>Some violence between parents (rarely, sometimes, or often)</c:v>
                </c:pt>
              </c:strCache>
            </c:strRef>
          </c:cat>
          <c:val>
            <c:numRef>
              <c:f>charts!$B$41:$B$43</c:f>
              <c:numCache>
                <c:formatCode>0.0</c:formatCode>
                <c:ptCount val="3"/>
                <c:pt idx="0">
                  <c:v>42.61</c:v>
                </c:pt>
                <c:pt idx="1">
                  <c:v>49.48</c:v>
                </c:pt>
                <c:pt idx="2">
                  <c:v>7.91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charts!$B$57</c:f>
              <c:strCache>
                <c:ptCount val="1"/>
                <c:pt idx="0">
                  <c:v>No partner (2013)</c:v>
                </c:pt>
              </c:strCache>
            </c:strRef>
          </c:tx>
          <c:spPr>
            <a:solidFill>
              <a:sysClr val="window" lastClr="FFFFFF">
                <a:lumMod val="85000"/>
              </a:sysClr>
            </a:solidFill>
          </c:spPr>
          <c:invertIfNegative val="0"/>
          <c:dLbls>
            <c:dLblPos val="ctr"/>
            <c:showLegendKey val="0"/>
            <c:showVal val="1"/>
            <c:showCatName val="0"/>
            <c:showSerName val="0"/>
            <c:showPercent val="0"/>
            <c:showBubbleSize val="0"/>
            <c:showLeaderLines val="0"/>
          </c:dLbls>
          <c:cat>
            <c:strRef>
              <c:f>charts!$A$58:$A$60</c:f>
              <c:strCache>
                <c:ptCount val="3"/>
                <c:pt idx="0">
                  <c:v>No partner (2010) n=363</c:v>
                </c:pt>
                <c:pt idx="1">
                  <c:v>No violence (2010) n=448</c:v>
                </c:pt>
                <c:pt idx="2">
                  <c:v>Some violence (2010) n=70</c:v>
                </c:pt>
              </c:strCache>
            </c:strRef>
          </c:cat>
          <c:val>
            <c:numRef>
              <c:f>charts!$B$58:$B$60</c:f>
              <c:numCache>
                <c:formatCode>0.0</c:formatCode>
                <c:ptCount val="3"/>
                <c:pt idx="0">
                  <c:v>74.930000000000007</c:v>
                </c:pt>
                <c:pt idx="1">
                  <c:v>16.29</c:v>
                </c:pt>
                <c:pt idx="2">
                  <c:v>30</c:v>
                </c:pt>
              </c:numCache>
            </c:numRef>
          </c:val>
        </c:ser>
        <c:ser>
          <c:idx val="1"/>
          <c:order val="1"/>
          <c:tx>
            <c:strRef>
              <c:f>charts!$C$57</c:f>
              <c:strCache>
                <c:ptCount val="1"/>
                <c:pt idx="0">
                  <c:v>No partner violence (2013)</c:v>
                </c:pt>
              </c:strCache>
            </c:strRef>
          </c:tx>
          <c:spPr>
            <a:solidFill>
              <a:srgbClr val="8064A2"/>
            </a:solidFill>
          </c:spPr>
          <c:invertIfNegative val="0"/>
          <c:dLbls>
            <c:dLblPos val="ctr"/>
            <c:showLegendKey val="0"/>
            <c:showVal val="1"/>
            <c:showCatName val="0"/>
            <c:showSerName val="0"/>
            <c:showPercent val="0"/>
            <c:showBubbleSize val="0"/>
            <c:showLeaderLines val="0"/>
          </c:dLbls>
          <c:cat>
            <c:strRef>
              <c:f>charts!$A$58:$A$60</c:f>
              <c:strCache>
                <c:ptCount val="3"/>
                <c:pt idx="0">
                  <c:v>No partner (2010) n=363</c:v>
                </c:pt>
                <c:pt idx="1">
                  <c:v>No violence (2010) n=448</c:v>
                </c:pt>
                <c:pt idx="2">
                  <c:v>Some violence (2010) n=70</c:v>
                </c:pt>
              </c:strCache>
            </c:strRef>
          </c:cat>
          <c:val>
            <c:numRef>
              <c:f>charts!$C$58:$C$60</c:f>
              <c:numCache>
                <c:formatCode>0.0</c:formatCode>
                <c:ptCount val="3"/>
                <c:pt idx="0">
                  <c:v>22.31</c:v>
                </c:pt>
                <c:pt idx="1">
                  <c:v>74.55</c:v>
                </c:pt>
                <c:pt idx="2">
                  <c:v>44.29</c:v>
                </c:pt>
              </c:numCache>
            </c:numRef>
          </c:val>
        </c:ser>
        <c:ser>
          <c:idx val="2"/>
          <c:order val="2"/>
          <c:tx>
            <c:strRef>
              <c:f>charts!$D$57</c:f>
              <c:strCache>
                <c:ptCount val="1"/>
                <c:pt idx="0">
                  <c:v>Some partner violence (2013)</c:v>
                </c:pt>
              </c:strCache>
            </c:strRef>
          </c:tx>
          <c:spPr>
            <a:solidFill>
              <a:srgbClr val="92D050"/>
            </a:solidFill>
          </c:spPr>
          <c:invertIfNegative val="0"/>
          <c:dLbls>
            <c:dLblPos val="ctr"/>
            <c:showLegendKey val="0"/>
            <c:showVal val="1"/>
            <c:showCatName val="0"/>
            <c:showSerName val="0"/>
            <c:showPercent val="0"/>
            <c:showBubbleSize val="0"/>
            <c:showLeaderLines val="0"/>
          </c:dLbls>
          <c:cat>
            <c:strRef>
              <c:f>charts!$A$58:$A$60</c:f>
              <c:strCache>
                <c:ptCount val="3"/>
                <c:pt idx="0">
                  <c:v>No partner (2010) n=363</c:v>
                </c:pt>
                <c:pt idx="1">
                  <c:v>No violence (2010) n=448</c:v>
                </c:pt>
                <c:pt idx="2">
                  <c:v>Some violence (2010) n=70</c:v>
                </c:pt>
              </c:strCache>
            </c:strRef>
          </c:cat>
          <c:val>
            <c:numRef>
              <c:f>charts!$D$58:$D$60</c:f>
              <c:numCache>
                <c:formatCode>0.0</c:formatCode>
                <c:ptCount val="3"/>
                <c:pt idx="0">
                  <c:v>2.75</c:v>
                </c:pt>
                <c:pt idx="1">
                  <c:v>9.15</c:v>
                </c:pt>
                <c:pt idx="2">
                  <c:v>25.71</c:v>
                </c:pt>
              </c:numCache>
            </c:numRef>
          </c:val>
        </c:ser>
        <c:dLbls>
          <c:showLegendKey val="0"/>
          <c:showVal val="0"/>
          <c:showCatName val="0"/>
          <c:showSerName val="0"/>
          <c:showPercent val="0"/>
          <c:showBubbleSize val="0"/>
        </c:dLbls>
        <c:gapWidth val="150"/>
        <c:overlap val="100"/>
        <c:axId val="47358336"/>
        <c:axId val="47359872"/>
      </c:barChart>
      <c:catAx>
        <c:axId val="47358336"/>
        <c:scaling>
          <c:orientation val="minMax"/>
        </c:scaling>
        <c:delete val="0"/>
        <c:axPos val="b"/>
        <c:majorTickMark val="out"/>
        <c:minorTickMark val="none"/>
        <c:tickLblPos val="nextTo"/>
        <c:crossAx val="47359872"/>
        <c:crosses val="autoZero"/>
        <c:auto val="1"/>
        <c:lblAlgn val="ctr"/>
        <c:lblOffset val="100"/>
        <c:noMultiLvlLbl val="0"/>
      </c:catAx>
      <c:valAx>
        <c:axId val="47359872"/>
        <c:scaling>
          <c:orientation val="minMax"/>
        </c:scaling>
        <c:delete val="0"/>
        <c:axPos val="l"/>
        <c:majorGridlines/>
        <c:numFmt formatCode="0%" sourceLinked="1"/>
        <c:majorTickMark val="out"/>
        <c:minorTickMark val="none"/>
        <c:tickLblPos val="nextTo"/>
        <c:crossAx val="4735833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charts!$B$80</c:f>
              <c:strCache>
                <c:ptCount val="1"/>
                <c:pt idx="0">
                  <c:v>No violence between parents</c:v>
                </c:pt>
              </c:strCache>
            </c:strRef>
          </c:tx>
          <c:invertIfNegative val="0"/>
          <c:cat>
            <c:strRef>
              <c:f>charts!$C$79:$D$79</c:f>
              <c:strCache>
                <c:ptCount val="2"/>
                <c:pt idx="0">
                  <c:v>Father Year 9 or below education</c:v>
                </c:pt>
                <c:pt idx="1">
                  <c:v>Father Year 10 or above education</c:v>
                </c:pt>
              </c:strCache>
            </c:strRef>
          </c:cat>
          <c:val>
            <c:numRef>
              <c:f>charts!$C$80:$D$80</c:f>
              <c:numCache>
                <c:formatCode>0.0</c:formatCode>
                <c:ptCount val="2"/>
                <c:pt idx="0">
                  <c:v>77.45</c:v>
                </c:pt>
                <c:pt idx="1">
                  <c:v>89.54</c:v>
                </c:pt>
              </c:numCache>
            </c:numRef>
          </c:val>
        </c:ser>
        <c:ser>
          <c:idx val="1"/>
          <c:order val="1"/>
          <c:tx>
            <c:strRef>
              <c:f>charts!$B$81</c:f>
              <c:strCache>
                <c:ptCount val="1"/>
                <c:pt idx="0">
                  <c:v>Some violence between parents (rarely, sometimes, or often)</c:v>
                </c:pt>
              </c:strCache>
            </c:strRef>
          </c:tx>
          <c:spPr>
            <a:solidFill>
              <a:srgbClr val="92D050"/>
            </a:solidFill>
          </c:spPr>
          <c:invertIfNegative val="0"/>
          <c:dLbls>
            <c:dLblPos val="inEnd"/>
            <c:showLegendKey val="0"/>
            <c:showVal val="1"/>
            <c:showCatName val="0"/>
            <c:showSerName val="0"/>
            <c:showPercent val="0"/>
            <c:showBubbleSize val="0"/>
            <c:showLeaderLines val="0"/>
          </c:dLbls>
          <c:cat>
            <c:strRef>
              <c:f>charts!$C$79:$D$79</c:f>
              <c:strCache>
                <c:ptCount val="2"/>
                <c:pt idx="0">
                  <c:v>Father Year 9 or below education</c:v>
                </c:pt>
                <c:pt idx="1">
                  <c:v>Father Year 10 or above education</c:v>
                </c:pt>
              </c:strCache>
            </c:strRef>
          </c:cat>
          <c:val>
            <c:numRef>
              <c:f>charts!$C$81:$D$81</c:f>
              <c:numCache>
                <c:formatCode>0.0</c:formatCode>
                <c:ptCount val="2"/>
                <c:pt idx="0">
                  <c:v>22.55</c:v>
                </c:pt>
                <c:pt idx="1">
                  <c:v>10.46</c:v>
                </c:pt>
              </c:numCache>
            </c:numRef>
          </c:val>
        </c:ser>
        <c:dLbls>
          <c:showLegendKey val="0"/>
          <c:showVal val="0"/>
          <c:showCatName val="0"/>
          <c:showSerName val="0"/>
          <c:showPercent val="0"/>
          <c:showBubbleSize val="0"/>
        </c:dLbls>
        <c:gapWidth val="150"/>
        <c:overlap val="100"/>
        <c:axId val="47471232"/>
        <c:axId val="47485312"/>
      </c:barChart>
      <c:catAx>
        <c:axId val="47471232"/>
        <c:scaling>
          <c:orientation val="minMax"/>
        </c:scaling>
        <c:delete val="0"/>
        <c:axPos val="b"/>
        <c:majorTickMark val="out"/>
        <c:minorTickMark val="none"/>
        <c:tickLblPos val="nextTo"/>
        <c:crossAx val="47485312"/>
        <c:crosses val="autoZero"/>
        <c:auto val="1"/>
        <c:lblAlgn val="ctr"/>
        <c:lblOffset val="100"/>
        <c:noMultiLvlLbl val="0"/>
      </c:catAx>
      <c:valAx>
        <c:axId val="47485312"/>
        <c:scaling>
          <c:orientation val="minMax"/>
        </c:scaling>
        <c:delete val="0"/>
        <c:axPos val="l"/>
        <c:numFmt formatCode="0%" sourceLinked="1"/>
        <c:majorTickMark val="out"/>
        <c:minorTickMark val="none"/>
        <c:tickLblPos val="nextTo"/>
        <c:crossAx val="47471232"/>
        <c:crosses val="autoZero"/>
        <c:crossBetween val="between"/>
      </c:valAx>
    </c:plotArea>
    <c:legend>
      <c:legendPos val="t"/>
      <c:overlay val="0"/>
    </c:legend>
    <c:plotVisOnly val="1"/>
    <c:dispBlanksAs val="gap"/>
    <c:showDLblsOverMax val="0"/>
  </c:chart>
  <c:spPr>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charts!$A$234</c:f>
              <c:strCache>
                <c:ptCount val="1"/>
                <c:pt idx="0">
                  <c:v>No partner violence</c:v>
                </c:pt>
              </c:strCache>
            </c:strRef>
          </c:tx>
          <c:invertIfNegative val="0"/>
          <c:cat>
            <c:multiLvlStrRef>
              <c:f>charts!$B$232:$E$233</c:f>
              <c:multiLvlStrCache>
                <c:ptCount val="4"/>
                <c:lvl>
                  <c:pt idx="0">
                    <c:v>Employed</c:v>
                  </c:pt>
                  <c:pt idx="1">
                    <c:v>Not employed</c:v>
                  </c:pt>
                  <c:pt idx="2">
                    <c:v>Employed</c:v>
                  </c:pt>
                  <c:pt idx="3">
                    <c:v>Not employed</c:v>
                  </c:pt>
                </c:lvl>
                <c:lvl>
                  <c:pt idx="0">
                    <c:v>Mothers' employment status</c:v>
                  </c:pt>
                  <c:pt idx="2">
                    <c:v>Fathers' employment status</c:v>
                  </c:pt>
                </c:lvl>
              </c:multiLvlStrCache>
            </c:multiLvlStrRef>
          </c:cat>
          <c:val>
            <c:numRef>
              <c:f>charts!$B$234:$E$234</c:f>
              <c:numCache>
                <c:formatCode>0.0</c:formatCode>
                <c:ptCount val="4"/>
                <c:pt idx="0">
                  <c:v>90.97</c:v>
                </c:pt>
                <c:pt idx="1">
                  <c:v>84.26</c:v>
                </c:pt>
                <c:pt idx="2">
                  <c:v>89.93</c:v>
                </c:pt>
                <c:pt idx="3">
                  <c:v>79.33</c:v>
                </c:pt>
              </c:numCache>
            </c:numRef>
          </c:val>
        </c:ser>
        <c:ser>
          <c:idx val="1"/>
          <c:order val="1"/>
          <c:tx>
            <c:strRef>
              <c:f>charts!$A$235</c:f>
              <c:strCache>
                <c:ptCount val="1"/>
                <c:pt idx="0">
                  <c:v>Some partner violence</c:v>
                </c:pt>
              </c:strCache>
            </c:strRef>
          </c:tx>
          <c:spPr>
            <a:solidFill>
              <a:srgbClr val="92D050"/>
            </a:solidFill>
          </c:spPr>
          <c:invertIfNegative val="0"/>
          <c:dLbls>
            <c:dLblPos val="ctr"/>
            <c:showLegendKey val="0"/>
            <c:showVal val="1"/>
            <c:showCatName val="0"/>
            <c:showSerName val="0"/>
            <c:showPercent val="0"/>
            <c:showBubbleSize val="0"/>
            <c:showLeaderLines val="0"/>
          </c:dLbls>
          <c:cat>
            <c:multiLvlStrRef>
              <c:f>charts!$B$232:$E$233</c:f>
              <c:multiLvlStrCache>
                <c:ptCount val="4"/>
                <c:lvl>
                  <c:pt idx="0">
                    <c:v>Employed</c:v>
                  </c:pt>
                  <c:pt idx="1">
                    <c:v>Not employed</c:v>
                  </c:pt>
                  <c:pt idx="2">
                    <c:v>Employed</c:v>
                  </c:pt>
                  <c:pt idx="3">
                    <c:v>Not employed</c:v>
                  </c:pt>
                </c:lvl>
                <c:lvl>
                  <c:pt idx="0">
                    <c:v>Mothers' employment status</c:v>
                  </c:pt>
                  <c:pt idx="2">
                    <c:v>Fathers' employment status</c:v>
                  </c:pt>
                </c:lvl>
              </c:multiLvlStrCache>
            </c:multiLvlStrRef>
          </c:cat>
          <c:val>
            <c:numRef>
              <c:f>charts!$B$235:$E$235</c:f>
              <c:numCache>
                <c:formatCode>0.0</c:formatCode>
                <c:ptCount val="4"/>
                <c:pt idx="0">
                  <c:v>9.0299999999999994</c:v>
                </c:pt>
                <c:pt idx="1">
                  <c:v>15.74</c:v>
                </c:pt>
                <c:pt idx="2">
                  <c:v>10.07</c:v>
                </c:pt>
                <c:pt idx="3">
                  <c:v>20.67</c:v>
                </c:pt>
              </c:numCache>
            </c:numRef>
          </c:val>
        </c:ser>
        <c:dLbls>
          <c:showLegendKey val="0"/>
          <c:showVal val="0"/>
          <c:showCatName val="0"/>
          <c:showSerName val="0"/>
          <c:showPercent val="0"/>
          <c:showBubbleSize val="0"/>
        </c:dLbls>
        <c:gapWidth val="150"/>
        <c:overlap val="100"/>
        <c:axId val="47973504"/>
        <c:axId val="47975040"/>
      </c:barChart>
      <c:catAx>
        <c:axId val="47973504"/>
        <c:scaling>
          <c:orientation val="minMax"/>
        </c:scaling>
        <c:delete val="0"/>
        <c:axPos val="b"/>
        <c:majorTickMark val="out"/>
        <c:minorTickMark val="none"/>
        <c:tickLblPos val="nextTo"/>
        <c:crossAx val="47975040"/>
        <c:crosses val="autoZero"/>
        <c:auto val="1"/>
        <c:lblAlgn val="ctr"/>
        <c:lblOffset val="100"/>
        <c:noMultiLvlLbl val="0"/>
      </c:catAx>
      <c:valAx>
        <c:axId val="47975040"/>
        <c:scaling>
          <c:orientation val="minMax"/>
        </c:scaling>
        <c:delete val="0"/>
        <c:axPos val="l"/>
        <c:numFmt formatCode="0%" sourceLinked="1"/>
        <c:majorTickMark val="out"/>
        <c:minorTickMark val="none"/>
        <c:tickLblPos val="nextTo"/>
        <c:crossAx val="47973504"/>
        <c:crosses val="autoZero"/>
        <c:crossBetween val="between"/>
      </c:valAx>
    </c:plotArea>
    <c:legend>
      <c:legendPos val="t"/>
      <c:overlay val="0"/>
    </c:legend>
    <c:plotVisOnly val="1"/>
    <c:dispBlanksAs val="gap"/>
    <c:showDLblsOverMax val="0"/>
  </c:chart>
  <c:spPr>
    <a:ln>
      <a:solidFill>
        <a:sysClr val="windowText" lastClr="000000"/>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charts!$E$166</c:f>
              <c:strCache>
                <c:ptCount val="1"/>
                <c:pt idx="0">
                  <c:v>No partner violence</c:v>
                </c:pt>
              </c:strCache>
            </c:strRef>
          </c:tx>
          <c:invertIfNegative val="0"/>
          <c:cat>
            <c:strRef>
              <c:f>charts!$D$167:$D$168</c:f>
              <c:strCache>
                <c:ptCount val="2"/>
                <c:pt idx="0">
                  <c:v>Little or no hardship</c:v>
                </c:pt>
                <c:pt idx="1">
                  <c:v>Multiple financial hardship</c:v>
                </c:pt>
              </c:strCache>
            </c:strRef>
          </c:cat>
          <c:val>
            <c:numRef>
              <c:f>charts!$E$167:$E$168</c:f>
              <c:numCache>
                <c:formatCode>0.0</c:formatCode>
                <c:ptCount val="2"/>
                <c:pt idx="0">
                  <c:v>88.76</c:v>
                </c:pt>
                <c:pt idx="1">
                  <c:v>80.53</c:v>
                </c:pt>
              </c:numCache>
            </c:numRef>
          </c:val>
        </c:ser>
        <c:ser>
          <c:idx val="1"/>
          <c:order val="1"/>
          <c:tx>
            <c:strRef>
              <c:f>charts!$F$166</c:f>
              <c:strCache>
                <c:ptCount val="1"/>
                <c:pt idx="0">
                  <c:v>Some partner violence</c:v>
                </c:pt>
              </c:strCache>
            </c:strRef>
          </c:tx>
          <c:spPr>
            <a:solidFill>
              <a:srgbClr val="92D050"/>
            </a:solidFill>
          </c:spPr>
          <c:invertIfNegative val="0"/>
          <c:dLbls>
            <c:dLblPos val="inEnd"/>
            <c:showLegendKey val="0"/>
            <c:showVal val="1"/>
            <c:showCatName val="0"/>
            <c:showSerName val="0"/>
            <c:showPercent val="0"/>
            <c:showBubbleSize val="0"/>
            <c:showLeaderLines val="0"/>
          </c:dLbls>
          <c:cat>
            <c:strRef>
              <c:f>charts!$D$167:$D$168</c:f>
              <c:strCache>
                <c:ptCount val="2"/>
                <c:pt idx="0">
                  <c:v>Little or no hardship</c:v>
                </c:pt>
                <c:pt idx="1">
                  <c:v>Multiple financial hardship</c:v>
                </c:pt>
              </c:strCache>
            </c:strRef>
          </c:cat>
          <c:val>
            <c:numRef>
              <c:f>charts!$F$167:$F$168</c:f>
              <c:numCache>
                <c:formatCode>0.0</c:formatCode>
                <c:ptCount val="2"/>
                <c:pt idx="0">
                  <c:v>11.24</c:v>
                </c:pt>
                <c:pt idx="1">
                  <c:v>19.47</c:v>
                </c:pt>
              </c:numCache>
            </c:numRef>
          </c:val>
        </c:ser>
        <c:dLbls>
          <c:showLegendKey val="0"/>
          <c:showVal val="0"/>
          <c:showCatName val="0"/>
          <c:showSerName val="0"/>
          <c:showPercent val="0"/>
          <c:showBubbleSize val="0"/>
        </c:dLbls>
        <c:gapWidth val="150"/>
        <c:overlap val="100"/>
        <c:axId val="47996288"/>
        <c:axId val="48002176"/>
      </c:barChart>
      <c:catAx>
        <c:axId val="47996288"/>
        <c:scaling>
          <c:orientation val="minMax"/>
        </c:scaling>
        <c:delete val="0"/>
        <c:axPos val="b"/>
        <c:majorTickMark val="out"/>
        <c:minorTickMark val="none"/>
        <c:tickLblPos val="nextTo"/>
        <c:crossAx val="48002176"/>
        <c:crosses val="autoZero"/>
        <c:auto val="1"/>
        <c:lblAlgn val="ctr"/>
        <c:lblOffset val="100"/>
        <c:noMultiLvlLbl val="0"/>
      </c:catAx>
      <c:valAx>
        <c:axId val="48002176"/>
        <c:scaling>
          <c:orientation val="minMax"/>
        </c:scaling>
        <c:delete val="0"/>
        <c:axPos val="l"/>
        <c:numFmt formatCode="0%" sourceLinked="1"/>
        <c:majorTickMark val="out"/>
        <c:minorTickMark val="none"/>
        <c:tickLblPos val="nextTo"/>
        <c:crossAx val="47996288"/>
        <c:crosses val="autoZero"/>
        <c:crossBetween val="between"/>
      </c:valAx>
    </c:plotArea>
    <c:legend>
      <c:legendPos val="t"/>
      <c:overlay val="0"/>
    </c:legend>
    <c:plotVisOnly val="1"/>
    <c:dispBlanksAs val="gap"/>
    <c:showDLblsOverMax val="0"/>
  </c:chart>
  <c:spPr>
    <a:ln>
      <a:solidFill>
        <a:sysClr val="windowText" lastClr="000000"/>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56807511737088"/>
          <c:y val="5.5137844611528819E-2"/>
          <c:w val="0.48333333333333334"/>
          <c:h val="0.92356687898089174"/>
        </c:manualLayout>
      </c:layout>
      <c:pieChart>
        <c:varyColors val="1"/>
        <c:ser>
          <c:idx val="0"/>
          <c:order val="0"/>
          <c:dPt>
            <c:idx val="0"/>
            <c:bubble3D val="0"/>
            <c:spPr>
              <a:solidFill>
                <a:sysClr val="window" lastClr="FFFFFF">
                  <a:lumMod val="75000"/>
                </a:sysClr>
              </a:solidFill>
            </c:spPr>
          </c:dPt>
          <c:dPt>
            <c:idx val="1"/>
            <c:bubble3D val="0"/>
            <c:spPr>
              <a:solidFill>
                <a:srgbClr val="8064A2"/>
              </a:solidFill>
            </c:spPr>
          </c:dPt>
          <c:dPt>
            <c:idx val="2"/>
            <c:bubble3D val="0"/>
            <c:spPr>
              <a:pattFill prst="narVert">
                <a:fgClr>
                  <a:srgbClr val="78BE20"/>
                </a:fgClr>
                <a:bgClr>
                  <a:sysClr val="window" lastClr="FFFFFF"/>
                </a:bgClr>
              </a:pattFill>
            </c:spPr>
          </c:dPt>
          <c:dPt>
            <c:idx val="3"/>
            <c:bubble3D val="0"/>
            <c:spPr>
              <a:pattFill prst="wave">
                <a:fgClr>
                  <a:srgbClr val="78BE20"/>
                </a:fgClr>
                <a:bgClr>
                  <a:sysClr val="window" lastClr="FFFFFF"/>
                </a:bgClr>
              </a:pattFill>
            </c:spPr>
          </c:dPt>
          <c:dPt>
            <c:idx val="4"/>
            <c:bubble3D val="0"/>
            <c:spPr>
              <a:solidFill>
                <a:srgbClr val="78BE20"/>
              </a:solidFill>
            </c:spPr>
          </c:dPt>
          <c:dLbls>
            <c:dLblPos val="inEnd"/>
            <c:showLegendKey val="0"/>
            <c:showVal val="0"/>
            <c:showCatName val="0"/>
            <c:showSerName val="0"/>
            <c:showPercent val="1"/>
            <c:showBubbleSize val="0"/>
            <c:showLeaderLines val="1"/>
          </c:dLbls>
          <c:cat>
            <c:strRef>
              <c:f>charts!$B$100:$B$104</c:f>
              <c:strCache>
                <c:ptCount val="5"/>
                <c:pt idx="0">
                  <c:v>Don't know</c:v>
                </c:pt>
                <c:pt idx="1">
                  <c:v>Doesn't happen here</c:v>
                </c:pt>
                <c:pt idx="2">
                  <c:v>Happens a bit of the time</c:v>
                </c:pt>
                <c:pt idx="3">
                  <c:v>Happens a lot of the time</c:v>
                </c:pt>
                <c:pt idx="4">
                  <c:v>Happens all the time</c:v>
                </c:pt>
              </c:strCache>
            </c:strRef>
          </c:cat>
          <c:val>
            <c:numRef>
              <c:f>charts!$C$100:$C$104</c:f>
              <c:numCache>
                <c:formatCode>General</c:formatCode>
                <c:ptCount val="5"/>
                <c:pt idx="0">
                  <c:v>88</c:v>
                </c:pt>
                <c:pt idx="1">
                  <c:v>796</c:v>
                </c:pt>
                <c:pt idx="2">
                  <c:v>176</c:v>
                </c:pt>
                <c:pt idx="3">
                  <c:v>119</c:v>
                </c:pt>
                <c:pt idx="4">
                  <c:v>58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Sheet1!$A$118</c:f>
              <c:strCache>
                <c:ptCount val="1"/>
                <c:pt idx="0">
                  <c:v>Family violence rarely/never happens in this community</c:v>
                </c:pt>
              </c:strCache>
            </c:strRef>
          </c:tx>
          <c:invertIfNegative val="0"/>
          <c:cat>
            <c:strRef>
              <c:f>Sheet1!$B$117:$D$117</c:f>
              <c:strCache>
                <c:ptCount val="3"/>
                <c:pt idx="0">
                  <c:v>Single parent (n=444)</c:v>
                </c:pt>
                <c:pt idx="1">
                  <c:v>No violence between parents (n=506)</c:v>
                </c:pt>
                <c:pt idx="2">
                  <c:v>Some violence between parents (n=77)</c:v>
                </c:pt>
              </c:strCache>
            </c:strRef>
          </c:cat>
          <c:val>
            <c:numRef>
              <c:f>Sheet1!$B$118:$D$118</c:f>
              <c:numCache>
                <c:formatCode>0.0</c:formatCode>
                <c:ptCount val="3"/>
                <c:pt idx="0">
                  <c:v>85.59</c:v>
                </c:pt>
                <c:pt idx="1">
                  <c:v>89.72</c:v>
                </c:pt>
                <c:pt idx="2">
                  <c:v>77.92</c:v>
                </c:pt>
              </c:numCache>
            </c:numRef>
          </c:val>
        </c:ser>
        <c:ser>
          <c:idx val="1"/>
          <c:order val="1"/>
          <c:tx>
            <c:strRef>
              <c:f>Sheet1!$A$119</c:f>
              <c:strCache>
                <c:ptCount val="1"/>
                <c:pt idx="0">
                  <c:v>Family violence happens a lot/all the time in this community</c:v>
                </c:pt>
              </c:strCache>
            </c:strRef>
          </c:tx>
          <c:spPr>
            <a:solidFill>
              <a:srgbClr val="92D050"/>
            </a:solidFill>
          </c:spPr>
          <c:invertIfNegative val="0"/>
          <c:dLbls>
            <c:dLblPos val="inEnd"/>
            <c:showLegendKey val="0"/>
            <c:showVal val="1"/>
            <c:showCatName val="0"/>
            <c:showSerName val="0"/>
            <c:showPercent val="0"/>
            <c:showBubbleSize val="0"/>
            <c:showLeaderLines val="0"/>
          </c:dLbls>
          <c:cat>
            <c:strRef>
              <c:f>Sheet1!$B$117:$D$117</c:f>
              <c:strCache>
                <c:ptCount val="3"/>
                <c:pt idx="0">
                  <c:v>Single parent (n=444)</c:v>
                </c:pt>
                <c:pt idx="1">
                  <c:v>No violence between parents (n=506)</c:v>
                </c:pt>
                <c:pt idx="2">
                  <c:v>Some violence between parents (n=77)</c:v>
                </c:pt>
              </c:strCache>
            </c:strRef>
          </c:cat>
          <c:val>
            <c:numRef>
              <c:f>Sheet1!$B$119:$D$119</c:f>
              <c:numCache>
                <c:formatCode>0.0</c:formatCode>
                <c:ptCount val="3"/>
                <c:pt idx="0">
                  <c:v>14.41</c:v>
                </c:pt>
                <c:pt idx="1">
                  <c:v>10.28</c:v>
                </c:pt>
                <c:pt idx="2">
                  <c:v>22.08</c:v>
                </c:pt>
              </c:numCache>
            </c:numRef>
          </c:val>
        </c:ser>
        <c:dLbls>
          <c:showLegendKey val="0"/>
          <c:showVal val="0"/>
          <c:showCatName val="0"/>
          <c:showSerName val="0"/>
          <c:showPercent val="0"/>
          <c:showBubbleSize val="0"/>
        </c:dLbls>
        <c:gapWidth val="150"/>
        <c:overlap val="100"/>
        <c:axId val="49006848"/>
        <c:axId val="49008640"/>
      </c:barChart>
      <c:catAx>
        <c:axId val="49006848"/>
        <c:scaling>
          <c:orientation val="minMax"/>
        </c:scaling>
        <c:delete val="0"/>
        <c:axPos val="b"/>
        <c:majorTickMark val="out"/>
        <c:minorTickMark val="none"/>
        <c:tickLblPos val="nextTo"/>
        <c:crossAx val="49008640"/>
        <c:crosses val="autoZero"/>
        <c:auto val="1"/>
        <c:lblAlgn val="ctr"/>
        <c:lblOffset val="100"/>
        <c:noMultiLvlLbl val="0"/>
      </c:catAx>
      <c:valAx>
        <c:axId val="49008640"/>
        <c:scaling>
          <c:orientation val="minMax"/>
        </c:scaling>
        <c:delete val="0"/>
        <c:axPos val="l"/>
        <c:numFmt formatCode="0%" sourceLinked="1"/>
        <c:majorTickMark val="out"/>
        <c:minorTickMark val="none"/>
        <c:tickLblPos val="nextTo"/>
        <c:crossAx val="49006848"/>
        <c:crosses val="autoZero"/>
        <c:crossBetween val="between"/>
      </c:valAx>
    </c:plotArea>
    <c:legend>
      <c:legendPos val="t"/>
      <c:overlay val="0"/>
    </c:legend>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E857-A7FD-4835-BCFD-8B9CAD19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thomal</dc:creator>
  <cp:lastModifiedBy>TERAN, Elaine</cp:lastModifiedBy>
  <cp:revision>2</cp:revision>
  <cp:lastPrinted>2015-09-08T04:13:00Z</cp:lastPrinted>
  <dcterms:created xsi:type="dcterms:W3CDTF">2016-01-04T06:12:00Z</dcterms:created>
  <dcterms:modified xsi:type="dcterms:W3CDTF">2016-01-04T06:12:00Z</dcterms:modified>
</cp:coreProperties>
</file>