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3B" w:rsidRPr="00901FB7" w:rsidRDefault="00C33A3B" w:rsidP="00C33A3B">
      <w:pPr>
        <w:pStyle w:val="Header"/>
        <w:tabs>
          <w:tab w:val="clear" w:pos="4153"/>
          <w:tab w:val="clear" w:pos="8306"/>
          <w:tab w:val="right" w:pos="9639"/>
        </w:tabs>
        <w:spacing w:after="0"/>
        <w:contextualSpacing w:val="0"/>
        <w:jc w:val="right"/>
        <w:rPr>
          <w:rFonts w:ascii="Arial" w:hAnsi="Arial"/>
          <w:noProof/>
          <w:color w:val="auto"/>
        </w:rPr>
      </w:pPr>
      <w:r w:rsidRPr="00901FB7">
        <w:rPr>
          <w:rFonts w:ascii="Arial" w:hAnsi="Arial"/>
          <w:noProof/>
          <w:color w:val="auto"/>
        </w:rPr>
        <w:t>Dat</w:t>
      </w:r>
      <w:r>
        <w:rPr>
          <w:rFonts w:ascii="Arial" w:hAnsi="Arial"/>
          <w:noProof/>
          <w:color w:val="auto"/>
        </w:rPr>
        <w:t xml:space="preserve">a highlight: </w:t>
      </w:r>
      <w:r w:rsidR="00B8554E">
        <w:rPr>
          <w:rFonts w:ascii="Arial" w:hAnsi="Arial"/>
          <w:noProof/>
          <w:color w:val="auto"/>
        </w:rPr>
        <w:t>No.1/2014</w:t>
      </w:r>
    </w:p>
    <w:p w:rsidR="00845F7C" w:rsidRPr="00901FB7" w:rsidRDefault="00DE77EC" w:rsidP="00B42948">
      <w:pPr>
        <w:pStyle w:val="Title"/>
        <w:spacing w:before="120" w:after="0" w:line="276" w:lineRule="auto"/>
        <w:contextualSpacing w:val="0"/>
        <w:jc w:val="both"/>
        <w:rPr>
          <w:b/>
          <w:color w:val="500778"/>
          <w:sz w:val="32"/>
        </w:rPr>
      </w:pPr>
      <w:r>
        <w:rPr>
          <w:b/>
          <w:color w:val="500778"/>
          <w:sz w:val="32"/>
        </w:rPr>
        <w:t>Financial Hardship in Australia</w:t>
      </w:r>
    </w:p>
    <w:p w:rsidR="00DE77EC" w:rsidRDefault="00DE77EC" w:rsidP="001F7F3E">
      <w:pPr>
        <w:spacing w:after="0" w:line="276" w:lineRule="auto"/>
        <w:jc w:val="both"/>
        <w:rPr>
          <w:color w:val="500778"/>
        </w:rPr>
      </w:pPr>
      <w:r w:rsidRPr="00DE77EC">
        <w:rPr>
          <w:color w:val="500778"/>
        </w:rPr>
        <w:t xml:space="preserve">Laura </w:t>
      </w:r>
      <w:proofErr w:type="spellStart"/>
      <w:r w:rsidRPr="00DE77EC">
        <w:rPr>
          <w:color w:val="500778"/>
        </w:rPr>
        <w:t>Bennetts</w:t>
      </w:r>
      <w:proofErr w:type="spellEnd"/>
      <w:r w:rsidRPr="00DE77EC">
        <w:rPr>
          <w:color w:val="500778"/>
        </w:rPr>
        <w:t xml:space="preserve"> Kneebone</w:t>
      </w:r>
    </w:p>
    <w:p w:rsidR="00DE77EC" w:rsidRPr="00DE77EC" w:rsidRDefault="00DE77EC" w:rsidP="00DE77EC">
      <w:pPr>
        <w:spacing w:before="240" w:after="0" w:line="276" w:lineRule="auto"/>
        <w:jc w:val="both"/>
        <w:rPr>
          <w:color w:val="000000" w:themeColor="text1"/>
        </w:rPr>
      </w:pPr>
      <w:r w:rsidRPr="00DE77EC">
        <w:rPr>
          <w:color w:val="000000" w:themeColor="text1"/>
        </w:rPr>
        <w:t>‘Severe poverty amplifies the experienced effects of other misfortunes of life … illness is much worse for the very poor than for those who are more comfortable’ (</w:t>
      </w:r>
      <w:proofErr w:type="spellStart"/>
      <w:r w:rsidRPr="00DE77EC">
        <w:rPr>
          <w:color w:val="000000" w:themeColor="text1"/>
        </w:rPr>
        <w:t>Kahneman</w:t>
      </w:r>
      <w:proofErr w:type="spellEnd"/>
      <w:r w:rsidRPr="00DE77EC">
        <w:rPr>
          <w:color w:val="000000" w:themeColor="text1"/>
        </w:rPr>
        <w:t xml:space="preserve"> 2011, ch.37</w:t>
      </w:r>
      <w:proofErr w:type="gramStart"/>
      <w:r w:rsidRPr="00DE77EC">
        <w:rPr>
          <w:color w:val="000000" w:themeColor="text1"/>
        </w:rPr>
        <w:t>) .</w:t>
      </w:r>
      <w:proofErr w:type="gramEnd"/>
      <w:r w:rsidRPr="00DE77EC">
        <w:rPr>
          <w:color w:val="000000" w:themeColor="text1"/>
        </w:rPr>
        <w:t xml:space="preserve"> Poverty cannot be measured simply by assessing income. How far a person’s income will stretch depends upon many factors, including where they live, how many dependants they have, how much debt they are in and the level of their financial management skills. Poverty, or financial hardship, can perhaps be better measured by asking a few questions about being short of money.</w:t>
      </w:r>
    </w:p>
    <w:p w:rsidR="00DE77EC" w:rsidRPr="00DE77EC" w:rsidRDefault="00DE77EC" w:rsidP="00DE77EC">
      <w:pPr>
        <w:spacing w:before="240" w:after="0" w:line="276" w:lineRule="auto"/>
        <w:jc w:val="both"/>
        <w:rPr>
          <w:color w:val="000000" w:themeColor="text1"/>
        </w:rPr>
      </w:pPr>
      <w:r w:rsidRPr="00DE77EC">
        <w:rPr>
          <w:color w:val="000000" w:themeColor="text1"/>
        </w:rPr>
        <w:t>Financial hardship is measured in at least four different longitudinal surveys in Australia. The Household, Income and Labour Dynamics in Australia (HILDA) Survey collects data from a random sample of Australian households; Growing Up in Australia: the Longitudinal Study of Australian Children (LSAC) is a cohort study of Australian children in urban and regional households; Footprints in Time: the Longitudinal Study of Indigenous Children (LSIC) is a cohort study of Aboriginal and Torres Strait Islander families in urban, regional and remote households; and Building a New Life in Australia: the Longitudinal Study of Humanitarian Migrants (BNLA) is a survey of new humanitarian migrants to Australia, approximately half of whom arrive with children.</w:t>
      </w:r>
    </w:p>
    <w:p w:rsidR="00DE77EC" w:rsidRPr="00DE77EC" w:rsidRDefault="00DE77EC" w:rsidP="00DE77EC">
      <w:pPr>
        <w:spacing w:before="240" w:after="0" w:line="276" w:lineRule="auto"/>
        <w:jc w:val="both"/>
        <w:rPr>
          <w:color w:val="000000" w:themeColor="text1"/>
        </w:rPr>
      </w:pPr>
      <w:r w:rsidRPr="00DE77EC">
        <w:rPr>
          <w:color w:val="000000" w:themeColor="text1"/>
        </w:rPr>
        <w:t xml:space="preserve">These surveys are not directly comparable in many ways, but they give us an insight into the experiences of these populations, each with its own characteristics. Often the same set of questions is used in each survey, enabling direct comparison, as is the case with the financial hardship questions. These comparisons need to </w:t>
      </w:r>
      <w:proofErr w:type="gramStart"/>
      <w:r w:rsidRPr="00DE77EC">
        <w:rPr>
          <w:color w:val="000000" w:themeColor="text1"/>
        </w:rPr>
        <w:t>be</w:t>
      </w:r>
      <w:proofErr w:type="gramEnd"/>
      <w:r w:rsidRPr="00DE77EC">
        <w:rPr>
          <w:color w:val="000000" w:themeColor="text1"/>
        </w:rPr>
        <w:t xml:space="preserve"> treated with some caution, because the sample characteristics and methodology differ; they can, however, be considered generally indicative.</w:t>
      </w:r>
    </w:p>
    <w:p w:rsidR="00DE77EC" w:rsidRDefault="00DE77EC" w:rsidP="00DE77EC">
      <w:pPr>
        <w:spacing w:before="240" w:after="0" w:line="276" w:lineRule="auto"/>
        <w:jc w:val="both"/>
        <w:rPr>
          <w:color w:val="000000" w:themeColor="text1"/>
        </w:rPr>
      </w:pPr>
      <w:r w:rsidRPr="00DE77EC">
        <w:rPr>
          <w:color w:val="000000" w:themeColor="text1"/>
        </w:rPr>
        <w:t xml:space="preserve">Financial hardship is measured by asking survey participants (or their parents, in the case of LSAC and LSIC) whether any of a list of events has occurred in the past 12 months because people were short of money (see Table 1). These events are not all of equal severity. Struggling to pay bills on time may indicate short-term cash flow problems, as when several large bills arrive at once, whereas going without meals is more likely to indicate that a family is experiencing severe financial distress. </w:t>
      </w:r>
    </w:p>
    <w:p w:rsidR="003218C6" w:rsidRPr="00B42948" w:rsidRDefault="003218C6" w:rsidP="00DE77EC">
      <w:pPr>
        <w:spacing w:before="240" w:after="0" w:line="276" w:lineRule="auto"/>
        <w:jc w:val="both"/>
        <w:rPr>
          <w:b/>
          <w:color w:val="FFFFFF" w:themeColor="background1"/>
          <w:szCs w:val="20"/>
        </w:rPr>
      </w:pPr>
      <w:r w:rsidRPr="00B42948">
        <w:rPr>
          <w:b/>
          <w:szCs w:val="20"/>
        </w:rPr>
        <w:t xml:space="preserve">Table 1: </w:t>
      </w:r>
      <w:r w:rsidR="00831CDA" w:rsidRPr="00831CDA">
        <w:rPr>
          <w:b/>
        </w:rPr>
        <w:t>Financial hardship in 2012/2013</w:t>
      </w:r>
      <w:r w:rsidR="00831CDA">
        <w:rPr>
          <w:b/>
        </w:rPr>
        <w:t>*</w:t>
      </w:r>
    </w:p>
    <w:tbl>
      <w:tblPr>
        <w:tblStyle w:val="LightList-Accent6"/>
        <w:tblW w:w="9888" w:type="dxa"/>
        <w:tblInd w:w="108" w:type="dxa"/>
        <w:tblLayout w:type="fixed"/>
        <w:tblLook w:val="04A0" w:firstRow="1" w:lastRow="0" w:firstColumn="1" w:lastColumn="0" w:noHBand="0" w:noVBand="1"/>
        <w:tblDescription w:val="Table 1: Example of table "/>
      </w:tblPr>
      <w:tblGrid>
        <w:gridCol w:w="5670"/>
        <w:gridCol w:w="1054"/>
        <w:gridCol w:w="1055"/>
        <w:gridCol w:w="1054"/>
        <w:gridCol w:w="1055"/>
      </w:tblGrid>
      <w:tr w:rsidR="00DE77EC" w:rsidRPr="00B42948" w:rsidTr="00E148D1">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5670" w:type="dxa"/>
          </w:tcPr>
          <w:p w:rsidR="00DE77EC" w:rsidRPr="00B42948" w:rsidRDefault="00DE77EC" w:rsidP="00B42948">
            <w:pPr>
              <w:spacing w:after="0" w:line="276" w:lineRule="auto"/>
              <w:jc w:val="both"/>
              <w:rPr>
                <w:szCs w:val="20"/>
              </w:rPr>
            </w:pPr>
            <w:r>
              <w:rPr>
                <w:szCs w:val="20"/>
              </w:rPr>
              <w:t>Measure of Disadvantage</w:t>
            </w:r>
          </w:p>
        </w:tc>
        <w:tc>
          <w:tcPr>
            <w:tcW w:w="1054" w:type="dxa"/>
          </w:tcPr>
          <w:p w:rsidR="00DE77EC" w:rsidRPr="00B42948" w:rsidRDefault="00DE77EC" w:rsidP="00B42948">
            <w:pPr>
              <w:spacing w:after="0" w:line="276" w:lineRule="auto"/>
              <w:jc w:val="both"/>
              <w:cnfStyle w:val="100000000000" w:firstRow="1" w:lastRow="0" w:firstColumn="0" w:lastColumn="0" w:oddVBand="0" w:evenVBand="0" w:oddHBand="0" w:evenHBand="0" w:firstRowFirstColumn="0" w:firstRowLastColumn="0" w:lastRowFirstColumn="0" w:lastRowLastColumn="0"/>
              <w:rPr>
                <w:szCs w:val="20"/>
              </w:rPr>
            </w:pPr>
            <w:r>
              <w:rPr>
                <w:szCs w:val="20"/>
              </w:rPr>
              <w:t>BNLA</w:t>
            </w:r>
          </w:p>
        </w:tc>
        <w:tc>
          <w:tcPr>
            <w:tcW w:w="1055" w:type="dxa"/>
          </w:tcPr>
          <w:p w:rsidR="00DE77EC" w:rsidRPr="00B42948" w:rsidRDefault="00DE77EC" w:rsidP="00B42948">
            <w:pPr>
              <w:spacing w:after="0" w:line="276" w:lineRule="auto"/>
              <w:jc w:val="both"/>
              <w:cnfStyle w:val="100000000000" w:firstRow="1" w:lastRow="0" w:firstColumn="0" w:lastColumn="0" w:oddVBand="0" w:evenVBand="0" w:oddHBand="0" w:evenHBand="0" w:firstRowFirstColumn="0" w:firstRowLastColumn="0" w:lastRowFirstColumn="0" w:lastRowLastColumn="0"/>
              <w:rPr>
                <w:szCs w:val="20"/>
              </w:rPr>
            </w:pPr>
            <w:r>
              <w:rPr>
                <w:szCs w:val="20"/>
              </w:rPr>
              <w:t>LSIC</w:t>
            </w:r>
            <w:r w:rsidRPr="00B42948">
              <w:rPr>
                <w:szCs w:val="20"/>
              </w:rPr>
              <w:t xml:space="preserve"> </w:t>
            </w:r>
          </w:p>
        </w:tc>
        <w:tc>
          <w:tcPr>
            <w:tcW w:w="1054" w:type="dxa"/>
          </w:tcPr>
          <w:p w:rsidR="00DE77EC" w:rsidRDefault="00DE77EC" w:rsidP="00B42948">
            <w:pPr>
              <w:spacing w:after="0" w:line="276" w:lineRule="auto"/>
              <w:jc w:val="both"/>
              <w:cnfStyle w:val="100000000000" w:firstRow="1" w:lastRow="0" w:firstColumn="0" w:lastColumn="0" w:oddVBand="0" w:evenVBand="0" w:oddHBand="0" w:evenHBand="0" w:firstRowFirstColumn="0" w:firstRowLastColumn="0" w:lastRowFirstColumn="0" w:lastRowLastColumn="0"/>
              <w:rPr>
                <w:szCs w:val="20"/>
              </w:rPr>
            </w:pPr>
            <w:r>
              <w:rPr>
                <w:szCs w:val="20"/>
              </w:rPr>
              <w:t>LSAC</w:t>
            </w:r>
          </w:p>
        </w:tc>
        <w:tc>
          <w:tcPr>
            <w:tcW w:w="1055" w:type="dxa"/>
          </w:tcPr>
          <w:p w:rsidR="00DE77EC" w:rsidRDefault="00DE77EC" w:rsidP="00B42948">
            <w:pPr>
              <w:spacing w:after="0" w:line="276" w:lineRule="auto"/>
              <w:jc w:val="both"/>
              <w:cnfStyle w:val="100000000000" w:firstRow="1" w:lastRow="0" w:firstColumn="0" w:lastColumn="0" w:oddVBand="0" w:evenVBand="0" w:oddHBand="0" w:evenHBand="0" w:firstRowFirstColumn="0" w:firstRowLastColumn="0" w:lastRowFirstColumn="0" w:lastRowLastColumn="0"/>
              <w:rPr>
                <w:szCs w:val="20"/>
              </w:rPr>
            </w:pPr>
            <w:r>
              <w:rPr>
                <w:szCs w:val="20"/>
              </w:rPr>
              <w:t>HILDA</w:t>
            </w:r>
          </w:p>
        </w:tc>
      </w:tr>
      <w:tr w:rsidR="00DE77EC" w:rsidRPr="00B42948" w:rsidTr="00DE77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70" w:type="dxa"/>
          </w:tcPr>
          <w:p w:rsidR="00DE77EC" w:rsidRPr="00D8013D" w:rsidRDefault="00DE77EC" w:rsidP="00DF7E50">
            <w:pPr>
              <w:rPr>
                <w:b w:val="0"/>
              </w:rPr>
            </w:pPr>
            <w:r w:rsidRPr="00D8013D">
              <w:rPr>
                <w:b w:val="0"/>
              </w:rPr>
              <w:t>Sought assistance from a welfare or community organisation</w:t>
            </w:r>
          </w:p>
        </w:tc>
        <w:tc>
          <w:tcPr>
            <w:tcW w:w="1054"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15%</w:t>
            </w:r>
          </w:p>
        </w:tc>
        <w:tc>
          <w:tcPr>
            <w:tcW w:w="1055"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19%</w:t>
            </w:r>
          </w:p>
        </w:tc>
        <w:tc>
          <w:tcPr>
            <w:tcW w:w="1054"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3%</w:t>
            </w:r>
          </w:p>
        </w:tc>
        <w:tc>
          <w:tcPr>
            <w:tcW w:w="1055"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3%</w:t>
            </w:r>
          </w:p>
        </w:tc>
      </w:tr>
      <w:tr w:rsidR="00DE77EC" w:rsidRPr="00B42948" w:rsidTr="00DE77EC">
        <w:trPr>
          <w:trHeight w:val="283"/>
        </w:trPr>
        <w:tc>
          <w:tcPr>
            <w:cnfStyle w:val="001000000000" w:firstRow="0" w:lastRow="0" w:firstColumn="1" w:lastColumn="0" w:oddVBand="0" w:evenVBand="0" w:oddHBand="0" w:evenHBand="0" w:firstRowFirstColumn="0" w:firstRowLastColumn="0" w:lastRowFirstColumn="0" w:lastRowLastColumn="0"/>
            <w:tcW w:w="5670" w:type="dxa"/>
          </w:tcPr>
          <w:p w:rsidR="00DE77EC" w:rsidRPr="00D8013D" w:rsidRDefault="00DE77EC" w:rsidP="00DF7E50">
            <w:pPr>
              <w:rPr>
                <w:b w:val="0"/>
              </w:rPr>
            </w:pPr>
            <w:r w:rsidRPr="00D8013D">
              <w:rPr>
                <w:b w:val="0"/>
              </w:rPr>
              <w:t>Pawned or sold something because needed cash</w:t>
            </w:r>
          </w:p>
        </w:tc>
        <w:tc>
          <w:tcPr>
            <w:tcW w:w="1054"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7%</w:t>
            </w:r>
          </w:p>
        </w:tc>
        <w:tc>
          <w:tcPr>
            <w:tcW w:w="1055"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13%</w:t>
            </w:r>
          </w:p>
        </w:tc>
        <w:tc>
          <w:tcPr>
            <w:tcW w:w="1054"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3%</w:t>
            </w:r>
          </w:p>
        </w:tc>
        <w:tc>
          <w:tcPr>
            <w:tcW w:w="1055"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4%</w:t>
            </w:r>
          </w:p>
        </w:tc>
      </w:tr>
      <w:tr w:rsidR="00DE77EC" w:rsidRPr="00B42948" w:rsidTr="00DE77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70" w:type="dxa"/>
          </w:tcPr>
          <w:p w:rsidR="00DE77EC" w:rsidRPr="00D8013D" w:rsidRDefault="00DE77EC" w:rsidP="00DF7E50">
            <w:pPr>
              <w:rPr>
                <w:b w:val="0"/>
              </w:rPr>
            </w:pPr>
            <w:r w:rsidRPr="00D8013D">
              <w:rPr>
                <w:b w:val="0"/>
              </w:rPr>
              <w:t>Were unable to heat (or cool) home</w:t>
            </w:r>
          </w:p>
        </w:tc>
        <w:tc>
          <w:tcPr>
            <w:tcW w:w="1054"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24%</w:t>
            </w:r>
          </w:p>
        </w:tc>
        <w:tc>
          <w:tcPr>
            <w:tcW w:w="1055"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9%</w:t>
            </w:r>
          </w:p>
        </w:tc>
        <w:tc>
          <w:tcPr>
            <w:tcW w:w="1054"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2%</w:t>
            </w:r>
          </w:p>
        </w:tc>
        <w:tc>
          <w:tcPr>
            <w:tcW w:w="1055"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3%</w:t>
            </w:r>
          </w:p>
        </w:tc>
      </w:tr>
      <w:tr w:rsidR="00DE77EC" w:rsidRPr="00B42948" w:rsidTr="00DE77EC">
        <w:trPr>
          <w:trHeight w:val="283"/>
        </w:trPr>
        <w:tc>
          <w:tcPr>
            <w:cnfStyle w:val="001000000000" w:firstRow="0" w:lastRow="0" w:firstColumn="1" w:lastColumn="0" w:oddVBand="0" w:evenVBand="0" w:oddHBand="0" w:evenHBand="0" w:firstRowFirstColumn="0" w:firstRowLastColumn="0" w:lastRowFirstColumn="0" w:lastRowLastColumn="0"/>
            <w:tcW w:w="5670" w:type="dxa"/>
          </w:tcPr>
          <w:p w:rsidR="00DE77EC" w:rsidRPr="00D8013D" w:rsidRDefault="00DE77EC" w:rsidP="00DF7E50">
            <w:pPr>
              <w:rPr>
                <w:b w:val="0"/>
              </w:rPr>
            </w:pPr>
            <w:r w:rsidRPr="00D8013D">
              <w:rPr>
                <w:b w:val="0"/>
              </w:rPr>
              <w:t>Went without meals</w:t>
            </w:r>
          </w:p>
        </w:tc>
        <w:tc>
          <w:tcPr>
            <w:tcW w:w="1054"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9%</w:t>
            </w:r>
          </w:p>
        </w:tc>
        <w:tc>
          <w:tcPr>
            <w:tcW w:w="1055"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10%</w:t>
            </w:r>
          </w:p>
        </w:tc>
        <w:tc>
          <w:tcPr>
            <w:tcW w:w="1054"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2%</w:t>
            </w:r>
          </w:p>
        </w:tc>
        <w:tc>
          <w:tcPr>
            <w:tcW w:w="1055"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3%</w:t>
            </w:r>
          </w:p>
        </w:tc>
      </w:tr>
      <w:tr w:rsidR="00DE77EC" w:rsidRPr="00B42948" w:rsidTr="00DE77E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70" w:type="dxa"/>
          </w:tcPr>
          <w:p w:rsidR="00DE77EC" w:rsidRPr="00D8013D" w:rsidRDefault="00DE77EC" w:rsidP="00DF7E50">
            <w:pPr>
              <w:rPr>
                <w:b w:val="0"/>
              </w:rPr>
            </w:pPr>
            <w:r w:rsidRPr="00D8013D">
              <w:rPr>
                <w:b w:val="0"/>
              </w:rPr>
              <w:t>Could not pay the mortgage or rent payments in time</w:t>
            </w:r>
          </w:p>
        </w:tc>
        <w:tc>
          <w:tcPr>
            <w:tcW w:w="1054"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13%</w:t>
            </w:r>
          </w:p>
        </w:tc>
        <w:tc>
          <w:tcPr>
            <w:tcW w:w="1055"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11%</w:t>
            </w:r>
          </w:p>
        </w:tc>
        <w:tc>
          <w:tcPr>
            <w:tcW w:w="1054"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6%</w:t>
            </w:r>
          </w:p>
        </w:tc>
        <w:tc>
          <w:tcPr>
            <w:tcW w:w="1055" w:type="dxa"/>
          </w:tcPr>
          <w:p w:rsidR="00DE77EC" w:rsidRPr="00A27409" w:rsidRDefault="00DE77EC" w:rsidP="00DF7E50">
            <w:pPr>
              <w:cnfStyle w:val="000000100000" w:firstRow="0" w:lastRow="0" w:firstColumn="0" w:lastColumn="0" w:oddVBand="0" w:evenVBand="0" w:oddHBand="1" w:evenHBand="0" w:firstRowFirstColumn="0" w:firstRowLastColumn="0" w:lastRowFirstColumn="0" w:lastRowLastColumn="0"/>
            </w:pPr>
            <w:r w:rsidRPr="00A27409">
              <w:t>6%</w:t>
            </w:r>
          </w:p>
        </w:tc>
      </w:tr>
      <w:tr w:rsidR="00DE77EC" w:rsidRPr="00B42948" w:rsidTr="00DE77EC">
        <w:trPr>
          <w:trHeight w:val="283"/>
        </w:trPr>
        <w:tc>
          <w:tcPr>
            <w:cnfStyle w:val="001000000000" w:firstRow="0" w:lastRow="0" w:firstColumn="1" w:lastColumn="0" w:oddVBand="0" w:evenVBand="0" w:oddHBand="0" w:evenHBand="0" w:firstRowFirstColumn="0" w:firstRowLastColumn="0" w:lastRowFirstColumn="0" w:lastRowLastColumn="0"/>
            <w:tcW w:w="5670" w:type="dxa"/>
          </w:tcPr>
          <w:p w:rsidR="00DE77EC" w:rsidRPr="00D8013D" w:rsidRDefault="00DE77EC" w:rsidP="00DF7E50">
            <w:pPr>
              <w:rPr>
                <w:b w:val="0"/>
              </w:rPr>
            </w:pPr>
            <w:r w:rsidRPr="00D8013D">
              <w:rPr>
                <w:b w:val="0"/>
              </w:rPr>
              <w:t>Could not pay gas, electricity or telephone bills on time</w:t>
            </w:r>
          </w:p>
        </w:tc>
        <w:tc>
          <w:tcPr>
            <w:tcW w:w="1054"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19%</w:t>
            </w:r>
          </w:p>
        </w:tc>
        <w:tc>
          <w:tcPr>
            <w:tcW w:w="1055"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33%</w:t>
            </w:r>
          </w:p>
        </w:tc>
        <w:tc>
          <w:tcPr>
            <w:tcW w:w="1054" w:type="dxa"/>
          </w:tcPr>
          <w:p w:rsidR="00DE77EC" w:rsidRPr="00A27409" w:rsidRDefault="00DE77EC" w:rsidP="00DF7E50">
            <w:pPr>
              <w:cnfStyle w:val="000000000000" w:firstRow="0" w:lastRow="0" w:firstColumn="0" w:lastColumn="0" w:oddVBand="0" w:evenVBand="0" w:oddHBand="0" w:evenHBand="0" w:firstRowFirstColumn="0" w:firstRowLastColumn="0" w:lastRowFirstColumn="0" w:lastRowLastColumn="0"/>
            </w:pPr>
            <w:r w:rsidRPr="00A27409">
              <w:t>16%</w:t>
            </w:r>
          </w:p>
        </w:tc>
        <w:tc>
          <w:tcPr>
            <w:tcW w:w="1055" w:type="dxa"/>
          </w:tcPr>
          <w:p w:rsidR="00DE77EC" w:rsidRDefault="00DE77EC" w:rsidP="00DF7E50">
            <w:pPr>
              <w:cnfStyle w:val="000000000000" w:firstRow="0" w:lastRow="0" w:firstColumn="0" w:lastColumn="0" w:oddVBand="0" w:evenVBand="0" w:oddHBand="0" w:evenHBand="0" w:firstRowFirstColumn="0" w:firstRowLastColumn="0" w:lastRowFirstColumn="0" w:lastRowLastColumn="0"/>
            </w:pPr>
            <w:r w:rsidRPr="00A27409">
              <w:t>12%</w:t>
            </w:r>
          </w:p>
        </w:tc>
      </w:tr>
    </w:tbl>
    <w:p w:rsidR="00831CDA" w:rsidRPr="00831CDA" w:rsidRDefault="00831CDA" w:rsidP="00831CDA">
      <w:pPr>
        <w:spacing w:before="0"/>
        <w:jc w:val="both"/>
        <w:rPr>
          <w:sz w:val="16"/>
          <w:szCs w:val="16"/>
        </w:rPr>
      </w:pPr>
      <w:r>
        <w:rPr>
          <w:bCs/>
          <w:sz w:val="16"/>
          <w:szCs w:val="16"/>
        </w:rPr>
        <w:t>*</w:t>
      </w:r>
      <w:r w:rsidRPr="00831CDA">
        <w:rPr>
          <w:bCs/>
          <w:sz w:val="16"/>
          <w:szCs w:val="16"/>
        </w:rPr>
        <w:t>Data sources</w:t>
      </w:r>
      <w:r w:rsidRPr="00831CDA">
        <w:rPr>
          <w:sz w:val="16"/>
          <w:szCs w:val="16"/>
        </w:rPr>
        <w:t>: Weighted data collected from HILDA wave 12 (2012), BNLA wave 1 (2013), both cohorts of LSAC wave 5 (2012) and unweighted data from LSIC wave 5 (2012).</w:t>
      </w:r>
    </w:p>
    <w:p w:rsidR="009E36BF" w:rsidRDefault="009E36BF" w:rsidP="00B42948">
      <w:pPr>
        <w:spacing w:before="240" w:after="0" w:line="276" w:lineRule="auto"/>
        <w:jc w:val="both"/>
        <w:rPr>
          <w:color w:val="000000" w:themeColor="text1"/>
        </w:rPr>
      </w:pPr>
      <w:r w:rsidRPr="009E36BF">
        <w:rPr>
          <w:color w:val="000000" w:themeColor="text1"/>
        </w:rPr>
        <w:lastRenderedPageBreak/>
        <w:t xml:space="preserve">The percentage of people in each survey who experienced multiple types of financial hardship is shown in Figure 1. More than 80 per cent of Australian households (as surveyed in HILDA and LSAC) experienced no financial hardship, while the remainder experienced one or more types of financial hardship. Levels of financial hardship were much higher in the LSIC and BNLA populations: only 55 per cent of families with Indigenous children (LSIC), and 60 per cent of new humanitarian migrants (BNLA) experienced no financial hardship.  To establish a baseline to enable comparison with the general population, we can look at the HILDA data. In Australian households generally, 12 per cent struggled with bills, 3 per cent sought assistance from a welfare or community organisation and 3 per cent went without meals at some point. Looking at LSAC data, we see that young families are a little more likely to have trouble paying bills on time (16 per cent), but only 3 per cent sought assistance and 2 per cent went without meals. </w:t>
      </w:r>
    </w:p>
    <w:p w:rsidR="003218C6" w:rsidRPr="001F7F3E" w:rsidRDefault="003218C6" w:rsidP="00B42948">
      <w:pPr>
        <w:spacing w:before="240" w:after="0" w:line="276" w:lineRule="auto"/>
        <w:jc w:val="both"/>
        <w:rPr>
          <w:b/>
          <w:i/>
          <w:smallCaps/>
          <w:szCs w:val="20"/>
        </w:rPr>
      </w:pPr>
      <w:r w:rsidRPr="001F7F3E">
        <w:rPr>
          <w:b/>
          <w:szCs w:val="20"/>
        </w:rPr>
        <w:t xml:space="preserve">Figure 1: </w:t>
      </w:r>
      <w:r w:rsidR="00D8013D" w:rsidRPr="00E173D5">
        <w:rPr>
          <w:rStyle w:val="BookTitle"/>
          <w:rFonts w:eastAsiaTheme="majorEastAsia"/>
          <w:b/>
          <w:i w:val="0"/>
          <w:iCs w:val="0"/>
          <w:smallCaps w:val="0"/>
        </w:rPr>
        <w:t>Households experiencing mult</w:t>
      </w:r>
      <w:r w:rsidR="00D8013D">
        <w:rPr>
          <w:rStyle w:val="BookTitle"/>
          <w:rFonts w:eastAsiaTheme="majorEastAsia"/>
          <w:b/>
          <w:i w:val="0"/>
          <w:iCs w:val="0"/>
          <w:smallCaps w:val="0"/>
        </w:rPr>
        <w:t>iple types of financial hardship</w:t>
      </w:r>
      <w:r w:rsidR="00831CDA">
        <w:rPr>
          <w:rStyle w:val="BookTitle"/>
          <w:rFonts w:eastAsiaTheme="majorEastAsia"/>
          <w:b/>
          <w:i w:val="0"/>
          <w:iCs w:val="0"/>
          <w:smallCaps w:val="0"/>
        </w:rPr>
        <w:t>*</w:t>
      </w:r>
    </w:p>
    <w:p w:rsidR="003218C6" w:rsidRDefault="006D7F82" w:rsidP="00B42948">
      <w:pPr>
        <w:spacing w:after="0" w:line="276" w:lineRule="auto"/>
        <w:jc w:val="both"/>
      </w:pPr>
      <w:bookmarkStart w:id="0" w:name="_GoBack"/>
      <w:r>
        <w:rPr>
          <w:noProof/>
        </w:rPr>
        <w:drawing>
          <wp:inline distT="0" distB="0" distL="0" distR="0" wp14:anchorId="03D24AAC">
            <wp:extent cx="6743065" cy="2341245"/>
            <wp:effectExtent l="0" t="0" r="635" b="1905"/>
            <wp:docPr id="2" name="Picture 2" descr="Figure 1: Households experiencing multiple types of financial hard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065" cy="2341245"/>
                    </a:xfrm>
                    <a:prstGeom prst="rect">
                      <a:avLst/>
                    </a:prstGeom>
                    <a:noFill/>
                  </pic:spPr>
                </pic:pic>
              </a:graphicData>
            </a:graphic>
          </wp:inline>
        </w:drawing>
      </w:r>
    </w:p>
    <w:bookmarkEnd w:id="0"/>
    <w:p w:rsidR="006A1A7A" w:rsidRPr="007849BA" w:rsidRDefault="006A1A7A" w:rsidP="006A1A7A">
      <w:r w:rsidRPr="007849BA">
        <w:rPr>
          <w:rFonts w:eastAsiaTheme="majorEastAsia"/>
        </w:rPr>
        <w:t>Households experiencing multiple types of financial hardship</w:t>
      </w:r>
    </w:p>
    <w:tbl>
      <w:tblPr>
        <w:tblStyle w:val="TableGrid"/>
        <w:tblW w:w="0" w:type="auto"/>
        <w:tblLook w:val="04A0" w:firstRow="1" w:lastRow="0" w:firstColumn="1" w:lastColumn="0" w:noHBand="0" w:noVBand="1"/>
        <w:tblDescription w:val="Households experiencing multiple types of financial hardship"/>
      </w:tblPr>
      <w:tblGrid>
        <w:gridCol w:w="3742"/>
        <w:gridCol w:w="1928"/>
        <w:gridCol w:w="1928"/>
        <w:gridCol w:w="1928"/>
      </w:tblGrid>
      <w:tr w:rsidR="006A1A7A" w:rsidTr="006A1A7A">
        <w:trPr>
          <w:tblHeader/>
        </w:trPr>
        <w:tc>
          <w:tcPr>
            <w:tcW w:w="3742" w:type="dxa"/>
            <w:shd w:val="clear" w:color="auto" w:fill="500778" w:themeFill="accent6"/>
          </w:tcPr>
          <w:p w:rsidR="006A1A7A" w:rsidRPr="006A1A7A" w:rsidRDefault="006A1A7A" w:rsidP="0084048B">
            <w:pPr>
              <w:rPr>
                <w:b/>
              </w:rPr>
            </w:pPr>
          </w:p>
        </w:tc>
        <w:tc>
          <w:tcPr>
            <w:tcW w:w="1928" w:type="dxa"/>
            <w:shd w:val="clear" w:color="auto" w:fill="500778" w:themeFill="accent6"/>
          </w:tcPr>
          <w:p w:rsidR="006A1A7A" w:rsidRPr="006A1A7A" w:rsidRDefault="006A1A7A" w:rsidP="0084048B">
            <w:pPr>
              <w:rPr>
                <w:b/>
              </w:rPr>
            </w:pPr>
            <w:r w:rsidRPr="006A1A7A">
              <w:rPr>
                <w:b/>
              </w:rPr>
              <w:t>No financial hardship</w:t>
            </w:r>
          </w:p>
        </w:tc>
        <w:tc>
          <w:tcPr>
            <w:tcW w:w="1928" w:type="dxa"/>
            <w:shd w:val="clear" w:color="auto" w:fill="500778" w:themeFill="accent6"/>
          </w:tcPr>
          <w:p w:rsidR="006A1A7A" w:rsidRPr="006A1A7A" w:rsidRDefault="006A1A7A" w:rsidP="0084048B">
            <w:pPr>
              <w:rPr>
                <w:b/>
              </w:rPr>
            </w:pPr>
            <w:r w:rsidRPr="006A1A7A">
              <w:rPr>
                <w:b/>
              </w:rPr>
              <w:t>One type of financial hardship</w:t>
            </w:r>
          </w:p>
        </w:tc>
        <w:tc>
          <w:tcPr>
            <w:tcW w:w="1928" w:type="dxa"/>
            <w:shd w:val="clear" w:color="auto" w:fill="500778" w:themeFill="accent6"/>
          </w:tcPr>
          <w:p w:rsidR="006A1A7A" w:rsidRPr="006A1A7A" w:rsidRDefault="006A1A7A" w:rsidP="0084048B">
            <w:pPr>
              <w:rPr>
                <w:b/>
              </w:rPr>
            </w:pPr>
            <w:r w:rsidRPr="006A1A7A">
              <w:rPr>
                <w:b/>
              </w:rPr>
              <w:t>Multiple types of financial hardship</w:t>
            </w:r>
          </w:p>
        </w:tc>
      </w:tr>
      <w:tr w:rsidR="006A1A7A" w:rsidTr="006A1A7A">
        <w:tc>
          <w:tcPr>
            <w:tcW w:w="3742" w:type="dxa"/>
          </w:tcPr>
          <w:p w:rsidR="006A1A7A" w:rsidRDefault="006A1A7A" w:rsidP="0084048B">
            <w:r>
              <w:t>Australian households (HILDA)</w:t>
            </w:r>
          </w:p>
        </w:tc>
        <w:tc>
          <w:tcPr>
            <w:tcW w:w="1928" w:type="dxa"/>
          </w:tcPr>
          <w:p w:rsidR="006A1A7A" w:rsidRDefault="006A1A7A" w:rsidP="006D7F82">
            <w:r>
              <w:t>8</w:t>
            </w:r>
            <w:r w:rsidR="006D7F82">
              <w:t>3</w:t>
            </w:r>
            <w:r>
              <w:t>%</w:t>
            </w:r>
          </w:p>
        </w:tc>
        <w:tc>
          <w:tcPr>
            <w:tcW w:w="1928" w:type="dxa"/>
          </w:tcPr>
          <w:p w:rsidR="006A1A7A" w:rsidRDefault="006D7F82" w:rsidP="0084048B">
            <w:r>
              <w:t>9</w:t>
            </w:r>
            <w:r w:rsidR="006A1A7A">
              <w:t>%</w:t>
            </w:r>
          </w:p>
        </w:tc>
        <w:tc>
          <w:tcPr>
            <w:tcW w:w="1928" w:type="dxa"/>
          </w:tcPr>
          <w:p w:rsidR="006A1A7A" w:rsidRDefault="006A1A7A" w:rsidP="0084048B">
            <w:r>
              <w:t>8%</w:t>
            </w:r>
          </w:p>
        </w:tc>
      </w:tr>
      <w:tr w:rsidR="006A1A7A" w:rsidTr="006A1A7A">
        <w:tc>
          <w:tcPr>
            <w:tcW w:w="3742" w:type="dxa"/>
          </w:tcPr>
          <w:p w:rsidR="006A1A7A" w:rsidRDefault="006A1A7A" w:rsidP="0084048B">
            <w:r>
              <w:t>Australian families with children (LSAC)</w:t>
            </w:r>
          </w:p>
        </w:tc>
        <w:tc>
          <w:tcPr>
            <w:tcW w:w="1928" w:type="dxa"/>
          </w:tcPr>
          <w:p w:rsidR="006A1A7A" w:rsidRDefault="006A1A7A" w:rsidP="006D7F82">
            <w:r>
              <w:t>8</w:t>
            </w:r>
            <w:r w:rsidR="006D7F82">
              <w:t>0</w:t>
            </w:r>
            <w:r>
              <w:t>%</w:t>
            </w:r>
          </w:p>
        </w:tc>
        <w:tc>
          <w:tcPr>
            <w:tcW w:w="1928" w:type="dxa"/>
          </w:tcPr>
          <w:p w:rsidR="006A1A7A" w:rsidRDefault="006D7F82" w:rsidP="0084048B">
            <w:r>
              <w:t>12</w:t>
            </w:r>
            <w:r w:rsidR="006A1A7A">
              <w:t>%</w:t>
            </w:r>
          </w:p>
        </w:tc>
        <w:tc>
          <w:tcPr>
            <w:tcW w:w="1928" w:type="dxa"/>
          </w:tcPr>
          <w:p w:rsidR="006A1A7A" w:rsidRDefault="006A1A7A" w:rsidP="0084048B">
            <w:r>
              <w:t>8%</w:t>
            </w:r>
          </w:p>
        </w:tc>
      </w:tr>
      <w:tr w:rsidR="006A1A7A" w:rsidTr="006A1A7A">
        <w:tc>
          <w:tcPr>
            <w:tcW w:w="3742" w:type="dxa"/>
          </w:tcPr>
          <w:p w:rsidR="006A1A7A" w:rsidRDefault="006A1A7A" w:rsidP="0084048B">
            <w:r>
              <w:t>Indigenous families with children (LSIC)</w:t>
            </w:r>
          </w:p>
        </w:tc>
        <w:tc>
          <w:tcPr>
            <w:tcW w:w="1928" w:type="dxa"/>
          </w:tcPr>
          <w:p w:rsidR="006A1A7A" w:rsidRDefault="006A1A7A" w:rsidP="0084048B">
            <w:r>
              <w:t>55%</w:t>
            </w:r>
          </w:p>
        </w:tc>
        <w:tc>
          <w:tcPr>
            <w:tcW w:w="1928" w:type="dxa"/>
          </w:tcPr>
          <w:p w:rsidR="006A1A7A" w:rsidRDefault="006A1A7A" w:rsidP="0084048B">
            <w:r>
              <w:t>18%</w:t>
            </w:r>
          </w:p>
        </w:tc>
        <w:tc>
          <w:tcPr>
            <w:tcW w:w="1928" w:type="dxa"/>
          </w:tcPr>
          <w:p w:rsidR="006A1A7A" w:rsidRDefault="006A1A7A" w:rsidP="0084048B">
            <w:r>
              <w:t>27%</w:t>
            </w:r>
          </w:p>
        </w:tc>
      </w:tr>
      <w:tr w:rsidR="006A1A7A" w:rsidTr="006A1A7A">
        <w:tc>
          <w:tcPr>
            <w:tcW w:w="3742" w:type="dxa"/>
          </w:tcPr>
          <w:p w:rsidR="006A1A7A" w:rsidRDefault="006A1A7A" w:rsidP="0084048B">
            <w:r>
              <w:t>New humanitarian migrants (BNLA)</w:t>
            </w:r>
          </w:p>
        </w:tc>
        <w:tc>
          <w:tcPr>
            <w:tcW w:w="1928" w:type="dxa"/>
          </w:tcPr>
          <w:p w:rsidR="006A1A7A" w:rsidRDefault="006A1A7A" w:rsidP="0084048B">
            <w:r>
              <w:t>60%</w:t>
            </w:r>
          </w:p>
        </w:tc>
        <w:tc>
          <w:tcPr>
            <w:tcW w:w="1928" w:type="dxa"/>
          </w:tcPr>
          <w:p w:rsidR="006A1A7A" w:rsidRDefault="006A1A7A" w:rsidP="0084048B">
            <w:r>
              <w:t>18%</w:t>
            </w:r>
          </w:p>
        </w:tc>
        <w:tc>
          <w:tcPr>
            <w:tcW w:w="1928" w:type="dxa"/>
          </w:tcPr>
          <w:p w:rsidR="006A1A7A" w:rsidRDefault="006A1A7A" w:rsidP="0084048B">
            <w:r>
              <w:t>22%</w:t>
            </w:r>
          </w:p>
        </w:tc>
      </w:tr>
    </w:tbl>
    <w:p w:rsidR="00831CDA" w:rsidRPr="00831CDA" w:rsidRDefault="00831CDA" w:rsidP="00831CDA">
      <w:pPr>
        <w:spacing w:before="0"/>
        <w:jc w:val="both"/>
        <w:rPr>
          <w:sz w:val="16"/>
          <w:szCs w:val="16"/>
        </w:rPr>
      </w:pPr>
      <w:r>
        <w:rPr>
          <w:bCs/>
          <w:sz w:val="16"/>
          <w:szCs w:val="16"/>
        </w:rPr>
        <w:t>*</w:t>
      </w:r>
      <w:r w:rsidRPr="00831CDA">
        <w:rPr>
          <w:bCs/>
          <w:sz w:val="16"/>
          <w:szCs w:val="16"/>
        </w:rPr>
        <w:t>Data sources</w:t>
      </w:r>
      <w:r w:rsidRPr="00831CDA">
        <w:rPr>
          <w:sz w:val="16"/>
          <w:szCs w:val="16"/>
        </w:rPr>
        <w:t>: Weighted data collected from HILDA wave 12 (2012), BNLA wave 1 (2013), both cohorts of LSAC wave 5 (2012) and unweighted data from LSIC wave 5 (2012).</w:t>
      </w:r>
    </w:p>
    <w:p w:rsidR="00831CDA" w:rsidRDefault="00831CDA">
      <w:pPr>
        <w:spacing w:before="0" w:after="0" w:line="240" w:lineRule="auto"/>
      </w:pPr>
    </w:p>
    <w:p w:rsidR="00D8013D" w:rsidRDefault="00D8013D" w:rsidP="00995AB0">
      <w:pPr>
        <w:spacing w:before="0" w:after="0" w:line="240" w:lineRule="auto"/>
        <w:jc w:val="both"/>
        <w:rPr>
          <w:rStyle w:val="BookTitle"/>
          <w:rFonts w:eastAsiaTheme="majorEastAsia"/>
          <w:i w:val="0"/>
          <w:iCs w:val="0"/>
          <w:smallCaps w:val="0"/>
        </w:rPr>
      </w:pPr>
      <w:r w:rsidRPr="005F7B96">
        <w:rPr>
          <w:rStyle w:val="BookTitle"/>
          <w:rFonts w:eastAsiaTheme="majorEastAsia"/>
          <w:i w:val="0"/>
          <w:iCs w:val="0"/>
          <w:smallCaps w:val="0"/>
        </w:rPr>
        <w:t>The Indigenous families in L</w:t>
      </w:r>
      <w:r>
        <w:rPr>
          <w:rStyle w:val="BookTitle"/>
          <w:rFonts w:eastAsiaTheme="majorEastAsia"/>
          <w:i w:val="0"/>
          <w:iCs w:val="0"/>
          <w:smallCaps w:val="0"/>
        </w:rPr>
        <w:t>SIC are quite closely comparable</w:t>
      </w:r>
      <w:r w:rsidRPr="005F7B96">
        <w:rPr>
          <w:rStyle w:val="BookTitle"/>
          <w:rFonts w:eastAsiaTheme="majorEastAsia"/>
          <w:i w:val="0"/>
          <w:iCs w:val="0"/>
          <w:smallCaps w:val="0"/>
        </w:rPr>
        <w:t xml:space="preserve"> to </w:t>
      </w:r>
      <w:r>
        <w:rPr>
          <w:rStyle w:val="BookTitle"/>
          <w:rFonts w:eastAsiaTheme="majorEastAsia"/>
          <w:i w:val="0"/>
          <w:iCs w:val="0"/>
          <w:smallCaps w:val="0"/>
        </w:rPr>
        <w:t>the</w:t>
      </w:r>
      <w:r w:rsidRPr="005F7B96">
        <w:rPr>
          <w:rStyle w:val="BookTitle"/>
          <w:rFonts w:eastAsiaTheme="majorEastAsia"/>
          <w:i w:val="0"/>
          <w:iCs w:val="0"/>
          <w:smallCaps w:val="0"/>
        </w:rPr>
        <w:t xml:space="preserve"> LSAC</w:t>
      </w:r>
      <w:r>
        <w:rPr>
          <w:rStyle w:val="BookTitle"/>
          <w:rFonts w:eastAsiaTheme="majorEastAsia"/>
          <w:i w:val="0"/>
          <w:iCs w:val="0"/>
          <w:smallCaps w:val="0"/>
        </w:rPr>
        <w:t xml:space="preserve"> sample</w:t>
      </w:r>
      <w:r w:rsidRPr="005F7B96">
        <w:rPr>
          <w:rStyle w:val="BookTitle"/>
          <w:rFonts w:eastAsiaTheme="majorEastAsia"/>
          <w:i w:val="0"/>
          <w:iCs w:val="0"/>
          <w:smallCaps w:val="0"/>
        </w:rPr>
        <w:t>, with the qualification that the children in the study are a few years younger, and the</w:t>
      </w:r>
      <w:r>
        <w:rPr>
          <w:rStyle w:val="BookTitle"/>
          <w:rFonts w:eastAsiaTheme="majorEastAsia"/>
          <w:i w:val="0"/>
          <w:iCs w:val="0"/>
          <w:smallCaps w:val="0"/>
        </w:rPr>
        <w:t>ir mothers were on</w:t>
      </w:r>
      <w:r w:rsidRPr="005F7B96">
        <w:rPr>
          <w:rStyle w:val="BookTitle"/>
          <w:rFonts w:eastAsiaTheme="majorEastAsia"/>
          <w:i w:val="0"/>
          <w:iCs w:val="0"/>
          <w:smallCaps w:val="0"/>
        </w:rPr>
        <w:t xml:space="preserve"> average </w:t>
      </w:r>
      <w:r>
        <w:rPr>
          <w:rStyle w:val="BookTitle"/>
          <w:rFonts w:eastAsiaTheme="majorEastAsia"/>
          <w:i w:val="0"/>
          <w:iCs w:val="0"/>
          <w:smallCaps w:val="0"/>
        </w:rPr>
        <w:t xml:space="preserve">younger </w:t>
      </w:r>
      <w:r w:rsidRPr="005F7B96">
        <w:rPr>
          <w:rStyle w:val="BookTitle"/>
          <w:rFonts w:eastAsiaTheme="majorEastAsia"/>
          <w:i w:val="0"/>
          <w:iCs w:val="0"/>
          <w:smallCaps w:val="0"/>
        </w:rPr>
        <w:t xml:space="preserve">at first birth. </w:t>
      </w:r>
      <w:r>
        <w:rPr>
          <w:rStyle w:val="BookTitle"/>
          <w:rFonts w:eastAsiaTheme="majorEastAsia"/>
          <w:i w:val="0"/>
          <w:iCs w:val="0"/>
          <w:smallCaps w:val="0"/>
        </w:rPr>
        <w:t xml:space="preserve">There </w:t>
      </w:r>
      <w:proofErr w:type="gramStart"/>
      <w:r>
        <w:rPr>
          <w:rStyle w:val="BookTitle"/>
          <w:rFonts w:eastAsiaTheme="majorEastAsia"/>
          <w:i w:val="0"/>
          <w:iCs w:val="0"/>
          <w:smallCaps w:val="0"/>
        </w:rPr>
        <w:t>is</w:t>
      </w:r>
      <w:proofErr w:type="gramEnd"/>
      <w:r>
        <w:rPr>
          <w:rStyle w:val="BookTitle"/>
          <w:rFonts w:eastAsiaTheme="majorEastAsia"/>
          <w:i w:val="0"/>
          <w:iCs w:val="0"/>
          <w:smallCaps w:val="0"/>
        </w:rPr>
        <w:t xml:space="preserve"> also a larger proportion of single-parent families in LSIC. Thirty-three per cent</w:t>
      </w:r>
      <w:r w:rsidRPr="005F7B96">
        <w:rPr>
          <w:rStyle w:val="BookTitle"/>
          <w:rFonts w:eastAsiaTheme="majorEastAsia"/>
          <w:i w:val="0"/>
          <w:iCs w:val="0"/>
          <w:smallCaps w:val="0"/>
        </w:rPr>
        <w:t xml:space="preserve"> of Indigenous families struggled to pay bills on time (double the figure for LSAC), 19</w:t>
      </w:r>
      <w:r>
        <w:rPr>
          <w:rStyle w:val="BookTitle"/>
          <w:rFonts w:eastAsiaTheme="majorEastAsia"/>
          <w:i w:val="0"/>
          <w:iCs w:val="0"/>
          <w:smallCaps w:val="0"/>
        </w:rPr>
        <w:t xml:space="preserve"> per cent</w:t>
      </w:r>
      <w:r w:rsidRPr="005F7B96">
        <w:rPr>
          <w:rStyle w:val="BookTitle"/>
          <w:rFonts w:eastAsiaTheme="majorEastAsia"/>
          <w:i w:val="0"/>
          <w:iCs w:val="0"/>
          <w:smallCaps w:val="0"/>
        </w:rPr>
        <w:t xml:space="preserve"> sought assistance </w:t>
      </w:r>
      <w:r>
        <w:rPr>
          <w:rStyle w:val="BookTitle"/>
          <w:rFonts w:eastAsiaTheme="majorEastAsia"/>
          <w:i w:val="0"/>
          <w:iCs w:val="0"/>
          <w:smallCaps w:val="0"/>
        </w:rPr>
        <w:t xml:space="preserve">from a welfare or community organisation </w:t>
      </w:r>
      <w:r w:rsidRPr="005F7B96">
        <w:rPr>
          <w:rStyle w:val="BookTitle"/>
          <w:rFonts w:eastAsiaTheme="majorEastAsia"/>
          <w:i w:val="0"/>
          <w:iCs w:val="0"/>
          <w:smallCaps w:val="0"/>
        </w:rPr>
        <w:t>and 10</w:t>
      </w:r>
      <w:r>
        <w:rPr>
          <w:rStyle w:val="BookTitle"/>
          <w:rFonts w:eastAsiaTheme="majorEastAsia"/>
          <w:i w:val="0"/>
          <w:iCs w:val="0"/>
          <w:smallCaps w:val="0"/>
        </w:rPr>
        <w:t xml:space="preserve"> per cent</w:t>
      </w:r>
      <w:r w:rsidRPr="005F7B96">
        <w:rPr>
          <w:rStyle w:val="BookTitle"/>
          <w:rFonts w:eastAsiaTheme="majorEastAsia"/>
          <w:i w:val="0"/>
          <w:iCs w:val="0"/>
          <w:smallCaps w:val="0"/>
        </w:rPr>
        <w:t xml:space="preserve"> went without meals</w:t>
      </w:r>
      <w:r w:rsidRPr="00CF078B">
        <w:rPr>
          <w:rStyle w:val="BookTitle"/>
          <w:rFonts w:eastAsiaTheme="majorEastAsia"/>
          <w:i w:val="0"/>
          <w:iCs w:val="0"/>
          <w:smallCaps w:val="0"/>
        </w:rPr>
        <w:t xml:space="preserve"> </w:t>
      </w:r>
      <w:r w:rsidRPr="005F7B96">
        <w:rPr>
          <w:rStyle w:val="BookTitle"/>
          <w:rFonts w:eastAsiaTheme="majorEastAsia"/>
          <w:i w:val="0"/>
          <w:iCs w:val="0"/>
          <w:smallCaps w:val="0"/>
        </w:rPr>
        <w:t xml:space="preserve">because they were short of money. New humanitarian migrants in BNLA were asked to report only whether these things had occurred since </w:t>
      </w:r>
      <w:r>
        <w:rPr>
          <w:rStyle w:val="BookTitle"/>
          <w:rFonts w:eastAsiaTheme="majorEastAsia"/>
          <w:i w:val="0"/>
          <w:iCs w:val="0"/>
          <w:smallCaps w:val="0"/>
        </w:rPr>
        <w:t xml:space="preserve">their </w:t>
      </w:r>
      <w:r w:rsidRPr="005F7B96">
        <w:rPr>
          <w:rStyle w:val="BookTitle"/>
          <w:rFonts w:eastAsiaTheme="majorEastAsia"/>
          <w:i w:val="0"/>
          <w:iCs w:val="0"/>
          <w:smallCaps w:val="0"/>
        </w:rPr>
        <w:t>arriv</w:t>
      </w:r>
      <w:r>
        <w:rPr>
          <w:rStyle w:val="BookTitle"/>
          <w:rFonts w:eastAsiaTheme="majorEastAsia"/>
          <w:i w:val="0"/>
          <w:iCs w:val="0"/>
          <w:smallCaps w:val="0"/>
        </w:rPr>
        <w:t>al</w:t>
      </w:r>
      <w:r w:rsidRPr="005F7B96">
        <w:rPr>
          <w:rStyle w:val="BookTitle"/>
          <w:rFonts w:eastAsiaTheme="majorEastAsia"/>
          <w:i w:val="0"/>
          <w:iCs w:val="0"/>
          <w:smallCaps w:val="0"/>
        </w:rPr>
        <w:t xml:space="preserve"> in Australia (the median time in Australia was between </w:t>
      </w:r>
      <w:r>
        <w:rPr>
          <w:rStyle w:val="BookTitle"/>
          <w:rFonts w:eastAsiaTheme="majorEastAsia"/>
          <w:i w:val="0"/>
          <w:iCs w:val="0"/>
          <w:smallCaps w:val="0"/>
        </w:rPr>
        <w:t>four</w:t>
      </w:r>
      <w:r w:rsidRPr="005F7B96">
        <w:rPr>
          <w:rStyle w:val="BookTitle"/>
          <w:rFonts w:eastAsiaTheme="majorEastAsia"/>
          <w:i w:val="0"/>
          <w:iCs w:val="0"/>
          <w:smallCaps w:val="0"/>
        </w:rPr>
        <w:t xml:space="preserve"> and </w:t>
      </w:r>
      <w:r>
        <w:rPr>
          <w:rStyle w:val="BookTitle"/>
          <w:rFonts w:eastAsiaTheme="majorEastAsia"/>
          <w:i w:val="0"/>
          <w:iCs w:val="0"/>
          <w:smallCaps w:val="0"/>
        </w:rPr>
        <w:t>five</w:t>
      </w:r>
      <w:r w:rsidRPr="005F7B96">
        <w:rPr>
          <w:rStyle w:val="BookTitle"/>
          <w:rFonts w:eastAsiaTheme="majorEastAsia"/>
          <w:i w:val="0"/>
          <w:iCs w:val="0"/>
          <w:smallCaps w:val="0"/>
        </w:rPr>
        <w:t xml:space="preserve"> months). All these migrants had visas </w:t>
      </w:r>
      <w:r>
        <w:rPr>
          <w:rStyle w:val="BookTitle"/>
          <w:rFonts w:eastAsiaTheme="majorEastAsia"/>
          <w:i w:val="0"/>
          <w:iCs w:val="0"/>
          <w:smallCaps w:val="0"/>
        </w:rPr>
        <w:t>enabling them</w:t>
      </w:r>
      <w:r w:rsidRPr="005F7B96">
        <w:rPr>
          <w:rStyle w:val="BookTitle"/>
          <w:rFonts w:eastAsiaTheme="majorEastAsia"/>
          <w:i w:val="0"/>
          <w:iCs w:val="0"/>
          <w:smallCaps w:val="0"/>
        </w:rPr>
        <w:t xml:space="preserve"> to work and access government benefits. Nineteen per cent reported having difficulty paying bills on time. </w:t>
      </w:r>
      <w:r>
        <w:rPr>
          <w:rStyle w:val="BookTitle"/>
          <w:rFonts w:eastAsiaTheme="majorEastAsia"/>
          <w:i w:val="0"/>
          <w:iCs w:val="0"/>
          <w:smallCaps w:val="0"/>
        </w:rPr>
        <w:t>Fifteen per cent</w:t>
      </w:r>
      <w:r w:rsidRPr="005F7B96">
        <w:rPr>
          <w:rStyle w:val="BookTitle"/>
          <w:rFonts w:eastAsiaTheme="majorEastAsia"/>
          <w:i w:val="0"/>
          <w:iCs w:val="0"/>
          <w:smallCaps w:val="0"/>
        </w:rPr>
        <w:t xml:space="preserve"> sought assistance from a welfare or community organisation and 9</w:t>
      </w:r>
      <w:r>
        <w:rPr>
          <w:rStyle w:val="BookTitle"/>
          <w:rFonts w:eastAsiaTheme="majorEastAsia"/>
          <w:i w:val="0"/>
          <w:iCs w:val="0"/>
          <w:smallCaps w:val="0"/>
        </w:rPr>
        <w:t xml:space="preserve"> per cent</w:t>
      </w:r>
      <w:r w:rsidRPr="005F7B96">
        <w:rPr>
          <w:rStyle w:val="BookTitle"/>
          <w:rFonts w:eastAsiaTheme="majorEastAsia"/>
          <w:i w:val="0"/>
          <w:iCs w:val="0"/>
          <w:smallCaps w:val="0"/>
        </w:rPr>
        <w:t xml:space="preserve"> went without meals in that period</w:t>
      </w:r>
      <w:r>
        <w:rPr>
          <w:rStyle w:val="BookTitle"/>
          <w:rFonts w:eastAsiaTheme="majorEastAsia"/>
          <w:i w:val="0"/>
          <w:iCs w:val="0"/>
          <w:smallCaps w:val="0"/>
        </w:rPr>
        <w:t>.</w:t>
      </w:r>
    </w:p>
    <w:p w:rsidR="00D8013D" w:rsidRPr="005F7B96" w:rsidRDefault="00D8013D" w:rsidP="00995AB0">
      <w:pPr>
        <w:spacing w:before="0" w:after="0" w:line="240" w:lineRule="auto"/>
        <w:jc w:val="both"/>
        <w:rPr>
          <w:rStyle w:val="BookTitle"/>
          <w:rFonts w:eastAsiaTheme="majorEastAsia"/>
          <w:i w:val="0"/>
          <w:iCs w:val="0"/>
          <w:smallCaps w:val="0"/>
        </w:rPr>
      </w:pPr>
    </w:p>
    <w:p w:rsidR="00D8013D" w:rsidRDefault="00D8013D" w:rsidP="00995AB0">
      <w:pPr>
        <w:spacing w:before="0" w:after="0"/>
        <w:jc w:val="both"/>
        <w:rPr>
          <w:noProof/>
        </w:rPr>
      </w:pPr>
      <w:r>
        <w:rPr>
          <w:noProof/>
        </w:rPr>
        <w:t>These figures suggest that Indigenous families and new humanitarian migrants experience significantly higher levels of multiple financial disadvantage than other Australians. They are twice as likely to struggle with housing payments and more than three times as likely to go without meals.</w:t>
      </w:r>
    </w:p>
    <w:p w:rsidR="00D8013D" w:rsidRDefault="00D8013D">
      <w:pPr>
        <w:spacing w:before="0" w:after="0" w:line="240" w:lineRule="auto"/>
      </w:pPr>
    </w:p>
    <w:p w:rsidR="00D8013D" w:rsidRPr="000A3935" w:rsidRDefault="00D8013D" w:rsidP="00D8013D">
      <w:pPr>
        <w:pStyle w:val="Heading2"/>
        <w:spacing w:before="0" w:after="0"/>
        <w:jc w:val="both"/>
        <w:rPr>
          <w:color w:val="500778"/>
        </w:rPr>
      </w:pPr>
      <w:r w:rsidRPr="000A3935">
        <w:rPr>
          <w:color w:val="500778"/>
        </w:rPr>
        <w:t>Key Statistics</w:t>
      </w:r>
    </w:p>
    <w:p w:rsidR="00D8013D" w:rsidRDefault="00D8013D" w:rsidP="00D8013D">
      <w:pPr>
        <w:spacing w:before="0" w:after="0"/>
        <w:jc w:val="both"/>
        <w:rPr>
          <w:noProof/>
        </w:rPr>
      </w:pPr>
    </w:p>
    <w:p w:rsidR="00D8013D" w:rsidRPr="0057458F" w:rsidRDefault="00D8013D" w:rsidP="00D8013D">
      <w:pPr>
        <w:pStyle w:val="ListParagraph"/>
        <w:numPr>
          <w:ilvl w:val="0"/>
          <w:numId w:val="62"/>
        </w:numPr>
        <w:spacing w:after="0"/>
        <w:jc w:val="both"/>
        <w:rPr>
          <w:rFonts w:eastAsia="Times New Roman" w:cs="Times New Roman"/>
          <w:b/>
          <w:noProof/>
          <w:sz w:val="20"/>
          <w:szCs w:val="20"/>
          <w:lang w:eastAsia="en-AU"/>
        </w:rPr>
      </w:pPr>
      <w:r w:rsidRPr="0057458F">
        <w:rPr>
          <w:rFonts w:eastAsia="Times New Roman" w:cs="Times New Roman"/>
          <w:b/>
          <w:noProof/>
          <w:sz w:val="20"/>
          <w:szCs w:val="20"/>
          <w:lang w:eastAsia="en-AU"/>
        </w:rPr>
        <w:t>22 per cent of new humanitarian migrants, and 27 per cent of Indigenous families experience multiple types of financial hardship.</w:t>
      </w:r>
    </w:p>
    <w:p w:rsidR="00D8013D" w:rsidRPr="0057458F" w:rsidRDefault="00D8013D" w:rsidP="00D8013D">
      <w:pPr>
        <w:pStyle w:val="ListParagraph"/>
        <w:numPr>
          <w:ilvl w:val="0"/>
          <w:numId w:val="62"/>
        </w:numPr>
        <w:spacing w:after="0"/>
        <w:jc w:val="both"/>
        <w:rPr>
          <w:rFonts w:eastAsia="Times New Roman" w:cs="Times New Roman"/>
          <w:b/>
          <w:noProof/>
          <w:sz w:val="20"/>
          <w:szCs w:val="20"/>
          <w:lang w:eastAsia="en-AU"/>
        </w:rPr>
      </w:pPr>
      <w:r w:rsidRPr="0057458F">
        <w:rPr>
          <w:rFonts w:eastAsia="Times New Roman" w:cs="Times New Roman"/>
          <w:b/>
          <w:noProof/>
          <w:sz w:val="20"/>
          <w:szCs w:val="20"/>
          <w:lang w:eastAsia="en-AU"/>
        </w:rPr>
        <w:t xml:space="preserve">10 per cent of Indigenous families went without meals; 13 per cent of new humanitarian migrants could not afford housing payments in time. </w:t>
      </w:r>
    </w:p>
    <w:p w:rsidR="001F7F3E" w:rsidRDefault="00D8013D" w:rsidP="00D8013D">
      <w:pPr>
        <w:pStyle w:val="ListParagraph"/>
        <w:numPr>
          <w:ilvl w:val="0"/>
          <w:numId w:val="62"/>
        </w:numPr>
        <w:spacing w:after="0"/>
        <w:jc w:val="both"/>
        <w:rPr>
          <w:rFonts w:eastAsia="Times New Roman" w:cs="Times New Roman"/>
          <w:b/>
          <w:noProof/>
          <w:sz w:val="20"/>
          <w:szCs w:val="20"/>
          <w:lang w:eastAsia="en-AU"/>
        </w:rPr>
      </w:pPr>
      <w:r w:rsidRPr="0057458F">
        <w:rPr>
          <w:rFonts w:eastAsia="Times New Roman" w:cs="Times New Roman"/>
          <w:b/>
          <w:noProof/>
          <w:sz w:val="20"/>
          <w:szCs w:val="20"/>
          <w:lang w:eastAsia="en-AU"/>
        </w:rPr>
        <w:t>More than 12 per cent of all Australians have trouble paying utility bills on time because they are short of money.</w:t>
      </w:r>
    </w:p>
    <w:p w:rsidR="00831CDA" w:rsidRDefault="00831CDA" w:rsidP="00831CDA">
      <w:pPr>
        <w:spacing w:after="0"/>
        <w:jc w:val="both"/>
        <w:rPr>
          <w:b/>
          <w:noProof/>
          <w:szCs w:val="20"/>
        </w:rPr>
      </w:pPr>
    </w:p>
    <w:p w:rsidR="00831CDA" w:rsidRPr="000A3935" w:rsidRDefault="00831CDA" w:rsidP="00831CDA">
      <w:pPr>
        <w:pStyle w:val="Heading2"/>
        <w:spacing w:before="0" w:after="0"/>
        <w:jc w:val="both"/>
        <w:rPr>
          <w:color w:val="500778"/>
        </w:rPr>
      </w:pPr>
      <w:r>
        <w:rPr>
          <w:color w:val="500778"/>
        </w:rPr>
        <w:t>References</w:t>
      </w:r>
    </w:p>
    <w:p w:rsidR="00831CDA" w:rsidRDefault="00831CDA" w:rsidP="00831CDA">
      <w:pPr>
        <w:jc w:val="both"/>
      </w:pPr>
      <w:proofErr w:type="spellStart"/>
      <w:r>
        <w:t>Kahneman</w:t>
      </w:r>
      <w:proofErr w:type="spellEnd"/>
      <w:r>
        <w:t xml:space="preserve">, D. (2011). </w:t>
      </w:r>
      <w:r w:rsidRPr="00831CDA">
        <w:rPr>
          <w:i/>
          <w:iCs/>
        </w:rPr>
        <w:t>Thinking, Fast and Slow</w:t>
      </w:r>
      <w:r>
        <w:t>, Penguin Books</w:t>
      </w:r>
    </w:p>
    <w:sectPr w:rsidR="00831CDA" w:rsidSect="002B04A5">
      <w:footerReference w:type="default" r:id="rId10"/>
      <w:headerReference w:type="first" r:id="rId11"/>
      <w:footerReference w:type="first" r:id="rId12"/>
      <w:pgSz w:w="11906" w:h="16838" w:code="9"/>
      <w:pgMar w:top="1360" w:right="1133" w:bottom="1134" w:left="993" w:header="426"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C6" w:rsidRDefault="003218C6">
      <w:r>
        <w:separator/>
      </w:r>
    </w:p>
  </w:endnote>
  <w:endnote w:type="continuationSeparator" w:id="0">
    <w:p w:rsidR="003218C6" w:rsidRDefault="0032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77" w:rsidRPr="00831CDA" w:rsidRDefault="001670F9" w:rsidP="00831CDA">
    <w:pPr>
      <w:pStyle w:val="Footer"/>
      <w:tabs>
        <w:tab w:val="clear" w:pos="10433"/>
        <w:tab w:val="right" w:pos="9356"/>
      </w:tabs>
      <w:ind w:left="108"/>
      <w:rPr>
        <w:rFonts w:asciiTheme="minorHAnsi" w:hAnsiTheme="minorHAnsi" w:cstheme="minorHAnsi"/>
        <w:color w:val="000000" w:themeColor="text1"/>
        <w:sz w:val="16"/>
        <w:szCs w:val="16"/>
      </w:rPr>
    </w:pPr>
    <w:r w:rsidRPr="00E148D1">
      <w:rPr>
        <w:rFonts w:asciiTheme="minorHAnsi" w:hAnsiTheme="minorHAnsi" w:cstheme="minorHAnsi"/>
        <w:color w:val="000000" w:themeColor="text1"/>
        <w:sz w:val="16"/>
        <w:szCs w:val="16"/>
      </w:rPr>
      <w:t xml:space="preserve">For queries regarding this research, please email </w:t>
    </w:r>
    <w:hyperlink r:id="rId1" w:history="1">
      <w:r w:rsidRPr="00E148D1">
        <w:rPr>
          <w:rStyle w:val="Hyperlink"/>
          <w:rFonts w:asciiTheme="minorHAnsi" w:hAnsiTheme="minorHAnsi" w:cstheme="minorHAnsi"/>
          <w:color w:val="000000" w:themeColor="text1"/>
          <w:sz w:val="16"/>
          <w:szCs w:val="16"/>
        </w:rPr>
        <w:t>NCLD@dss.gov.au</w:t>
      </w:r>
    </w:hyperlink>
    <w:r w:rsidRPr="00B42948">
      <w:rPr>
        <w:color w:val="000000" w:themeColor="text1"/>
        <w:sz w:val="16"/>
        <w:szCs w:val="16"/>
      </w:rPr>
      <w:t>.</w:t>
    </w:r>
    <w:r w:rsidRPr="00B42948">
      <w:rPr>
        <w:rFonts w:ascii="Arial" w:hAnsi="Arial"/>
        <w:color w:val="000000" w:themeColor="text1"/>
        <w:sz w:val="16"/>
        <w:szCs w:val="16"/>
      </w:rPr>
      <w:tab/>
    </w:r>
    <w:r w:rsidRPr="00B42948">
      <w:rPr>
        <w:rFonts w:asciiTheme="minorHAnsi" w:hAnsiTheme="minorHAnsi" w:cstheme="minorHAnsi"/>
        <w:color w:val="000000" w:themeColor="text1"/>
        <w:sz w:val="16"/>
        <w:szCs w:val="16"/>
      </w:rPr>
      <w:t xml:space="preserve">Page </w:t>
    </w:r>
    <w:r w:rsidRPr="00B42948">
      <w:rPr>
        <w:rFonts w:asciiTheme="minorHAnsi" w:hAnsiTheme="minorHAnsi" w:cstheme="minorHAnsi"/>
        <w:b/>
        <w:color w:val="000000" w:themeColor="text1"/>
        <w:sz w:val="16"/>
        <w:szCs w:val="16"/>
      </w:rPr>
      <w:fldChar w:fldCharType="begin"/>
    </w:r>
    <w:r w:rsidRPr="00B42948">
      <w:rPr>
        <w:rFonts w:asciiTheme="minorHAnsi" w:hAnsiTheme="minorHAnsi" w:cstheme="minorHAnsi"/>
        <w:b/>
        <w:color w:val="000000" w:themeColor="text1"/>
        <w:sz w:val="16"/>
        <w:szCs w:val="16"/>
      </w:rPr>
      <w:instrText xml:space="preserve"> PAGE  \* Arabic  \* MERGEFORMAT </w:instrText>
    </w:r>
    <w:r w:rsidRPr="00B42948">
      <w:rPr>
        <w:rFonts w:asciiTheme="minorHAnsi" w:hAnsiTheme="minorHAnsi" w:cstheme="minorHAnsi"/>
        <w:b/>
        <w:color w:val="000000" w:themeColor="text1"/>
        <w:sz w:val="16"/>
        <w:szCs w:val="16"/>
      </w:rPr>
      <w:fldChar w:fldCharType="separate"/>
    </w:r>
    <w:r w:rsidR="009014C8">
      <w:rPr>
        <w:rFonts w:asciiTheme="minorHAnsi" w:hAnsiTheme="minorHAnsi" w:cstheme="minorHAnsi"/>
        <w:b/>
        <w:noProof/>
        <w:color w:val="000000" w:themeColor="text1"/>
        <w:sz w:val="16"/>
        <w:szCs w:val="16"/>
      </w:rPr>
      <w:t>2</w:t>
    </w:r>
    <w:r w:rsidRPr="00B42948">
      <w:rPr>
        <w:rFonts w:asciiTheme="minorHAnsi" w:hAnsiTheme="minorHAnsi" w:cstheme="minorHAnsi"/>
        <w:b/>
        <w:color w:val="000000" w:themeColor="text1"/>
        <w:sz w:val="16"/>
        <w:szCs w:val="16"/>
      </w:rPr>
      <w:fldChar w:fldCharType="end"/>
    </w:r>
    <w:r w:rsidRPr="00B42948">
      <w:rPr>
        <w:rFonts w:asciiTheme="minorHAnsi" w:hAnsiTheme="minorHAnsi" w:cstheme="minorHAnsi"/>
        <w:color w:val="000000" w:themeColor="text1"/>
        <w:sz w:val="16"/>
        <w:szCs w:val="16"/>
      </w:rPr>
      <w:t xml:space="preserve"> of </w:t>
    </w:r>
    <w:r w:rsidRPr="00B42948">
      <w:rPr>
        <w:rFonts w:asciiTheme="minorHAnsi" w:hAnsiTheme="minorHAnsi" w:cstheme="minorHAnsi"/>
        <w:b/>
        <w:color w:val="000000" w:themeColor="text1"/>
        <w:sz w:val="16"/>
        <w:szCs w:val="16"/>
      </w:rPr>
      <w:fldChar w:fldCharType="begin"/>
    </w:r>
    <w:r w:rsidRPr="00B42948">
      <w:rPr>
        <w:rFonts w:asciiTheme="minorHAnsi" w:hAnsiTheme="minorHAnsi" w:cstheme="minorHAnsi"/>
        <w:b/>
        <w:color w:val="000000" w:themeColor="text1"/>
        <w:sz w:val="16"/>
        <w:szCs w:val="16"/>
      </w:rPr>
      <w:instrText xml:space="preserve"> NUMPAGES  \* Arabic  \* MERGEFORMAT </w:instrText>
    </w:r>
    <w:r w:rsidRPr="00B42948">
      <w:rPr>
        <w:rFonts w:asciiTheme="minorHAnsi" w:hAnsiTheme="minorHAnsi" w:cstheme="minorHAnsi"/>
        <w:b/>
        <w:color w:val="000000" w:themeColor="text1"/>
        <w:sz w:val="16"/>
        <w:szCs w:val="16"/>
      </w:rPr>
      <w:fldChar w:fldCharType="separate"/>
    </w:r>
    <w:r w:rsidR="009014C8">
      <w:rPr>
        <w:rFonts w:asciiTheme="minorHAnsi" w:hAnsiTheme="minorHAnsi" w:cstheme="minorHAnsi"/>
        <w:b/>
        <w:noProof/>
        <w:color w:val="000000" w:themeColor="text1"/>
        <w:sz w:val="16"/>
        <w:szCs w:val="16"/>
      </w:rPr>
      <w:t>3</w:t>
    </w:r>
    <w:r w:rsidRPr="00B42948">
      <w:rPr>
        <w:rFonts w:asciiTheme="minorHAnsi" w:hAnsiTheme="minorHAnsi" w:cstheme="minorHAnsi"/>
        <w:b/>
        <w:color w:val="000000" w:themeColor="text1"/>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D1" w:rsidRPr="00E148D1" w:rsidRDefault="00E148D1" w:rsidP="00E148D1">
    <w:pPr>
      <w:pStyle w:val="Footer"/>
      <w:tabs>
        <w:tab w:val="clear" w:pos="10433"/>
        <w:tab w:val="right" w:pos="9639"/>
      </w:tabs>
      <w:ind w:left="108"/>
      <w:rPr>
        <w:rFonts w:asciiTheme="minorHAnsi" w:hAnsiTheme="minorHAnsi" w:cstheme="minorHAnsi"/>
        <w:color w:val="000000" w:themeColor="text1"/>
        <w:sz w:val="16"/>
        <w:szCs w:val="16"/>
      </w:rPr>
    </w:pPr>
    <w:r w:rsidRPr="00E148D1">
      <w:rPr>
        <w:rFonts w:asciiTheme="minorHAnsi" w:hAnsiTheme="minorHAnsi" w:cstheme="minorHAnsi"/>
        <w:color w:val="000000" w:themeColor="text1"/>
        <w:sz w:val="16"/>
        <w:szCs w:val="16"/>
      </w:rPr>
      <w:t xml:space="preserve">For queries regarding this research, please email </w:t>
    </w:r>
    <w:hyperlink r:id="rId1" w:history="1">
      <w:r w:rsidRPr="00E148D1">
        <w:rPr>
          <w:rStyle w:val="Hyperlink"/>
          <w:rFonts w:asciiTheme="minorHAnsi" w:hAnsiTheme="minorHAnsi" w:cstheme="minorHAnsi"/>
          <w:color w:val="000000" w:themeColor="text1"/>
          <w:sz w:val="16"/>
          <w:szCs w:val="16"/>
        </w:rPr>
        <w:t>NCLD@dss.gov.au</w:t>
      </w:r>
    </w:hyperlink>
    <w:r w:rsidRPr="00E148D1">
      <w:rPr>
        <w:rFonts w:asciiTheme="minorHAnsi" w:hAnsiTheme="minorHAnsi" w:cstheme="minorHAnsi"/>
        <w:color w:val="000000" w:themeColor="text1"/>
        <w:sz w:val="16"/>
        <w:szCs w:val="16"/>
      </w:rPr>
      <w:t>.</w:t>
    </w:r>
    <w:r w:rsidRPr="00E148D1">
      <w:rPr>
        <w:rFonts w:asciiTheme="minorHAnsi" w:hAnsiTheme="minorHAnsi" w:cstheme="minorHAnsi"/>
        <w:color w:val="000000" w:themeColor="text1"/>
        <w:sz w:val="16"/>
        <w:szCs w:val="16"/>
      </w:rPr>
      <w:tab/>
      <w:t xml:space="preserve">Page </w:t>
    </w:r>
    <w:r w:rsidRPr="00E148D1">
      <w:rPr>
        <w:rFonts w:asciiTheme="minorHAnsi" w:hAnsiTheme="minorHAnsi" w:cstheme="minorHAnsi"/>
        <w:b/>
        <w:color w:val="000000" w:themeColor="text1"/>
        <w:sz w:val="16"/>
        <w:szCs w:val="16"/>
      </w:rPr>
      <w:fldChar w:fldCharType="begin"/>
    </w:r>
    <w:r w:rsidRPr="00E148D1">
      <w:rPr>
        <w:rFonts w:asciiTheme="minorHAnsi" w:hAnsiTheme="minorHAnsi" w:cstheme="minorHAnsi"/>
        <w:b/>
        <w:color w:val="000000" w:themeColor="text1"/>
        <w:sz w:val="16"/>
        <w:szCs w:val="16"/>
      </w:rPr>
      <w:instrText xml:space="preserve"> PAGE  \* Arabic  \* MERGEFORMAT </w:instrText>
    </w:r>
    <w:r w:rsidRPr="00E148D1">
      <w:rPr>
        <w:rFonts w:asciiTheme="minorHAnsi" w:hAnsiTheme="minorHAnsi" w:cstheme="minorHAnsi"/>
        <w:b/>
        <w:color w:val="000000" w:themeColor="text1"/>
        <w:sz w:val="16"/>
        <w:szCs w:val="16"/>
      </w:rPr>
      <w:fldChar w:fldCharType="separate"/>
    </w:r>
    <w:r w:rsidR="009014C8">
      <w:rPr>
        <w:rFonts w:asciiTheme="minorHAnsi" w:hAnsiTheme="minorHAnsi" w:cstheme="minorHAnsi"/>
        <w:b/>
        <w:noProof/>
        <w:color w:val="000000" w:themeColor="text1"/>
        <w:sz w:val="16"/>
        <w:szCs w:val="16"/>
      </w:rPr>
      <w:t>1</w:t>
    </w:r>
    <w:r w:rsidRPr="00E148D1">
      <w:rPr>
        <w:rFonts w:asciiTheme="minorHAnsi" w:hAnsiTheme="minorHAnsi" w:cstheme="minorHAnsi"/>
        <w:b/>
        <w:color w:val="000000" w:themeColor="text1"/>
        <w:sz w:val="16"/>
        <w:szCs w:val="16"/>
      </w:rPr>
      <w:fldChar w:fldCharType="end"/>
    </w:r>
    <w:r w:rsidRPr="00E148D1">
      <w:rPr>
        <w:rFonts w:asciiTheme="minorHAnsi" w:hAnsiTheme="minorHAnsi" w:cstheme="minorHAnsi"/>
        <w:color w:val="000000" w:themeColor="text1"/>
        <w:sz w:val="16"/>
        <w:szCs w:val="16"/>
      </w:rPr>
      <w:t xml:space="preserve"> of </w:t>
    </w:r>
    <w:r w:rsidRPr="00E148D1">
      <w:rPr>
        <w:rFonts w:asciiTheme="minorHAnsi" w:hAnsiTheme="minorHAnsi" w:cstheme="minorHAnsi"/>
        <w:b/>
        <w:color w:val="000000" w:themeColor="text1"/>
        <w:sz w:val="16"/>
        <w:szCs w:val="16"/>
      </w:rPr>
      <w:fldChar w:fldCharType="begin"/>
    </w:r>
    <w:r w:rsidRPr="00E148D1">
      <w:rPr>
        <w:rFonts w:asciiTheme="minorHAnsi" w:hAnsiTheme="minorHAnsi" w:cstheme="minorHAnsi"/>
        <w:b/>
        <w:color w:val="000000" w:themeColor="text1"/>
        <w:sz w:val="16"/>
        <w:szCs w:val="16"/>
      </w:rPr>
      <w:instrText xml:space="preserve"> NUMPAGES  \* Arabic  \* MERGEFORMAT </w:instrText>
    </w:r>
    <w:r w:rsidRPr="00E148D1">
      <w:rPr>
        <w:rFonts w:asciiTheme="minorHAnsi" w:hAnsiTheme="minorHAnsi" w:cstheme="minorHAnsi"/>
        <w:b/>
        <w:color w:val="000000" w:themeColor="text1"/>
        <w:sz w:val="16"/>
        <w:szCs w:val="16"/>
      </w:rPr>
      <w:fldChar w:fldCharType="separate"/>
    </w:r>
    <w:r w:rsidR="009014C8">
      <w:rPr>
        <w:rFonts w:asciiTheme="minorHAnsi" w:hAnsiTheme="minorHAnsi" w:cstheme="minorHAnsi"/>
        <w:b/>
        <w:noProof/>
        <w:color w:val="000000" w:themeColor="text1"/>
        <w:sz w:val="16"/>
        <w:szCs w:val="16"/>
      </w:rPr>
      <w:t>3</w:t>
    </w:r>
    <w:r w:rsidRPr="00E148D1">
      <w:rPr>
        <w:rFonts w:asciiTheme="minorHAnsi" w:hAnsiTheme="minorHAnsi" w:cstheme="minorHAnsi"/>
        <w:b/>
        <w:color w:val="000000" w:themeColor="text1"/>
        <w:sz w:val="16"/>
        <w:szCs w:val="16"/>
      </w:rPr>
      <w:fldChar w:fldCharType="end"/>
    </w:r>
  </w:p>
  <w:p w:rsidR="00B42948" w:rsidRPr="00B42948" w:rsidRDefault="00B42948">
    <w:pPr>
      <w:pStyle w:val="Footer"/>
      <w:rPr>
        <w:rFonts w:asciiTheme="minorHAnsi" w:hAnsiTheme="minorHAnsi" w:cstheme="minorHAnsi"/>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C6" w:rsidRDefault="003218C6">
      <w:r>
        <w:separator/>
      </w:r>
    </w:p>
  </w:footnote>
  <w:footnote w:type="continuationSeparator" w:id="0">
    <w:p w:rsidR="003218C6" w:rsidRDefault="00321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2BC" w:rsidRDefault="00E148D1" w:rsidP="001D0326">
    <w:pPr>
      <w:pStyle w:val="Header"/>
      <w:spacing w:after="120"/>
      <w:rPr>
        <w:noProof/>
      </w:rPr>
    </w:pPr>
    <w:r>
      <w:rPr>
        <w:noProof/>
      </w:rPr>
      <w:drawing>
        <wp:anchor distT="0" distB="0" distL="114300" distR="114300" simplePos="0" relativeHeight="251663360" behindDoc="1" locked="0" layoutInCell="1" allowOverlap="1" wp14:anchorId="33DB0C1C" wp14:editId="756C5EF1">
          <wp:simplePos x="0" y="0"/>
          <wp:positionH relativeFrom="column">
            <wp:posOffset>4456430</wp:posOffset>
          </wp:positionH>
          <wp:positionV relativeFrom="paragraph">
            <wp:posOffset>480431</wp:posOffset>
          </wp:positionV>
          <wp:extent cx="1666875" cy="7620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762000"/>
                  </a:xfrm>
                  <a:prstGeom prst="rect">
                    <a:avLst/>
                  </a:prstGeom>
                  <a:noFill/>
                </pic:spPr>
              </pic:pic>
            </a:graphicData>
          </a:graphic>
          <wp14:sizeRelH relativeFrom="margin">
            <wp14:pctWidth>0</wp14:pctWidth>
          </wp14:sizeRelH>
          <wp14:sizeRelV relativeFrom="margin">
            <wp14:pctHeight>0</wp14:pctHeight>
          </wp14:sizeRelV>
        </wp:anchor>
      </w:drawing>
    </w:r>
    <w:r w:rsidR="008375EE" w:rsidRPr="00360B93">
      <w:rPr>
        <w:noProof/>
      </w:rPr>
      <w:drawing>
        <wp:inline distT="0" distB="0" distL="0" distR="0" wp14:anchorId="59833C69" wp14:editId="1AB16189">
          <wp:extent cx="2313940" cy="616585"/>
          <wp:effectExtent l="0" t="0" r="0" b="0"/>
          <wp:docPr id="6" name="Picture 20" descr="Australian Government, Department of Social Services logo"/>
          <wp:cNvGraphicFramePr/>
          <a:graphic xmlns:a="http://schemas.openxmlformats.org/drawingml/2006/main">
            <a:graphicData uri="http://schemas.openxmlformats.org/drawingml/2006/picture">
              <pic:pic xmlns:pic="http://schemas.openxmlformats.org/drawingml/2006/picture">
                <pic:nvPicPr>
                  <pic:cNvPr id="21" name="Picture 20" descr="Australian Government, Department of Social Services logo"/>
                  <pic:cNvPicPr/>
                </pic:nvPicPr>
                <pic:blipFill rotWithShape="1">
                  <a:blip r:embed="rId2" cstate="print">
                    <a:extLst>
                      <a:ext uri="{28A0092B-C50C-407E-A947-70E740481C1C}">
                        <a14:useLocalDpi xmlns:a14="http://schemas.microsoft.com/office/drawing/2010/main" val="0"/>
                      </a:ext>
                    </a:extLst>
                  </a:blip>
                  <a:srcRect l="6380" r="57907" b="50000"/>
                  <a:stretch/>
                </pic:blipFill>
                <pic:spPr>
                  <a:xfrm>
                    <a:off x="0" y="0"/>
                    <a:ext cx="2313940" cy="616585"/>
                  </a:xfrm>
                  <a:prstGeom prst="rect">
                    <a:avLst/>
                  </a:prstGeom>
                </pic:spPr>
              </pic:pic>
            </a:graphicData>
          </a:graphic>
        </wp:inline>
      </w:drawing>
    </w:r>
  </w:p>
  <w:p w:rsidR="00360B93" w:rsidRDefault="00360B93" w:rsidP="00E148D1">
    <w:pPr>
      <w:rPr>
        <w:noProof/>
      </w:rPr>
    </w:pPr>
  </w:p>
  <w:p w:rsidR="00F076BA" w:rsidRPr="00901FB7" w:rsidRDefault="00F076BA" w:rsidP="002B04A5">
    <w:pPr>
      <w:pStyle w:val="Header"/>
      <w:tabs>
        <w:tab w:val="clear" w:pos="4153"/>
        <w:tab w:val="clear" w:pos="8306"/>
        <w:tab w:val="right" w:pos="9639"/>
      </w:tabs>
      <w:spacing w:after="0"/>
      <w:contextualSpacing w:val="0"/>
      <w:rPr>
        <w:noProof/>
        <w:color w:val="FFFFFF" w:themeColor="background1"/>
      </w:rPr>
    </w:pPr>
  </w:p>
  <w:p w:rsidR="00200F7D" w:rsidRPr="00E148D1" w:rsidRDefault="00E148D1" w:rsidP="00E148D1">
    <w:pPr>
      <w:pStyle w:val="Header"/>
      <w:tabs>
        <w:tab w:val="right" w:pos="9639"/>
      </w:tabs>
      <w:rPr>
        <w:noProof/>
        <w:color w:val="500778" w:themeColor="accent6"/>
        <w:sz w:val="28"/>
        <w:szCs w:val="28"/>
      </w:rPr>
    </w:pPr>
    <w:r w:rsidRPr="00E148D1">
      <w:rPr>
        <w:b/>
        <w:bCs/>
        <w:noProof/>
        <w:color w:val="500778" w:themeColor="accent6"/>
        <w:sz w:val="28"/>
        <w:szCs w:val="28"/>
      </w:rPr>
      <w:t>National Centre for Longitudinal Data</w:t>
    </w:r>
  </w:p>
  <w:p w:rsidR="00360B93" w:rsidRPr="00901FB7" w:rsidRDefault="00200F7D" w:rsidP="00C33A3B">
    <w:pPr>
      <w:pStyle w:val="Header"/>
      <w:tabs>
        <w:tab w:val="clear" w:pos="4153"/>
        <w:tab w:val="clear" w:pos="8306"/>
        <w:tab w:val="right" w:pos="9639"/>
      </w:tabs>
      <w:spacing w:after="0"/>
      <w:contextualSpacing w:val="0"/>
      <w:rPr>
        <w:rFonts w:ascii="Arial" w:hAnsi="Arial"/>
        <w:noProof/>
        <w:color w:val="auto"/>
      </w:rPr>
    </w:pPr>
    <w:r w:rsidRPr="00901FB7">
      <w:rPr>
        <w:noProof/>
        <w:color w:val="FFFFFF" w:themeColor="background1"/>
      </w:rPr>
      <mc:AlternateContent>
        <mc:Choice Requires="wps">
          <w:drawing>
            <wp:anchor distT="0" distB="0" distL="114300" distR="114300" simplePos="0" relativeHeight="251667456" behindDoc="0" locked="0" layoutInCell="1" allowOverlap="1" wp14:anchorId="21F792FF" wp14:editId="31CF0C64">
              <wp:simplePos x="0" y="0"/>
              <wp:positionH relativeFrom="column">
                <wp:posOffset>-16192</wp:posOffset>
              </wp:positionH>
              <wp:positionV relativeFrom="paragraph">
                <wp:posOffset>8890</wp:posOffset>
              </wp:positionV>
              <wp:extent cx="6248400" cy="0"/>
              <wp:effectExtent l="0" t="0" r="19050" b="19050"/>
              <wp:wrapNone/>
              <wp:docPr id="5" name="Straight Connector 4" descr="decorative"/>
              <wp:cNvGraphicFramePr/>
              <a:graphic xmlns:a="http://schemas.openxmlformats.org/drawingml/2006/main">
                <a:graphicData uri="http://schemas.microsoft.com/office/word/2010/wordprocessingShape">
                  <wps:wsp>
                    <wps:cNvCnPr/>
                    <wps:spPr>
                      <a:xfrm>
                        <a:off x="0" y="0"/>
                        <a:ext cx="6248400" cy="0"/>
                      </a:xfrm>
                      <a:prstGeom prst="line">
                        <a:avLst/>
                      </a:prstGeom>
                      <a:ln w="19050">
                        <a:solidFill>
                          <a:srgbClr val="5007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alt="decorative"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7pt" to="49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" strokecolor="#500778" strokeweight="1.5pt"/>
          </w:pict>
        </mc:Fallback>
      </mc:AlternateContent>
    </w:r>
    <w:r w:rsidRPr="00901FB7">
      <w:rPr>
        <w:noProof/>
        <w:color w:val="FFFFFF" w:themeColor="background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9C4483"/>
    <w:multiLevelType w:val="hybridMultilevel"/>
    <w:tmpl w:val="346C5A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834958"/>
    <w:multiLevelType w:val="hybridMultilevel"/>
    <w:tmpl w:val="9B90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8"/>
  </w:num>
  <w:num w:numId="4">
    <w:abstractNumId w:val="11"/>
  </w:num>
  <w:num w:numId="5">
    <w:abstractNumId w:val="15"/>
  </w:num>
  <w:num w:numId="6">
    <w:abstractNumId w:val="58"/>
  </w:num>
  <w:num w:numId="7">
    <w:abstractNumId w:val="45"/>
  </w:num>
  <w:num w:numId="8">
    <w:abstractNumId w:val="50"/>
  </w:num>
  <w:num w:numId="9">
    <w:abstractNumId w:val="7"/>
  </w:num>
  <w:num w:numId="10">
    <w:abstractNumId w:val="57"/>
  </w:num>
  <w:num w:numId="11">
    <w:abstractNumId w:val="16"/>
  </w:num>
  <w:num w:numId="12">
    <w:abstractNumId w:val="42"/>
  </w:num>
  <w:num w:numId="13">
    <w:abstractNumId w:val="52"/>
  </w:num>
  <w:num w:numId="14">
    <w:abstractNumId w:val="34"/>
  </w:num>
  <w:num w:numId="15">
    <w:abstractNumId w:val="3"/>
  </w:num>
  <w:num w:numId="16">
    <w:abstractNumId w:val="12"/>
  </w:num>
  <w:num w:numId="17">
    <w:abstractNumId w:val="56"/>
  </w:num>
  <w:num w:numId="18">
    <w:abstractNumId w:val="49"/>
  </w:num>
  <w:num w:numId="19">
    <w:abstractNumId w:val="13"/>
  </w:num>
  <w:num w:numId="20">
    <w:abstractNumId w:val="2"/>
  </w:num>
  <w:num w:numId="21">
    <w:abstractNumId w:val="5"/>
  </w:num>
  <w:num w:numId="22">
    <w:abstractNumId w:val="21"/>
  </w:num>
  <w:num w:numId="23">
    <w:abstractNumId w:val="17"/>
  </w:num>
  <w:num w:numId="24">
    <w:abstractNumId w:val="60"/>
  </w:num>
  <w:num w:numId="25">
    <w:abstractNumId w:val="33"/>
  </w:num>
  <w:num w:numId="26">
    <w:abstractNumId w:val="39"/>
  </w:num>
  <w:num w:numId="27">
    <w:abstractNumId w:val="19"/>
  </w:num>
  <w:num w:numId="28">
    <w:abstractNumId w:val="59"/>
  </w:num>
  <w:num w:numId="29">
    <w:abstractNumId w:val="48"/>
  </w:num>
  <w:num w:numId="30">
    <w:abstractNumId w:val="26"/>
  </w:num>
  <w:num w:numId="31">
    <w:abstractNumId w:val="44"/>
  </w:num>
  <w:num w:numId="32">
    <w:abstractNumId w:val="53"/>
  </w:num>
  <w:num w:numId="33">
    <w:abstractNumId w:val="55"/>
  </w:num>
  <w:num w:numId="34">
    <w:abstractNumId w:val="4"/>
  </w:num>
  <w:num w:numId="35">
    <w:abstractNumId w:val="24"/>
  </w:num>
  <w:num w:numId="36">
    <w:abstractNumId w:val="47"/>
  </w:num>
  <w:num w:numId="37">
    <w:abstractNumId w:val="8"/>
  </w:num>
  <w:num w:numId="38">
    <w:abstractNumId w:val="29"/>
  </w:num>
  <w:num w:numId="39">
    <w:abstractNumId w:val="23"/>
  </w:num>
  <w:num w:numId="40">
    <w:abstractNumId w:val="32"/>
  </w:num>
  <w:num w:numId="41">
    <w:abstractNumId w:val="36"/>
  </w:num>
  <w:num w:numId="42">
    <w:abstractNumId w:val="22"/>
  </w:num>
  <w:num w:numId="43">
    <w:abstractNumId w:val="14"/>
  </w:num>
  <w:num w:numId="44">
    <w:abstractNumId w:val="41"/>
  </w:num>
  <w:num w:numId="45">
    <w:abstractNumId w:val="46"/>
  </w:num>
  <w:num w:numId="46">
    <w:abstractNumId w:val="31"/>
  </w:num>
  <w:num w:numId="47">
    <w:abstractNumId w:val="30"/>
  </w:num>
  <w:num w:numId="48">
    <w:abstractNumId w:val="1"/>
  </w:num>
  <w:num w:numId="49">
    <w:abstractNumId w:val="43"/>
  </w:num>
  <w:num w:numId="50">
    <w:abstractNumId w:val="54"/>
  </w:num>
  <w:num w:numId="51">
    <w:abstractNumId w:val="40"/>
  </w:num>
  <w:num w:numId="52">
    <w:abstractNumId w:val="9"/>
  </w:num>
  <w:num w:numId="53">
    <w:abstractNumId w:val="51"/>
  </w:num>
  <w:num w:numId="54">
    <w:abstractNumId w:val="25"/>
  </w:num>
  <w:num w:numId="55">
    <w:abstractNumId w:val="18"/>
  </w:num>
  <w:num w:numId="56">
    <w:abstractNumId w:val="28"/>
  </w:num>
  <w:num w:numId="57">
    <w:abstractNumId w:val="27"/>
  </w:num>
  <w:num w:numId="58">
    <w:abstractNumId w:val="10"/>
  </w:num>
  <w:num w:numId="59">
    <w:abstractNumId w:val="35"/>
  </w:num>
  <w:num w:numId="60">
    <w:abstractNumId w:val="6"/>
  </w:num>
  <w:num w:numId="61">
    <w:abstractNumId w:val="20"/>
  </w:num>
  <w:num w:numId="6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doNotUseMarginsForDrawingGridOrigin/>
  <w:drawingGridHorizontalOrigin w:val="992"/>
  <w:drawingGridVerticalOrigin w:val="1361"/>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C6"/>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74CF9"/>
    <w:rsid w:val="00080ECC"/>
    <w:rsid w:val="00080F2E"/>
    <w:rsid w:val="00081CEB"/>
    <w:rsid w:val="00083791"/>
    <w:rsid w:val="00086E3C"/>
    <w:rsid w:val="00087B2C"/>
    <w:rsid w:val="00087DBD"/>
    <w:rsid w:val="00090570"/>
    <w:rsid w:val="00090753"/>
    <w:rsid w:val="00094FB3"/>
    <w:rsid w:val="00096F54"/>
    <w:rsid w:val="00097BFF"/>
    <w:rsid w:val="000A669D"/>
    <w:rsid w:val="000A66A8"/>
    <w:rsid w:val="000C014D"/>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0F9"/>
    <w:rsid w:val="00167330"/>
    <w:rsid w:val="00167CF4"/>
    <w:rsid w:val="00185F6A"/>
    <w:rsid w:val="001943DD"/>
    <w:rsid w:val="00195374"/>
    <w:rsid w:val="001A127F"/>
    <w:rsid w:val="001A1F53"/>
    <w:rsid w:val="001A3CA4"/>
    <w:rsid w:val="001A3EA4"/>
    <w:rsid w:val="001B3AEC"/>
    <w:rsid w:val="001B5000"/>
    <w:rsid w:val="001B6F28"/>
    <w:rsid w:val="001C60E8"/>
    <w:rsid w:val="001D0326"/>
    <w:rsid w:val="001D4585"/>
    <w:rsid w:val="001D5D54"/>
    <w:rsid w:val="001E41C8"/>
    <w:rsid w:val="001F3AD7"/>
    <w:rsid w:val="001F7F3E"/>
    <w:rsid w:val="00200F7D"/>
    <w:rsid w:val="00207630"/>
    <w:rsid w:val="00213082"/>
    <w:rsid w:val="00213B52"/>
    <w:rsid w:val="0021714E"/>
    <w:rsid w:val="00222187"/>
    <w:rsid w:val="00222C8D"/>
    <w:rsid w:val="00222E33"/>
    <w:rsid w:val="00227B95"/>
    <w:rsid w:val="00234486"/>
    <w:rsid w:val="0023523A"/>
    <w:rsid w:val="002353DF"/>
    <w:rsid w:val="00235F71"/>
    <w:rsid w:val="0025272A"/>
    <w:rsid w:val="00271922"/>
    <w:rsid w:val="0027204E"/>
    <w:rsid w:val="00273412"/>
    <w:rsid w:val="00274ACF"/>
    <w:rsid w:val="00285F1B"/>
    <w:rsid w:val="00295831"/>
    <w:rsid w:val="002959BC"/>
    <w:rsid w:val="00296F1B"/>
    <w:rsid w:val="002A6DF5"/>
    <w:rsid w:val="002B04A5"/>
    <w:rsid w:val="002D00B0"/>
    <w:rsid w:val="002D2E16"/>
    <w:rsid w:val="002F19EF"/>
    <w:rsid w:val="002F4640"/>
    <w:rsid w:val="00302415"/>
    <w:rsid w:val="003102F6"/>
    <w:rsid w:val="00313304"/>
    <w:rsid w:val="00313C48"/>
    <w:rsid w:val="003162AD"/>
    <w:rsid w:val="00321148"/>
    <w:rsid w:val="00321798"/>
    <w:rsid w:val="003218C6"/>
    <w:rsid w:val="00325F44"/>
    <w:rsid w:val="00326976"/>
    <w:rsid w:val="003311D7"/>
    <w:rsid w:val="00332B8B"/>
    <w:rsid w:val="00347104"/>
    <w:rsid w:val="0035213F"/>
    <w:rsid w:val="003555D2"/>
    <w:rsid w:val="00360B93"/>
    <w:rsid w:val="00363DF3"/>
    <w:rsid w:val="003656B1"/>
    <w:rsid w:val="0037056B"/>
    <w:rsid w:val="00372CE1"/>
    <w:rsid w:val="00377173"/>
    <w:rsid w:val="003774DA"/>
    <w:rsid w:val="00392557"/>
    <w:rsid w:val="003945C0"/>
    <w:rsid w:val="003A06C2"/>
    <w:rsid w:val="003B6D2E"/>
    <w:rsid w:val="003C430D"/>
    <w:rsid w:val="003C7404"/>
    <w:rsid w:val="003D3C5A"/>
    <w:rsid w:val="003D404A"/>
    <w:rsid w:val="003E179C"/>
    <w:rsid w:val="003E6FDA"/>
    <w:rsid w:val="003F3072"/>
    <w:rsid w:val="00401A2A"/>
    <w:rsid w:val="004103D7"/>
    <w:rsid w:val="0041307C"/>
    <w:rsid w:val="004167B4"/>
    <w:rsid w:val="00430D7E"/>
    <w:rsid w:val="004316C9"/>
    <w:rsid w:val="00433B04"/>
    <w:rsid w:val="00440BD3"/>
    <w:rsid w:val="00446F93"/>
    <w:rsid w:val="004649E2"/>
    <w:rsid w:val="00464E8C"/>
    <w:rsid w:val="00466D36"/>
    <w:rsid w:val="00467185"/>
    <w:rsid w:val="0047050C"/>
    <w:rsid w:val="00475504"/>
    <w:rsid w:val="00480F21"/>
    <w:rsid w:val="00484FED"/>
    <w:rsid w:val="00495AF1"/>
    <w:rsid w:val="004F775C"/>
    <w:rsid w:val="005015E4"/>
    <w:rsid w:val="0050291D"/>
    <w:rsid w:val="0050697E"/>
    <w:rsid w:val="00510E02"/>
    <w:rsid w:val="00524B3C"/>
    <w:rsid w:val="005315A9"/>
    <w:rsid w:val="005316BE"/>
    <w:rsid w:val="00532B56"/>
    <w:rsid w:val="00535132"/>
    <w:rsid w:val="00540AD0"/>
    <w:rsid w:val="0054322A"/>
    <w:rsid w:val="00543923"/>
    <w:rsid w:val="005519C9"/>
    <w:rsid w:val="005523D1"/>
    <w:rsid w:val="00554A9C"/>
    <w:rsid w:val="00557624"/>
    <w:rsid w:val="0056023E"/>
    <w:rsid w:val="00564573"/>
    <w:rsid w:val="005658EF"/>
    <w:rsid w:val="0057458F"/>
    <w:rsid w:val="005822A3"/>
    <w:rsid w:val="0059070B"/>
    <w:rsid w:val="00594445"/>
    <w:rsid w:val="00595249"/>
    <w:rsid w:val="005B1225"/>
    <w:rsid w:val="005C09F4"/>
    <w:rsid w:val="005C561A"/>
    <w:rsid w:val="005C5B93"/>
    <w:rsid w:val="005C66FF"/>
    <w:rsid w:val="005C785A"/>
    <w:rsid w:val="005D03CA"/>
    <w:rsid w:val="005D267C"/>
    <w:rsid w:val="005D45AB"/>
    <w:rsid w:val="005E4662"/>
    <w:rsid w:val="005F093F"/>
    <w:rsid w:val="005F214A"/>
    <w:rsid w:val="005F6BD6"/>
    <w:rsid w:val="00601C99"/>
    <w:rsid w:val="00607597"/>
    <w:rsid w:val="00624562"/>
    <w:rsid w:val="006255E4"/>
    <w:rsid w:val="00641020"/>
    <w:rsid w:val="006410C1"/>
    <w:rsid w:val="00647F05"/>
    <w:rsid w:val="006530EF"/>
    <w:rsid w:val="00654D06"/>
    <w:rsid w:val="00661536"/>
    <w:rsid w:val="0067233D"/>
    <w:rsid w:val="006745AE"/>
    <w:rsid w:val="00675BEF"/>
    <w:rsid w:val="00676AF3"/>
    <w:rsid w:val="00676D10"/>
    <w:rsid w:val="00676EC1"/>
    <w:rsid w:val="00680F71"/>
    <w:rsid w:val="00682A53"/>
    <w:rsid w:val="0069174B"/>
    <w:rsid w:val="00693FA1"/>
    <w:rsid w:val="006A1A7A"/>
    <w:rsid w:val="006B05E3"/>
    <w:rsid w:val="006B09BC"/>
    <w:rsid w:val="006B42A0"/>
    <w:rsid w:val="006B4E59"/>
    <w:rsid w:val="006C3402"/>
    <w:rsid w:val="006C3622"/>
    <w:rsid w:val="006C395C"/>
    <w:rsid w:val="006C45D4"/>
    <w:rsid w:val="006D0041"/>
    <w:rsid w:val="006D7F82"/>
    <w:rsid w:val="006E1F3C"/>
    <w:rsid w:val="006E6073"/>
    <w:rsid w:val="006F7300"/>
    <w:rsid w:val="007036B3"/>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939D6"/>
    <w:rsid w:val="00794E8B"/>
    <w:rsid w:val="007A67EA"/>
    <w:rsid w:val="007B15AF"/>
    <w:rsid w:val="007B7E83"/>
    <w:rsid w:val="007C1631"/>
    <w:rsid w:val="007C636F"/>
    <w:rsid w:val="007D0EF8"/>
    <w:rsid w:val="007D39EB"/>
    <w:rsid w:val="008131E7"/>
    <w:rsid w:val="00813711"/>
    <w:rsid w:val="00813CFC"/>
    <w:rsid w:val="00814279"/>
    <w:rsid w:val="008263C2"/>
    <w:rsid w:val="00831CDA"/>
    <w:rsid w:val="008375EE"/>
    <w:rsid w:val="00842959"/>
    <w:rsid w:val="008451FE"/>
    <w:rsid w:val="00845F7C"/>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5493"/>
    <w:rsid w:val="008B264E"/>
    <w:rsid w:val="008B645B"/>
    <w:rsid w:val="008B67B8"/>
    <w:rsid w:val="008B774D"/>
    <w:rsid w:val="008C123E"/>
    <w:rsid w:val="008C3ED0"/>
    <w:rsid w:val="008C5585"/>
    <w:rsid w:val="008C5E94"/>
    <w:rsid w:val="008E6E9D"/>
    <w:rsid w:val="008F68F7"/>
    <w:rsid w:val="008F7480"/>
    <w:rsid w:val="009014C8"/>
    <w:rsid w:val="00901FB7"/>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1CF6"/>
    <w:rsid w:val="0096485D"/>
    <w:rsid w:val="009900F0"/>
    <w:rsid w:val="00991769"/>
    <w:rsid w:val="00994E9F"/>
    <w:rsid w:val="00995AB0"/>
    <w:rsid w:val="00996931"/>
    <w:rsid w:val="009A40C2"/>
    <w:rsid w:val="009A4CD8"/>
    <w:rsid w:val="009B3ED1"/>
    <w:rsid w:val="009C433C"/>
    <w:rsid w:val="009D28B7"/>
    <w:rsid w:val="009D7E1A"/>
    <w:rsid w:val="009E2162"/>
    <w:rsid w:val="009E36BF"/>
    <w:rsid w:val="00A006EB"/>
    <w:rsid w:val="00A03709"/>
    <w:rsid w:val="00A06C77"/>
    <w:rsid w:val="00A10147"/>
    <w:rsid w:val="00A13D26"/>
    <w:rsid w:val="00A146A5"/>
    <w:rsid w:val="00A17411"/>
    <w:rsid w:val="00A17A2A"/>
    <w:rsid w:val="00A2223D"/>
    <w:rsid w:val="00A223EF"/>
    <w:rsid w:val="00A27E1D"/>
    <w:rsid w:val="00A34A74"/>
    <w:rsid w:val="00A35351"/>
    <w:rsid w:val="00A42ADE"/>
    <w:rsid w:val="00A60693"/>
    <w:rsid w:val="00A67728"/>
    <w:rsid w:val="00A81A4F"/>
    <w:rsid w:val="00A82E14"/>
    <w:rsid w:val="00A901E9"/>
    <w:rsid w:val="00A9762C"/>
    <w:rsid w:val="00AA4067"/>
    <w:rsid w:val="00AB1A5B"/>
    <w:rsid w:val="00AB2822"/>
    <w:rsid w:val="00AC0A54"/>
    <w:rsid w:val="00AC125E"/>
    <w:rsid w:val="00AC45DF"/>
    <w:rsid w:val="00AC474D"/>
    <w:rsid w:val="00AC4DFD"/>
    <w:rsid w:val="00AC58FD"/>
    <w:rsid w:val="00AC60CD"/>
    <w:rsid w:val="00AD60E6"/>
    <w:rsid w:val="00AD793A"/>
    <w:rsid w:val="00AE02E7"/>
    <w:rsid w:val="00AE5956"/>
    <w:rsid w:val="00AE619F"/>
    <w:rsid w:val="00AF373A"/>
    <w:rsid w:val="00AF7EFE"/>
    <w:rsid w:val="00B03BEE"/>
    <w:rsid w:val="00B049AA"/>
    <w:rsid w:val="00B0517E"/>
    <w:rsid w:val="00B056E2"/>
    <w:rsid w:val="00B11314"/>
    <w:rsid w:val="00B1192C"/>
    <w:rsid w:val="00B138E3"/>
    <w:rsid w:val="00B16942"/>
    <w:rsid w:val="00B23267"/>
    <w:rsid w:val="00B25891"/>
    <w:rsid w:val="00B27149"/>
    <w:rsid w:val="00B40D26"/>
    <w:rsid w:val="00B42948"/>
    <w:rsid w:val="00B4451B"/>
    <w:rsid w:val="00B51316"/>
    <w:rsid w:val="00B72D62"/>
    <w:rsid w:val="00B843C8"/>
    <w:rsid w:val="00B8554E"/>
    <w:rsid w:val="00B951E2"/>
    <w:rsid w:val="00B96F37"/>
    <w:rsid w:val="00BA607C"/>
    <w:rsid w:val="00BB3E2A"/>
    <w:rsid w:val="00BC16F5"/>
    <w:rsid w:val="00BC287D"/>
    <w:rsid w:val="00BC4A76"/>
    <w:rsid w:val="00BD32E5"/>
    <w:rsid w:val="00BD7ADD"/>
    <w:rsid w:val="00BE41C3"/>
    <w:rsid w:val="00BE6767"/>
    <w:rsid w:val="00BE68D7"/>
    <w:rsid w:val="00BF7763"/>
    <w:rsid w:val="00C04D5E"/>
    <w:rsid w:val="00C24EA2"/>
    <w:rsid w:val="00C24F70"/>
    <w:rsid w:val="00C33479"/>
    <w:rsid w:val="00C33A3B"/>
    <w:rsid w:val="00C47BA2"/>
    <w:rsid w:val="00C612DC"/>
    <w:rsid w:val="00C622CB"/>
    <w:rsid w:val="00C64D15"/>
    <w:rsid w:val="00C74F74"/>
    <w:rsid w:val="00C7554B"/>
    <w:rsid w:val="00C83E31"/>
    <w:rsid w:val="00C916A4"/>
    <w:rsid w:val="00CA2A52"/>
    <w:rsid w:val="00CA2B15"/>
    <w:rsid w:val="00CA42BC"/>
    <w:rsid w:val="00CA6490"/>
    <w:rsid w:val="00CB5744"/>
    <w:rsid w:val="00CB7022"/>
    <w:rsid w:val="00CD1937"/>
    <w:rsid w:val="00CE214C"/>
    <w:rsid w:val="00CE6858"/>
    <w:rsid w:val="00CF50BE"/>
    <w:rsid w:val="00CF6A52"/>
    <w:rsid w:val="00D03583"/>
    <w:rsid w:val="00D117B4"/>
    <w:rsid w:val="00D169F7"/>
    <w:rsid w:val="00D26D01"/>
    <w:rsid w:val="00D314B7"/>
    <w:rsid w:val="00D33DA3"/>
    <w:rsid w:val="00D4723B"/>
    <w:rsid w:val="00D55EE8"/>
    <w:rsid w:val="00D5785A"/>
    <w:rsid w:val="00D64C48"/>
    <w:rsid w:val="00D655C8"/>
    <w:rsid w:val="00D731C4"/>
    <w:rsid w:val="00D76BB8"/>
    <w:rsid w:val="00D8013D"/>
    <w:rsid w:val="00D81BAA"/>
    <w:rsid w:val="00D85BE0"/>
    <w:rsid w:val="00D87C1A"/>
    <w:rsid w:val="00D87FD7"/>
    <w:rsid w:val="00D92167"/>
    <w:rsid w:val="00D9502B"/>
    <w:rsid w:val="00D97047"/>
    <w:rsid w:val="00D97108"/>
    <w:rsid w:val="00DC5665"/>
    <w:rsid w:val="00DD4F44"/>
    <w:rsid w:val="00DD5D8B"/>
    <w:rsid w:val="00DE0F9E"/>
    <w:rsid w:val="00DE5D76"/>
    <w:rsid w:val="00DE77EC"/>
    <w:rsid w:val="00E04C8D"/>
    <w:rsid w:val="00E128D8"/>
    <w:rsid w:val="00E148D1"/>
    <w:rsid w:val="00E26A7B"/>
    <w:rsid w:val="00E30D45"/>
    <w:rsid w:val="00E42FE4"/>
    <w:rsid w:val="00E46FAA"/>
    <w:rsid w:val="00E51764"/>
    <w:rsid w:val="00E5750B"/>
    <w:rsid w:val="00E60E2E"/>
    <w:rsid w:val="00E63A24"/>
    <w:rsid w:val="00E71A2D"/>
    <w:rsid w:val="00E8698A"/>
    <w:rsid w:val="00E923F2"/>
    <w:rsid w:val="00EA31CC"/>
    <w:rsid w:val="00EB14DF"/>
    <w:rsid w:val="00EB2B64"/>
    <w:rsid w:val="00EB3A07"/>
    <w:rsid w:val="00EB4143"/>
    <w:rsid w:val="00EB4728"/>
    <w:rsid w:val="00EC207A"/>
    <w:rsid w:val="00EC3F31"/>
    <w:rsid w:val="00ED3C91"/>
    <w:rsid w:val="00ED4112"/>
    <w:rsid w:val="00EE764E"/>
    <w:rsid w:val="00EF1347"/>
    <w:rsid w:val="00EF2BEB"/>
    <w:rsid w:val="00F01129"/>
    <w:rsid w:val="00F03D93"/>
    <w:rsid w:val="00F03D9E"/>
    <w:rsid w:val="00F076BA"/>
    <w:rsid w:val="00F227BF"/>
    <w:rsid w:val="00F35A81"/>
    <w:rsid w:val="00F374B2"/>
    <w:rsid w:val="00F40AFC"/>
    <w:rsid w:val="00F4730E"/>
    <w:rsid w:val="00F50A92"/>
    <w:rsid w:val="00F53F24"/>
    <w:rsid w:val="00F63341"/>
    <w:rsid w:val="00F7536E"/>
    <w:rsid w:val="00F81F93"/>
    <w:rsid w:val="00F86F1B"/>
    <w:rsid w:val="00F92A21"/>
    <w:rsid w:val="00F92E9B"/>
    <w:rsid w:val="00F95814"/>
    <w:rsid w:val="00FA01D9"/>
    <w:rsid w:val="00FA031C"/>
    <w:rsid w:val="00FB13C1"/>
    <w:rsid w:val="00FB420B"/>
    <w:rsid w:val="00FC1C5F"/>
    <w:rsid w:val="00FC5C0C"/>
    <w:rsid w:val="00FC64EF"/>
    <w:rsid w:val="00FD2673"/>
    <w:rsid w:val="00FE2A29"/>
    <w:rsid w:val="00FE69A7"/>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List Bullet" w:qFormat="1"/>
    <w:lsdException w:name="Title" w:qFormat="1"/>
    <w:lsdException w:name="Subtitle" w:qFormat="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096F54"/>
    <w:pPr>
      <w:keepNext/>
      <w:keepLines/>
      <w:spacing w:before="240" w:line="240" w:lineRule="auto"/>
      <w:contextualSpacing/>
      <w:outlineLvl w:val="0"/>
    </w:pPr>
    <w:rPr>
      <w:rFonts w:ascii="Georgia" w:hAnsi="Georgia" w:cs="Arial"/>
      <w:bCs/>
      <w:color w:val="A6192E"/>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096F54"/>
    <w:pPr>
      <w:keepNext/>
      <w:keepLines/>
      <w:spacing w:line="240" w:lineRule="auto"/>
      <w:contextualSpacing/>
      <w:outlineLvl w:val="2"/>
    </w:pPr>
    <w:rPr>
      <w:rFonts w:ascii="Georgia" w:hAnsi="Georgia" w:cs="Arial"/>
      <w:bCs/>
      <w:color w:val="A6192E"/>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6BE"/>
    <w:pPr>
      <w:tabs>
        <w:tab w:val="center" w:pos="4153"/>
        <w:tab w:val="right" w:pos="8306"/>
      </w:tabs>
      <w:spacing w:before="0" w:after="737" w:line="240" w:lineRule="auto"/>
      <w:contextualSpacing/>
    </w:pPr>
    <w:rPr>
      <w:rFonts w:ascii="Georgia" w:hAnsi="Georgia"/>
      <w:color w:val="A6192E"/>
    </w:rPr>
  </w:style>
  <w:style w:type="paragraph" w:styleId="Title">
    <w:name w:val="Title"/>
    <w:basedOn w:val="Normal"/>
    <w:link w:val="TitleChar"/>
    <w:uiPriority w:val="99"/>
    <w:qFormat/>
    <w:rsid w:val="00096F54"/>
    <w:pPr>
      <w:spacing w:before="0" w:after="60" w:line="240" w:lineRule="auto"/>
      <w:contextualSpacing/>
      <w:outlineLvl w:val="0"/>
    </w:pPr>
    <w:rPr>
      <w:rFonts w:ascii="Georgia" w:hAnsi="Georgia" w:cs="Arial"/>
      <w:bCs/>
      <w:color w:val="A6192E"/>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096F54"/>
    <w:pPr>
      <w:tabs>
        <w:tab w:val="right" w:pos="10433"/>
      </w:tabs>
      <w:spacing w:before="0" w:after="0" w:line="240" w:lineRule="auto"/>
    </w:pPr>
    <w:rPr>
      <w:rFonts w:ascii="Georgia" w:hAnsi="Georgia"/>
      <w:color w:val="A6192E"/>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096F54"/>
    <w:pPr>
      <w:spacing w:before="120" w:after="120"/>
      <w:ind w:left="397"/>
      <w:contextualSpacing/>
    </w:pPr>
    <w:rPr>
      <w:rFonts w:ascii="Georgia" w:hAnsi="Georgia" w:cs="Arial"/>
      <w:bCs/>
      <w:i/>
      <w:iCs/>
      <w:color w:val="A6192E"/>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096F54"/>
    <w:rPr>
      <w:rFonts w:ascii="Georgia" w:hAnsi="Georgia" w:cs="Arial"/>
      <w:bCs/>
      <w:i/>
      <w:iCs/>
      <w:color w:val="A6192E"/>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096F54"/>
    <w:rPr>
      <w:rFonts w:ascii="Georgia" w:hAnsi="Georgia" w:cs="Arial"/>
      <w:bCs/>
      <w:color w:val="A6192E"/>
      <w:kern w:val="32"/>
      <w:sz w:val="32"/>
      <w:szCs w:val="32"/>
    </w:rPr>
  </w:style>
  <w:style w:type="character" w:customStyle="1" w:styleId="Heading3Char">
    <w:name w:val="Heading 3 Char"/>
    <w:basedOn w:val="DefaultParagraphFont"/>
    <w:link w:val="Heading3"/>
    <w:uiPriority w:val="2"/>
    <w:rsid w:val="00096F54"/>
    <w:rPr>
      <w:rFonts w:ascii="Georgia" w:hAnsi="Georgia" w:cs="Arial"/>
      <w:bCs/>
      <w:color w:val="A6192E"/>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5316BE"/>
    <w:rPr>
      <w:rFonts w:ascii="Georgia" w:hAnsi="Georgia"/>
      <w:color w:val="A6192E"/>
      <w:szCs w:val="24"/>
    </w:rPr>
  </w:style>
  <w:style w:type="character" w:customStyle="1" w:styleId="TitleChar">
    <w:name w:val="Title Char"/>
    <w:basedOn w:val="DefaultParagraphFont"/>
    <w:link w:val="Title"/>
    <w:uiPriority w:val="99"/>
    <w:rsid w:val="00096F54"/>
    <w:rPr>
      <w:rFonts w:ascii="Georgia" w:hAnsi="Georgia" w:cs="Arial"/>
      <w:bCs/>
      <w:color w:val="A6192E"/>
      <w:spacing w:val="-4"/>
      <w:kern w:val="28"/>
      <w:sz w:val="66"/>
      <w:szCs w:val="32"/>
    </w:rPr>
  </w:style>
  <w:style w:type="character" w:customStyle="1" w:styleId="FooterChar">
    <w:name w:val="Footer Char"/>
    <w:basedOn w:val="DefaultParagraphFont"/>
    <w:link w:val="Footer"/>
    <w:rsid w:val="00096F54"/>
    <w:rPr>
      <w:rFonts w:ascii="Georgia" w:hAnsi="Georgia"/>
      <w:color w:val="A6192E"/>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paragraph" w:styleId="ListParagraph">
    <w:name w:val="List Paragraph"/>
    <w:basedOn w:val="Normal"/>
    <w:link w:val="ListParagraphChar"/>
    <w:uiPriority w:val="34"/>
    <w:qFormat/>
    <w:rsid w:val="003218C6"/>
    <w:pPr>
      <w:spacing w:before="0" w:after="200" w:line="276" w:lineRule="auto"/>
      <w:ind w:left="720"/>
      <w:contextualSpacing/>
    </w:pPr>
    <w:rPr>
      <w:rFonts w:eastAsiaTheme="minorHAnsi" w:cstheme="minorBidi"/>
      <w:sz w:val="22"/>
      <w:szCs w:val="22"/>
      <w:lang w:eastAsia="en-US"/>
    </w:rPr>
  </w:style>
  <w:style w:type="character" w:styleId="BookTitle">
    <w:name w:val="Book Title"/>
    <w:uiPriority w:val="33"/>
    <w:qFormat/>
    <w:rsid w:val="003218C6"/>
    <w:rPr>
      <w:i/>
      <w:iCs/>
      <w:smallCaps/>
      <w:spacing w:val="5"/>
    </w:rPr>
  </w:style>
  <w:style w:type="table" w:styleId="MediumShading2-Accent6">
    <w:name w:val="Medium Shading 2 Accent 6"/>
    <w:basedOn w:val="TableNormal"/>
    <w:uiPriority w:val="64"/>
    <w:rsid w:val="003218C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6"/>
      </w:tcPr>
    </w:tblStylePr>
    <w:tblStylePr w:type="lastCol">
      <w:rPr>
        <w:b/>
        <w:bCs/>
        <w:color w:val="FFFFFF" w:themeColor="background1"/>
      </w:rPr>
      <w:tblPr/>
      <w:tcPr>
        <w:tcBorders>
          <w:left w:val="nil"/>
          <w:right w:val="nil"/>
          <w:insideH w:val="nil"/>
          <w:insideV w:val="nil"/>
        </w:tcBorders>
        <w:shd w:val="clear" w:color="auto" w:fill="5007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uiPriority w:val="34"/>
    <w:rsid w:val="003218C6"/>
    <w:rPr>
      <w:rFonts w:ascii="Arial" w:eastAsiaTheme="minorHAnsi" w:hAnsi="Arial" w:cstheme="minorBidi"/>
      <w:sz w:val="22"/>
      <w:szCs w:val="22"/>
      <w:lang w:eastAsia="en-US"/>
    </w:rPr>
  </w:style>
  <w:style w:type="paragraph" w:styleId="EndnoteText">
    <w:name w:val="endnote text"/>
    <w:basedOn w:val="Normal"/>
    <w:link w:val="EndnoteTextChar"/>
    <w:uiPriority w:val="99"/>
    <w:unhideWhenUsed/>
    <w:rsid w:val="003218C6"/>
    <w:pPr>
      <w:spacing w:before="0" w:after="0" w:line="240" w:lineRule="auto"/>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3218C6"/>
    <w:rPr>
      <w:rFonts w:ascii="Arial" w:eastAsiaTheme="minorHAnsi" w:hAnsi="Arial" w:cstheme="minorBidi"/>
      <w:lang w:eastAsia="en-US"/>
    </w:rPr>
  </w:style>
  <w:style w:type="character" w:styleId="EndnoteReference">
    <w:name w:val="endnote reference"/>
    <w:basedOn w:val="DefaultParagraphFont"/>
    <w:uiPriority w:val="99"/>
    <w:unhideWhenUsed/>
    <w:rsid w:val="003218C6"/>
    <w:rPr>
      <w:vertAlign w:val="superscript"/>
    </w:rPr>
  </w:style>
  <w:style w:type="paragraph" w:styleId="NormalWeb">
    <w:name w:val="Normal (Web)"/>
    <w:basedOn w:val="Normal"/>
    <w:uiPriority w:val="99"/>
    <w:unhideWhenUsed/>
    <w:rsid w:val="00360B93"/>
    <w:pPr>
      <w:spacing w:before="100" w:beforeAutospacing="1" w:after="100" w:afterAutospacing="1" w:line="240" w:lineRule="auto"/>
    </w:pPr>
    <w:rPr>
      <w:rFonts w:ascii="Times New Roman" w:eastAsiaTheme="minorEastAsia" w:hAnsi="Times New Roman"/>
      <w:sz w:val="24"/>
    </w:rPr>
  </w:style>
  <w:style w:type="table" w:styleId="LightGrid-Accent6">
    <w:name w:val="Light Grid Accent 6"/>
    <w:basedOn w:val="TableNormal"/>
    <w:uiPriority w:val="62"/>
    <w:rsid w:val="00535132"/>
    <w:tblPr>
      <w:tblStyleRowBandSize w:val="1"/>
      <w:tblStyleColBandSize w:val="1"/>
      <w:tblBorders>
        <w:top w:val="single" w:sz="8" w:space="0" w:color="500778" w:themeColor="accent6"/>
        <w:left w:val="single" w:sz="8" w:space="0" w:color="500778" w:themeColor="accent6"/>
        <w:bottom w:val="single" w:sz="8" w:space="0" w:color="500778" w:themeColor="accent6"/>
        <w:right w:val="single" w:sz="8" w:space="0" w:color="500778" w:themeColor="accent6"/>
        <w:insideH w:val="single" w:sz="8" w:space="0" w:color="500778" w:themeColor="accent6"/>
        <w:insideV w:val="single" w:sz="8" w:space="0" w:color="5007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0778" w:themeColor="accent6"/>
          <w:left w:val="single" w:sz="8" w:space="0" w:color="500778" w:themeColor="accent6"/>
          <w:bottom w:val="single" w:sz="18" w:space="0" w:color="500778" w:themeColor="accent6"/>
          <w:right w:val="single" w:sz="8" w:space="0" w:color="500778" w:themeColor="accent6"/>
          <w:insideH w:val="nil"/>
          <w:insideV w:val="single" w:sz="8" w:space="0" w:color="5007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0778" w:themeColor="accent6"/>
          <w:left w:val="single" w:sz="8" w:space="0" w:color="500778" w:themeColor="accent6"/>
          <w:bottom w:val="single" w:sz="8" w:space="0" w:color="500778" w:themeColor="accent6"/>
          <w:right w:val="single" w:sz="8" w:space="0" w:color="500778" w:themeColor="accent6"/>
          <w:insideH w:val="nil"/>
          <w:insideV w:val="single" w:sz="8" w:space="0" w:color="5007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tcPr>
    </w:tblStylePr>
    <w:tblStylePr w:type="band1Vert">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shd w:val="clear" w:color="auto" w:fill="DBA5F9" w:themeFill="accent6" w:themeFillTint="3F"/>
      </w:tcPr>
    </w:tblStylePr>
    <w:tblStylePr w:type="band1Horz">
      <w:tblPr/>
      <w:tcPr>
        <w:tcBorders>
          <w:top w:val="single" w:sz="8" w:space="0" w:color="500778" w:themeColor="accent6"/>
          <w:left w:val="single" w:sz="8" w:space="0" w:color="500778" w:themeColor="accent6"/>
          <w:bottom w:val="single" w:sz="8" w:space="0" w:color="500778" w:themeColor="accent6"/>
          <w:right w:val="single" w:sz="8" w:space="0" w:color="500778" w:themeColor="accent6"/>
          <w:insideV w:val="single" w:sz="8" w:space="0" w:color="500778" w:themeColor="accent6"/>
        </w:tcBorders>
        <w:shd w:val="clear" w:color="auto" w:fill="DBA5F9" w:themeFill="accent6" w:themeFillTint="3F"/>
      </w:tcPr>
    </w:tblStylePr>
    <w:tblStylePr w:type="band2Horz">
      <w:tblPr/>
      <w:tcPr>
        <w:tcBorders>
          <w:top w:val="single" w:sz="8" w:space="0" w:color="500778" w:themeColor="accent6"/>
          <w:left w:val="single" w:sz="8" w:space="0" w:color="500778" w:themeColor="accent6"/>
          <w:bottom w:val="single" w:sz="8" w:space="0" w:color="500778" w:themeColor="accent6"/>
          <w:right w:val="single" w:sz="8" w:space="0" w:color="500778" w:themeColor="accent6"/>
          <w:insideV w:val="single" w:sz="8" w:space="0" w:color="500778" w:themeColor="accent6"/>
        </w:tcBorders>
      </w:tcPr>
    </w:tblStylePr>
  </w:style>
  <w:style w:type="table" w:styleId="LightList-Accent6">
    <w:name w:val="Light List Accent 6"/>
    <w:basedOn w:val="TableNormal"/>
    <w:uiPriority w:val="61"/>
    <w:rsid w:val="00B42948"/>
    <w:tblPr>
      <w:tblStyleRowBandSize w:val="1"/>
      <w:tblStyleColBandSize w:val="1"/>
      <w:tblBorders>
        <w:top w:val="single" w:sz="8" w:space="0" w:color="500778" w:themeColor="accent6"/>
        <w:left w:val="single" w:sz="8" w:space="0" w:color="500778" w:themeColor="accent6"/>
        <w:bottom w:val="single" w:sz="8" w:space="0" w:color="500778" w:themeColor="accent6"/>
        <w:right w:val="single" w:sz="8" w:space="0" w:color="500778" w:themeColor="accent6"/>
      </w:tblBorders>
    </w:tblPr>
    <w:tblStylePr w:type="firstRow">
      <w:pPr>
        <w:spacing w:before="0" w:after="0" w:line="240" w:lineRule="auto"/>
      </w:pPr>
      <w:rPr>
        <w:b/>
        <w:bCs/>
        <w:color w:val="FFFFFF" w:themeColor="background1"/>
      </w:rPr>
      <w:tblPr/>
      <w:tcPr>
        <w:shd w:val="clear" w:color="auto" w:fill="500778" w:themeFill="accent6"/>
      </w:tcPr>
    </w:tblStylePr>
    <w:tblStylePr w:type="lastRow">
      <w:pPr>
        <w:spacing w:before="0" w:after="0" w:line="240" w:lineRule="auto"/>
      </w:pPr>
      <w:rPr>
        <w:b/>
        <w:bCs/>
      </w:rPr>
      <w:tblPr/>
      <w:tcPr>
        <w:tcBorders>
          <w:top w:val="double" w:sz="6" w:space="0" w:color="500778" w:themeColor="accent6"/>
          <w:left w:val="single" w:sz="8" w:space="0" w:color="500778" w:themeColor="accent6"/>
          <w:bottom w:val="single" w:sz="8" w:space="0" w:color="500778" w:themeColor="accent6"/>
          <w:right w:val="single" w:sz="8" w:space="0" w:color="500778" w:themeColor="accent6"/>
        </w:tcBorders>
      </w:tcPr>
    </w:tblStylePr>
    <w:tblStylePr w:type="firstCol">
      <w:rPr>
        <w:b/>
        <w:bCs/>
      </w:rPr>
    </w:tblStylePr>
    <w:tblStylePr w:type="lastCol">
      <w:rPr>
        <w:b/>
        <w:bCs/>
      </w:rPr>
    </w:tblStylePr>
    <w:tblStylePr w:type="band1Vert">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tcPr>
    </w:tblStylePr>
    <w:tblStylePr w:type="band1Horz">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List Bullet" w:qFormat="1"/>
    <w:lsdException w:name="Title" w:qFormat="1"/>
    <w:lsdException w:name="Subtitle" w:qFormat="1"/>
    <w:lsdException w:name="Hyperlink" w:uiPriority="99"/>
    <w:lsdException w:name="FollowedHyperlink" w:uiPriority="99"/>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096F54"/>
    <w:pPr>
      <w:keepNext/>
      <w:keepLines/>
      <w:spacing w:before="240" w:line="240" w:lineRule="auto"/>
      <w:contextualSpacing/>
      <w:outlineLvl w:val="0"/>
    </w:pPr>
    <w:rPr>
      <w:rFonts w:ascii="Georgia" w:hAnsi="Georgia" w:cs="Arial"/>
      <w:bCs/>
      <w:color w:val="A6192E"/>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096F54"/>
    <w:pPr>
      <w:keepNext/>
      <w:keepLines/>
      <w:spacing w:line="240" w:lineRule="auto"/>
      <w:contextualSpacing/>
      <w:outlineLvl w:val="2"/>
    </w:pPr>
    <w:rPr>
      <w:rFonts w:ascii="Georgia" w:hAnsi="Georgia" w:cs="Arial"/>
      <w:bCs/>
      <w:color w:val="A6192E"/>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6BE"/>
    <w:pPr>
      <w:tabs>
        <w:tab w:val="center" w:pos="4153"/>
        <w:tab w:val="right" w:pos="8306"/>
      </w:tabs>
      <w:spacing w:before="0" w:after="737" w:line="240" w:lineRule="auto"/>
      <w:contextualSpacing/>
    </w:pPr>
    <w:rPr>
      <w:rFonts w:ascii="Georgia" w:hAnsi="Georgia"/>
      <w:color w:val="A6192E"/>
    </w:rPr>
  </w:style>
  <w:style w:type="paragraph" w:styleId="Title">
    <w:name w:val="Title"/>
    <w:basedOn w:val="Normal"/>
    <w:link w:val="TitleChar"/>
    <w:uiPriority w:val="99"/>
    <w:qFormat/>
    <w:rsid w:val="00096F54"/>
    <w:pPr>
      <w:spacing w:before="0" w:after="60" w:line="240" w:lineRule="auto"/>
      <w:contextualSpacing/>
      <w:outlineLvl w:val="0"/>
    </w:pPr>
    <w:rPr>
      <w:rFonts w:ascii="Georgia" w:hAnsi="Georgia" w:cs="Arial"/>
      <w:bCs/>
      <w:color w:val="A6192E"/>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096F54"/>
    <w:pPr>
      <w:tabs>
        <w:tab w:val="right" w:pos="10433"/>
      </w:tabs>
      <w:spacing w:before="0" w:after="0" w:line="240" w:lineRule="auto"/>
    </w:pPr>
    <w:rPr>
      <w:rFonts w:ascii="Georgia" w:hAnsi="Georgia"/>
      <w:color w:val="A6192E"/>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096F54"/>
    <w:pPr>
      <w:spacing w:before="120" w:after="120"/>
      <w:ind w:left="397"/>
      <w:contextualSpacing/>
    </w:pPr>
    <w:rPr>
      <w:rFonts w:ascii="Georgia" w:hAnsi="Georgia" w:cs="Arial"/>
      <w:bCs/>
      <w:i/>
      <w:iCs/>
      <w:color w:val="A6192E"/>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096F54"/>
    <w:rPr>
      <w:rFonts w:ascii="Georgia" w:hAnsi="Georgia" w:cs="Arial"/>
      <w:bCs/>
      <w:i/>
      <w:iCs/>
      <w:color w:val="A6192E"/>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096F54"/>
    <w:rPr>
      <w:rFonts w:ascii="Georgia" w:hAnsi="Georgia" w:cs="Arial"/>
      <w:bCs/>
      <w:color w:val="A6192E"/>
      <w:kern w:val="32"/>
      <w:sz w:val="32"/>
      <w:szCs w:val="32"/>
    </w:rPr>
  </w:style>
  <w:style w:type="character" w:customStyle="1" w:styleId="Heading3Char">
    <w:name w:val="Heading 3 Char"/>
    <w:basedOn w:val="DefaultParagraphFont"/>
    <w:link w:val="Heading3"/>
    <w:uiPriority w:val="2"/>
    <w:rsid w:val="00096F54"/>
    <w:rPr>
      <w:rFonts w:ascii="Georgia" w:hAnsi="Georgia" w:cs="Arial"/>
      <w:bCs/>
      <w:color w:val="A6192E"/>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5316BE"/>
    <w:rPr>
      <w:rFonts w:ascii="Georgia" w:hAnsi="Georgia"/>
      <w:color w:val="A6192E"/>
      <w:szCs w:val="24"/>
    </w:rPr>
  </w:style>
  <w:style w:type="character" w:customStyle="1" w:styleId="TitleChar">
    <w:name w:val="Title Char"/>
    <w:basedOn w:val="DefaultParagraphFont"/>
    <w:link w:val="Title"/>
    <w:uiPriority w:val="99"/>
    <w:rsid w:val="00096F54"/>
    <w:rPr>
      <w:rFonts w:ascii="Georgia" w:hAnsi="Georgia" w:cs="Arial"/>
      <w:bCs/>
      <w:color w:val="A6192E"/>
      <w:spacing w:val="-4"/>
      <w:kern w:val="28"/>
      <w:sz w:val="66"/>
      <w:szCs w:val="32"/>
    </w:rPr>
  </w:style>
  <w:style w:type="character" w:customStyle="1" w:styleId="FooterChar">
    <w:name w:val="Footer Char"/>
    <w:basedOn w:val="DefaultParagraphFont"/>
    <w:link w:val="Footer"/>
    <w:rsid w:val="00096F54"/>
    <w:rPr>
      <w:rFonts w:ascii="Georgia" w:hAnsi="Georgia"/>
      <w:color w:val="A6192E"/>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paragraph" w:styleId="ListParagraph">
    <w:name w:val="List Paragraph"/>
    <w:basedOn w:val="Normal"/>
    <w:link w:val="ListParagraphChar"/>
    <w:uiPriority w:val="34"/>
    <w:qFormat/>
    <w:rsid w:val="003218C6"/>
    <w:pPr>
      <w:spacing w:before="0" w:after="200" w:line="276" w:lineRule="auto"/>
      <w:ind w:left="720"/>
      <w:contextualSpacing/>
    </w:pPr>
    <w:rPr>
      <w:rFonts w:eastAsiaTheme="minorHAnsi" w:cstheme="minorBidi"/>
      <w:sz w:val="22"/>
      <w:szCs w:val="22"/>
      <w:lang w:eastAsia="en-US"/>
    </w:rPr>
  </w:style>
  <w:style w:type="character" w:styleId="BookTitle">
    <w:name w:val="Book Title"/>
    <w:uiPriority w:val="33"/>
    <w:qFormat/>
    <w:rsid w:val="003218C6"/>
    <w:rPr>
      <w:i/>
      <w:iCs/>
      <w:smallCaps/>
      <w:spacing w:val="5"/>
    </w:rPr>
  </w:style>
  <w:style w:type="table" w:styleId="MediumShading2-Accent6">
    <w:name w:val="Medium Shading 2 Accent 6"/>
    <w:basedOn w:val="TableNormal"/>
    <w:uiPriority w:val="64"/>
    <w:rsid w:val="003218C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7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778" w:themeFill="accent6"/>
      </w:tcPr>
    </w:tblStylePr>
    <w:tblStylePr w:type="lastCol">
      <w:rPr>
        <w:b/>
        <w:bCs/>
        <w:color w:val="FFFFFF" w:themeColor="background1"/>
      </w:rPr>
      <w:tblPr/>
      <w:tcPr>
        <w:tcBorders>
          <w:left w:val="nil"/>
          <w:right w:val="nil"/>
          <w:insideH w:val="nil"/>
          <w:insideV w:val="nil"/>
        </w:tcBorders>
        <w:shd w:val="clear" w:color="auto" w:fill="5007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uiPriority w:val="34"/>
    <w:rsid w:val="003218C6"/>
    <w:rPr>
      <w:rFonts w:ascii="Arial" w:eastAsiaTheme="minorHAnsi" w:hAnsi="Arial" w:cstheme="minorBidi"/>
      <w:sz w:val="22"/>
      <w:szCs w:val="22"/>
      <w:lang w:eastAsia="en-US"/>
    </w:rPr>
  </w:style>
  <w:style w:type="paragraph" w:styleId="EndnoteText">
    <w:name w:val="endnote text"/>
    <w:basedOn w:val="Normal"/>
    <w:link w:val="EndnoteTextChar"/>
    <w:uiPriority w:val="99"/>
    <w:unhideWhenUsed/>
    <w:rsid w:val="003218C6"/>
    <w:pPr>
      <w:spacing w:before="0" w:after="0" w:line="240" w:lineRule="auto"/>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3218C6"/>
    <w:rPr>
      <w:rFonts w:ascii="Arial" w:eastAsiaTheme="minorHAnsi" w:hAnsi="Arial" w:cstheme="minorBidi"/>
      <w:lang w:eastAsia="en-US"/>
    </w:rPr>
  </w:style>
  <w:style w:type="character" w:styleId="EndnoteReference">
    <w:name w:val="endnote reference"/>
    <w:basedOn w:val="DefaultParagraphFont"/>
    <w:uiPriority w:val="99"/>
    <w:unhideWhenUsed/>
    <w:rsid w:val="003218C6"/>
    <w:rPr>
      <w:vertAlign w:val="superscript"/>
    </w:rPr>
  </w:style>
  <w:style w:type="paragraph" w:styleId="NormalWeb">
    <w:name w:val="Normal (Web)"/>
    <w:basedOn w:val="Normal"/>
    <w:uiPriority w:val="99"/>
    <w:unhideWhenUsed/>
    <w:rsid w:val="00360B93"/>
    <w:pPr>
      <w:spacing w:before="100" w:beforeAutospacing="1" w:after="100" w:afterAutospacing="1" w:line="240" w:lineRule="auto"/>
    </w:pPr>
    <w:rPr>
      <w:rFonts w:ascii="Times New Roman" w:eastAsiaTheme="minorEastAsia" w:hAnsi="Times New Roman"/>
      <w:sz w:val="24"/>
    </w:rPr>
  </w:style>
  <w:style w:type="table" w:styleId="LightGrid-Accent6">
    <w:name w:val="Light Grid Accent 6"/>
    <w:basedOn w:val="TableNormal"/>
    <w:uiPriority w:val="62"/>
    <w:rsid w:val="00535132"/>
    <w:tblPr>
      <w:tblStyleRowBandSize w:val="1"/>
      <w:tblStyleColBandSize w:val="1"/>
      <w:tblBorders>
        <w:top w:val="single" w:sz="8" w:space="0" w:color="500778" w:themeColor="accent6"/>
        <w:left w:val="single" w:sz="8" w:space="0" w:color="500778" w:themeColor="accent6"/>
        <w:bottom w:val="single" w:sz="8" w:space="0" w:color="500778" w:themeColor="accent6"/>
        <w:right w:val="single" w:sz="8" w:space="0" w:color="500778" w:themeColor="accent6"/>
        <w:insideH w:val="single" w:sz="8" w:space="0" w:color="500778" w:themeColor="accent6"/>
        <w:insideV w:val="single" w:sz="8" w:space="0" w:color="5007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0778" w:themeColor="accent6"/>
          <w:left w:val="single" w:sz="8" w:space="0" w:color="500778" w:themeColor="accent6"/>
          <w:bottom w:val="single" w:sz="18" w:space="0" w:color="500778" w:themeColor="accent6"/>
          <w:right w:val="single" w:sz="8" w:space="0" w:color="500778" w:themeColor="accent6"/>
          <w:insideH w:val="nil"/>
          <w:insideV w:val="single" w:sz="8" w:space="0" w:color="5007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0778" w:themeColor="accent6"/>
          <w:left w:val="single" w:sz="8" w:space="0" w:color="500778" w:themeColor="accent6"/>
          <w:bottom w:val="single" w:sz="8" w:space="0" w:color="500778" w:themeColor="accent6"/>
          <w:right w:val="single" w:sz="8" w:space="0" w:color="500778" w:themeColor="accent6"/>
          <w:insideH w:val="nil"/>
          <w:insideV w:val="single" w:sz="8" w:space="0" w:color="5007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tcPr>
    </w:tblStylePr>
    <w:tblStylePr w:type="band1Vert">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shd w:val="clear" w:color="auto" w:fill="DBA5F9" w:themeFill="accent6" w:themeFillTint="3F"/>
      </w:tcPr>
    </w:tblStylePr>
    <w:tblStylePr w:type="band1Horz">
      <w:tblPr/>
      <w:tcPr>
        <w:tcBorders>
          <w:top w:val="single" w:sz="8" w:space="0" w:color="500778" w:themeColor="accent6"/>
          <w:left w:val="single" w:sz="8" w:space="0" w:color="500778" w:themeColor="accent6"/>
          <w:bottom w:val="single" w:sz="8" w:space="0" w:color="500778" w:themeColor="accent6"/>
          <w:right w:val="single" w:sz="8" w:space="0" w:color="500778" w:themeColor="accent6"/>
          <w:insideV w:val="single" w:sz="8" w:space="0" w:color="500778" w:themeColor="accent6"/>
        </w:tcBorders>
        <w:shd w:val="clear" w:color="auto" w:fill="DBA5F9" w:themeFill="accent6" w:themeFillTint="3F"/>
      </w:tcPr>
    </w:tblStylePr>
    <w:tblStylePr w:type="band2Horz">
      <w:tblPr/>
      <w:tcPr>
        <w:tcBorders>
          <w:top w:val="single" w:sz="8" w:space="0" w:color="500778" w:themeColor="accent6"/>
          <w:left w:val="single" w:sz="8" w:space="0" w:color="500778" w:themeColor="accent6"/>
          <w:bottom w:val="single" w:sz="8" w:space="0" w:color="500778" w:themeColor="accent6"/>
          <w:right w:val="single" w:sz="8" w:space="0" w:color="500778" w:themeColor="accent6"/>
          <w:insideV w:val="single" w:sz="8" w:space="0" w:color="500778" w:themeColor="accent6"/>
        </w:tcBorders>
      </w:tcPr>
    </w:tblStylePr>
  </w:style>
  <w:style w:type="table" w:styleId="LightList-Accent6">
    <w:name w:val="Light List Accent 6"/>
    <w:basedOn w:val="TableNormal"/>
    <w:uiPriority w:val="61"/>
    <w:rsid w:val="00B42948"/>
    <w:tblPr>
      <w:tblStyleRowBandSize w:val="1"/>
      <w:tblStyleColBandSize w:val="1"/>
      <w:tblBorders>
        <w:top w:val="single" w:sz="8" w:space="0" w:color="500778" w:themeColor="accent6"/>
        <w:left w:val="single" w:sz="8" w:space="0" w:color="500778" w:themeColor="accent6"/>
        <w:bottom w:val="single" w:sz="8" w:space="0" w:color="500778" w:themeColor="accent6"/>
        <w:right w:val="single" w:sz="8" w:space="0" w:color="500778" w:themeColor="accent6"/>
      </w:tblBorders>
    </w:tblPr>
    <w:tblStylePr w:type="firstRow">
      <w:pPr>
        <w:spacing w:before="0" w:after="0" w:line="240" w:lineRule="auto"/>
      </w:pPr>
      <w:rPr>
        <w:b/>
        <w:bCs/>
        <w:color w:val="FFFFFF" w:themeColor="background1"/>
      </w:rPr>
      <w:tblPr/>
      <w:tcPr>
        <w:shd w:val="clear" w:color="auto" w:fill="500778" w:themeFill="accent6"/>
      </w:tcPr>
    </w:tblStylePr>
    <w:tblStylePr w:type="lastRow">
      <w:pPr>
        <w:spacing w:before="0" w:after="0" w:line="240" w:lineRule="auto"/>
      </w:pPr>
      <w:rPr>
        <w:b/>
        <w:bCs/>
      </w:rPr>
      <w:tblPr/>
      <w:tcPr>
        <w:tcBorders>
          <w:top w:val="double" w:sz="6" w:space="0" w:color="500778" w:themeColor="accent6"/>
          <w:left w:val="single" w:sz="8" w:space="0" w:color="500778" w:themeColor="accent6"/>
          <w:bottom w:val="single" w:sz="8" w:space="0" w:color="500778" w:themeColor="accent6"/>
          <w:right w:val="single" w:sz="8" w:space="0" w:color="500778" w:themeColor="accent6"/>
        </w:tcBorders>
      </w:tcPr>
    </w:tblStylePr>
    <w:tblStylePr w:type="firstCol">
      <w:rPr>
        <w:b/>
        <w:bCs/>
      </w:rPr>
    </w:tblStylePr>
    <w:tblStylePr w:type="lastCol">
      <w:rPr>
        <w:b/>
        <w:bCs/>
      </w:rPr>
    </w:tblStylePr>
    <w:tblStylePr w:type="band1Vert">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tcPr>
    </w:tblStylePr>
    <w:tblStylePr w:type="band1Horz">
      <w:tblPr/>
      <w:tcPr>
        <w:tcBorders>
          <w:top w:val="single" w:sz="8" w:space="0" w:color="500778" w:themeColor="accent6"/>
          <w:left w:val="single" w:sz="8" w:space="0" w:color="500778" w:themeColor="accent6"/>
          <w:bottom w:val="single" w:sz="8" w:space="0" w:color="500778" w:themeColor="accent6"/>
          <w:right w:val="single" w:sz="8" w:space="0" w:color="500778"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0907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751077248">
      <w:bodyDiv w:val="1"/>
      <w:marLeft w:val="0"/>
      <w:marRight w:val="0"/>
      <w:marTop w:val="0"/>
      <w:marBottom w:val="0"/>
      <w:divBdr>
        <w:top w:val="none" w:sz="0" w:space="0" w:color="auto"/>
        <w:left w:val="none" w:sz="0" w:space="0" w:color="auto"/>
        <w:bottom w:val="none" w:sz="0" w:space="0" w:color="auto"/>
        <w:right w:val="none" w:sz="0" w:space="0" w:color="auto"/>
      </w:divBdr>
    </w:div>
    <w:div w:id="185626543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68A8-26E9-48E3-9372-D1B3A369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2015-09-01T01:55:00Z</dcterms:created>
  <dcterms:modified xsi:type="dcterms:W3CDTF">2015-09-09T00:10:00Z</dcterms:modified>
</cp:coreProperties>
</file>