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C1256" w14:textId="77777777" w:rsidR="00051119" w:rsidRPr="00D46290" w:rsidRDefault="00C973E5" w:rsidP="002F3336">
      <w:pPr>
        <w:spacing w:after="1440"/>
        <w:jc w:val="center"/>
      </w:pPr>
      <w:bookmarkStart w:id="0" w:name="Example"/>
      <w:bookmarkStart w:id="1" w:name="_GoBack"/>
      <w:bookmarkEnd w:id="1"/>
      <w:r>
        <w:rPr>
          <w:noProof/>
        </w:rPr>
        <w:drawing>
          <wp:inline distT="0" distB="0" distL="0" distR="0" wp14:anchorId="435A9C11" wp14:editId="06221A8F">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11"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694853D1" w14:textId="1B99F41D" w:rsidR="007073F5" w:rsidRPr="00FF5852" w:rsidRDefault="009825F4" w:rsidP="0047387D">
      <w:pPr>
        <w:pStyle w:val="Heading1"/>
        <w:spacing w:before="1320" w:after="0"/>
      </w:pPr>
      <w:bookmarkStart w:id="2" w:name="_Toc105518217"/>
      <w:bookmarkEnd w:id="0"/>
      <w:r>
        <w:t>Capability Interview</w:t>
      </w:r>
      <w:r w:rsidR="00D92051">
        <w:t xml:space="preserve"> </w:t>
      </w:r>
      <w:r w:rsidR="00703115">
        <w:t>Guidelines</w:t>
      </w:r>
      <w:bookmarkEnd w:id="2"/>
    </w:p>
    <w:p w14:paraId="16C46C51" w14:textId="3F30C40F" w:rsidR="007073F5" w:rsidRPr="00934547" w:rsidRDefault="007073F5" w:rsidP="00934547">
      <w:pPr>
        <w:jc w:val="center"/>
        <w:rPr>
          <w:b/>
          <w:sz w:val="36"/>
          <w:szCs w:val="36"/>
          <w:u w:val="double"/>
        </w:rPr>
      </w:pPr>
      <w:bookmarkStart w:id="3" w:name="_Toc495402559"/>
      <w:bookmarkStart w:id="4" w:name="_Toc509998600"/>
      <w:bookmarkStart w:id="5" w:name="_Toc509998874"/>
      <w:r w:rsidRPr="00934547">
        <w:rPr>
          <w:b/>
          <w:sz w:val="36"/>
          <w:szCs w:val="36"/>
        </w:rPr>
        <w:t>V 1.</w:t>
      </w:r>
      <w:bookmarkEnd w:id="3"/>
      <w:bookmarkEnd w:id="4"/>
      <w:bookmarkEnd w:id="5"/>
      <w:r w:rsidR="00082293">
        <w:rPr>
          <w:b/>
          <w:sz w:val="36"/>
          <w:szCs w:val="36"/>
        </w:rPr>
        <w:t>3</w:t>
      </w:r>
    </w:p>
    <w:p w14:paraId="087C2EC7" w14:textId="66CFA2C6" w:rsidR="003757B3" w:rsidRPr="00AC50E9" w:rsidRDefault="00427E22" w:rsidP="00AA7AFD">
      <w:pPr>
        <w:pStyle w:val="Disclaimer"/>
        <w:tabs>
          <w:tab w:val="left" w:pos="3915"/>
        </w:tabs>
        <w:spacing w:before="4800"/>
        <w:rPr>
          <w:sz w:val="20"/>
        </w:rPr>
      </w:pPr>
      <w:r w:rsidRPr="00427E22">
        <w:rPr>
          <w:b/>
          <w:sz w:val="20"/>
        </w:rPr>
        <w:t>Disclaimer</w:t>
      </w:r>
      <w:r w:rsidR="00AA7AFD">
        <w:rPr>
          <w:b/>
          <w:sz w:val="20"/>
        </w:rPr>
        <w:tab/>
      </w:r>
      <w:r w:rsidRPr="00427E22">
        <w:rPr>
          <w:sz w:val="20"/>
        </w:rPr>
        <w:br/>
        <w:t>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r w:rsidR="007073F5" w:rsidRPr="00C07F22">
        <w:br w:type="page"/>
      </w:r>
      <w:bookmarkStart w:id="6" w:name="_Toc495666001"/>
      <w:bookmarkStart w:id="7" w:name="_Toc487730649"/>
      <w:bookmarkStart w:id="8" w:name="_Toc486510119"/>
      <w:bookmarkStart w:id="9" w:name="_Toc425412073"/>
      <w:bookmarkStart w:id="10" w:name="_Toc316553411"/>
      <w:bookmarkStart w:id="11" w:name="_Toc316553386"/>
    </w:p>
    <w:bookmarkEnd w:id="11" w:displacedByCustomXml="next"/>
    <w:bookmarkEnd w:id="10" w:displacedByCustomXml="next"/>
    <w:bookmarkEnd w:id="9" w:displacedByCustomXml="next"/>
    <w:bookmarkEnd w:id="8" w:displacedByCustomXml="next"/>
    <w:bookmarkEnd w:id="7" w:displacedByCustomXml="next"/>
    <w:bookmarkEnd w:id="6" w:displacedByCustomXml="next"/>
    <w:bookmarkStart w:id="12" w:name="_Toc509842407" w:displacedByCustomXml="next"/>
    <w:bookmarkStart w:id="13" w:name="_Toc105518218" w:displacedByCustomXml="next"/>
    <w:sdt>
      <w:sdtPr>
        <w:rPr>
          <w:b w:val="0"/>
          <w:sz w:val="22"/>
          <w:szCs w:val="24"/>
        </w:rPr>
        <w:id w:val="1370883962"/>
        <w:docPartObj>
          <w:docPartGallery w:val="Table of Contents"/>
          <w:docPartUnique/>
        </w:docPartObj>
      </w:sdtPr>
      <w:sdtEndPr>
        <w:rPr>
          <w:bCs/>
          <w:noProof/>
        </w:rPr>
      </w:sdtEndPr>
      <w:sdtContent>
        <w:p w14:paraId="1F1B497C" w14:textId="77777777" w:rsidR="00E341A6" w:rsidRPr="00E341A6" w:rsidRDefault="00E341A6" w:rsidP="00427E22">
          <w:pPr>
            <w:pStyle w:val="Heading2"/>
            <w:spacing w:before="0" w:after="480"/>
          </w:pPr>
          <w:r w:rsidRPr="00E341A6">
            <w:t>Table of Contents</w:t>
          </w:r>
          <w:bookmarkEnd w:id="13"/>
          <w:bookmarkEnd w:id="12"/>
        </w:p>
        <w:p w14:paraId="68EBC030" w14:textId="748E4B1E" w:rsidR="000629EB" w:rsidRDefault="00C126C5" w:rsidP="00B124A0">
          <w:pPr>
            <w:pStyle w:val="TOC1"/>
            <w:tabs>
              <w:tab w:val="right" w:pos="9016"/>
            </w:tabs>
            <w:rPr>
              <w:rFonts w:eastAsiaTheme="minorEastAsia" w:cstheme="minorBidi"/>
              <w:noProof/>
              <w:sz w:val="22"/>
              <w:szCs w:val="22"/>
            </w:rPr>
          </w:pPr>
          <w:r>
            <w:fldChar w:fldCharType="begin"/>
          </w:r>
          <w:r>
            <w:instrText xml:space="preserve"> TOC \o "1-3" \h \z \u </w:instrText>
          </w:r>
          <w:r>
            <w:fldChar w:fldCharType="separate"/>
          </w:r>
          <w:hyperlink w:anchor="_Toc105518217" w:history="1">
            <w:r w:rsidR="000629EB" w:rsidRPr="00B96D63">
              <w:rPr>
                <w:rStyle w:val="Hyperlink"/>
                <w:noProof/>
              </w:rPr>
              <w:t>Capability Interview Guidelines</w:t>
            </w:r>
            <w:r w:rsidR="00B124A0">
              <w:rPr>
                <w:noProof/>
                <w:webHidden/>
              </w:rPr>
              <w:t xml:space="preserve">                                                                                                                                     </w:t>
            </w:r>
            <w:r w:rsidR="000629EB">
              <w:rPr>
                <w:noProof/>
                <w:webHidden/>
              </w:rPr>
              <w:fldChar w:fldCharType="begin"/>
            </w:r>
            <w:r w:rsidR="000629EB">
              <w:rPr>
                <w:noProof/>
                <w:webHidden/>
              </w:rPr>
              <w:instrText xml:space="preserve"> PAGEREF _Toc105518217 \h </w:instrText>
            </w:r>
            <w:r w:rsidR="000629EB">
              <w:rPr>
                <w:noProof/>
                <w:webHidden/>
              </w:rPr>
            </w:r>
            <w:r w:rsidR="000629EB">
              <w:rPr>
                <w:noProof/>
                <w:webHidden/>
              </w:rPr>
              <w:fldChar w:fldCharType="separate"/>
            </w:r>
            <w:r w:rsidR="009B5B4B">
              <w:rPr>
                <w:noProof/>
                <w:webHidden/>
              </w:rPr>
              <w:t>1</w:t>
            </w:r>
            <w:r w:rsidR="000629EB">
              <w:rPr>
                <w:noProof/>
                <w:webHidden/>
              </w:rPr>
              <w:fldChar w:fldCharType="end"/>
            </w:r>
          </w:hyperlink>
        </w:p>
        <w:p w14:paraId="3738D505" w14:textId="08266308" w:rsidR="000629EB" w:rsidRDefault="002E14AF" w:rsidP="00B124A0">
          <w:pPr>
            <w:pStyle w:val="TOC2"/>
            <w:rPr>
              <w:rFonts w:eastAsiaTheme="minorEastAsia" w:cstheme="minorBidi"/>
              <w:b w:val="0"/>
              <w:iCs w:val="0"/>
              <w:noProof/>
              <w:sz w:val="22"/>
              <w:szCs w:val="22"/>
            </w:rPr>
          </w:pPr>
          <w:hyperlink w:anchor="_Toc105518218" w:history="1">
            <w:r w:rsidR="000629EB" w:rsidRPr="00B96D63">
              <w:rPr>
                <w:rStyle w:val="Hyperlink"/>
                <w:noProof/>
              </w:rPr>
              <w:t>Table of Contents</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_Toc105518218 \h </w:instrText>
            </w:r>
            <w:r w:rsidR="000629EB">
              <w:rPr>
                <w:noProof/>
                <w:webHidden/>
              </w:rPr>
            </w:r>
            <w:r w:rsidR="000629EB">
              <w:rPr>
                <w:noProof/>
                <w:webHidden/>
              </w:rPr>
              <w:fldChar w:fldCharType="separate"/>
            </w:r>
            <w:r w:rsidR="009B5B4B">
              <w:rPr>
                <w:noProof/>
                <w:webHidden/>
              </w:rPr>
              <w:t>2</w:t>
            </w:r>
            <w:r w:rsidR="000629EB">
              <w:rPr>
                <w:noProof/>
                <w:webHidden/>
              </w:rPr>
              <w:fldChar w:fldCharType="end"/>
            </w:r>
          </w:hyperlink>
        </w:p>
        <w:p w14:paraId="1A50E3A8" w14:textId="18F9F09D" w:rsidR="000629EB" w:rsidRDefault="002E14AF" w:rsidP="00B124A0">
          <w:pPr>
            <w:pStyle w:val="TOC3"/>
            <w:tabs>
              <w:tab w:val="clear" w:pos="9016"/>
            </w:tabs>
            <w:rPr>
              <w:rFonts w:eastAsiaTheme="minorEastAsia" w:cstheme="minorBidi"/>
              <w:noProof/>
              <w:sz w:val="22"/>
              <w:szCs w:val="22"/>
            </w:rPr>
          </w:pPr>
          <w:hyperlink w:anchor="_Toc105518219" w:history="1">
            <w:r w:rsidR="000629EB" w:rsidRPr="00B96D63">
              <w:rPr>
                <w:rStyle w:val="Hyperlink"/>
                <w:noProof/>
              </w:rPr>
              <w:t>Capability Interview Guidelines</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_Toc105518219 \h </w:instrText>
            </w:r>
            <w:r w:rsidR="000629EB">
              <w:rPr>
                <w:noProof/>
                <w:webHidden/>
              </w:rPr>
            </w:r>
            <w:r w:rsidR="000629EB">
              <w:rPr>
                <w:noProof/>
                <w:webHidden/>
              </w:rPr>
              <w:fldChar w:fldCharType="separate"/>
            </w:r>
            <w:r w:rsidR="009B5B4B">
              <w:rPr>
                <w:noProof/>
                <w:webHidden/>
              </w:rPr>
              <w:t>3</w:t>
            </w:r>
            <w:r w:rsidR="000629EB">
              <w:rPr>
                <w:noProof/>
                <w:webHidden/>
              </w:rPr>
              <w:fldChar w:fldCharType="end"/>
            </w:r>
          </w:hyperlink>
        </w:p>
        <w:p w14:paraId="2C3A5868" w14:textId="0BC5C495" w:rsidR="000629EB" w:rsidRDefault="002E14AF" w:rsidP="00B124A0">
          <w:pPr>
            <w:pStyle w:val="TOC3"/>
            <w:tabs>
              <w:tab w:val="clear" w:pos="9016"/>
            </w:tabs>
            <w:rPr>
              <w:rFonts w:eastAsiaTheme="minorEastAsia" w:cstheme="minorBidi"/>
              <w:noProof/>
              <w:sz w:val="22"/>
              <w:szCs w:val="22"/>
            </w:rPr>
          </w:pPr>
          <w:hyperlink w:anchor="_Toc105518220" w:history="1">
            <w:r w:rsidR="000629EB" w:rsidRPr="00B96D63">
              <w:rPr>
                <w:rStyle w:val="Hyperlink"/>
                <w:noProof/>
              </w:rPr>
              <w:t>Document Change History</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_Toc105518220 \h </w:instrText>
            </w:r>
            <w:r w:rsidR="000629EB">
              <w:rPr>
                <w:noProof/>
                <w:webHidden/>
              </w:rPr>
            </w:r>
            <w:r w:rsidR="000629EB">
              <w:rPr>
                <w:noProof/>
                <w:webHidden/>
              </w:rPr>
              <w:fldChar w:fldCharType="separate"/>
            </w:r>
            <w:r w:rsidR="009B5B4B">
              <w:rPr>
                <w:noProof/>
                <w:webHidden/>
              </w:rPr>
              <w:t>3</w:t>
            </w:r>
            <w:r w:rsidR="000629EB">
              <w:rPr>
                <w:noProof/>
                <w:webHidden/>
              </w:rPr>
              <w:fldChar w:fldCharType="end"/>
            </w:r>
          </w:hyperlink>
        </w:p>
        <w:p w14:paraId="555E6658" w14:textId="26A31251" w:rsidR="000629EB" w:rsidRDefault="002E14AF" w:rsidP="00B124A0">
          <w:pPr>
            <w:pStyle w:val="TOC3"/>
            <w:tabs>
              <w:tab w:val="clear" w:pos="9016"/>
            </w:tabs>
            <w:rPr>
              <w:rFonts w:eastAsiaTheme="minorEastAsia" w:cstheme="minorBidi"/>
              <w:noProof/>
              <w:sz w:val="22"/>
              <w:szCs w:val="22"/>
            </w:rPr>
          </w:pPr>
          <w:hyperlink w:anchor="_Toc105518221" w:history="1">
            <w:r w:rsidR="000629EB" w:rsidRPr="00B96D63">
              <w:rPr>
                <w:rStyle w:val="Hyperlink"/>
                <w:noProof/>
              </w:rPr>
              <w:t>Background</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_Toc105518221 \h </w:instrText>
            </w:r>
            <w:r w:rsidR="000629EB">
              <w:rPr>
                <w:noProof/>
                <w:webHidden/>
              </w:rPr>
            </w:r>
            <w:r w:rsidR="000629EB">
              <w:rPr>
                <w:noProof/>
                <w:webHidden/>
              </w:rPr>
              <w:fldChar w:fldCharType="separate"/>
            </w:r>
            <w:r w:rsidR="009B5B4B">
              <w:rPr>
                <w:noProof/>
                <w:webHidden/>
              </w:rPr>
              <w:t>3</w:t>
            </w:r>
            <w:r w:rsidR="000629EB">
              <w:rPr>
                <w:noProof/>
                <w:webHidden/>
              </w:rPr>
              <w:fldChar w:fldCharType="end"/>
            </w:r>
          </w:hyperlink>
        </w:p>
        <w:p w14:paraId="218932A2" w14:textId="4FD87B36" w:rsidR="000629EB" w:rsidRDefault="002E14AF" w:rsidP="00B124A0">
          <w:pPr>
            <w:pStyle w:val="TOC2"/>
            <w:rPr>
              <w:rFonts w:eastAsiaTheme="minorEastAsia" w:cstheme="minorBidi"/>
              <w:b w:val="0"/>
              <w:iCs w:val="0"/>
              <w:noProof/>
              <w:sz w:val="22"/>
              <w:szCs w:val="22"/>
            </w:rPr>
          </w:pPr>
          <w:hyperlink w:anchor="_Toc105518222" w:history="1">
            <w:r w:rsidR="000629EB" w:rsidRPr="00B96D63">
              <w:rPr>
                <w:rStyle w:val="Hyperlink"/>
                <w:noProof/>
              </w:rPr>
              <w:t>1.</w:t>
            </w:r>
            <w:r w:rsidR="000629EB">
              <w:rPr>
                <w:rFonts w:eastAsiaTheme="minorEastAsia" w:cstheme="minorBidi"/>
                <w:b w:val="0"/>
                <w:iCs w:val="0"/>
                <w:noProof/>
                <w:sz w:val="22"/>
                <w:szCs w:val="22"/>
              </w:rPr>
              <w:tab/>
            </w:r>
            <w:r w:rsidR="000629EB" w:rsidRPr="00B96D63">
              <w:rPr>
                <w:rStyle w:val="Hyperlink"/>
                <w:noProof/>
              </w:rPr>
              <w:t>The purpose of a Capability Interview</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_Toc105518222 \h </w:instrText>
            </w:r>
            <w:r w:rsidR="000629EB">
              <w:rPr>
                <w:noProof/>
                <w:webHidden/>
              </w:rPr>
            </w:r>
            <w:r w:rsidR="000629EB">
              <w:rPr>
                <w:noProof/>
                <w:webHidden/>
              </w:rPr>
              <w:fldChar w:fldCharType="separate"/>
            </w:r>
            <w:r w:rsidR="009B5B4B">
              <w:rPr>
                <w:noProof/>
                <w:webHidden/>
              </w:rPr>
              <w:t>5</w:t>
            </w:r>
            <w:r w:rsidR="000629EB">
              <w:rPr>
                <w:noProof/>
                <w:webHidden/>
              </w:rPr>
              <w:fldChar w:fldCharType="end"/>
            </w:r>
          </w:hyperlink>
        </w:p>
        <w:p w14:paraId="27684393" w14:textId="590D7A3B" w:rsidR="000629EB" w:rsidRDefault="002E14AF" w:rsidP="00B124A0">
          <w:pPr>
            <w:pStyle w:val="TOC2"/>
            <w:rPr>
              <w:rFonts w:eastAsiaTheme="minorEastAsia" w:cstheme="minorBidi"/>
              <w:b w:val="0"/>
              <w:iCs w:val="0"/>
              <w:noProof/>
              <w:sz w:val="22"/>
              <w:szCs w:val="22"/>
            </w:rPr>
          </w:pPr>
          <w:hyperlink w:anchor="_Toc105518223" w:history="1">
            <w:r w:rsidR="000629EB" w:rsidRPr="00B96D63">
              <w:rPr>
                <w:rStyle w:val="Hyperlink"/>
                <w:noProof/>
              </w:rPr>
              <w:t>2.</w:t>
            </w:r>
            <w:r w:rsidR="000629EB">
              <w:rPr>
                <w:rFonts w:eastAsiaTheme="minorEastAsia" w:cstheme="minorBidi"/>
                <w:b w:val="0"/>
                <w:iCs w:val="0"/>
                <w:noProof/>
                <w:sz w:val="22"/>
                <w:szCs w:val="22"/>
              </w:rPr>
              <w:tab/>
            </w:r>
            <w:r w:rsidR="000629EB" w:rsidRPr="00B96D63">
              <w:rPr>
                <w:rStyle w:val="Hyperlink"/>
                <w:noProof/>
              </w:rPr>
              <w:t>When a Capability Interview is triggered</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_Toc105518223 \h </w:instrText>
            </w:r>
            <w:r w:rsidR="000629EB">
              <w:rPr>
                <w:noProof/>
                <w:webHidden/>
              </w:rPr>
            </w:r>
            <w:r w:rsidR="000629EB">
              <w:rPr>
                <w:noProof/>
                <w:webHidden/>
              </w:rPr>
              <w:fldChar w:fldCharType="separate"/>
            </w:r>
            <w:r w:rsidR="009B5B4B">
              <w:rPr>
                <w:noProof/>
                <w:webHidden/>
              </w:rPr>
              <w:t>5</w:t>
            </w:r>
            <w:r w:rsidR="000629EB">
              <w:rPr>
                <w:noProof/>
                <w:webHidden/>
              </w:rPr>
              <w:fldChar w:fldCharType="end"/>
            </w:r>
          </w:hyperlink>
        </w:p>
        <w:p w14:paraId="65F52642" w14:textId="118327F9" w:rsidR="000629EB" w:rsidRDefault="002E14AF" w:rsidP="00B124A0">
          <w:pPr>
            <w:pStyle w:val="TOC3"/>
            <w:tabs>
              <w:tab w:val="clear" w:pos="9016"/>
            </w:tabs>
            <w:rPr>
              <w:rFonts w:eastAsiaTheme="minorEastAsia" w:cstheme="minorBidi"/>
              <w:noProof/>
              <w:sz w:val="22"/>
              <w:szCs w:val="22"/>
            </w:rPr>
          </w:pPr>
          <w:hyperlink w:anchor="_Toc105518224" w:history="1">
            <w:r w:rsidR="000629EB" w:rsidRPr="00B96D63">
              <w:rPr>
                <w:rStyle w:val="Hyperlink"/>
                <w:noProof/>
              </w:rPr>
              <w:t>Capability Interviews resulted as ‘No Longer Required’, but are still ‘outstanding’</w:t>
            </w:r>
            <w:r w:rsidR="000629EB">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_Toc105518224 \h </w:instrText>
            </w:r>
            <w:r w:rsidR="000629EB">
              <w:rPr>
                <w:noProof/>
                <w:webHidden/>
              </w:rPr>
            </w:r>
            <w:r w:rsidR="000629EB">
              <w:rPr>
                <w:noProof/>
                <w:webHidden/>
              </w:rPr>
              <w:fldChar w:fldCharType="separate"/>
            </w:r>
            <w:r w:rsidR="009B5B4B">
              <w:rPr>
                <w:noProof/>
                <w:webHidden/>
              </w:rPr>
              <w:t>6</w:t>
            </w:r>
            <w:r w:rsidR="000629EB">
              <w:rPr>
                <w:noProof/>
                <w:webHidden/>
              </w:rPr>
              <w:fldChar w:fldCharType="end"/>
            </w:r>
          </w:hyperlink>
        </w:p>
        <w:p w14:paraId="08C9933D" w14:textId="1558DB16" w:rsidR="000629EB" w:rsidRDefault="002E14AF" w:rsidP="00B124A0">
          <w:pPr>
            <w:pStyle w:val="TOC2"/>
            <w:rPr>
              <w:rFonts w:eastAsiaTheme="minorEastAsia" w:cstheme="minorBidi"/>
              <w:b w:val="0"/>
              <w:iCs w:val="0"/>
              <w:noProof/>
              <w:sz w:val="22"/>
              <w:szCs w:val="22"/>
            </w:rPr>
          </w:pPr>
          <w:hyperlink w:anchor="_Toc105518225" w:history="1">
            <w:r w:rsidR="000629EB" w:rsidRPr="00B96D63">
              <w:rPr>
                <w:rStyle w:val="Hyperlink"/>
                <w:noProof/>
              </w:rPr>
              <w:t>3.</w:t>
            </w:r>
            <w:r w:rsidR="000629EB">
              <w:rPr>
                <w:rFonts w:eastAsiaTheme="minorEastAsia" w:cstheme="minorBidi"/>
                <w:b w:val="0"/>
                <w:iCs w:val="0"/>
                <w:noProof/>
                <w:sz w:val="22"/>
                <w:szCs w:val="22"/>
              </w:rPr>
              <w:tab/>
            </w:r>
            <w:r w:rsidR="000629EB" w:rsidRPr="00B96D63">
              <w:rPr>
                <w:rStyle w:val="Hyperlink"/>
                <w:noProof/>
              </w:rPr>
              <w:t>Scheduling a Capability Interview</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_Toc105518225 \h </w:instrText>
            </w:r>
            <w:r w:rsidR="000629EB">
              <w:rPr>
                <w:noProof/>
                <w:webHidden/>
              </w:rPr>
            </w:r>
            <w:r w:rsidR="000629EB">
              <w:rPr>
                <w:noProof/>
                <w:webHidden/>
              </w:rPr>
              <w:fldChar w:fldCharType="separate"/>
            </w:r>
            <w:r w:rsidR="009B5B4B">
              <w:rPr>
                <w:noProof/>
                <w:webHidden/>
              </w:rPr>
              <w:t>7</w:t>
            </w:r>
            <w:r w:rsidR="000629EB">
              <w:rPr>
                <w:noProof/>
                <w:webHidden/>
              </w:rPr>
              <w:fldChar w:fldCharType="end"/>
            </w:r>
          </w:hyperlink>
        </w:p>
        <w:p w14:paraId="382235CC" w14:textId="120A59F5" w:rsidR="000629EB" w:rsidRDefault="002E14AF" w:rsidP="00B124A0">
          <w:pPr>
            <w:pStyle w:val="TOC2"/>
            <w:rPr>
              <w:rFonts w:eastAsiaTheme="minorEastAsia" w:cstheme="minorBidi"/>
              <w:b w:val="0"/>
              <w:iCs w:val="0"/>
              <w:noProof/>
              <w:sz w:val="22"/>
              <w:szCs w:val="22"/>
            </w:rPr>
          </w:pPr>
          <w:hyperlink w:anchor="_Toc105518226" w:history="1">
            <w:r w:rsidR="000629EB" w:rsidRPr="00B96D63">
              <w:rPr>
                <w:rStyle w:val="Hyperlink"/>
                <w:noProof/>
              </w:rPr>
              <w:t>4.</w:t>
            </w:r>
            <w:r w:rsidR="000629EB">
              <w:rPr>
                <w:rFonts w:eastAsiaTheme="minorEastAsia" w:cstheme="minorBidi"/>
                <w:b w:val="0"/>
                <w:iCs w:val="0"/>
                <w:noProof/>
                <w:sz w:val="22"/>
                <w:szCs w:val="22"/>
              </w:rPr>
              <w:tab/>
            </w:r>
            <w:r w:rsidR="000629EB" w:rsidRPr="00B96D63">
              <w:rPr>
                <w:rStyle w:val="Hyperlink"/>
                <w:noProof/>
              </w:rPr>
              <w:t>Circumstances where a Capability Interview does not need to be delivered face to face</w:t>
            </w:r>
            <w:r w:rsidR="000629EB">
              <w:rPr>
                <w:noProof/>
                <w:webHidden/>
              </w:rPr>
              <w:tab/>
            </w:r>
            <w:r w:rsidR="000629EB">
              <w:rPr>
                <w:noProof/>
                <w:webHidden/>
              </w:rPr>
              <w:fldChar w:fldCharType="begin"/>
            </w:r>
            <w:r w:rsidR="000629EB">
              <w:rPr>
                <w:noProof/>
                <w:webHidden/>
              </w:rPr>
              <w:instrText xml:space="preserve"> PAGEREF _Toc105518226 \h </w:instrText>
            </w:r>
            <w:r w:rsidR="000629EB">
              <w:rPr>
                <w:noProof/>
                <w:webHidden/>
              </w:rPr>
            </w:r>
            <w:r w:rsidR="000629EB">
              <w:rPr>
                <w:noProof/>
                <w:webHidden/>
              </w:rPr>
              <w:fldChar w:fldCharType="separate"/>
            </w:r>
            <w:r w:rsidR="009B5B4B">
              <w:rPr>
                <w:noProof/>
                <w:webHidden/>
              </w:rPr>
              <w:t>7</w:t>
            </w:r>
            <w:r w:rsidR="000629EB">
              <w:rPr>
                <w:noProof/>
                <w:webHidden/>
              </w:rPr>
              <w:fldChar w:fldCharType="end"/>
            </w:r>
          </w:hyperlink>
        </w:p>
        <w:p w14:paraId="13769426" w14:textId="0819528C" w:rsidR="000629EB" w:rsidRDefault="002E14AF" w:rsidP="00B124A0">
          <w:pPr>
            <w:pStyle w:val="TOC3"/>
            <w:tabs>
              <w:tab w:val="clear" w:pos="9016"/>
            </w:tabs>
            <w:rPr>
              <w:rFonts w:eastAsiaTheme="minorEastAsia" w:cstheme="minorBidi"/>
              <w:noProof/>
              <w:sz w:val="22"/>
              <w:szCs w:val="22"/>
            </w:rPr>
          </w:pPr>
          <w:hyperlink w:anchor="_Toc105518227" w:history="1">
            <w:r w:rsidR="000629EB" w:rsidRPr="00B96D63">
              <w:rPr>
                <w:rStyle w:val="Hyperlink"/>
                <w:noProof/>
              </w:rPr>
              <w:t>Allowable Circumstances</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_Toc105518227 \h </w:instrText>
            </w:r>
            <w:r w:rsidR="000629EB">
              <w:rPr>
                <w:noProof/>
                <w:webHidden/>
              </w:rPr>
            </w:r>
            <w:r w:rsidR="000629EB">
              <w:rPr>
                <w:noProof/>
                <w:webHidden/>
              </w:rPr>
              <w:fldChar w:fldCharType="separate"/>
            </w:r>
            <w:r w:rsidR="009B5B4B">
              <w:rPr>
                <w:noProof/>
                <w:webHidden/>
              </w:rPr>
              <w:t>7</w:t>
            </w:r>
            <w:r w:rsidR="000629EB">
              <w:rPr>
                <w:noProof/>
                <w:webHidden/>
              </w:rPr>
              <w:fldChar w:fldCharType="end"/>
            </w:r>
          </w:hyperlink>
        </w:p>
        <w:p w14:paraId="471E42C2" w14:textId="31B7CB5D" w:rsidR="000629EB" w:rsidRDefault="002E14AF" w:rsidP="00B124A0">
          <w:pPr>
            <w:pStyle w:val="TOC2"/>
            <w:rPr>
              <w:rFonts w:eastAsiaTheme="minorEastAsia" w:cstheme="minorBidi"/>
              <w:b w:val="0"/>
              <w:iCs w:val="0"/>
              <w:noProof/>
              <w:sz w:val="22"/>
              <w:szCs w:val="22"/>
            </w:rPr>
          </w:pPr>
          <w:hyperlink w:anchor="_Toc105518228" w:history="1">
            <w:r w:rsidR="000629EB" w:rsidRPr="00B96D63">
              <w:rPr>
                <w:rStyle w:val="Hyperlink"/>
                <w:noProof/>
              </w:rPr>
              <w:t>5.</w:t>
            </w:r>
            <w:r w:rsidR="000629EB">
              <w:rPr>
                <w:rFonts w:eastAsiaTheme="minorEastAsia" w:cstheme="minorBidi"/>
                <w:b w:val="0"/>
                <w:iCs w:val="0"/>
                <w:noProof/>
                <w:sz w:val="22"/>
                <w:szCs w:val="22"/>
              </w:rPr>
              <w:tab/>
            </w:r>
            <w:r w:rsidR="000629EB" w:rsidRPr="00B96D63">
              <w:rPr>
                <w:rStyle w:val="Hyperlink"/>
                <w:noProof/>
              </w:rPr>
              <w:t>Circumstances where a Capability Interview does not need to be delivered within two Business Days</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_Toc105518228 \h </w:instrText>
            </w:r>
            <w:r w:rsidR="000629EB">
              <w:rPr>
                <w:noProof/>
                <w:webHidden/>
              </w:rPr>
            </w:r>
            <w:r w:rsidR="000629EB">
              <w:rPr>
                <w:noProof/>
                <w:webHidden/>
              </w:rPr>
              <w:fldChar w:fldCharType="separate"/>
            </w:r>
            <w:r w:rsidR="009B5B4B">
              <w:rPr>
                <w:noProof/>
                <w:webHidden/>
              </w:rPr>
              <w:t>8</w:t>
            </w:r>
            <w:r w:rsidR="000629EB">
              <w:rPr>
                <w:noProof/>
                <w:webHidden/>
              </w:rPr>
              <w:fldChar w:fldCharType="end"/>
            </w:r>
          </w:hyperlink>
        </w:p>
        <w:p w14:paraId="6EF3D4DB" w14:textId="1B2887B7" w:rsidR="000629EB" w:rsidRDefault="002E14AF" w:rsidP="00B124A0">
          <w:pPr>
            <w:pStyle w:val="TOC3"/>
            <w:tabs>
              <w:tab w:val="clear" w:pos="9016"/>
            </w:tabs>
            <w:rPr>
              <w:rFonts w:eastAsiaTheme="minorEastAsia" w:cstheme="minorBidi"/>
              <w:noProof/>
              <w:sz w:val="22"/>
              <w:szCs w:val="22"/>
            </w:rPr>
          </w:pPr>
          <w:hyperlink w:anchor="_Toc105518229" w:history="1">
            <w:r w:rsidR="000629EB" w:rsidRPr="00B96D63">
              <w:rPr>
                <w:rStyle w:val="Hyperlink"/>
                <w:noProof/>
              </w:rPr>
              <w:t>Reporting a Work Refusal Failure and Unemployment Failure before the Capability Interview is finalised</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_Toc105518229 \h </w:instrText>
            </w:r>
            <w:r w:rsidR="000629EB">
              <w:rPr>
                <w:noProof/>
                <w:webHidden/>
              </w:rPr>
            </w:r>
            <w:r w:rsidR="000629EB">
              <w:rPr>
                <w:noProof/>
                <w:webHidden/>
              </w:rPr>
              <w:fldChar w:fldCharType="separate"/>
            </w:r>
            <w:r w:rsidR="009B5B4B">
              <w:rPr>
                <w:noProof/>
                <w:webHidden/>
              </w:rPr>
              <w:t>10</w:t>
            </w:r>
            <w:r w:rsidR="000629EB">
              <w:rPr>
                <w:noProof/>
                <w:webHidden/>
              </w:rPr>
              <w:fldChar w:fldCharType="end"/>
            </w:r>
          </w:hyperlink>
        </w:p>
        <w:p w14:paraId="1B39C13C" w14:textId="67E9A77F" w:rsidR="000629EB" w:rsidRDefault="002E14AF" w:rsidP="00B124A0">
          <w:pPr>
            <w:pStyle w:val="TOC3"/>
            <w:tabs>
              <w:tab w:val="clear" w:pos="9016"/>
            </w:tabs>
            <w:rPr>
              <w:rFonts w:eastAsiaTheme="minorEastAsia" w:cstheme="minorBidi"/>
              <w:noProof/>
              <w:sz w:val="22"/>
              <w:szCs w:val="22"/>
            </w:rPr>
          </w:pPr>
          <w:hyperlink w:anchor="_Toc105518230" w:history="1">
            <w:r w:rsidR="000629EB" w:rsidRPr="00B96D63">
              <w:rPr>
                <w:rStyle w:val="Hyperlink"/>
                <w:noProof/>
              </w:rPr>
              <w:t>If a Participant fails to attend their Capability Interview</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_Toc105518230 \h </w:instrText>
            </w:r>
            <w:r w:rsidR="000629EB">
              <w:rPr>
                <w:noProof/>
                <w:webHidden/>
              </w:rPr>
            </w:r>
            <w:r w:rsidR="000629EB">
              <w:rPr>
                <w:noProof/>
                <w:webHidden/>
              </w:rPr>
              <w:fldChar w:fldCharType="separate"/>
            </w:r>
            <w:r w:rsidR="009B5B4B">
              <w:rPr>
                <w:noProof/>
                <w:webHidden/>
              </w:rPr>
              <w:t>10</w:t>
            </w:r>
            <w:r w:rsidR="000629EB">
              <w:rPr>
                <w:noProof/>
                <w:webHidden/>
              </w:rPr>
              <w:fldChar w:fldCharType="end"/>
            </w:r>
          </w:hyperlink>
        </w:p>
        <w:p w14:paraId="11B6CF06" w14:textId="655E7147" w:rsidR="000629EB" w:rsidRDefault="002E14AF" w:rsidP="00B124A0">
          <w:pPr>
            <w:pStyle w:val="TOC2"/>
            <w:rPr>
              <w:rFonts w:eastAsiaTheme="minorEastAsia" w:cstheme="minorBidi"/>
              <w:b w:val="0"/>
              <w:iCs w:val="0"/>
              <w:noProof/>
              <w:sz w:val="22"/>
              <w:szCs w:val="22"/>
            </w:rPr>
          </w:pPr>
          <w:hyperlink w:anchor="_Toc105518231" w:history="1">
            <w:r w:rsidR="000629EB" w:rsidRPr="00B96D63">
              <w:rPr>
                <w:rStyle w:val="Hyperlink"/>
                <w:noProof/>
              </w:rPr>
              <w:t>6.</w:t>
            </w:r>
            <w:r w:rsidR="000629EB">
              <w:rPr>
                <w:rFonts w:eastAsiaTheme="minorEastAsia" w:cstheme="minorBidi"/>
                <w:b w:val="0"/>
                <w:iCs w:val="0"/>
                <w:noProof/>
                <w:sz w:val="22"/>
                <w:szCs w:val="22"/>
              </w:rPr>
              <w:tab/>
            </w:r>
            <w:r w:rsidR="000629EB" w:rsidRPr="00B96D63">
              <w:rPr>
                <w:rStyle w:val="Hyperlink"/>
                <w:noProof/>
              </w:rPr>
              <w:t>Preparing to conduct a Capability Interview</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_Toc105518231 \h </w:instrText>
            </w:r>
            <w:r w:rsidR="000629EB">
              <w:rPr>
                <w:noProof/>
                <w:webHidden/>
              </w:rPr>
            </w:r>
            <w:r w:rsidR="000629EB">
              <w:rPr>
                <w:noProof/>
                <w:webHidden/>
              </w:rPr>
              <w:fldChar w:fldCharType="separate"/>
            </w:r>
            <w:r w:rsidR="009B5B4B">
              <w:rPr>
                <w:noProof/>
                <w:webHidden/>
              </w:rPr>
              <w:t>10</w:t>
            </w:r>
            <w:r w:rsidR="000629EB">
              <w:rPr>
                <w:noProof/>
                <w:webHidden/>
              </w:rPr>
              <w:fldChar w:fldCharType="end"/>
            </w:r>
          </w:hyperlink>
        </w:p>
        <w:p w14:paraId="2D30E3CF" w14:textId="11645CC8" w:rsidR="000629EB" w:rsidRDefault="002E14AF" w:rsidP="00B124A0">
          <w:pPr>
            <w:pStyle w:val="TOC3"/>
            <w:tabs>
              <w:tab w:val="clear" w:pos="9016"/>
            </w:tabs>
            <w:rPr>
              <w:rFonts w:eastAsiaTheme="minorEastAsia" w:cstheme="minorBidi"/>
              <w:noProof/>
              <w:sz w:val="22"/>
              <w:szCs w:val="22"/>
            </w:rPr>
          </w:pPr>
          <w:hyperlink w:anchor="_Toc105518232" w:history="1">
            <w:r w:rsidR="000629EB" w:rsidRPr="00B96D63">
              <w:rPr>
                <w:rStyle w:val="Hyperlink"/>
                <w:noProof/>
              </w:rPr>
              <w:t>Pre-interview check</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0629EB">
              <w:rPr>
                <w:noProof/>
                <w:webHidden/>
              </w:rPr>
              <w:fldChar w:fldCharType="begin"/>
            </w:r>
            <w:r w:rsidR="000629EB">
              <w:rPr>
                <w:noProof/>
                <w:webHidden/>
              </w:rPr>
              <w:instrText xml:space="preserve"> PAGEREF _Toc105518232 \h </w:instrText>
            </w:r>
            <w:r w:rsidR="000629EB">
              <w:rPr>
                <w:noProof/>
                <w:webHidden/>
              </w:rPr>
            </w:r>
            <w:r w:rsidR="000629EB">
              <w:rPr>
                <w:noProof/>
                <w:webHidden/>
              </w:rPr>
              <w:fldChar w:fldCharType="separate"/>
            </w:r>
            <w:r w:rsidR="009B5B4B">
              <w:rPr>
                <w:noProof/>
                <w:webHidden/>
              </w:rPr>
              <w:t>10</w:t>
            </w:r>
            <w:r w:rsidR="000629EB">
              <w:rPr>
                <w:noProof/>
                <w:webHidden/>
              </w:rPr>
              <w:fldChar w:fldCharType="end"/>
            </w:r>
          </w:hyperlink>
        </w:p>
        <w:p w14:paraId="47A052BE" w14:textId="34708F67" w:rsidR="000629EB" w:rsidRDefault="002E14AF" w:rsidP="00B124A0">
          <w:pPr>
            <w:pStyle w:val="TOC2"/>
            <w:rPr>
              <w:rFonts w:eastAsiaTheme="minorEastAsia" w:cstheme="minorBidi"/>
              <w:b w:val="0"/>
              <w:iCs w:val="0"/>
              <w:noProof/>
              <w:sz w:val="22"/>
              <w:szCs w:val="22"/>
            </w:rPr>
          </w:pPr>
          <w:hyperlink w:anchor="_Toc105518233" w:history="1">
            <w:r w:rsidR="000629EB" w:rsidRPr="00B96D63">
              <w:rPr>
                <w:rStyle w:val="Hyperlink"/>
                <w:noProof/>
              </w:rPr>
              <w:t>7.</w:t>
            </w:r>
            <w:r w:rsidR="000629EB">
              <w:rPr>
                <w:rFonts w:eastAsiaTheme="minorEastAsia" w:cstheme="minorBidi"/>
                <w:b w:val="0"/>
                <w:iCs w:val="0"/>
                <w:noProof/>
                <w:sz w:val="22"/>
                <w:szCs w:val="22"/>
              </w:rPr>
              <w:tab/>
            </w:r>
            <w:r w:rsidR="000629EB" w:rsidRPr="00B96D63">
              <w:rPr>
                <w:rStyle w:val="Hyperlink"/>
                <w:noProof/>
              </w:rPr>
              <w:t>Conducting the Capability Interview</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_Toc105518233 \h </w:instrText>
            </w:r>
            <w:r w:rsidR="000629EB">
              <w:rPr>
                <w:noProof/>
                <w:webHidden/>
              </w:rPr>
            </w:r>
            <w:r w:rsidR="000629EB">
              <w:rPr>
                <w:noProof/>
                <w:webHidden/>
              </w:rPr>
              <w:fldChar w:fldCharType="separate"/>
            </w:r>
            <w:r w:rsidR="009B5B4B">
              <w:rPr>
                <w:noProof/>
                <w:webHidden/>
              </w:rPr>
              <w:t>11</w:t>
            </w:r>
            <w:r w:rsidR="000629EB">
              <w:rPr>
                <w:noProof/>
                <w:webHidden/>
              </w:rPr>
              <w:fldChar w:fldCharType="end"/>
            </w:r>
          </w:hyperlink>
        </w:p>
        <w:p w14:paraId="6C9314FE" w14:textId="1B636177" w:rsidR="000629EB" w:rsidRDefault="002E14AF" w:rsidP="00B124A0">
          <w:pPr>
            <w:pStyle w:val="TOC3"/>
            <w:tabs>
              <w:tab w:val="clear" w:pos="9016"/>
            </w:tabs>
            <w:rPr>
              <w:rFonts w:eastAsiaTheme="minorEastAsia" w:cstheme="minorBidi"/>
              <w:noProof/>
              <w:sz w:val="22"/>
              <w:szCs w:val="22"/>
            </w:rPr>
          </w:pPr>
          <w:hyperlink w:anchor="_Toc105518234" w:history="1">
            <w:r w:rsidR="000629EB" w:rsidRPr="00B96D63">
              <w:rPr>
                <w:rStyle w:val="Hyperlink"/>
                <w:noProof/>
              </w:rPr>
              <w:t>Delivery by a different staff member</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_Toc105518234 \h </w:instrText>
            </w:r>
            <w:r w:rsidR="000629EB">
              <w:rPr>
                <w:noProof/>
                <w:webHidden/>
              </w:rPr>
            </w:r>
            <w:r w:rsidR="000629EB">
              <w:rPr>
                <w:noProof/>
                <w:webHidden/>
              </w:rPr>
              <w:fldChar w:fldCharType="separate"/>
            </w:r>
            <w:r w:rsidR="009B5B4B">
              <w:rPr>
                <w:noProof/>
                <w:webHidden/>
              </w:rPr>
              <w:t>11</w:t>
            </w:r>
            <w:r w:rsidR="000629EB">
              <w:rPr>
                <w:noProof/>
                <w:webHidden/>
              </w:rPr>
              <w:fldChar w:fldCharType="end"/>
            </w:r>
          </w:hyperlink>
        </w:p>
        <w:p w14:paraId="61994989" w14:textId="3E74E702" w:rsidR="000629EB" w:rsidRDefault="002E14AF" w:rsidP="00B124A0">
          <w:pPr>
            <w:pStyle w:val="TOC3"/>
            <w:tabs>
              <w:tab w:val="clear" w:pos="9016"/>
            </w:tabs>
            <w:rPr>
              <w:rFonts w:eastAsiaTheme="minorEastAsia" w:cstheme="minorBidi"/>
              <w:noProof/>
              <w:sz w:val="22"/>
              <w:szCs w:val="22"/>
            </w:rPr>
          </w:pPr>
          <w:hyperlink w:anchor="_Toc105518235" w:history="1">
            <w:r w:rsidR="000629EB" w:rsidRPr="00B96D63">
              <w:rPr>
                <w:rStyle w:val="Hyperlink"/>
                <w:noProof/>
              </w:rPr>
              <w:t>Getting Started</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_Toc105518235 \h </w:instrText>
            </w:r>
            <w:r w:rsidR="000629EB">
              <w:rPr>
                <w:noProof/>
                <w:webHidden/>
              </w:rPr>
            </w:r>
            <w:r w:rsidR="000629EB">
              <w:rPr>
                <w:noProof/>
                <w:webHidden/>
              </w:rPr>
              <w:fldChar w:fldCharType="separate"/>
            </w:r>
            <w:r w:rsidR="009B5B4B">
              <w:rPr>
                <w:noProof/>
                <w:webHidden/>
              </w:rPr>
              <w:t>11</w:t>
            </w:r>
            <w:r w:rsidR="000629EB">
              <w:rPr>
                <w:noProof/>
                <w:webHidden/>
              </w:rPr>
              <w:fldChar w:fldCharType="end"/>
            </w:r>
          </w:hyperlink>
        </w:p>
        <w:p w14:paraId="50A6F0F3" w14:textId="151DEB20" w:rsidR="000629EB" w:rsidRDefault="002E14AF" w:rsidP="00B124A0">
          <w:pPr>
            <w:pStyle w:val="TOC3"/>
            <w:tabs>
              <w:tab w:val="clear" w:pos="9016"/>
            </w:tabs>
            <w:rPr>
              <w:rFonts w:eastAsiaTheme="minorEastAsia" w:cstheme="minorBidi"/>
              <w:noProof/>
              <w:sz w:val="22"/>
              <w:szCs w:val="22"/>
            </w:rPr>
          </w:pPr>
          <w:hyperlink w:anchor="_Toc105518236" w:history="1">
            <w:r w:rsidR="000629EB" w:rsidRPr="00B96D63">
              <w:rPr>
                <w:rStyle w:val="Hyperlink"/>
                <w:noProof/>
              </w:rPr>
              <w:t>Capability Interview discussion</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_Toc105518236 \h </w:instrText>
            </w:r>
            <w:r w:rsidR="000629EB">
              <w:rPr>
                <w:noProof/>
                <w:webHidden/>
              </w:rPr>
            </w:r>
            <w:r w:rsidR="000629EB">
              <w:rPr>
                <w:noProof/>
                <w:webHidden/>
              </w:rPr>
              <w:fldChar w:fldCharType="separate"/>
            </w:r>
            <w:r w:rsidR="009B5B4B">
              <w:rPr>
                <w:noProof/>
                <w:webHidden/>
              </w:rPr>
              <w:t>12</w:t>
            </w:r>
            <w:r w:rsidR="000629EB">
              <w:rPr>
                <w:noProof/>
                <w:webHidden/>
              </w:rPr>
              <w:fldChar w:fldCharType="end"/>
            </w:r>
          </w:hyperlink>
        </w:p>
        <w:p w14:paraId="2F766E80" w14:textId="0A3F51BD" w:rsidR="000629EB" w:rsidRDefault="002E14AF" w:rsidP="00B124A0">
          <w:pPr>
            <w:pStyle w:val="TOC3"/>
            <w:tabs>
              <w:tab w:val="clear" w:pos="9016"/>
            </w:tabs>
            <w:rPr>
              <w:rFonts w:eastAsiaTheme="minorEastAsia" w:cstheme="minorBidi"/>
              <w:noProof/>
              <w:sz w:val="22"/>
              <w:szCs w:val="22"/>
            </w:rPr>
          </w:pPr>
          <w:hyperlink w:anchor="_Toc105518237" w:history="1">
            <w:r w:rsidR="000629EB" w:rsidRPr="00B96D63">
              <w:rPr>
                <w:rStyle w:val="Hyperlink"/>
                <w:noProof/>
              </w:rPr>
              <w:t>Re-running the Job Seeker Classification Instrument (JSCI)</w:t>
            </w:r>
            <w:r w:rsidR="000629EB">
              <w:rPr>
                <w:noProof/>
                <w:webHidden/>
              </w:rPr>
              <w:tab/>
            </w:r>
            <w:r w:rsidR="00B124A0">
              <w:rPr>
                <w:noProof/>
                <w:webHidden/>
              </w:rPr>
              <w:tab/>
            </w:r>
            <w:r w:rsidR="00B124A0">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_Toc105518237 \h </w:instrText>
            </w:r>
            <w:r w:rsidR="000629EB">
              <w:rPr>
                <w:noProof/>
                <w:webHidden/>
              </w:rPr>
            </w:r>
            <w:r w:rsidR="000629EB">
              <w:rPr>
                <w:noProof/>
                <w:webHidden/>
              </w:rPr>
              <w:fldChar w:fldCharType="separate"/>
            </w:r>
            <w:r w:rsidR="009B5B4B">
              <w:rPr>
                <w:noProof/>
                <w:webHidden/>
              </w:rPr>
              <w:t>12</w:t>
            </w:r>
            <w:r w:rsidR="000629EB">
              <w:rPr>
                <w:noProof/>
                <w:webHidden/>
              </w:rPr>
              <w:fldChar w:fldCharType="end"/>
            </w:r>
          </w:hyperlink>
        </w:p>
        <w:p w14:paraId="6D79DE44" w14:textId="4C7473F3" w:rsidR="000629EB" w:rsidRDefault="002E14AF" w:rsidP="00B124A0">
          <w:pPr>
            <w:pStyle w:val="TOC3"/>
            <w:tabs>
              <w:tab w:val="clear" w:pos="9016"/>
            </w:tabs>
            <w:rPr>
              <w:rFonts w:eastAsiaTheme="minorEastAsia" w:cstheme="minorBidi"/>
              <w:noProof/>
              <w:sz w:val="22"/>
              <w:szCs w:val="22"/>
            </w:rPr>
          </w:pPr>
          <w:hyperlink w:anchor="_Toc105518238" w:history="1">
            <w:r w:rsidR="000629EB" w:rsidRPr="00B96D63">
              <w:rPr>
                <w:rStyle w:val="Hyperlink"/>
                <w:noProof/>
              </w:rPr>
              <w:t>Referring the Participant for an Employment Services Assessment after re-running the JSCI</w:t>
            </w:r>
            <w:r w:rsidR="00B124A0">
              <w:rPr>
                <w:rStyle w:val="Hyperlink"/>
                <w:noProof/>
              </w:rPr>
              <w:tab/>
            </w:r>
            <w:r w:rsidR="00B124A0">
              <w:rPr>
                <w:noProof/>
                <w:webHidden/>
              </w:rPr>
              <w:t xml:space="preserve">              </w:t>
            </w:r>
            <w:r w:rsidR="000629EB">
              <w:rPr>
                <w:noProof/>
                <w:webHidden/>
              </w:rPr>
              <w:fldChar w:fldCharType="begin"/>
            </w:r>
            <w:r w:rsidR="000629EB">
              <w:rPr>
                <w:noProof/>
                <w:webHidden/>
              </w:rPr>
              <w:instrText xml:space="preserve"> PAGEREF _Toc105518238 \h </w:instrText>
            </w:r>
            <w:r w:rsidR="000629EB">
              <w:rPr>
                <w:noProof/>
                <w:webHidden/>
              </w:rPr>
            </w:r>
            <w:r w:rsidR="000629EB">
              <w:rPr>
                <w:noProof/>
                <w:webHidden/>
              </w:rPr>
              <w:fldChar w:fldCharType="separate"/>
            </w:r>
            <w:r w:rsidR="009B5B4B">
              <w:rPr>
                <w:noProof/>
                <w:webHidden/>
              </w:rPr>
              <w:t>13</w:t>
            </w:r>
            <w:r w:rsidR="000629EB">
              <w:rPr>
                <w:noProof/>
                <w:webHidden/>
              </w:rPr>
              <w:fldChar w:fldCharType="end"/>
            </w:r>
          </w:hyperlink>
        </w:p>
        <w:p w14:paraId="7750D8A0" w14:textId="1C94AAD8" w:rsidR="000629EB" w:rsidRDefault="002E14AF" w:rsidP="00B124A0">
          <w:pPr>
            <w:pStyle w:val="TOC3"/>
            <w:tabs>
              <w:tab w:val="clear" w:pos="9016"/>
            </w:tabs>
            <w:rPr>
              <w:rFonts w:eastAsiaTheme="minorEastAsia" w:cstheme="minorBidi"/>
              <w:noProof/>
              <w:sz w:val="22"/>
              <w:szCs w:val="22"/>
            </w:rPr>
          </w:pPr>
          <w:hyperlink w:anchor="_Toc105518239" w:history="1">
            <w:r w:rsidR="000629EB" w:rsidRPr="00B96D63">
              <w:rPr>
                <w:rStyle w:val="Hyperlink"/>
                <w:noProof/>
              </w:rPr>
              <w:t>Finalising the Capability Interview</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_Toc105518239 \h </w:instrText>
            </w:r>
            <w:r w:rsidR="000629EB">
              <w:rPr>
                <w:noProof/>
                <w:webHidden/>
              </w:rPr>
            </w:r>
            <w:r w:rsidR="000629EB">
              <w:rPr>
                <w:noProof/>
                <w:webHidden/>
              </w:rPr>
              <w:fldChar w:fldCharType="separate"/>
            </w:r>
            <w:r w:rsidR="009B5B4B">
              <w:rPr>
                <w:noProof/>
                <w:webHidden/>
              </w:rPr>
              <w:t>13</w:t>
            </w:r>
            <w:r w:rsidR="000629EB">
              <w:rPr>
                <w:noProof/>
                <w:webHidden/>
              </w:rPr>
              <w:fldChar w:fldCharType="end"/>
            </w:r>
          </w:hyperlink>
        </w:p>
        <w:p w14:paraId="73937120" w14:textId="3614DCC6" w:rsidR="000629EB" w:rsidRDefault="002E14AF" w:rsidP="00B124A0">
          <w:pPr>
            <w:pStyle w:val="TOC3"/>
            <w:tabs>
              <w:tab w:val="clear" w:pos="9016"/>
            </w:tabs>
            <w:rPr>
              <w:rFonts w:eastAsiaTheme="minorEastAsia" w:cstheme="minorBidi"/>
              <w:noProof/>
              <w:sz w:val="22"/>
              <w:szCs w:val="22"/>
            </w:rPr>
          </w:pPr>
          <w:hyperlink w:anchor="_Toc105518240" w:history="1">
            <w:r w:rsidR="000629EB" w:rsidRPr="00B96D63">
              <w:rPr>
                <w:rStyle w:val="Hyperlink"/>
                <w:noProof/>
              </w:rPr>
              <w:t>Using the Capability Management Tool</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_Toc105518240 \h </w:instrText>
            </w:r>
            <w:r w:rsidR="000629EB">
              <w:rPr>
                <w:noProof/>
                <w:webHidden/>
              </w:rPr>
            </w:r>
            <w:r w:rsidR="000629EB">
              <w:rPr>
                <w:noProof/>
                <w:webHidden/>
              </w:rPr>
              <w:fldChar w:fldCharType="separate"/>
            </w:r>
            <w:r w:rsidR="009B5B4B">
              <w:rPr>
                <w:noProof/>
                <w:webHidden/>
              </w:rPr>
              <w:t>13</w:t>
            </w:r>
            <w:r w:rsidR="000629EB">
              <w:rPr>
                <w:noProof/>
                <w:webHidden/>
              </w:rPr>
              <w:fldChar w:fldCharType="end"/>
            </w:r>
          </w:hyperlink>
        </w:p>
        <w:p w14:paraId="7A67D454" w14:textId="47A38135" w:rsidR="000629EB" w:rsidRDefault="002E14AF" w:rsidP="00B124A0">
          <w:pPr>
            <w:pStyle w:val="TOC2"/>
            <w:rPr>
              <w:rFonts w:eastAsiaTheme="minorEastAsia" w:cstheme="minorBidi"/>
              <w:b w:val="0"/>
              <w:iCs w:val="0"/>
              <w:noProof/>
              <w:sz w:val="22"/>
              <w:szCs w:val="22"/>
            </w:rPr>
          </w:pPr>
          <w:hyperlink w:anchor="_Toc105518241" w:history="1">
            <w:r w:rsidR="000629EB" w:rsidRPr="00B96D63">
              <w:rPr>
                <w:rStyle w:val="Hyperlink"/>
                <w:noProof/>
              </w:rPr>
              <w:t>8.</w:t>
            </w:r>
            <w:r w:rsidR="000629EB">
              <w:rPr>
                <w:rFonts w:eastAsiaTheme="minorEastAsia" w:cstheme="minorBidi"/>
                <w:b w:val="0"/>
                <w:iCs w:val="0"/>
                <w:noProof/>
                <w:sz w:val="22"/>
                <w:szCs w:val="22"/>
              </w:rPr>
              <w:tab/>
            </w:r>
            <w:r w:rsidR="000629EB" w:rsidRPr="00B96D63">
              <w:rPr>
                <w:rStyle w:val="Hyperlink"/>
                <w:noProof/>
              </w:rPr>
              <w:t>Actioning outcomes from a Capability Interview</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_Toc105518241 \h </w:instrText>
            </w:r>
            <w:r w:rsidR="000629EB">
              <w:rPr>
                <w:noProof/>
                <w:webHidden/>
              </w:rPr>
            </w:r>
            <w:r w:rsidR="000629EB">
              <w:rPr>
                <w:noProof/>
                <w:webHidden/>
              </w:rPr>
              <w:fldChar w:fldCharType="separate"/>
            </w:r>
            <w:r w:rsidR="009B5B4B">
              <w:rPr>
                <w:noProof/>
                <w:webHidden/>
              </w:rPr>
              <w:t>13</w:t>
            </w:r>
            <w:r w:rsidR="000629EB">
              <w:rPr>
                <w:noProof/>
                <w:webHidden/>
              </w:rPr>
              <w:fldChar w:fldCharType="end"/>
            </w:r>
          </w:hyperlink>
        </w:p>
        <w:p w14:paraId="7C499685" w14:textId="3CA82F07" w:rsidR="000629EB" w:rsidRDefault="002E14AF" w:rsidP="00B124A0">
          <w:pPr>
            <w:pStyle w:val="TOC3"/>
            <w:tabs>
              <w:tab w:val="clear" w:pos="9016"/>
            </w:tabs>
            <w:rPr>
              <w:rFonts w:eastAsiaTheme="minorEastAsia" w:cstheme="minorBidi"/>
              <w:noProof/>
              <w:sz w:val="22"/>
              <w:szCs w:val="22"/>
            </w:rPr>
          </w:pPr>
          <w:hyperlink w:anchor="_Toc105518242" w:history="1">
            <w:r w:rsidR="000629EB" w:rsidRPr="00B96D63">
              <w:rPr>
                <w:rStyle w:val="Hyperlink"/>
                <w:noProof/>
              </w:rPr>
              <w:t>The Participant’s Job Plan is not suitable</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_Toc105518242 \h </w:instrText>
            </w:r>
            <w:r w:rsidR="000629EB">
              <w:rPr>
                <w:noProof/>
                <w:webHidden/>
              </w:rPr>
            </w:r>
            <w:r w:rsidR="000629EB">
              <w:rPr>
                <w:noProof/>
                <w:webHidden/>
              </w:rPr>
              <w:fldChar w:fldCharType="separate"/>
            </w:r>
            <w:r w:rsidR="009B5B4B">
              <w:rPr>
                <w:noProof/>
                <w:webHidden/>
              </w:rPr>
              <w:t>14</w:t>
            </w:r>
            <w:r w:rsidR="000629EB">
              <w:rPr>
                <w:noProof/>
                <w:webHidden/>
              </w:rPr>
              <w:fldChar w:fldCharType="end"/>
            </w:r>
          </w:hyperlink>
        </w:p>
        <w:p w14:paraId="2E205DD6" w14:textId="5C2B6957" w:rsidR="000629EB" w:rsidRDefault="002E14AF" w:rsidP="00B124A0">
          <w:pPr>
            <w:pStyle w:val="TOC3"/>
            <w:tabs>
              <w:tab w:val="clear" w:pos="9016"/>
            </w:tabs>
            <w:rPr>
              <w:rFonts w:eastAsiaTheme="minorEastAsia" w:cstheme="minorBidi"/>
              <w:noProof/>
              <w:sz w:val="22"/>
              <w:szCs w:val="22"/>
            </w:rPr>
          </w:pPr>
          <w:hyperlink w:anchor="_Toc105518243" w:history="1">
            <w:r w:rsidR="000629EB" w:rsidRPr="00B96D63">
              <w:rPr>
                <w:rStyle w:val="Hyperlink"/>
                <w:noProof/>
              </w:rPr>
              <w:t>The Participant’s Job Plan is suitable for the Participant</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_Toc105518243 \h </w:instrText>
            </w:r>
            <w:r w:rsidR="000629EB">
              <w:rPr>
                <w:noProof/>
                <w:webHidden/>
              </w:rPr>
            </w:r>
            <w:r w:rsidR="000629EB">
              <w:rPr>
                <w:noProof/>
                <w:webHidden/>
              </w:rPr>
              <w:fldChar w:fldCharType="separate"/>
            </w:r>
            <w:r w:rsidR="009B5B4B">
              <w:rPr>
                <w:noProof/>
                <w:webHidden/>
              </w:rPr>
              <w:t>16</w:t>
            </w:r>
            <w:r w:rsidR="000629EB">
              <w:rPr>
                <w:noProof/>
                <w:webHidden/>
              </w:rPr>
              <w:fldChar w:fldCharType="end"/>
            </w:r>
          </w:hyperlink>
        </w:p>
        <w:p w14:paraId="2ABC956A" w14:textId="0E3BFECB" w:rsidR="000629EB" w:rsidRDefault="002E14AF" w:rsidP="00B124A0">
          <w:pPr>
            <w:pStyle w:val="TOC3"/>
            <w:tabs>
              <w:tab w:val="clear" w:pos="9016"/>
            </w:tabs>
            <w:rPr>
              <w:rFonts w:eastAsiaTheme="minorEastAsia" w:cstheme="minorBidi"/>
              <w:noProof/>
              <w:sz w:val="22"/>
              <w:szCs w:val="22"/>
            </w:rPr>
          </w:pPr>
          <w:hyperlink w:anchor="_Toc105518244" w:history="1">
            <w:r w:rsidR="000629EB" w:rsidRPr="00B96D63">
              <w:rPr>
                <w:rStyle w:val="Hyperlink"/>
                <w:noProof/>
              </w:rPr>
              <w:t>Summary of required Documentary Evidence</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_Toc105518244 \h </w:instrText>
            </w:r>
            <w:r w:rsidR="000629EB">
              <w:rPr>
                <w:noProof/>
                <w:webHidden/>
              </w:rPr>
            </w:r>
            <w:r w:rsidR="000629EB">
              <w:rPr>
                <w:noProof/>
                <w:webHidden/>
              </w:rPr>
              <w:fldChar w:fldCharType="separate"/>
            </w:r>
            <w:r w:rsidR="009B5B4B">
              <w:rPr>
                <w:noProof/>
                <w:webHidden/>
              </w:rPr>
              <w:t>16</w:t>
            </w:r>
            <w:r w:rsidR="000629EB">
              <w:rPr>
                <w:noProof/>
                <w:webHidden/>
              </w:rPr>
              <w:fldChar w:fldCharType="end"/>
            </w:r>
          </w:hyperlink>
        </w:p>
        <w:p w14:paraId="1FBCBF9A" w14:textId="5C94EF60" w:rsidR="000629EB" w:rsidRDefault="002E14AF" w:rsidP="00B124A0">
          <w:pPr>
            <w:pStyle w:val="TOC2"/>
            <w:rPr>
              <w:rFonts w:eastAsiaTheme="minorEastAsia" w:cstheme="minorBidi"/>
              <w:b w:val="0"/>
              <w:iCs w:val="0"/>
              <w:noProof/>
              <w:sz w:val="22"/>
              <w:szCs w:val="22"/>
            </w:rPr>
          </w:pPr>
          <w:hyperlink w:anchor="_Toc105518245" w:history="1">
            <w:r w:rsidR="000629EB" w:rsidRPr="00B96D63">
              <w:rPr>
                <w:rStyle w:val="Hyperlink"/>
                <w:noProof/>
              </w:rPr>
              <w:t>Attachment A – ‘Unable to Re-engage Within 2 Business Days’ reason options</w:t>
            </w:r>
            <w:r w:rsidR="000629EB">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_Toc105518245 \h </w:instrText>
            </w:r>
            <w:r w:rsidR="000629EB">
              <w:rPr>
                <w:noProof/>
                <w:webHidden/>
              </w:rPr>
            </w:r>
            <w:r w:rsidR="000629EB">
              <w:rPr>
                <w:noProof/>
                <w:webHidden/>
              </w:rPr>
              <w:fldChar w:fldCharType="separate"/>
            </w:r>
            <w:r w:rsidR="009B5B4B">
              <w:rPr>
                <w:noProof/>
                <w:webHidden/>
              </w:rPr>
              <w:t>17</w:t>
            </w:r>
            <w:r w:rsidR="000629EB">
              <w:rPr>
                <w:noProof/>
                <w:webHidden/>
              </w:rPr>
              <w:fldChar w:fldCharType="end"/>
            </w:r>
          </w:hyperlink>
        </w:p>
        <w:p w14:paraId="270F4459" w14:textId="75B96CC1" w:rsidR="000629EB" w:rsidRDefault="002E14AF" w:rsidP="00B124A0">
          <w:pPr>
            <w:pStyle w:val="TOC2"/>
            <w:rPr>
              <w:rFonts w:eastAsiaTheme="minorEastAsia" w:cstheme="minorBidi"/>
              <w:b w:val="0"/>
              <w:iCs w:val="0"/>
              <w:noProof/>
              <w:sz w:val="22"/>
              <w:szCs w:val="22"/>
            </w:rPr>
          </w:pPr>
          <w:hyperlink w:anchor="_Toc105518246" w:history="1">
            <w:r w:rsidR="000629EB" w:rsidRPr="00B96D63">
              <w:rPr>
                <w:rStyle w:val="Hyperlink"/>
                <w:noProof/>
              </w:rPr>
              <w:t>Attachment B—Pre-interview check questions</w:t>
            </w:r>
            <w:r w:rsidR="000629EB">
              <w:rPr>
                <w:noProof/>
                <w:webHidden/>
              </w:rPr>
              <w:tab/>
            </w:r>
            <w:r w:rsidR="00B124A0">
              <w:rPr>
                <w:noProof/>
                <w:webHidden/>
              </w:rPr>
              <w:tab/>
            </w:r>
            <w:r w:rsidR="00B124A0">
              <w:rPr>
                <w:noProof/>
                <w:webHidden/>
              </w:rPr>
              <w:tab/>
            </w:r>
            <w:r w:rsidR="00B124A0">
              <w:rPr>
                <w:noProof/>
                <w:webHidden/>
              </w:rPr>
              <w:tab/>
            </w:r>
            <w:r w:rsidR="00B124A0">
              <w:rPr>
                <w:noProof/>
                <w:webHidden/>
              </w:rPr>
              <w:tab/>
            </w:r>
            <w:r w:rsidR="00B124A0">
              <w:rPr>
                <w:noProof/>
                <w:webHidden/>
              </w:rPr>
              <w:tab/>
              <w:t xml:space="preserve">              </w:t>
            </w:r>
            <w:r w:rsidR="000629EB">
              <w:rPr>
                <w:noProof/>
                <w:webHidden/>
              </w:rPr>
              <w:fldChar w:fldCharType="begin"/>
            </w:r>
            <w:r w:rsidR="000629EB">
              <w:rPr>
                <w:noProof/>
                <w:webHidden/>
              </w:rPr>
              <w:instrText xml:space="preserve"> PAGEREF _Toc105518246 \h </w:instrText>
            </w:r>
            <w:r w:rsidR="000629EB">
              <w:rPr>
                <w:noProof/>
                <w:webHidden/>
              </w:rPr>
            </w:r>
            <w:r w:rsidR="000629EB">
              <w:rPr>
                <w:noProof/>
                <w:webHidden/>
              </w:rPr>
              <w:fldChar w:fldCharType="separate"/>
            </w:r>
            <w:r w:rsidR="009B5B4B">
              <w:rPr>
                <w:noProof/>
                <w:webHidden/>
              </w:rPr>
              <w:t>18</w:t>
            </w:r>
            <w:r w:rsidR="000629EB">
              <w:rPr>
                <w:noProof/>
                <w:webHidden/>
              </w:rPr>
              <w:fldChar w:fldCharType="end"/>
            </w:r>
          </w:hyperlink>
        </w:p>
        <w:p w14:paraId="6E3DA6DD" w14:textId="3593E37A" w:rsidR="00E341A6" w:rsidRDefault="00C126C5">
          <w:r>
            <w:rPr>
              <w:rFonts w:asciiTheme="minorHAnsi" w:hAnsiTheme="minorHAnsi" w:cstheme="minorHAnsi"/>
              <w:sz w:val="20"/>
              <w:szCs w:val="20"/>
            </w:rPr>
            <w:fldChar w:fldCharType="end"/>
          </w:r>
        </w:p>
      </w:sdtContent>
    </w:sdt>
    <w:p w14:paraId="4E376DC3" w14:textId="5C7EA473" w:rsidR="00CD68CC" w:rsidRPr="00ED4558" w:rsidRDefault="00BF74E0" w:rsidP="00ED4558">
      <w:pPr>
        <w:pStyle w:val="Heading3"/>
        <w:spacing w:before="0"/>
      </w:pPr>
      <w:r w:rsidRPr="00DF093C">
        <w:fldChar w:fldCharType="begin"/>
      </w:r>
      <w:r w:rsidRPr="00F5063C">
        <w:instrText xml:space="preserve"> TOC \o "1-2" \h \z \u </w:instrText>
      </w:r>
      <w:r w:rsidRPr="00DF093C">
        <w:fldChar w:fldCharType="separate"/>
      </w:r>
      <w:r w:rsidR="00CD68CC" w:rsidRPr="00ED4558">
        <w:br w:type="page"/>
      </w:r>
    </w:p>
    <w:p w14:paraId="3F7AA6E2" w14:textId="724B767A" w:rsidR="00CD68CC" w:rsidRPr="00ED4558" w:rsidRDefault="009825F4" w:rsidP="00DF093C">
      <w:pPr>
        <w:pStyle w:val="Heading3"/>
        <w:spacing w:before="0"/>
      </w:pPr>
      <w:bookmarkStart w:id="14" w:name="_Toc105518219"/>
      <w:r w:rsidRPr="00ED4558">
        <w:lastRenderedPageBreak/>
        <w:t>Capability Interview</w:t>
      </w:r>
      <w:r w:rsidR="005B30B5" w:rsidRPr="00ED4558">
        <w:t xml:space="preserve"> Guidelines</w:t>
      </w:r>
      <w:bookmarkEnd w:id="14"/>
    </w:p>
    <w:p w14:paraId="5F610C28" w14:textId="77777777" w:rsidR="007073F5" w:rsidRPr="00C126C5" w:rsidRDefault="00BF74E0" w:rsidP="00DF093C">
      <w:pPr>
        <w:pStyle w:val="Heading3"/>
        <w:spacing w:before="0"/>
      </w:pPr>
      <w:r w:rsidRPr="00DF093C">
        <w:fldChar w:fldCharType="end"/>
      </w:r>
      <w:bookmarkStart w:id="15" w:name="_Toc227571645"/>
      <w:bookmarkStart w:id="16" w:name="_Toc495402560"/>
      <w:bookmarkStart w:id="17" w:name="_Toc105518220"/>
      <w:r w:rsidR="007073F5" w:rsidRPr="00C126C5">
        <w:t>Document Change History</w:t>
      </w:r>
      <w:bookmarkEnd w:id="15"/>
      <w:bookmarkEnd w:id="16"/>
      <w:bookmarkEnd w:id="17"/>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011"/>
        <w:gridCol w:w="1057"/>
        <w:gridCol w:w="6232"/>
      </w:tblGrid>
      <w:tr w:rsidR="003F4C74" w:rsidRPr="003F4C74" w14:paraId="1E81225B" w14:textId="77777777" w:rsidTr="000629EB">
        <w:trPr>
          <w:cantSplit/>
          <w:tblHeader/>
        </w:trPr>
        <w:tc>
          <w:tcPr>
            <w:tcW w:w="914" w:type="dxa"/>
            <w:shd w:val="clear" w:color="auto" w:fill="auto"/>
          </w:tcPr>
          <w:p w14:paraId="291C557E" w14:textId="77777777" w:rsidR="003F4C74" w:rsidRPr="00D43353" w:rsidRDefault="003F4C74" w:rsidP="00A4647B">
            <w:pPr>
              <w:pStyle w:val="TableHeading"/>
              <w:rPr>
                <w:color w:val="auto"/>
                <w:szCs w:val="22"/>
              </w:rPr>
            </w:pPr>
            <w:r w:rsidRPr="00D43353">
              <w:rPr>
                <w:color w:val="auto"/>
                <w:szCs w:val="22"/>
              </w:rPr>
              <w:t>Version</w:t>
            </w:r>
          </w:p>
        </w:tc>
        <w:tc>
          <w:tcPr>
            <w:tcW w:w="1011" w:type="dxa"/>
            <w:shd w:val="clear" w:color="auto" w:fill="auto"/>
          </w:tcPr>
          <w:p w14:paraId="3F087906" w14:textId="77777777" w:rsidR="003F4C74" w:rsidRPr="00D43353" w:rsidRDefault="003F4C74" w:rsidP="00A4647B">
            <w:pPr>
              <w:pStyle w:val="TableHeading"/>
              <w:rPr>
                <w:color w:val="auto"/>
                <w:szCs w:val="22"/>
              </w:rPr>
            </w:pPr>
            <w:r w:rsidRPr="00D43353">
              <w:rPr>
                <w:color w:val="auto"/>
                <w:szCs w:val="22"/>
              </w:rPr>
              <w:t>Effective Date</w:t>
            </w:r>
          </w:p>
        </w:tc>
        <w:tc>
          <w:tcPr>
            <w:tcW w:w="1052" w:type="dxa"/>
            <w:shd w:val="clear" w:color="auto" w:fill="auto"/>
          </w:tcPr>
          <w:p w14:paraId="4317A223" w14:textId="77777777" w:rsidR="003F4C74" w:rsidRPr="00D43353" w:rsidRDefault="003F4C74" w:rsidP="00A4647B">
            <w:pPr>
              <w:pStyle w:val="TableHeading"/>
              <w:rPr>
                <w:color w:val="auto"/>
                <w:szCs w:val="22"/>
              </w:rPr>
            </w:pPr>
            <w:r w:rsidRPr="00D43353">
              <w:rPr>
                <w:color w:val="auto"/>
                <w:szCs w:val="22"/>
              </w:rPr>
              <w:t>End Date</w:t>
            </w:r>
          </w:p>
        </w:tc>
        <w:tc>
          <w:tcPr>
            <w:tcW w:w="6237" w:type="dxa"/>
            <w:shd w:val="clear" w:color="auto" w:fill="auto"/>
          </w:tcPr>
          <w:p w14:paraId="7CB3F313" w14:textId="77777777" w:rsidR="003F4C74" w:rsidRPr="00D43353" w:rsidRDefault="003F4C74" w:rsidP="00A4647B">
            <w:pPr>
              <w:pStyle w:val="TableHeading"/>
              <w:rPr>
                <w:color w:val="auto"/>
                <w:szCs w:val="22"/>
              </w:rPr>
            </w:pPr>
            <w:r w:rsidRPr="00D43353">
              <w:rPr>
                <w:color w:val="auto"/>
                <w:szCs w:val="22"/>
              </w:rPr>
              <w:t>Change &amp; Location</w:t>
            </w:r>
          </w:p>
        </w:tc>
      </w:tr>
      <w:tr w:rsidR="00082293" w:rsidRPr="00CB793D" w14:paraId="17827743" w14:textId="77777777" w:rsidTr="000629EB">
        <w:trPr>
          <w:cantSplit/>
        </w:trPr>
        <w:tc>
          <w:tcPr>
            <w:tcW w:w="914" w:type="dxa"/>
          </w:tcPr>
          <w:p w14:paraId="5E553FA8" w14:textId="1FE02586" w:rsidR="00082293" w:rsidRPr="000629EB" w:rsidRDefault="00082293" w:rsidP="000629EB">
            <w:pPr>
              <w:jc w:val="center"/>
              <w:rPr>
                <w:sz w:val="20"/>
                <w:szCs w:val="22"/>
              </w:rPr>
            </w:pPr>
            <w:r>
              <w:rPr>
                <w:sz w:val="20"/>
                <w:szCs w:val="22"/>
              </w:rPr>
              <w:t>1.3</w:t>
            </w:r>
          </w:p>
        </w:tc>
        <w:tc>
          <w:tcPr>
            <w:tcW w:w="1011" w:type="dxa"/>
          </w:tcPr>
          <w:p w14:paraId="07780260" w14:textId="6778CE8D" w:rsidR="00082293" w:rsidRPr="000629EB" w:rsidRDefault="00EF4B55" w:rsidP="00DA6F7F">
            <w:pPr>
              <w:jc w:val="center"/>
              <w:rPr>
                <w:sz w:val="20"/>
                <w:szCs w:val="22"/>
              </w:rPr>
            </w:pPr>
            <w:r>
              <w:rPr>
                <w:sz w:val="20"/>
                <w:szCs w:val="22"/>
              </w:rPr>
              <w:t>1 January 2023</w:t>
            </w:r>
          </w:p>
        </w:tc>
        <w:tc>
          <w:tcPr>
            <w:tcW w:w="1052" w:type="dxa"/>
          </w:tcPr>
          <w:p w14:paraId="21FFD765" w14:textId="77777777" w:rsidR="00082293" w:rsidRPr="000629EB" w:rsidRDefault="00082293" w:rsidP="00DA6F7F">
            <w:pPr>
              <w:jc w:val="center"/>
              <w:rPr>
                <w:rFonts w:cs="Arial"/>
                <w:sz w:val="20"/>
                <w:szCs w:val="22"/>
              </w:rPr>
            </w:pPr>
          </w:p>
        </w:tc>
        <w:tc>
          <w:tcPr>
            <w:tcW w:w="6237" w:type="dxa"/>
          </w:tcPr>
          <w:p w14:paraId="6EF71235" w14:textId="7B9F4C05" w:rsidR="00082293" w:rsidRDefault="00762077" w:rsidP="00DA6F7F">
            <w:pPr>
              <w:rPr>
                <w:rStyle w:val="Strong"/>
                <w:b w:val="0"/>
                <w:sz w:val="20"/>
                <w:szCs w:val="22"/>
              </w:rPr>
            </w:pPr>
            <w:r w:rsidRPr="00762077">
              <w:rPr>
                <w:b/>
                <w:bCs/>
                <w:sz w:val="20"/>
                <w:szCs w:val="22"/>
              </w:rPr>
              <w:t>Amendment:</w:t>
            </w:r>
            <w:r w:rsidRPr="00762077">
              <w:rPr>
                <w:bCs/>
                <w:sz w:val="20"/>
                <w:szCs w:val="22"/>
              </w:rPr>
              <w:t xml:space="preserve"> </w:t>
            </w:r>
            <w:r>
              <w:rPr>
                <w:bCs/>
                <w:sz w:val="20"/>
                <w:szCs w:val="22"/>
              </w:rPr>
              <w:t>Removal of the reference</w:t>
            </w:r>
            <w:r w:rsidRPr="00762077">
              <w:rPr>
                <w:bCs/>
                <w:sz w:val="20"/>
                <w:szCs w:val="22"/>
              </w:rPr>
              <w:t xml:space="preserve"> to </w:t>
            </w:r>
            <w:r>
              <w:rPr>
                <w:bCs/>
                <w:sz w:val="20"/>
                <w:szCs w:val="22"/>
              </w:rPr>
              <w:t>PaTH Internships</w:t>
            </w:r>
            <w:r w:rsidRPr="00762077">
              <w:rPr>
                <w:bCs/>
                <w:sz w:val="20"/>
                <w:szCs w:val="22"/>
              </w:rPr>
              <w:t xml:space="preserve"> as a </w:t>
            </w:r>
            <w:r>
              <w:rPr>
                <w:bCs/>
                <w:sz w:val="20"/>
                <w:szCs w:val="22"/>
              </w:rPr>
              <w:t>result of the cessation of the PaTH and National Work Experience</w:t>
            </w:r>
            <w:r w:rsidRPr="00762077">
              <w:rPr>
                <w:bCs/>
                <w:sz w:val="20"/>
                <w:szCs w:val="22"/>
              </w:rPr>
              <w:t xml:space="preserve"> programs</w:t>
            </w:r>
            <w:r w:rsidR="009D0FA2">
              <w:rPr>
                <w:bCs/>
                <w:sz w:val="20"/>
                <w:szCs w:val="22"/>
              </w:rPr>
              <w:t xml:space="preserve">, effective </w:t>
            </w:r>
            <w:r w:rsidRPr="00762077">
              <w:rPr>
                <w:bCs/>
                <w:sz w:val="20"/>
                <w:szCs w:val="22"/>
              </w:rPr>
              <w:t>9 September 2022.</w:t>
            </w:r>
          </w:p>
        </w:tc>
      </w:tr>
      <w:tr w:rsidR="000629EB" w:rsidRPr="00CB793D" w14:paraId="51FD18F9" w14:textId="77777777" w:rsidTr="000629EB">
        <w:trPr>
          <w:cantSplit/>
        </w:trPr>
        <w:tc>
          <w:tcPr>
            <w:tcW w:w="914" w:type="dxa"/>
          </w:tcPr>
          <w:p w14:paraId="093264BB" w14:textId="1F4F1737" w:rsidR="000629EB" w:rsidRPr="000629EB" w:rsidRDefault="000629EB" w:rsidP="000629EB">
            <w:pPr>
              <w:jc w:val="center"/>
              <w:rPr>
                <w:sz w:val="20"/>
                <w:szCs w:val="22"/>
              </w:rPr>
            </w:pPr>
            <w:r w:rsidRPr="000629EB">
              <w:rPr>
                <w:sz w:val="20"/>
                <w:szCs w:val="22"/>
              </w:rPr>
              <w:t>1.2</w:t>
            </w:r>
          </w:p>
        </w:tc>
        <w:tc>
          <w:tcPr>
            <w:tcW w:w="1011" w:type="dxa"/>
          </w:tcPr>
          <w:p w14:paraId="6D4EFC9F" w14:textId="7A4F901F" w:rsidR="000629EB" w:rsidRPr="000629EB" w:rsidRDefault="000629EB" w:rsidP="00DA6F7F">
            <w:pPr>
              <w:jc w:val="center"/>
              <w:rPr>
                <w:sz w:val="20"/>
                <w:szCs w:val="22"/>
              </w:rPr>
            </w:pPr>
            <w:r w:rsidRPr="000629EB">
              <w:rPr>
                <w:sz w:val="20"/>
                <w:szCs w:val="22"/>
              </w:rPr>
              <w:t>0</w:t>
            </w:r>
            <w:r w:rsidR="00AA7AFD">
              <w:rPr>
                <w:sz w:val="20"/>
                <w:szCs w:val="22"/>
              </w:rPr>
              <w:t>8</w:t>
            </w:r>
            <w:r w:rsidRPr="000629EB">
              <w:rPr>
                <w:sz w:val="20"/>
                <w:szCs w:val="22"/>
              </w:rPr>
              <w:t xml:space="preserve"> </w:t>
            </w:r>
            <w:r w:rsidR="00AA7AFD">
              <w:rPr>
                <w:sz w:val="20"/>
                <w:szCs w:val="22"/>
              </w:rPr>
              <w:t>Aug</w:t>
            </w:r>
            <w:r w:rsidRPr="000629EB">
              <w:rPr>
                <w:sz w:val="20"/>
                <w:szCs w:val="22"/>
              </w:rPr>
              <w:t xml:space="preserve"> </w:t>
            </w:r>
            <w:r w:rsidR="00327C85">
              <w:rPr>
                <w:sz w:val="20"/>
                <w:szCs w:val="22"/>
              </w:rPr>
              <w:t>22</w:t>
            </w:r>
          </w:p>
        </w:tc>
        <w:tc>
          <w:tcPr>
            <w:tcW w:w="1052" w:type="dxa"/>
          </w:tcPr>
          <w:p w14:paraId="5886C313" w14:textId="77777777" w:rsidR="00EF4B55" w:rsidRDefault="00EF4B55" w:rsidP="00DA6F7F">
            <w:pPr>
              <w:jc w:val="center"/>
              <w:rPr>
                <w:rFonts w:cs="Arial"/>
                <w:sz w:val="20"/>
                <w:szCs w:val="22"/>
              </w:rPr>
            </w:pPr>
            <w:r>
              <w:rPr>
                <w:rFonts w:cs="Arial"/>
                <w:sz w:val="20"/>
                <w:szCs w:val="22"/>
              </w:rPr>
              <w:t>31 December</w:t>
            </w:r>
          </w:p>
          <w:p w14:paraId="0A3E63CA" w14:textId="02DC4D1B" w:rsidR="000629EB" w:rsidRPr="000629EB" w:rsidRDefault="00082293" w:rsidP="00DA6F7F">
            <w:pPr>
              <w:jc w:val="center"/>
              <w:rPr>
                <w:rFonts w:cs="Arial"/>
                <w:sz w:val="20"/>
                <w:szCs w:val="22"/>
              </w:rPr>
            </w:pPr>
            <w:r>
              <w:rPr>
                <w:rFonts w:cs="Arial"/>
                <w:sz w:val="20"/>
                <w:szCs w:val="22"/>
              </w:rPr>
              <w:t>2022</w:t>
            </w:r>
          </w:p>
        </w:tc>
        <w:tc>
          <w:tcPr>
            <w:tcW w:w="6237" w:type="dxa"/>
          </w:tcPr>
          <w:p w14:paraId="1686F1F6" w14:textId="6665DC35" w:rsidR="000629EB" w:rsidRPr="000629EB" w:rsidRDefault="000629EB" w:rsidP="00DA6F7F">
            <w:pPr>
              <w:rPr>
                <w:rStyle w:val="Strong"/>
                <w:sz w:val="20"/>
                <w:szCs w:val="22"/>
              </w:rPr>
            </w:pPr>
            <w:r>
              <w:rPr>
                <w:rStyle w:val="Strong"/>
                <w:b w:val="0"/>
                <w:sz w:val="20"/>
                <w:szCs w:val="22"/>
              </w:rPr>
              <w:t>Noted Capability Interview must be finalised while Participant is present.</w:t>
            </w:r>
          </w:p>
        </w:tc>
      </w:tr>
      <w:tr w:rsidR="00DA3590" w:rsidRPr="00CB793D" w14:paraId="620AF71A" w14:textId="77777777" w:rsidTr="000629EB">
        <w:trPr>
          <w:cantSplit/>
        </w:trPr>
        <w:tc>
          <w:tcPr>
            <w:tcW w:w="914" w:type="dxa"/>
          </w:tcPr>
          <w:p w14:paraId="796F5C83" w14:textId="7D9A7CCA" w:rsidR="00DA3590" w:rsidRPr="000629EB" w:rsidRDefault="00DA3590" w:rsidP="00DA3590">
            <w:pPr>
              <w:jc w:val="center"/>
              <w:rPr>
                <w:sz w:val="20"/>
                <w:szCs w:val="22"/>
              </w:rPr>
            </w:pPr>
            <w:r w:rsidRPr="000629EB">
              <w:rPr>
                <w:sz w:val="20"/>
                <w:szCs w:val="22"/>
              </w:rPr>
              <w:t>1.1</w:t>
            </w:r>
          </w:p>
        </w:tc>
        <w:tc>
          <w:tcPr>
            <w:tcW w:w="1011" w:type="dxa"/>
          </w:tcPr>
          <w:p w14:paraId="403D0999" w14:textId="059A3A19" w:rsidR="00DA3590" w:rsidRPr="000629EB" w:rsidRDefault="00B61595" w:rsidP="00E146D5">
            <w:pPr>
              <w:jc w:val="center"/>
              <w:rPr>
                <w:sz w:val="20"/>
                <w:szCs w:val="22"/>
              </w:rPr>
            </w:pPr>
            <w:r w:rsidRPr="000629EB">
              <w:rPr>
                <w:sz w:val="20"/>
                <w:szCs w:val="22"/>
              </w:rPr>
              <w:t>9 Mar 20</w:t>
            </w:r>
          </w:p>
        </w:tc>
        <w:tc>
          <w:tcPr>
            <w:tcW w:w="1052" w:type="dxa"/>
          </w:tcPr>
          <w:p w14:paraId="00A5FDBD" w14:textId="79F2D8F3" w:rsidR="00DA3590" w:rsidRPr="000629EB" w:rsidRDefault="00AA7AFD" w:rsidP="00E146D5">
            <w:pPr>
              <w:jc w:val="center"/>
              <w:rPr>
                <w:rFonts w:cs="Arial"/>
                <w:sz w:val="20"/>
                <w:szCs w:val="22"/>
              </w:rPr>
            </w:pPr>
            <w:r>
              <w:rPr>
                <w:rFonts w:cs="Arial"/>
                <w:sz w:val="20"/>
                <w:szCs w:val="22"/>
              </w:rPr>
              <w:t>7 Aug</w:t>
            </w:r>
            <w:r w:rsidR="000629EB" w:rsidRPr="000629EB">
              <w:rPr>
                <w:rFonts w:cs="Arial"/>
                <w:sz w:val="20"/>
                <w:szCs w:val="22"/>
              </w:rPr>
              <w:t xml:space="preserve"> 22</w:t>
            </w:r>
          </w:p>
        </w:tc>
        <w:tc>
          <w:tcPr>
            <w:tcW w:w="6237" w:type="dxa"/>
          </w:tcPr>
          <w:p w14:paraId="7A19A1BA" w14:textId="77777777" w:rsidR="00DA3590" w:rsidRPr="000629EB" w:rsidRDefault="00DA3590" w:rsidP="00E146D5">
            <w:pPr>
              <w:rPr>
                <w:sz w:val="20"/>
              </w:rPr>
            </w:pPr>
            <w:r w:rsidRPr="000629EB">
              <w:rPr>
                <w:rStyle w:val="Strong"/>
                <w:b w:val="0"/>
                <w:sz w:val="20"/>
                <w:szCs w:val="22"/>
              </w:rPr>
              <w:t xml:space="preserve">Restructured </w:t>
            </w:r>
            <w:r w:rsidRPr="000629EB">
              <w:rPr>
                <w:sz w:val="20"/>
              </w:rPr>
              <w:t>and rewritten for clarity, accuracy, consistency with the DES Grant Agreement, Social Security Law and comprehensiveness.</w:t>
            </w:r>
          </w:p>
          <w:p w14:paraId="7B03F640" w14:textId="003B3A95" w:rsidR="00DA3590" w:rsidRPr="000629EB" w:rsidRDefault="00DA3590" w:rsidP="00E146D5">
            <w:pPr>
              <w:rPr>
                <w:rStyle w:val="Strong"/>
                <w:b w:val="0"/>
                <w:sz w:val="20"/>
                <w:szCs w:val="22"/>
              </w:rPr>
            </w:pPr>
            <w:r w:rsidRPr="000629EB">
              <w:rPr>
                <w:sz w:val="20"/>
              </w:rPr>
              <w:t>References to the ‘Department of Human Services (DHS)’ have been updated to ‘Services Australia’.</w:t>
            </w:r>
          </w:p>
        </w:tc>
      </w:tr>
      <w:tr w:rsidR="003F4C74" w:rsidRPr="00CB793D" w14:paraId="1E713091" w14:textId="77777777" w:rsidTr="000629EB">
        <w:trPr>
          <w:cantSplit/>
        </w:trPr>
        <w:tc>
          <w:tcPr>
            <w:tcW w:w="914" w:type="dxa"/>
          </w:tcPr>
          <w:p w14:paraId="5B0FB9AD" w14:textId="77777777" w:rsidR="003F4C74" w:rsidRPr="000629EB" w:rsidRDefault="003F4C74" w:rsidP="000868F1">
            <w:pPr>
              <w:jc w:val="center"/>
              <w:rPr>
                <w:sz w:val="20"/>
                <w:szCs w:val="22"/>
              </w:rPr>
            </w:pPr>
            <w:r w:rsidRPr="000629EB">
              <w:rPr>
                <w:sz w:val="20"/>
                <w:szCs w:val="22"/>
              </w:rPr>
              <w:t>1.0</w:t>
            </w:r>
          </w:p>
        </w:tc>
        <w:tc>
          <w:tcPr>
            <w:tcW w:w="1011" w:type="dxa"/>
          </w:tcPr>
          <w:p w14:paraId="0552F9AB" w14:textId="08B38B4E" w:rsidR="003F4C74" w:rsidRPr="000629EB" w:rsidRDefault="003F4C74" w:rsidP="00DA3590">
            <w:pPr>
              <w:jc w:val="center"/>
              <w:rPr>
                <w:sz w:val="20"/>
                <w:szCs w:val="22"/>
              </w:rPr>
            </w:pPr>
            <w:r w:rsidRPr="000629EB">
              <w:rPr>
                <w:sz w:val="20"/>
                <w:szCs w:val="22"/>
              </w:rPr>
              <w:t>01 Jul 18</w:t>
            </w:r>
          </w:p>
        </w:tc>
        <w:tc>
          <w:tcPr>
            <w:tcW w:w="1052" w:type="dxa"/>
          </w:tcPr>
          <w:p w14:paraId="5B40C41A" w14:textId="6AF3E7FB" w:rsidR="003F4C74" w:rsidRPr="000629EB" w:rsidRDefault="00B61595" w:rsidP="00DD49D9">
            <w:pPr>
              <w:jc w:val="center"/>
              <w:rPr>
                <w:rFonts w:cs="Arial"/>
                <w:sz w:val="20"/>
                <w:szCs w:val="22"/>
              </w:rPr>
            </w:pPr>
            <w:r w:rsidRPr="000629EB">
              <w:rPr>
                <w:rFonts w:cs="Arial"/>
                <w:sz w:val="20"/>
                <w:szCs w:val="22"/>
              </w:rPr>
              <w:t>8 Mar 20</w:t>
            </w:r>
          </w:p>
        </w:tc>
        <w:tc>
          <w:tcPr>
            <w:tcW w:w="6237" w:type="dxa"/>
          </w:tcPr>
          <w:p w14:paraId="5EAFEF03" w14:textId="77777777" w:rsidR="003F4C74" w:rsidRPr="000629EB" w:rsidRDefault="003757B3" w:rsidP="00341648">
            <w:pPr>
              <w:rPr>
                <w:rStyle w:val="Strong"/>
                <w:sz w:val="20"/>
                <w:szCs w:val="22"/>
              </w:rPr>
            </w:pPr>
            <w:r w:rsidRPr="000629EB">
              <w:rPr>
                <w:rStyle w:val="Strong"/>
                <w:b w:val="0"/>
                <w:sz w:val="20"/>
                <w:szCs w:val="22"/>
              </w:rPr>
              <w:t xml:space="preserve">Original </w:t>
            </w:r>
            <w:r w:rsidR="00E90F54" w:rsidRPr="000629EB">
              <w:rPr>
                <w:rStyle w:val="Strong"/>
                <w:b w:val="0"/>
                <w:sz w:val="20"/>
                <w:szCs w:val="22"/>
              </w:rPr>
              <w:t>version of document</w:t>
            </w:r>
          </w:p>
        </w:tc>
      </w:tr>
    </w:tbl>
    <w:p w14:paraId="7760E26B" w14:textId="77777777" w:rsidR="00427E22" w:rsidRDefault="00427E22" w:rsidP="0047387D">
      <w:pPr>
        <w:spacing w:before="0" w:after="240"/>
      </w:pPr>
      <w:bookmarkStart w:id="18" w:name="_Toc495402564"/>
    </w:p>
    <w:p w14:paraId="5ADB2878" w14:textId="68869645" w:rsidR="007073F5" w:rsidRPr="00FF5852" w:rsidRDefault="00B540DD" w:rsidP="00427E22">
      <w:pPr>
        <w:pStyle w:val="Heading3"/>
        <w:spacing w:before="0"/>
      </w:pPr>
      <w:bookmarkStart w:id="19" w:name="_Toc105518221"/>
      <w:bookmarkEnd w:id="18"/>
      <w:r>
        <w:t>Background</w:t>
      </w:r>
      <w:bookmarkEnd w:id="19"/>
    </w:p>
    <w:p w14:paraId="3CBBB2E5" w14:textId="36538283" w:rsidR="001D69FA" w:rsidRDefault="001D69FA" w:rsidP="002714B8">
      <w:pPr>
        <w:tabs>
          <w:tab w:val="right" w:pos="1701"/>
        </w:tabs>
        <w:rPr>
          <w:rFonts w:asciiTheme="minorHAnsi" w:hAnsiTheme="minorHAnsi" w:cstheme="minorHAnsi"/>
          <w:szCs w:val="22"/>
        </w:rPr>
      </w:pPr>
      <w:r w:rsidRPr="001D69FA">
        <w:rPr>
          <w:rFonts w:asciiTheme="minorHAnsi" w:hAnsiTheme="minorHAnsi" w:cstheme="minorHAnsi"/>
          <w:szCs w:val="22"/>
        </w:rPr>
        <w:t>The Capability Interview is a key component of the new Targeted Compliance Framework (TCF)</w:t>
      </w:r>
      <w:r w:rsidR="00DA3590">
        <w:rPr>
          <w:rFonts w:asciiTheme="minorHAnsi" w:hAnsiTheme="minorHAnsi" w:cstheme="minorHAnsi"/>
          <w:szCs w:val="22"/>
        </w:rPr>
        <w:t>. Capability Interviews</w:t>
      </w:r>
      <w:r w:rsidRPr="001D69FA">
        <w:rPr>
          <w:rFonts w:asciiTheme="minorHAnsi" w:hAnsiTheme="minorHAnsi" w:cstheme="minorHAnsi"/>
          <w:szCs w:val="22"/>
        </w:rPr>
        <w:t xml:space="preserve"> provide additional protection for vulnerable </w:t>
      </w:r>
      <w:r w:rsidR="00DA3590">
        <w:rPr>
          <w:rFonts w:asciiTheme="minorHAnsi" w:hAnsiTheme="minorHAnsi" w:cstheme="minorHAnsi"/>
          <w:szCs w:val="22"/>
        </w:rPr>
        <w:t>Participants</w:t>
      </w:r>
      <w:r w:rsidRPr="001D69FA">
        <w:rPr>
          <w:rFonts w:asciiTheme="minorHAnsi" w:hAnsiTheme="minorHAnsi" w:cstheme="minorHAnsi"/>
          <w:szCs w:val="22"/>
        </w:rPr>
        <w:t xml:space="preserve">. The purpose of the Capability Interview is to </w:t>
      </w:r>
      <w:r w:rsidR="00DA3590">
        <w:rPr>
          <w:rFonts w:asciiTheme="minorHAnsi" w:hAnsiTheme="minorHAnsi" w:cstheme="minorHAnsi"/>
          <w:szCs w:val="22"/>
        </w:rPr>
        <w:t xml:space="preserve">determine whether a Participant’s Job Plan is suitable for the Participant. A Job Plan </w:t>
      </w:r>
      <w:r w:rsidR="00DA3590" w:rsidRPr="002714B8">
        <w:rPr>
          <w:rFonts w:asciiTheme="minorHAnsi" w:hAnsiTheme="minorHAnsi" w:cstheme="minorHAnsi"/>
          <w:szCs w:val="22"/>
        </w:rPr>
        <w:t>will be suitable for a Participant if the Mutual Obligation Requirements specified in their Job Plan are appropriate to the Participant’s circumstances and the Participant is capable of meeting them</w:t>
      </w:r>
      <w:r w:rsidRPr="001D69FA">
        <w:rPr>
          <w:rFonts w:asciiTheme="minorHAnsi" w:hAnsiTheme="minorHAnsi" w:cstheme="minorHAnsi"/>
          <w:szCs w:val="22"/>
        </w:rPr>
        <w:t>.</w:t>
      </w:r>
    </w:p>
    <w:p w14:paraId="07CADBA1" w14:textId="33A49327" w:rsidR="001D69FA" w:rsidRDefault="001D69FA" w:rsidP="002714B8">
      <w:pPr>
        <w:tabs>
          <w:tab w:val="right" w:pos="1701"/>
        </w:tabs>
        <w:rPr>
          <w:rFonts w:asciiTheme="minorHAnsi" w:hAnsiTheme="minorHAnsi" w:cstheme="minorHAnsi"/>
          <w:szCs w:val="22"/>
        </w:rPr>
      </w:pPr>
      <w:r w:rsidRPr="001D69FA">
        <w:rPr>
          <w:rFonts w:asciiTheme="minorHAnsi" w:hAnsiTheme="minorHAnsi" w:cstheme="minorHAnsi"/>
          <w:szCs w:val="22"/>
        </w:rPr>
        <w:t>The Capability Interview provides a</w:t>
      </w:r>
      <w:r w:rsidR="00DA3590">
        <w:rPr>
          <w:rFonts w:asciiTheme="minorHAnsi" w:hAnsiTheme="minorHAnsi" w:cstheme="minorHAnsi"/>
          <w:szCs w:val="22"/>
        </w:rPr>
        <w:t>n additional</w:t>
      </w:r>
      <w:r w:rsidRPr="001D69FA">
        <w:rPr>
          <w:rFonts w:asciiTheme="minorHAnsi" w:hAnsiTheme="minorHAnsi" w:cstheme="minorHAnsi"/>
          <w:szCs w:val="22"/>
        </w:rPr>
        <w:t xml:space="preserve"> opportunity for Providers to actively engage with their </w:t>
      </w:r>
      <w:r w:rsidR="00DA3590">
        <w:rPr>
          <w:rFonts w:asciiTheme="minorHAnsi" w:hAnsiTheme="minorHAnsi" w:cstheme="minorHAnsi"/>
          <w:szCs w:val="22"/>
        </w:rPr>
        <w:t>Participants</w:t>
      </w:r>
      <w:r w:rsidRPr="001D69FA">
        <w:rPr>
          <w:rFonts w:asciiTheme="minorHAnsi" w:hAnsiTheme="minorHAnsi" w:cstheme="minorHAnsi"/>
          <w:szCs w:val="22"/>
        </w:rPr>
        <w:t xml:space="preserve"> to identify any undisclosed issues and help them to meet their </w:t>
      </w:r>
      <w:r w:rsidR="00DA3590">
        <w:rPr>
          <w:rFonts w:asciiTheme="minorHAnsi" w:hAnsiTheme="minorHAnsi" w:cstheme="minorHAnsi"/>
          <w:szCs w:val="22"/>
        </w:rPr>
        <w:t>Mutual Obligation R</w:t>
      </w:r>
      <w:r w:rsidR="00DA3590" w:rsidRPr="001D69FA">
        <w:rPr>
          <w:rFonts w:asciiTheme="minorHAnsi" w:hAnsiTheme="minorHAnsi" w:cstheme="minorHAnsi"/>
          <w:szCs w:val="22"/>
        </w:rPr>
        <w:t>equirements</w:t>
      </w:r>
      <w:r w:rsidRPr="001D69FA">
        <w:rPr>
          <w:rFonts w:asciiTheme="minorHAnsi" w:hAnsiTheme="minorHAnsi" w:cstheme="minorHAnsi"/>
          <w:szCs w:val="22"/>
        </w:rPr>
        <w:t xml:space="preserve">. This includes reviewing the </w:t>
      </w:r>
      <w:r w:rsidR="00DA3590">
        <w:rPr>
          <w:rFonts w:asciiTheme="minorHAnsi" w:hAnsiTheme="minorHAnsi" w:cstheme="minorHAnsi"/>
          <w:szCs w:val="22"/>
        </w:rPr>
        <w:t>Participant’s Mutual Obligation R</w:t>
      </w:r>
      <w:r w:rsidRPr="001D69FA">
        <w:rPr>
          <w:rFonts w:asciiTheme="minorHAnsi" w:hAnsiTheme="minorHAnsi" w:cstheme="minorHAnsi"/>
          <w:szCs w:val="22"/>
        </w:rPr>
        <w:t xml:space="preserve">equirements </w:t>
      </w:r>
      <w:r w:rsidR="00DA3590">
        <w:rPr>
          <w:rFonts w:asciiTheme="minorHAnsi" w:hAnsiTheme="minorHAnsi" w:cstheme="minorHAnsi"/>
          <w:szCs w:val="22"/>
        </w:rPr>
        <w:t xml:space="preserve">set out in their Job Plan </w:t>
      </w:r>
      <w:r w:rsidRPr="001D69FA">
        <w:rPr>
          <w:rFonts w:asciiTheme="minorHAnsi" w:hAnsiTheme="minorHAnsi" w:cstheme="minorHAnsi"/>
          <w:szCs w:val="22"/>
        </w:rPr>
        <w:t xml:space="preserve">to ensure they are appropriate for the </w:t>
      </w:r>
      <w:r w:rsidR="00DA3590">
        <w:rPr>
          <w:rFonts w:asciiTheme="minorHAnsi" w:hAnsiTheme="minorHAnsi" w:cstheme="minorHAnsi"/>
          <w:szCs w:val="22"/>
        </w:rPr>
        <w:t>Participant’s</w:t>
      </w:r>
      <w:r w:rsidRPr="001D69FA">
        <w:rPr>
          <w:rFonts w:asciiTheme="minorHAnsi" w:hAnsiTheme="minorHAnsi" w:cstheme="minorHAnsi"/>
          <w:szCs w:val="22"/>
        </w:rPr>
        <w:t xml:space="preserve"> level of capability and individual circumstances, as well as giving consideration to services or support that may be appropriate to assist the </w:t>
      </w:r>
      <w:r w:rsidR="00DA3590">
        <w:rPr>
          <w:rFonts w:asciiTheme="minorHAnsi" w:hAnsiTheme="minorHAnsi" w:cstheme="minorHAnsi"/>
          <w:szCs w:val="22"/>
        </w:rPr>
        <w:t>Participant</w:t>
      </w:r>
      <w:r w:rsidRPr="001D69FA">
        <w:rPr>
          <w:rFonts w:asciiTheme="minorHAnsi" w:hAnsiTheme="minorHAnsi" w:cstheme="minorHAnsi"/>
          <w:szCs w:val="22"/>
        </w:rPr>
        <w:t xml:space="preserve"> to meet </w:t>
      </w:r>
      <w:r w:rsidR="00DA3590" w:rsidRPr="00DA3590">
        <w:rPr>
          <w:rFonts w:asciiTheme="minorHAnsi" w:hAnsiTheme="minorHAnsi" w:cstheme="minorHAnsi"/>
          <w:szCs w:val="22"/>
        </w:rPr>
        <w:t xml:space="preserve">their Mutual Obligation Requirements </w:t>
      </w:r>
      <w:r w:rsidRPr="001D69FA">
        <w:rPr>
          <w:rFonts w:asciiTheme="minorHAnsi" w:hAnsiTheme="minorHAnsi" w:cstheme="minorHAnsi"/>
          <w:szCs w:val="22"/>
        </w:rPr>
        <w:t>and move</w:t>
      </w:r>
      <w:r w:rsidR="002714B8">
        <w:rPr>
          <w:rFonts w:asciiTheme="minorHAnsi" w:hAnsiTheme="minorHAnsi" w:cstheme="minorHAnsi"/>
          <w:szCs w:val="22"/>
        </w:rPr>
        <w:t xml:space="preserve"> towards an employment outcome.</w:t>
      </w:r>
    </w:p>
    <w:p w14:paraId="0F833443" w14:textId="77777777" w:rsidR="00AC50E9" w:rsidRDefault="00AC50E9" w:rsidP="00427E22">
      <w:pPr>
        <w:spacing w:before="0" w:after="0"/>
        <w:rPr>
          <w:rFonts w:asciiTheme="minorHAnsi" w:hAnsiTheme="minorHAnsi" w:cstheme="minorHAnsi"/>
          <w:szCs w:val="22"/>
        </w:rPr>
      </w:pPr>
    </w:p>
    <w:p w14:paraId="377899F3" w14:textId="77777777" w:rsidR="00794BC0" w:rsidRPr="002714B8" w:rsidRDefault="00794BC0" w:rsidP="002714B8">
      <w:pPr>
        <w:spacing w:before="0" w:after="240"/>
        <w:rPr>
          <w:b/>
          <w:sz w:val="24"/>
        </w:rPr>
      </w:pPr>
      <w:bookmarkStart w:id="20" w:name="_Toc495402561"/>
      <w:r w:rsidRPr="002714B8">
        <w:rPr>
          <w:b/>
          <w:sz w:val="24"/>
        </w:rPr>
        <w:t>Disability Employment Services Grant Agreement Clauses:</w:t>
      </w:r>
      <w:bookmarkEnd w:id="20"/>
    </w:p>
    <w:p w14:paraId="3C2C9541" w14:textId="258B633A" w:rsidR="00794BC0" w:rsidRDefault="00794BC0" w:rsidP="009F1C00">
      <w:pPr>
        <w:pStyle w:val="ListBullet"/>
        <w:numPr>
          <w:ilvl w:val="0"/>
          <w:numId w:val="0"/>
        </w:numPr>
        <w:spacing w:before="0" w:after="0"/>
        <w:rPr>
          <w:rFonts w:asciiTheme="minorHAnsi" w:hAnsiTheme="minorHAnsi" w:cstheme="minorHAnsi"/>
          <w:szCs w:val="22"/>
        </w:rPr>
      </w:pPr>
      <w:r w:rsidRPr="00A57135">
        <w:rPr>
          <w:rFonts w:asciiTheme="minorHAnsi" w:hAnsiTheme="minorHAnsi" w:cstheme="minorHAnsi"/>
          <w:szCs w:val="22"/>
        </w:rPr>
        <w:t>A</w:t>
      </w:r>
      <w:r w:rsidR="001F40EE" w:rsidRPr="00A57135">
        <w:rPr>
          <w:rFonts w:asciiTheme="minorHAnsi" w:hAnsiTheme="minorHAnsi" w:cstheme="minorHAnsi"/>
          <w:szCs w:val="22"/>
        </w:rPr>
        <w:t>nnexure</w:t>
      </w:r>
      <w:r w:rsidR="00A57135">
        <w:rPr>
          <w:rFonts w:asciiTheme="minorHAnsi" w:hAnsiTheme="minorHAnsi" w:cstheme="minorHAnsi"/>
          <w:szCs w:val="22"/>
        </w:rPr>
        <w:t xml:space="preserve"> A - </w:t>
      </w:r>
      <w:r w:rsidRPr="00A57135">
        <w:rPr>
          <w:rFonts w:asciiTheme="minorHAnsi" w:hAnsiTheme="minorHAnsi" w:cstheme="minorHAnsi"/>
          <w:szCs w:val="22"/>
        </w:rPr>
        <w:t>Definition</w:t>
      </w:r>
      <w:r w:rsidR="001F40EE" w:rsidRPr="00A57135">
        <w:rPr>
          <w:rFonts w:asciiTheme="minorHAnsi" w:hAnsiTheme="minorHAnsi" w:cstheme="minorHAnsi"/>
          <w:szCs w:val="22"/>
        </w:rPr>
        <w:t>s</w:t>
      </w:r>
    </w:p>
    <w:p w14:paraId="0DFC5B1E" w14:textId="505936BC" w:rsidR="00A57135" w:rsidRDefault="00164A85" w:rsidP="009F1C00">
      <w:pPr>
        <w:pStyle w:val="ListBullet"/>
        <w:numPr>
          <w:ilvl w:val="0"/>
          <w:numId w:val="0"/>
        </w:numPr>
        <w:spacing w:before="0" w:after="0"/>
        <w:rPr>
          <w:rFonts w:asciiTheme="minorHAnsi" w:hAnsiTheme="minorHAnsi" w:cstheme="minorHAnsi"/>
          <w:szCs w:val="22"/>
        </w:rPr>
      </w:pPr>
      <w:r>
        <w:rPr>
          <w:rFonts w:asciiTheme="minorHAnsi" w:hAnsiTheme="minorHAnsi" w:cstheme="minorHAnsi"/>
          <w:szCs w:val="22"/>
        </w:rPr>
        <w:t xml:space="preserve">Section 5 H  - Targeted Compliance Framework and activities </w:t>
      </w:r>
    </w:p>
    <w:p w14:paraId="1566B948" w14:textId="77777777" w:rsidR="00427E22" w:rsidRPr="008D19BF" w:rsidRDefault="00427E22" w:rsidP="00427E22">
      <w:pPr>
        <w:pStyle w:val="ListBullet"/>
        <w:numPr>
          <w:ilvl w:val="0"/>
          <w:numId w:val="0"/>
        </w:numPr>
        <w:spacing w:before="0" w:after="0"/>
        <w:ind w:left="714"/>
        <w:rPr>
          <w:rFonts w:asciiTheme="minorHAnsi" w:hAnsiTheme="minorHAnsi" w:cstheme="minorHAnsi"/>
          <w:szCs w:val="22"/>
        </w:rPr>
      </w:pPr>
    </w:p>
    <w:p w14:paraId="20DEAA64" w14:textId="657688A9" w:rsidR="00794BC0" w:rsidRPr="002714B8" w:rsidRDefault="00794BC0" w:rsidP="002714B8">
      <w:pPr>
        <w:spacing w:before="0" w:after="240"/>
        <w:rPr>
          <w:b/>
          <w:sz w:val="24"/>
        </w:rPr>
      </w:pPr>
      <w:bookmarkStart w:id="21" w:name="_Toc495402562"/>
      <w:r w:rsidRPr="002714B8">
        <w:rPr>
          <w:b/>
          <w:sz w:val="24"/>
        </w:rPr>
        <w:t>Reference documents relevant to th</w:t>
      </w:r>
      <w:r w:rsidR="00D92051" w:rsidRPr="002714B8">
        <w:rPr>
          <w:b/>
          <w:sz w:val="24"/>
        </w:rPr>
        <w:t>ese</w:t>
      </w:r>
      <w:r w:rsidRPr="002714B8">
        <w:rPr>
          <w:b/>
          <w:sz w:val="24"/>
        </w:rPr>
        <w:t xml:space="preserve"> Guideline</w:t>
      </w:r>
      <w:r w:rsidR="00D92051" w:rsidRPr="002714B8">
        <w:rPr>
          <w:b/>
          <w:sz w:val="24"/>
        </w:rPr>
        <w:t>s</w:t>
      </w:r>
      <w:r w:rsidRPr="002714B8">
        <w:rPr>
          <w:b/>
          <w:sz w:val="24"/>
        </w:rPr>
        <w:t>:</w:t>
      </w:r>
      <w:bookmarkEnd w:id="21"/>
    </w:p>
    <w:p w14:paraId="6FEA1296" w14:textId="22981622" w:rsidR="009825F4" w:rsidRPr="009825F4" w:rsidRDefault="000F6A74" w:rsidP="009825F4">
      <w:pPr>
        <w:pStyle w:val="ListBullet"/>
        <w:numPr>
          <w:ilvl w:val="0"/>
          <w:numId w:val="0"/>
        </w:numPr>
        <w:spacing w:before="0" w:after="0"/>
        <w:rPr>
          <w:rFonts w:asciiTheme="minorHAnsi" w:hAnsiTheme="minorHAnsi" w:cstheme="minorHAnsi"/>
          <w:szCs w:val="22"/>
        </w:rPr>
      </w:pPr>
      <w:r>
        <w:rPr>
          <w:rFonts w:asciiTheme="minorHAnsi" w:hAnsiTheme="minorHAnsi" w:cstheme="minorHAnsi"/>
          <w:szCs w:val="22"/>
        </w:rPr>
        <w:t>Referral for an Employment Services Assessment Guidelines</w:t>
      </w:r>
    </w:p>
    <w:p w14:paraId="01D7FC28" w14:textId="4E2EC8DC" w:rsidR="009825F4" w:rsidRPr="009825F4" w:rsidRDefault="009825F4" w:rsidP="009825F4">
      <w:pPr>
        <w:pStyle w:val="ListBullet"/>
        <w:numPr>
          <w:ilvl w:val="0"/>
          <w:numId w:val="0"/>
        </w:numPr>
        <w:spacing w:before="0" w:after="0"/>
        <w:rPr>
          <w:rFonts w:asciiTheme="minorHAnsi" w:hAnsiTheme="minorHAnsi" w:cstheme="minorHAnsi"/>
          <w:szCs w:val="22"/>
        </w:rPr>
      </w:pPr>
      <w:r w:rsidRPr="009825F4">
        <w:rPr>
          <w:rFonts w:asciiTheme="minorHAnsi" w:hAnsiTheme="minorHAnsi" w:cstheme="minorHAnsi"/>
          <w:szCs w:val="22"/>
        </w:rPr>
        <w:t>Capability Assessment Guideline</w:t>
      </w:r>
      <w:r w:rsidR="00B540DD">
        <w:rPr>
          <w:rFonts w:asciiTheme="minorHAnsi" w:hAnsiTheme="minorHAnsi" w:cstheme="minorHAnsi"/>
          <w:szCs w:val="22"/>
        </w:rPr>
        <w:t>s</w:t>
      </w:r>
    </w:p>
    <w:p w14:paraId="55F58913" w14:textId="73D41373" w:rsidR="00427E22" w:rsidRDefault="009825F4" w:rsidP="009825F4">
      <w:pPr>
        <w:pStyle w:val="ListBullet"/>
        <w:numPr>
          <w:ilvl w:val="0"/>
          <w:numId w:val="0"/>
        </w:numPr>
        <w:spacing w:before="0" w:after="0"/>
        <w:rPr>
          <w:rFonts w:asciiTheme="minorHAnsi" w:hAnsiTheme="minorHAnsi" w:cstheme="minorHAnsi"/>
          <w:szCs w:val="22"/>
        </w:rPr>
      </w:pPr>
      <w:r w:rsidRPr="009825F4">
        <w:rPr>
          <w:rFonts w:asciiTheme="minorHAnsi" w:hAnsiTheme="minorHAnsi" w:cstheme="minorHAnsi"/>
          <w:szCs w:val="22"/>
        </w:rPr>
        <w:t>Work Refusal and Unemployment Failures Guideline</w:t>
      </w:r>
      <w:r w:rsidR="00B540DD">
        <w:rPr>
          <w:rFonts w:asciiTheme="minorHAnsi" w:hAnsiTheme="minorHAnsi" w:cstheme="minorHAnsi"/>
          <w:szCs w:val="22"/>
        </w:rPr>
        <w:t>s</w:t>
      </w:r>
    </w:p>
    <w:p w14:paraId="29FB1C50" w14:textId="7DB7F463" w:rsidR="004B15DD" w:rsidRDefault="004B15DD" w:rsidP="009825F4">
      <w:pPr>
        <w:pStyle w:val="ListBullet"/>
        <w:numPr>
          <w:ilvl w:val="0"/>
          <w:numId w:val="0"/>
        </w:numPr>
        <w:spacing w:before="0" w:after="0"/>
        <w:rPr>
          <w:rFonts w:asciiTheme="minorHAnsi" w:hAnsiTheme="minorHAnsi" w:cstheme="minorHAnsi"/>
          <w:szCs w:val="22"/>
        </w:rPr>
      </w:pPr>
      <w:r>
        <w:rPr>
          <w:rFonts w:asciiTheme="minorHAnsi" w:hAnsiTheme="minorHAnsi" w:cstheme="minorHAnsi"/>
          <w:szCs w:val="22"/>
        </w:rPr>
        <w:t>Targeted Compliance Framework Guidelines</w:t>
      </w:r>
    </w:p>
    <w:p w14:paraId="13E2FD2E" w14:textId="77777777" w:rsidR="009825F4" w:rsidRPr="008D19BF" w:rsidRDefault="009825F4" w:rsidP="009825F4">
      <w:pPr>
        <w:pStyle w:val="ListBullet"/>
        <w:numPr>
          <w:ilvl w:val="0"/>
          <w:numId w:val="0"/>
        </w:numPr>
        <w:spacing w:before="0" w:after="0"/>
        <w:rPr>
          <w:rFonts w:asciiTheme="minorHAnsi" w:hAnsiTheme="minorHAnsi" w:cstheme="minorHAnsi"/>
          <w:szCs w:val="22"/>
        </w:rPr>
      </w:pPr>
    </w:p>
    <w:p w14:paraId="47988527" w14:textId="77777777" w:rsidR="00794BC0" w:rsidRPr="002714B8" w:rsidRDefault="00794BC0" w:rsidP="002714B8">
      <w:pPr>
        <w:spacing w:before="0" w:after="240"/>
        <w:rPr>
          <w:b/>
          <w:sz w:val="24"/>
        </w:rPr>
      </w:pPr>
      <w:r w:rsidRPr="002714B8">
        <w:rPr>
          <w:b/>
          <w:sz w:val="24"/>
        </w:rPr>
        <w:lastRenderedPageBreak/>
        <w:t>Explanatory Note:</w:t>
      </w:r>
    </w:p>
    <w:p w14:paraId="41390E8C" w14:textId="77777777" w:rsidR="00794BC0" w:rsidRPr="008D19BF" w:rsidRDefault="00794BC0" w:rsidP="002714B8">
      <w:pPr>
        <w:tabs>
          <w:tab w:val="right" w:pos="1701"/>
        </w:tabs>
        <w:rPr>
          <w:rFonts w:asciiTheme="minorHAnsi" w:hAnsiTheme="minorHAnsi" w:cstheme="minorHAnsi"/>
          <w:szCs w:val="22"/>
        </w:rPr>
      </w:pPr>
      <w:r w:rsidRPr="008D19BF">
        <w:rPr>
          <w:rFonts w:asciiTheme="minorHAnsi" w:hAnsiTheme="minorHAnsi" w:cstheme="minorHAnsi"/>
          <w:szCs w:val="22"/>
        </w:rPr>
        <w:t>All capitalised terms have the same meaning as in Disability Employment Services Grant Agreement.</w:t>
      </w:r>
    </w:p>
    <w:p w14:paraId="41AA169B" w14:textId="7BB01C58" w:rsidR="007F595F" w:rsidRDefault="00794BC0" w:rsidP="002714B8">
      <w:pPr>
        <w:tabs>
          <w:tab w:val="right" w:pos="1701"/>
        </w:tabs>
        <w:rPr>
          <w:rFonts w:asciiTheme="minorHAnsi" w:hAnsiTheme="minorHAnsi" w:cstheme="minorHAnsi"/>
        </w:rPr>
      </w:pPr>
      <w:r w:rsidRPr="008D19BF">
        <w:rPr>
          <w:rFonts w:asciiTheme="minorHAnsi" w:hAnsiTheme="minorHAnsi" w:cstheme="minorHAnsi"/>
          <w:szCs w:val="22"/>
        </w:rPr>
        <w:t>In this document, “must” means that compliance is mandatory and “should” means that compliance represents best practice.</w:t>
      </w:r>
      <w:r w:rsidR="00EE4D85" w:rsidRPr="002F3336">
        <w:rPr>
          <w:rFonts w:asciiTheme="minorHAnsi" w:hAnsiTheme="minorHAnsi" w:cstheme="minorHAnsi"/>
        </w:rPr>
        <w:br w:type="page"/>
      </w:r>
      <w:bookmarkStart w:id="22" w:name="_Toc495402565"/>
    </w:p>
    <w:p w14:paraId="353219DE" w14:textId="596880CA" w:rsidR="008D6B0D" w:rsidRPr="00D43353" w:rsidRDefault="009825F4" w:rsidP="008D6B0D">
      <w:pPr>
        <w:rPr>
          <w:rFonts w:eastAsiaTheme="minorEastAsia"/>
          <w:b/>
          <w:noProof/>
          <w:szCs w:val="22"/>
        </w:rPr>
      </w:pPr>
      <w:r>
        <w:rPr>
          <w:rFonts w:eastAsiaTheme="minorEastAsia"/>
          <w:b/>
          <w:noProof/>
          <w:szCs w:val="22"/>
        </w:rPr>
        <w:lastRenderedPageBreak/>
        <w:t>Capability Interviews</w:t>
      </w:r>
      <w:r w:rsidR="00934547" w:rsidRPr="00934547">
        <w:rPr>
          <w:rFonts w:eastAsiaTheme="minorEastAsia"/>
          <w:b/>
          <w:noProof/>
          <w:szCs w:val="22"/>
        </w:rPr>
        <w:t xml:space="preserve"> </w:t>
      </w:r>
      <w:r w:rsidR="008D6B0D" w:rsidRPr="00427E22">
        <w:rPr>
          <w:rFonts w:eastAsiaTheme="minorEastAsia"/>
          <w:b/>
          <w:noProof/>
          <w:szCs w:val="22"/>
        </w:rPr>
        <w:t>Guidelines</w:t>
      </w:r>
    </w:p>
    <w:p w14:paraId="5E172028" w14:textId="77777777" w:rsidR="00B661F0" w:rsidRDefault="00B661F0" w:rsidP="00B661F0">
      <w:pPr>
        <w:pStyle w:val="guidelinetext"/>
        <w:pBdr>
          <w:top w:val="single" w:sz="4" w:space="1" w:color="auto"/>
        </w:pBdr>
        <w:spacing w:line="240" w:lineRule="auto"/>
        <w:ind w:left="0"/>
      </w:pPr>
    </w:p>
    <w:p w14:paraId="38397573" w14:textId="3BD521A0" w:rsidR="00B661F0" w:rsidRPr="00DF093C" w:rsidRDefault="00DA3590" w:rsidP="00DF093C">
      <w:pPr>
        <w:pStyle w:val="Heading2"/>
        <w:numPr>
          <w:ilvl w:val="0"/>
          <w:numId w:val="10"/>
        </w:numPr>
        <w:spacing w:before="0"/>
        <w:ind w:left="567" w:hanging="567"/>
        <w:rPr>
          <w:sz w:val="28"/>
        </w:rPr>
      </w:pPr>
      <w:bookmarkStart w:id="23" w:name="_Toc105518222"/>
      <w:r w:rsidRPr="00DF093C">
        <w:rPr>
          <w:sz w:val="28"/>
        </w:rPr>
        <w:t>The purpose of a Capability Interview</w:t>
      </w:r>
      <w:bookmarkEnd w:id="23"/>
      <w:r w:rsidR="00B661F0" w:rsidRPr="00DF093C">
        <w:rPr>
          <w:sz w:val="28"/>
        </w:rPr>
        <w:t xml:space="preserve"> </w:t>
      </w:r>
    </w:p>
    <w:p w14:paraId="10F2236C" w14:textId="77777777" w:rsidR="00DA3590" w:rsidRPr="002714B8" w:rsidRDefault="00DA3590" w:rsidP="002714B8">
      <w:pPr>
        <w:tabs>
          <w:tab w:val="right" w:pos="1701"/>
        </w:tabs>
        <w:rPr>
          <w:rFonts w:asciiTheme="minorHAnsi" w:hAnsiTheme="minorHAnsi" w:cstheme="minorHAnsi"/>
          <w:szCs w:val="22"/>
        </w:rPr>
      </w:pPr>
      <w:r>
        <w:t>The purpose of the Capability Interview is to</w:t>
      </w:r>
      <w:r w:rsidRPr="004C45D6">
        <w:t xml:space="preserve"> </w:t>
      </w:r>
      <w:r>
        <w:t xml:space="preserve">determine whether a Participant’s Job Plan is suitable for the </w:t>
      </w:r>
      <w:r w:rsidRPr="002714B8">
        <w:rPr>
          <w:rFonts w:asciiTheme="minorHAnsi" w:hAnsiTheme="minorHAnsi" w:cstheme="minorHAnsi"/>
          <w:szCs w:val="22"/>
        </w:rPr>
        <w:t xml:space="preserve">Participant. A Job Plan will be suitable for a Participant if the Mutual Obligation Requirements specified in their Job Plan are appropriate to the Participant’s circumstances and the Participant is capable of meeting them. </w:t>
      </w:r>
    </w:p>
    <w:p w14:paraId="70120B29" w14:textId="0B52A0DD" w:rsidR="00DA3590" w:rsidRPr="00793E9A" w:rsidRDefault="00DA3590" w:rsidP="002714B8">
      <w:pPr>
        <w:tabs>
          <w:tab w:val="right" w:pos="1701"/>
        </w:tabs>
      </w:pPr>
      <w:r w:rsidRPr="002714B8">
        <w:rPr>
          <w:rFonts w:asciiTheme="minorHAnsi" w:hAnsiTheme="minorHAnsi" w:cstheme="minorHAnsi"/>
          <w:szCs w:val="22"/>
        </w:rPr>
        <w:t>The outcome of the Capability Interview will determine whether the Participant continues in the Warning Zone or whether they are returned to the Green Zone with their Demerits reset to zero. The Department’s IT Systems</w:t>
      </w:r>
      <w:r>
        <w:t xml:space="preserve"> will determine the outcome of the Capability Interview based on the information that the Provider records in the Department’s IT Systems in relation to the Capability Interview. For more information on what the Provider must record in the Department’s IT Systems regarding Capability Interviews, see the sections of this Guideline below headed </w:t>
      </w:r>
      <w:r w:rsidR="00D2327D">
        <w:t>‘</w:t>
      </w:r>
      <w:r w:rsidR="00D2327D" w:rsidRPr="00B61595">
        <w:t>Preparing to conduct a Capability Interview</w:t>
      </w:r>
      <w:r w:rsidR="00D2327D">
        <w:t>’</w:t>
      </w:r>
      <w:r>
        <w:t xml:space="preserve"> and </w:t>
      </w:r>
      <w:r w:rsidR="00D2327D">
        <w:t>‘</w:t>
      </w:r>
      <w:r w:rsidR="00D2327D" w:rsidRPr="00B61595">
        <w:t>Conducting the Capability Interview</w:t>
      </w:r>
      <w:r w:rsidR="00D2327D">
        <w:t>’</w:t>
      </w:r>
      <w:r>
        <w:t>.</w:t>
      </w:r>
    </w:p>
    <w:p w14:paraId="7F432657" w14:textId="77777777" w:rsidR="00DA3590" w:rsidRDefault="00DA3590" w:rsidP="002714B8">
      <w:pPr>
        <w:tabs>
          <w:tab w:val="right" w:pos="1701"/>
        </w:tabs>
      </w:pPr>
      <w:r>
        <w:t xml:space="preserve">It is intended that </w:t>
      </w:r>
      <w:r w:rsidRPr="002714B8">
        <w:rPr>
          <w:rFonts w:asciiTheme="minorHAnsi" w:hAnsiTheme="minorHAnsi" w:cstheme="minorHAnsi"/>
          <w:szCs w:val="22"/>
        </w:rPr>
        <w:t>the</w:t>
      </w:r>
      <w:r w:rsidRPr="00793E9A">
        <w:t xml:space="preserve"> </w:t>
      </w:r>
      <w:r>
        <w:t>Participant</w:t>
      </w:r>
      <w:r w:rsidRPr="00793E9A">
        <w:t xml:space="preserve"> will</w:t>
      </w:r>
      <w:r>
        <w:t>:</w:t>
      </w:r>
    </w:p>
    <w:p w14:paraId="4E22E0F3" w14:textId="77777777" w:rsidR="00DA3590" w:rsidRDefault="00DA3590" w:rsidP="00BB59AC">
      <w:pPr>
        <w:pStyle w:val="guidelinetext"/>
        <w:numPr>
          <w:ilvl w:val="0"/>
          <w:numId w:val="9"/>
        </w:numPr>
        <w:spacing w:before="60" w:line="240" w:lineRule="auto"/>
        <w:ind w:left="714" w:hanging="357"/>
      </w:pPr>
      <w:r w:rsidRPr="00793E9A">
        <w:t xml:space="preserve">return to the Green Zone with their Demerits reset to zero if </w:t>
      </w:r>
      <w:r>
        <w:t>the outcome of the Capability Interview is that their Job Plan is not suitable (i.e. the Mutual Obligation Requirements specified in their Job Plan are not appropriate to the Participant’s circumstances or the Participant is not capable of meeting them); or</w:t>
      </w:r>
    </w:p>
    <w:p w14:paraId="2B1CA22B" w14:textId="5D4A09EE" w:rsidR="00DA3590" w:rsidRDefault="00DA3590" w:rsidP="00BB59AC">
      <w:pPr>
        <w:pStyle w:val="guidelinetext"/>
        <w:numPr>
          <w:ilvl w:val="0"/>
          <w:numId w:val="9"/>
        </w:numPr>
        <w:spacing w:before="60" w:line="240" w:lineRule="auto"/>
        <w:ind w:left="714" w:hanging="357"/>
      </w:pPr>
      <w:r w:rsidRPr="00793E9A">
        <w:t xml:space="preserve">continue in the Warning Zone if the </w:t>
      </w:r>
      <w:r>
        <w:t>outcome</w:t>
      </w:r>
      <w:r w:rsidRPr="00793E9A">
        <w:t xml:space="preserve"> of the Capability Interview is that the </w:t>
      </w:r>
      <w:r>
        <w:t>Job Plan is suitable for the Participant (i.e. the Mutual Obligation Requirements specified in their Job Plan are appropriate to the Participant’s circumstances and the Participant is capable of meeting them)</w:t>
      </w:r>
      <w:r w:rsidRPr="00793E9A">
        <w:t>.</w:t>
      </w:r>
    </w:p>
    <w:p w14:paraId="7C6BD330" w14:textId="642A5DF7" w:rsidR="00D2327D" w:rsidRDefault="00D2327D" w:rsidP="00DF093C">
      <w:pPr>
        <w:pStyle w:val="DeedReferences"/>
      </w:pPr>
      <w:r>
        <w:t>(Grant Agreement references: clauses 111.7, 111.8 and 111.9).</w:t>
      </w:r>
    </w:p>
    <w:p w14:paraId="212ED3D7" w14:textId="77777777" w:rsidR="001C516F" w:rsidRDefault="001C516F" w:rsidP="001C516F">
      <w:pPr>
        <w:pStyle w:val="Heading3"/>
        <w:pBdr>
          <w:bottom w:val="single" w:sz="4" w:space="1" w:color="auto"/>
        </w:pBdr>
        <w:spacing w:before="0"/>
      </w:pPr>
    </w:p>
    <w:p w14:paraId="1C819FB2" w14:textId="0FBDEBF1" w:rsidR="001C516F" w:rsidRPr="00DF093C" w:rsidRDefault="001C516F" w:rsidP="00DF093C">
      <w:pPr>
        <w:pStyle w:val="Heading2"/>
        <w:numPr>
          <w:ilvl w:val="0"/>
          <w:numId w:val="10"/>
        </w:numPr>
        <w:spacing w:before="0"/>
        <w:ind w:left="567" w:hanging="567"/>
        <w:rPr>
          <w:sz w:val="28"/>
        </w:rPr>
      </w:pPr>
      <w:bookmarkStart w:id="24" w:name="_Toc105518223"/>
      <w:r w:rsidRPr="00DF093C">
        <w:rPr>
          <w:sz w:val="28"/>
        </w:rPr>
        <w:t>When a Capability Interview is triggered</w:t>
      </w:r>
      <w:bookmarkEnd w:id="24"/>
      <w:r w:rsidRPr="00DF093C">
        <w:rPr>
          <w:sz w:val="28"/>
        </w:rPr>
        <w:t xml:space="preserve"> </w:t>
      </w:r>
    </w:p>
    <w:p w14:paraId="6ABFB1E9" w14:textId="0F35D097" w:rsidR="001C516F" w:rsidRPr="002714B8" w:rsidRDefault="001C516F" w:rsidP="002714B8">
      <w:pPr>
        <w:tabs>
          <w:tab w:val="right" w:pos="1701"/>
        </w:tabs>
        <w:rPr>
          <w:rFonts w:asciiTheme="minorHAnsi" w:hAnsiTheme="minorHAnsi" w:cstheme="minorHAnsi"/>
          <w:szCs w:val="22"/>
        </w:rPr>
      </w:pPr>
      <w:r>
        <w:t xml:space="preserve">Providers have an obligation under the DES Grant Agreement to </w:t>
      </w:r>
      <w:r w:rsidRPr="005042E2">
        <w:t xml:space="preserve">conduct a Capability Interview </w:t>
      </w:r>
      <w:r>
        <w:t>when</w:t>
      </w:r>
      <w:r w:rsidRPr="005042E2">
        <w:t xml:space="preserve"> the </w:t>
      </w:r>
      <w:r w:rsidRPr="002714B8">
        <w:rPr>
          <w:rFonts w:asciiTheme="minorHAnsi" w:hAnsiTheme="minorHAnsi" w:cstheme="minorHAnsi"/>
          <w:szCs w:val="22"/>
        </w:rPr>
        <w:t>Department’s IT Systems specify that the Participant’s Reconnection Requirement is a Capability Interview (the timing of when this occurs is discussed below). Note that the Department’s IT Systems refer to a Reconnection Requirement as a ‘re-engagement requirement’.</w:t>
      </w:r>
    </w:p>
    <w:p w14:paraId="5719215E" w14:textId="77777777" w:rsidR="001C516F" w:rsidRPr="00FA0C18" w:rsidRDefault="001C516F" w:rsidP="002714B8">
      <w:pPr>
        <w:tabs>
          <w:tab w:val="right" w:pos="1701"/>
        </w:tabs>
      </w:pPr>
      <w:r w:rsidRPr="002714B8">
        <w:rPr>
          <w:rFonts w:asciiTheme="minorHAnsi" w:hAnsiTheme="minorHAnsi" w:cstheme="minorHAnsi"/>
          <w:szCs w:val="22"/>
        </w:rPr>
        <w:t>Broadly speaking</w:t>
      </w:r>
      <w:r w:rsidRPr="00FA0C18">
        <w:t xml:space="preserve">, the Department’s IT Systems will specify that the </w:t>
      </w:r>
      <w:r>
        <w:t>Participant</w:t>
      </w:r>
      <w:r w:rsidRPr="00FA0C18">
        <w:t xml:space="preserve">’s Reconnection Requirement is a Capability Interview when the </w:t>
      </w:r>
      <w:r>
        <w:t>Participant</w:t>
      </w:r>
      <w:r w:rsidRPr="00FA0C18">
        <w:t xml:space="preserve"> has, in 6 active months (discussed below), incurred three Demerits or a Demerit for a ‘fast-track’ Mutual Obligation Failure. A fast-track Mutual Obligation Failure is one of the following:</w:t>
      </w:r>
    </w:p>
    <w:p w14:paraId="7A2205EF" w14:textId="77777777" w:rsidR="001C516F" w:rsidRDefault="001C516F" w:rsidP="00BB59AC">
      <w:pPr>
        <w:pStyle w:val="guidelinetext"/>
        <w:numPr>
          <w:ilvl w:val="0"/>
          <w:numId w:val="9"/>
        </w:numPr>
        <w:spacing w:before="60" w:line="240" w:lineRule="auto"/>
        <w:ind w:left="714" w:hanging="357"/>
      </w:pPr>
      <w:r>
        <w:t>acting at a job interview in a manner that could result in an offer of employment not being made to the Participant;</w:t>
      </w:r>
    </w:p>
    <w:p w14:paraId="064AAC85" w14:textId="77777777" w:rsidR="001C516F" w:rsidRDefault="001C516F" w:rsidP="00BB59AC">
      <w:pPr>
        <w:pStyle w:val="guidelinetext"/>
        <w:numPr>
          <w:ilvl w:val="0"/>
          <w:numId w:val="9"/>
        </w:numPr>
        <w:spacing w:before="60" w:line="240" w:lineRule="auto"/>
        <w:ind w:left="714" w:hanging="357"/>
      </w:pPr>
      <w:r w:rsidRPr="00A7509D">
        <w:t>failing to attend a job interview</w:t>
      </w:r>
      <w:r>
        <w:t>; or</w:t>
      </w:r>
    </w:p>
    <w:p w14:paraId="79C9262E" w14:textId="77777777" w:rsidR="001C516F" w:rsidRDefault="001C516F" w:rsidP="00BB59AC">
      <w:pPr>
        <w:pStyle w:val="guidelinetext"/>
        <w:numPr>
          <w:ilvl w:val="0"/>
          <w:numId w:val="9"/>
        </w:numPr>
        <w:spacing w:before="60" w:line="240" w:lineRule="auto"/>
        <w:ind w:left="714" w:hanging="357"/>
      </w:pPr>
      <w:r w:rsidRPr="00A7509D">
        <w:t>faili</w:t>
      </w:r>
      <w:r>
        <w:t>ng to act on a Job Referral.</w:t>
      </w:r>
    </w:p>
    <w:p w14:paraId="34CAB7EF" w14:textId="77777777" w:rsidR="001C516F" w:rsidRDefault="001C516F" w:rsidP="002714B8">
      <w:pPr>
        <w:tabs>
          <w:tab w:val="right" w:pos="1701"/>
        </w:tabs>
      </w:pPr>
      <w:r>
        <w:t>Note that, if a Participant has less than three Demerits when they incur a Demerit for a fast-track Mutual Obligation Failure, the Department’s IT Systems will automatically increase the number of Demerits to three.</w:t>
      </w:r>
    </w:p>
    <w:p w14:paraId="5A1B3F04" w14:textId="77777777" w:rsidR="001C516F" w:rsidRPr="002714B8" w:rsidRDefault="001C516F" w:rsidP="002714B8">
      <w:pPr>
        <w:tabs>
          <w:tab w:val="right" w:pos="1701"/>
        </w:tabs>
        <w:rPr>
          <w:rFonts w:asciiTheme="minorHAnsi" w:hAnsiTheme="minorHAnsi" w:cstheme="minorHAnsi"/>
          <w:szCs w:val="22"/>
        </w:rPr>
      </w:pPr>
      <w:r>
        <w:t xml:space="preserve">A factor that influences whether a Provider must conduct a Capability Interview in the circumstances </w:t>
      </w:r>
      <w:r w:rsidRPr="002714B8">
        <w:rPr>
          <w:rFonts w:asciiTheme="minorHAnsi" w:hAnsiTheme="minorHAnsi" w:cstheme="minorHAnsi"/>
          <w:szCs w:val="22"/>
        </w:rPr>
        <w:t xml:space="preserve">described above is the outcome of any Capability Interview or Capability Assessment that has been conducted in relation to the Participant in the last 60 days. Subject to certain requirements, if the </w:t>
      </w:r>
      <w:r w:rsidRPr="002714B8">
        <w:rPr>
          <w:rFonts w:asciiTheme="minorHAnsi" w:hAnsiTheme="minorHAnsi" w:cstheme="minorHAnsi"/>
          <w:szCs w:val="22"/>
        </w:rPr>
        <w:lastRenderedPageBreak/>
        <w:t>outcome is that the Participant’s Job Plan is suitable, then a further Capability Interview is not required.</w:t>
      </w:r>
    </w:p>
    <w:p w14:paraId="624D5B89" w14:textId="77777777" w:rsidR="001C516F" w:rsidRPr="002714B8" w:rsidRDefault="001C516F" w:rsidP="002714B8">
      <w:pPr>
        <w:tabs>
          <w:tab w:val="right" w:pos="1701"/>
        </w:tabs>
        <w:rPr>
          <w:rFonts w:asciiTheme="minorHAnsi" w:hAnsiTheme="minorHAnsi" w:cstheme="minorHAnsi"/>
          <w:szCs w:val="22"/>
        </w:rPr>
      </w:pPr>
      <w:r w:rsidRPr="002714B8">
        <w:rPr>
          <w:rFonts w:asciiTheme="minorHAnsi" w:hAnsiTheme="minorHAnsi" w:cstheme="minorHAnsi"/>
          <w:szCs w:val="22"/>
        </w:rPr>
        <w:t>The term ‘6 active months’ generally means 182 days, but prolonged for the time the Participant is in a penalty period or has an Exemption (up to a maximum of 12 months).</w:t>
      </w:r>
    </w:p>
    <w:p w14:paraId="4CBD83DD" w14:textId="77777777" w:rsidR="001C516F" w:rsidRDefault="001C516F" w:rsidP="002714B8">
      <w:pPr>
        <w:tabs>
          <w:tab w:val="right" w:pos="1701"/>
        </w:tabs>
      </w:pPr>
      <w:r w:rsidRPr="002714B8">
        <w:rPr>
          <w:rFonts w:asciiTheme="minorHAnsi" w:hAnsiTheme="minorHAnsi" w:cstheme="minorHAnsi"/>
          <w:szCs w:val="22"/>
        </w:rPr>
        <w:t>When the Department’s</w:t>
      </w:r>
      <w:r w:rsidRPr="00951190">
        <w:t xml:space="preserve"> IT Systems specify that the </w:t>
      </w:r>
      <w:r>
        <w:t>Participant</w:t>
      </w:r>
      <w:r w:rsidRPr="00951190">
        <w:t>’s Reconnection Requirement is a Capability Interview</w:t>
      </w:r>
      <w:r>
        <w:t>:</w:t>
      </w:r>
    </w:p>
    <w:p w14:paraId="1D78A11C" w14:textId="77777777" w:rsidR="001C516F" w:rsidRDefault="001C516F" w:rsidP="00BB59AC">
      <w:pPr>
        <w:pStyle w:val="guidelinetext"/>
        <w:numPr>
          <w:ilvl w:val="0"/>
          <w:numId w:val="9"/>
        </w:numPr>
        <w:spacing w:before="60" w:line="240" w:lineRule="auto"/>
        <w:ind w:left="714" w:hanging="357"/>
      </w:pPr>
      <w:r>
        <w:t>a Capability Interview is said to be ‘triggered’; and</w:t>
      </w:r>
    </w:p>
    <w:p w14:paraId="37C97142" w14:textId="77777777" w:rsidR="001C516F" w:rsidRDefault="001C516F" w:rsidP="00BB59AC">
      <w:pPr>
        <w:pStyle w:val="guidelinetext"/>
        <w:numPr>
          <w:ilvl w:val="0"/>
          <w:numId w:val="9"/>
        </w:numPr>
        <w:spacing w:before="60" w:line="240" w:lineRule="auto"/>
        <w:ind w:left="714" w:hanging="357"/>
      </w:pPr>
      <w:r>
        <w:t xml:space="preserve">the Department’s IT Systems will identify that the Capability Interview is ‘outstanding’. </w:t>
      </w:r>
    </w:p>
    <w:p w14:paraId="460AD2C2" w14:textId="0F3D7951" w:rsidR="001C516F" w:rsidRDefault="001C516F" w:rsidP="002714B8">
      <w:pPr>
        <w:tabs>
          <w:tab w:val="right" w:pos="1701"/>
        </w:tabs>
      </w:pPr>
      <w:r>
        <w:t xml:space="preserve">The Department’s IT Systems will identify that a Capability Interview is ‘outstanding’ until it is finalised. </w:t>
      </w:r>
      <w:r w:rsidRPr="002714B8">
        <w:rPr>
          <w:rFonts w:asciiTheme="minorHAnsi" w:hAnsiTheme="minorHAnsi" w:cstheme="minorHAnsi"/>
          <w:szCs w:val="22"/>
        </w:rPr>
        <w:t>The</w:t>
      </w:r>
      <w:r>
        <w:t xml:space="preserve"> Capability Interview will be finalised when the Provider selects ‘submit’ in the Department’s IT Systems after completing the pre-interview check and recording all the relevant information during the Capability Interview (as discussed in this Guideline below in the sections headed </w:t>
      </w:r>
      <w:r w:rsidR="00D2327D">
        <w:t>‘</w:t>
      </w:r>
      <w:r w:rsidR="00D2327D" w:rsidRPr="00B61595">
        <w:t>Preparing to conduct a Capability Interview</w:t>
      </w:r>
      <w:r w:rsidR="00D2327D">
        <w:t>’</w:t>
      </w:r>
      <w:r>
        <w:t xml:space="preserve"> and </w:t>
      </w:r>
      <w:r w:rsidR="00D2327D">
        <w:t>‘</w:t>
      </w:r>
      <w:r w:rsidR="00D2327D" w:rsidRPr="00B61595">
        <w:t>Conducting the Capability Interview</w:t>
      </w:r>
      <w:r w:rsidR="00D2327D">
        <w:t>’</w:t>
      </w:r>
      <w:r>
        <w:t>).</w:t>
      </w:r>
    </w:p>
    <w:p w14:paraId="284437E4" w14:textId="77777777" w:rsidR="001C516F" w:rsidRDefault="001C516F" w:rsidP="002714B8">
      <w:pPr>
        <w:tabs>
          <w:tab w:val="right" w:pos="1701"/>
        </w:tabs>
      </w:pPr>
      <w:r>
        <w:t xml:space="preserve">When a Participant incurs a Demerit that triggers a Capability Interview, their Income Support </w:t>
      </w:r>
      <w:r w:rsidRPr="002714B8">
        <w:rPr>
          <w:rFonts w:asciiTheme="minorHAnsi" w:hAnsiTheme="minorHAnsi" w:cstheme="minorHAnsi"/>
          <w:szCs w:val="22"/>
        </w:rPr>
        <w:t>Payment</w:t>
      </w:r>
      <w:r>
        <w:t xml:space="preserve"> will be suspended until the Participant participates in the Capability Interview and the Capability Interview is finalised. Exceptions to this are discussed below under the heading ‘Circumstances where a Capability Interview cannot be delivered within two Business Days’.</w:t>
      </w:r>
    </w:p>
    <w:p w14:paraId="5C20F061" w14:textId="03C2875F" w:rsidR="001C516F" w:rsidRDefault="001C516F" w:rsidP="002714B8">
      <w:pPr>
        <w:tabs>
          <w:tab w:val="right" w:pos="1701"/>
        </w:tabs>
      </w:pPr>
      <w:r>
        <w:t xml:space="preserve">Where the Department’s IT Systems identify that a Capability Interview is ‘outstanding’ (as referred to </w:t>
      </w:r>
      <w:r w:rsidRPr="002714B8">
        <w:rPr>
          <w:rFonts w:asciiTheme="minorHAnsi" w:hAnsiTheme="minorHAnsi" w:cstheme="minorHAnsi"/>
          <w:szCs w:val="22"/>
        </w:rPr>
        <w:t>above</w:t>
      </w:r>
      <w:r>
        <w:t>), the Participant will not be able to accrue any further Demerits until they attend a Capability Interview and that Capability Interview is finalised.</w:t>
      </w:r>
    </w:p>
    <w:p w14:paraId="58CFEE66" w14:textId="7ACEA2E7" w:rsidR="00D2327D" w:rsidRDefault="00D2327D" w:rsidP="00DF093C">
      <w:pPr>
        <w:pStyle w:val="DeedReferences"/>
      </w:pPr>
      <w:r>
        <w:t>(Grant Agreement reference: clause 111.7)</w:t>
      </w:r>
    </w:p>
    <w:p w14:paraId="0F00FA84" w14:textId="77777777" w:rsidR="001C516F" w:rsidRDefault="001C516F" w:rsidP="00B61595">
      <w:pPr>
        <w:pStyle w:val="guidelinetext"/>
        <w:spacing w:line="240" w:lineRule="auto"/>
        <w:ind w:left="0"/>
      </w:pPr>
    </w:p>
    <w:p w14:paraId="2579B723" w14:textId="77777777" w:rsidR="001C516F" w:rsidRPr="00B61595" w:rsidRDefault="001C516F" w:rsidP="00BB59AC">
      <w:pPr>
        <w:pStyle w:val="Heading3"/>
        <w:spacing w:before="0" w:after="120"/>
      </w:pPr>
      <w:bookmarkStart w:id="25" w:name="_Toc20920431"/>
      <w:bookmarkStart w:id="26" w:name="_Toc21422431"/>
      <w:bookmarkStart w:id="27" w:name="_Toc105518224"/>
      <w:r w:rsidRPr="00BB59AC">
        <w:t>Capability Interviews resulted as ‘No Longer Required’, but are still ‘outstanding’</w:t>
      </w:r>
      <w:bookmarkEnd w:id="25"/>
      <w:bookmarkEnd w:id="26"/>
      <w:bookmarkEnd w:id="27"/>
    </w:p>
    <w:p w14:paraId="497376A2" w14:textId="77777777" w:rsidR="001C516F" w:rsidRDefault="001C516F" w:rsidP="002714B8">
      <w:pPr>
        <w:tabs>
          <w:tab w:val="right" w:pos="1701"/>
        </w:tabs>
      </w:pPr>
      <w:r>
        <w:t>In some circumstances, where the Department’s IT Systems identify that a Capability Interview is ‘</w:t>
      </w:r>
      <w:r w:rsidRPr="002714B8">
        <w:rPr>
          <w:rFonts w:asciiTheme="minorHAnsi" w:hAnsiTheme="minorHAnsi" w:cstheme="minorHAnsi"/>
          <w:szCs w:val="22"/>
        </w:rPr>
        <w:t>outstanding’</w:t>
      </w:r>
      <w:r>
        <w:t>, the Capability Interview will be shown to be ‘No Longer Required’. This will happen where, after the Capability Interview is triggered, but before it is finalised, the Participant:</w:t>
      </w:r>
    </w:p>
    <w:p w14:paraId="6D9AF22D" w14:textId="617F4879" w:rsidR="001C516F" w:rsidRDefault="001C516F" w:rsidP="00BB59AC">
      <w:pPr>
        <w:pStyle w:val="guidelinetext"/>
        <w:numPr>
          <w:ilvl w:val="0"/>
          <w:numId w:val="9"/>
        </w:numPr>
        <w:spacing w:before="60" w:line="240" w:lineRule="auto"/>
        <w:ind w:left="714" w:hanging="357"/>
      </w:pPr>
      <w:r>
        <w:t xml:space="preserve">transfers from the Provider to another Provider, but remains in DES; or </w:t>
      </w:r>
    </w:p>
    <w:p w14:paraId="6C499391" w14:textId="77777777" w:rsidR="001C516F" w:rsidRDefault="001C516F" w:rsidP="00BB59AC">
      <w:pPr>
        <w:pStyle w:val="guidelinetext"/>
        <w:numPr>
          <w:ilvl w:val="0"/>
          <w:numId w:val="9"/>
        </w:numPr>
        <w:spacing w:before="60" w:line="240" w:lineRule="auto"/>
        <w:ind w:left="714" w:hanging="357"/>
      </w:pPr>
      <w:r>
        <w:t>is granted an Exemption.</w:t>
      </w:r>
    </w:p>
    <w:p w14:paraId="5DAF1F2E" w14:textId="77777777" w:rsidR="001C516F" w:rsidRDefault="001C516F" w:rsidP="002714B8">
      <w:pPr>
        <w:tabs>
          <w:tab w:val="right" w:pos="1701"/>
        </w:tabs>
      </w:pPr>
      <w:r>
        <w:t>Even though the Capability Interview is shown as ‘No longer Required’, there is still an obligation to conduct the Capability Interview as follows:</w:t>
      </w:r>
    </w:p>
    <w:p w14:paraId="224C0B25" w14:textId="77777777" w:rsidR="001C516F" w:rsidRDefault="001C516F" w:rsidP="00BB59AC">
      <w:pPr>
        <w:pStyle w:val="guidelinetext"/>
        <w:numPr>
          <w:ilvl w:val="0"/>
          <w:numId w:val="9"/>
        </w:numPr>
        <w:spacing w:before="60" w:line="240" w:lineRule="auto"/>
        <w:ind w:left="714" w:hanging="357"/>
      </w:pPr>
      <w:r>
        <w:t>when the Participant transfers to a new Provider, the new Provider must conduct the Capability Interview; and</w:t>
      </w:r>
    </w:p>
    <w:p w14:paraId="5A543F57" w14:textId="77777777" w:rsidR="001C516F" w:rsidRDefault="001C516F" w:rsidP="00BB59AC">
      <w:pPr>
        <w:pStyle w:val="guidelinetext"/>
        <w:numPr>
          <w:ilvl w:val="0"/>
          <w:numId w:val="9"/>
        </w:numPr>
        <w:spacing w:before="60" w:line="240" w:lineRule="auto"/>
        <w:ind w:left="714" w:hanging="357"/>
      </w:pPr>
      <w:r>
        <w:t>when the Participant returns to servicing after an Exemption, the Provider must conduct the Capability Interview.</w:t>
      </w:r>
    </w:p>
    <w:p w14:paraId="6D0ECF95" w14:textId="77777777" w:rsidR="001C516F" w:rsidRDefault="001C516F" w:rsidP="002714B8">
      <w:pPr>
        <w:tabs>
          <w:tab w:val="right" w:pos="1701"/>
        </w:tabs>
      </w:pPr>
      <w:r>
        <w:t xml:space="preserve">In these cases, the Participant must participate in a Capability Interview before their new Job Plan can be </w:t>
      </w:r>
      <w:r w:rsidRPr="002714B8">
        <w:rPr>
          <w:rFonts w:asciiTheme="minorHAnsi" w:hAnsiTheme="minorHAnsi" w:cstheme="minorHAnsi"/>
          <w:szCs w:val="22"/>
        </w:rPr>
        <w:t>negotiated</w:t>
      </w:r>
      <w:r>
        <w:t xml:space="preserve"> with them. The Department’s IT Systems will continue to identify that the Capability Interview is ‘outstanding’ until the Capability Interview is finalised.</w:t>
      </w:r>
    </w:p>
    <w:p w14:paraId="100DE541" w14:textId="2F9B7B58" w:rsidR="001C516F" w:rsidRDefault="001C516F" w:rsidP="002714B8">
      <w:pPr>
        <w:tabs>
          <w:tab w:val="right" w:pos="1701"/>
        </w:tabs>
      </w:pPr>
      <w:r>
        <w:t xml:space="preserve">The timeframe within which the ‘No longer Required’ Capability Interview must be conducted is discussed </w:t>
      </w:r>
      <w:r w:rsidRPr="002714B8">
        <w:rPr>
          <w:rFonts w:asciiTheme="minorHAnsi" w:hAnsiTheme="minorHAnsi" w:cstheme="minorHAnsi"/>
          <w:szCs w:val="22"/>
        </w:rPr>
        <w:t>below</w:t>
      </w:r>
      <w:r>
        <w:t xml:space="preserve"> under the heading ‘When the Participant is transferred to another Provider or they are returning to service after an Exemption’.</w:t>
      </w:r>
    </w:p>
    <w:p w14:paraId="7AD7A1BA" w14:textId="0E69E6F7" w:rsidR="00327C85" w:rsidRDefault="00327C85" w:rsidP="002714B8">
      <w:pPr>
        <w:tabs>
          <w:tab w:val="right" w:pos="1701"/>
        </w:tabs>
      </w:pPr>
    </w:p>
    <w:p w14:paraId="0FCE5219" w14:textId="77777777" w:rsidR="00327C85" w:rsidRDefault="00327C85" w:rsidP="002714B8">
      <w:pPr>
        <w:tabs>
          <w:tab w:val="right" w:pos="1701"/>
        </w:tabs>
      </w:pPr>
    </w:p>
    <w:p w14:paraId="096C4DEB" w14:textId="77777777" w:rsidR="001C516F" w:rsidRDefault="001C516F" w:rsidP="001C516F">
      <w:pPr>
        <w:pStyle w:val="Heading3"/>
        <w:pBdr>
          <w:bottom w:val="single" w:sz="4" w:space="1" w:color="auto"/>
        </w:pBdr>
        <w:spacing w:before="0"/>
      </w:pPr>
    </w:p>
    <w:p w14:paraId="0551C015" w14:textId="0CC511F1" w:rsidR="009825F4" w:rsidRPr="00DF093C" w:rsidRDefault="009825F4" w:rsidP="00DF093C">
      <w:pPr>
        <w:pStyle w:val="Heading2"/>
        <w:numPr>
          <w:ilvl w:val="0"/>
          <w:numId w:val="10"/>
        </w:numPr>
        <w:spacing w:before="0"/>
        <w:ind w:left="567" w:hanging="567"/>
        <w:rPr>
          <w:sz w:val="28"/>
        </w:rPr>
      </w:pPr>
      <w:bookmarkStart w:id="28" w:name="_Toc23763234"/>
      <w:bookmarkStart w:id="29" w:name="_Toc23763412"/>
      <w:bookmarkStart w:id="30" w:name="_Toc23763235"/>
      <w:bookmarkStart w:id="31" w:name="_Toc23763413"/>
      <w:bookmarkStart w:id="32" w:name="_Toc23763236"/>
      <w:bookmarkStart w:id="33" w:name="_Toc23763414"/>
      <w:bookmarkStart w:id="34" w:name="_Toc23763237"/>
      <w:bookmarkStart w:id="35" w:name="_Toc23763415"/>
      <w:bookmarkStart w:id="36" w:name="_Toc511126772"/>
      <w:bookmarkStart w:id="37" w:name="_Toc105518225"/>
      <w:bookmarkEnd w:id="28"/>
      <w:bookmarkEnd w:id="29"/>
      <w:bookmarkEnd w:id="30"/>
      <w:bookmarkEnd w:id="31"/>
      <w:bookmarkEnd w:id="32"/>
      <w:bookmarkEnd w:id="33"/>
      <w:bookmarkEnd w:id="34"/>
      <w:bookmarkEnd w:id="35"/>
      <w:r w:rsidRPr="00DF093C">
        <w:rPr>
          <w:sz w:val="28"/>
        </w:rPr>
        <w:t xml:space="preserve">Scheduling </w:t>
      </w:r>
      <w:r w:rsidR="001C516F" w:rsidRPr="00DF093C">
        <w:rPr>
          <w:sz w:val="28"/>
        </w:rPr>
        <w:t xml:space="preserve">a </w:t>
      </w:r>
      <w:r w:rsidRPr="00DF093C">
        <w:rPr>
          <w:sz w:val="28"/>
        </w:rPr>
        <w:t>Capability Interview</w:t>
      </w:r>
      <w:bookmarkEnd w:id="36"/>
      <w:bookmarkEnd w:id="37"/>
    </w:p>
    <w:p w14:paraId="2D3C153F" w14:textId="7D229CC9" w:rsidR="001C516F" w:rsidRPr="002714B8" w:rsidRDefault="001C516F" w:rsidP="002714B8">
      <w:pPr>
        <w:tabs>
          <w:tab w:val="right" w:pos="1701"/>
        </w:tabs>
        <w:rPr>
          <w:rFonts w:asciiTheme="minorHAnsi" w:hAnsiTheme="minorHAnsi" w:cstheme="minorHAnsi"/>
          <w:szCs w:val="22"/>
        </w:rPr>
      </w:pPr>
      <w:r>
        <w:t xml:space="preserve">As discussed above, the Department’s IT Systems will identify when a Participant’s Reconnection Requirement is a Capability Interview. Providers’ main obligations regarding when they must schedule a </w:t>
      </w:r>
      <w:r w:rsidRPr="002714B8">
        <w:rPr>
          <w:rFonts w:asciiTheme="minorHAnsi" w:hAnsiTheme="minorHAnsi" w:cstheme="minorHAnsi"/>
          <w:szCs w:val="22"/>
        </w:rPr>
        <w:t>date and time for a Reconnection Requirement (e.g. a Capability Interview) are set out in clauses 111.2(a)(ii) and 11</w:t>
      </w:r>
      <w:r w:rsidR="007B6676" w:rsidRPr="002714B8">
        <w:rPr>
          <w:rFonts w:asciiTheme="minorHAnsi" w:hAnsiTheme="minorHAnsi" w:cstheme="minorHAnsi"/>
          <w:szCs w:val="22"/>
        </w:rPr>
        <w:t>1</w:t>
      </w:r>
      <w:r w:rsidRPr="002714B8">
        <w:rPr>
          <w:rFonts w:asciiTheme="minorHAnsi" w:hAnsiTheme="minorHAnsi" w:cstheme="minorHAnsi"/>
          <w:szCs w:val="22"/>
        </w:rPr>
        <w:t xml:space="preserve">.4(b) of the </w:t>
      </w:r>
      <w:r w:rsidR="007B6676" w:rsidRPr="002714B8">
        <w:rPr>
          <w:rFonts w:asciiTheme="minorHAnsi" w:hAnsiTheme="minorHAnsi" w:cstheme="minorHAnsi"/>
          <w:szCs w:val="22"/>
        </w:rPr>
        <w:t>DES Grant Agreement</w:t>
      </w:r>
      <w:r w:rsidRPr="002714B8">
        <w:rPr>
          <w:rFonts w:asciiTheme="minorHAnsi" w:hAnsiTheme="minorHAnsi" w:cstheme="minorHAnsi"/>
          <w:szCs w:val="22"/>
        </w:rPr>
        <w:t>.</w:t>
      </w:r>
    </w:p>
    <w:p w14:paraId="20D14B5B" w14:textId="7F4E0212" w:rsidR="007B6676" w:rsidRPr="002714B8" w:rsidRDefault="007B6676" w:rsidP="002714B8">
      <w:pPr>
        <w:tabs>
          <w:tab w:val="right" w:pos="1701"/>
        </w:tabs>
        <w:rPr>
          <w:rFonts w:asciiTheme="minorHAnsi" w:hAnsiTheme="minorHAnsi" w:cstheme="minorHAnsi"/>
          <w:szCs w:val="22"/>
        </w:rPr>
      </w:pPr>
      <w:r w:rsidRPr="002714B8">
        <w:rPr>
          <w:rFonts w:asciiTheme="minorHAnsi" w:hAnsiTheme="minorHAnsi" w:cstheme="minorHAnsi"/>
          <w:szCs w:val="22"/>
        </w:rPr>
        <w:t>When scheduling a Capability Interview in the Participant’s Electronic Calendar, t</w:t>
      </w:r>
      <w:r w:rsidR="009825F4" w:rsidRPr="002714B8">
        <w:rPr>
          <w:rFonts w:asciiTheme="minorHAnsi" w:hAnsiTheme="minorHAnsi" w:cstheme="minorHAnsi"/>
          <w:szCs w:val="22"/>
        </w:rPr>
        <w:t xml:space="preserve">he Provider must be in direct contact with the </w:t>
      </w:r>
      <w:r w:rsidR="00231A92" w:rsidRPr="002714B8">
        <w:rPr>
          <w:rFonts w:asciiTheme="minorHAnsi" w:hAnsiTheme="minorHAnsi" w:cstheme="minorHAnsi"/>
          <w:szCs w:val="22"/>
        </w:rPr>
        <w:t>Participant</w:t>
      </w:r>
      <w:r w:rsidRPr="002714B8">
        <w:rPr>
          <w:rFonts w:asciiTheme="minorHAnsi" w:hAnsiTheme="minorHAnsi" w:cstheme="minorHAnsi"/>
          <w:szCs w:val="22"/>
        </w:rPr>
        <w:t>.</w:t>
      </w:r>
      <w:r w:rsidR="00231A92" w:rsidRPr="002714B8">
        <w:rPr>
          <w:rFonts w:asciiTheme="minorHAnsi" w:hAnsiTheme="minorHAnsi" w:cstheme="minorHAnsi"/>
          <w:szCs w:val="22"/>
        </w:rPr>
        <w:t xml:space="preserve"> </w:t>
      </w:r>
      <w:r w:rsidRPr="002714B8">
        <w:rPr>
          <w:rFonts w:asciiTheme="minorHAnsi" w:hAnsiTheme="minorHAnsi" w:cstheme="minorHAnsi"/>
          <w:szCs w:val="22"/>
        </w:rPr>
        <w:t>This is to ensure that the Participant receives formal notification of the Capability Interview within a reasonable timeframe.</w:t>
      </w:r>
    </w:p>
    <w:p w14:paraId="41C216A8" w14:textId="0BB67278" w:rsidR="007B6676" w:rsidRPr="002714B8" w:rsidRDefault="007B6676" w:rsidP="002714B8">
      <w:pPr>
        <w:tabs>
          <w:tab w:val="right" w:pos="1701"/>
        </w:tabs>
        <w:rPr>
          <w:rFonts w:asciiTheme="minorHAnsi" w:hAnsiTheme="minorHAnsi" w:cstheme="minorHAnsi"/>
          <w:szCs w:val="22"/>
        </w:rPr>
      </w:pPr>
      <w:r w:rsidRPr="002714B8">
        <w:rPr>
          <w:rFonts w:asciiTheme="minorHAnsi" w:hAnsiTheme="minorHAnsi" w:cstheme="minorHAnsi"/>
          <w:szCs w:val="22"/>
        </w:rPr>
        <w:t xml:space="preserve">Usually, when a Provider is scheduling </w:t>
      </w:r>
      <w:r w:rsidR="009825F4" w:rsidRPr="002714B8">
        <w:rPr>
          <w:rFonts w:asciiTheme="minorHAnsi" w:hAnsiTheme="minorHAnsi" w:cstheme="minorHAnsi"/>
          <w:szCs w:val="22"/>
        </w:rPr>
        <w:t>the Capability Interview</w:t>
      </w:r>
      <w:r w:rsidRPr="002714B8">
        <w:rPr>
          <w:rFonts w:asciiTheme="minorHAnsi" w:hAnsiTheme="minorHAnsi" w:cstheme="minorHAnsi"/>
          <w:szCs w:val="22"/>
        </w:rPr>
        <w:t xml:space="preserve">, the Provider must </w:t>
      </w:r>
      <w:r w:rsidR="009825F4" w:rsidRPr="002714B8">
        <w:rPr>
          <w:rFonts w:asciiTheme="minorHAnsi" w:hAnsiTheme="minorHAnsi" w:cstheme="minorHAnsi"/>
          <w:szCs w:val="22"/>
        </w:rPr>
        <w:t xml:space="preserve">scheduled </w:t>
      </w:r>
      <w:r w:rsidRPr="002714B8">
        <w:rPr>
          <w:rFonts w:asciiTheme="minorHAnsi" w:hAnsiTheme="minorHAnsi" w:cstheme="minorHAnsi"/>
          <w:szCs w:val="22"/>
        </w:rPr>
        <w:t xml:space="preserve">it </w:t>
      </w:r>
      <w:r w:rsidR="009825F4" w:rsidRPr="002714B8">
        <w:rPr>
          <w:rFonts w:asciiTheme="minorHAnsi" w:hAnsiTheme="minorHAnsi" w:cstheme="minorHAnsi"/>
          <w:szCs w:val="22"/>
        </w:rPr>
        <w:t xml:space="preserve">to occur within two Business Days </w:t>
      </w:r>
      <w:r w:rsidRPr="002714B8">
        <w:rPr>
          <w:rFonts w:asciiTheme="minorHAnsi" w:hAnsiTheme="minorHAnsi" w:cstheme="minorHAnsi"/>
          <w:szCs w:val="22"/>
        </w:rPr>
        <w:t xml:space="preserve">after the Participant incurs the relevant demerit, as specified in </w:t>
      </w:r>
      <w:r w:rsidR="00C6238E" w:rsidRPr="002714B8">
        <w:rPr>
          <w:rFonts w:asciiTheme="minorHAnsi" w:hAnsiTheme="minorHAnsi" w:cstheme="minorHAnsi"/>
          <w:szCs w:val="22"/>
        </w:rPr>
        <w:t>clause</w:t>
      </w:r>
      <w:r w:rsidRPr="002714B8">
        <w:rPr>
          <w:rFonts w:asciiTheme="minorHAnsi" w:hAnsiTheme="minorHAnsi" w:cstheme="minorHAnsi"/>
          <w:szCs w:val="22"/>
        </w:rPr>
        <w:t xml:space="preserve"> 111.9(b) of the DES Grant Agreement. This usual timeframe is referred to in this Guideline as the ‘standard two Business Days timeframe’. Exceptions to the standard two Business Days timeframe are discussed below under the heading ‘Circumstances where a Capability Interview cannot be delivered within two Business Days’.</w:t>
      </w:r>
    </w:p>
    <w:p w14:paraId="47DBE37A" w14:textId="71B88C7F" w:rsidR="007B6676" w:rsidRDefault="009825F4" w:rsidP="002714B8">
      <w:pPr>
        <w:tabs>
          <w:tab w:val="right" w:pos="1701"/>
        </w:tabs>
      </w:pPr>
      <w:r w:rsidRPr="002714B8">
        <w:rPr>
          <w:rFonts w:asciiTheme="minorHAnsi" w:hAnsiTheme="minorHAnsi" w:cstheme="minorHAnsi"/>
          <w:szCs w:val="22"/>
        </w:rPr>
        <w:t>Providers s</w:t>
      </w:r>
      <w:r w:rsidRPr="004401B2">
        <w:t xml:space="preserve">hould ensure that the scheduled Capability Interview is of sufficient length to allow for a thorough review of the </w:t>
      </w:r>
      <w:r w:rsidR="00231A92">
        <w:t xml:space="preserve">Participant’s </w:t>
      </w:r>
      <w:r w:rsidRPr="004401B2">
        <w:t xml:space="preserve">personal circumstances and </w:t>
      </w:r>
      <w:r>
        <w:t xml:space="preserve">a </w:t>
      </w:r>
      <w:r w:rsidR="007B6676">
        <w:t>detailed</w:t>
      </w:r>
      <w:r w:rsidR="007B6676" w:rsidRPr="004401B2">
        <w:t xml:space="preserve"> </w:t>
      </w:r>
      <w:r w:rsidRPr="004401B2">
        <w:t xml:space="preserve">discussion. </w:t>
      </w:r>
      <w:r w:rsidR="007B6676">
        <w:t>The recommended time for a Capability Interview is between 30 and 60 minutes.</w:t>
      </w:r>
    </w:p>
    <w:p w14:paraId="32880C80" w14:textId="77777777" w:rsidR="007B6676" w:rsidRDefault="007B6676" w:rsidP="00B61595">
      <w:pPr>
        <w:pStyle w:val="guidelinetext"/>
        <w:spacing w:line="240" w:lineRule="auto"/>
        <w:ind w:left="0"/>
      </w:pPr>
      <w:r>
        <w:t xml:space="preserve">When scheduling the Capability Interview, the Provider must ensure the Participant understands: </w:t>
      </w:r>
    </w:p>
    <w:p w14:paraId="37127B64" w14:textId="77777777" w:rsidR="007B6676" w:rsidRDefault="007B6676" w:rsidP="00BB59AC">
      <w:pPr>
        <w:pStyle w:val="guidelinetext"/>
        <w:numPr>
          <w:ilvl w:val="0"/>
          <w:numId w:val="9"/>
        </w:numPr>
        <w:spacing w:before="60" w:line="240" w:lineRule="auto"/>
        <w:ind w:left="714" w:hanging="357"/>
      </w:pPr>
      <w:r>
        <w:t xml:space="preserve">the purpose of the Capability Interview; </w:t>
      </w:r>
    </w:p>
    <w:p w14:paraId="07CDCC3D" w14:textId="77777777" w:rsidR="007B6676" w:rsidRDefault="007B6676" w:rsidP="00BB59AC">
      <w:pPr>
        <w:pStyle w:val="guidelinetext"/>
        <w:numPr>
          <w:ilvl w:val="0"/>
          <w:numId w:val="9"/>
        </w:numPr>
        <w:spacing w:before="60" w:line="240" w:lineRule="auto"/>
        <w:ind w:left="714" w:hanging="357"/>
      </w:pPr>
      <w:r>
        <w:t xml:space="preserve">the reason they must participate in a Capability Interview (either because they accrued three Demerits or because they committed a fast-track Mutual Obligation Failure); and </w:t>
      </w:r>
    </w:p>
    <w:p w14:paraId="205BE468" w14:textId="155D6591" w:rsidR="007B6676" w:rsidRDefault="007B6676" w:rsidP="00BB59AC">
      <w:pPr>
        <w:pStyle w:val="guidelinetext"/>
        <w:numPr>
          <w:ilvl w:val="0"/>
          <w:numId w:val="9"/>
        </w:numPr>
        <w:spacing w:before="60" w:line="240" w:lineRule="auto"/>
        <w:ind w:left="714" w:hanging="357"/>
      </w:pPr>
      <w:r>
        <w:t>the serious potential consequences of continued Mutual Obligation Failures.</w:t>
      </w:r>
    </w:p>
    <w:p w14:paraId="2A4CA154" w14:textId="08E8FAC0" w:rsidR="00D2327D" w:rsidRDefault="00D2327D" w:rsidP="00DF093C">
      <w:pPr>
        <w:pStyle w:val="DeedReferences"/>
      </w:pPr>
      <w:r>
        <w:t>(Grant Agreement reference: clauses 111.2(a)(ii) and 111.4(b))</w:t>
      </w:r>
    </w:p>
    <w:p w14:paraId="7358C84F" w14:textId="77777777" w:rsidR="007F595F" w:rsidRDefault="007F595F" w:rsidP="00231A92">
      <w:pPr>
        <w:pStyle w:val="Heading3"/>
        <w:pBdr>
          <w:bottom w:val="single" w:sz="4" w:space="1" w:color="auto"/>
        </w:pBdr>
        <w:spacing w:before="0"/>
      </w:pPr>
      <w:bookmarkStart w:id="38" w:name="_Toc511137917"/>
    </w:p>
    <w:p w14:paraId="5C703D44" w14:textId="77777777" w:rsidR="007B6676" w:rsidRPr="00DF093C" w:rsidRDefault="007B6676" w:rsidP="00DF093C">
      <w:pPr>
        <w:pStyle w:val="Heading2"/>
        <w:numPr>
          <w:ilvl w:val="0"/>
          <w:numId w:val="10"/>
        </w:numPr>
        <w:spacing w:before="0"/>
        <w:ind w:left="567" w:hanging="567"/>
        <w:rPr>
          <w:sz w:val="28"/>
        </w:rPr>
      </w:pPr>
      <w:bookmarkStart w:id="39" w:name="_Toc20920433"/>
      <w:bookmarkStart w:id="40" w:name="_Toc21422433"/>
      <w:bookmarkStart w:id="41" w:name="_Toc105518226"/>
      <w:r w:rsidRPr="00DF093C">
        <w:rPr>
          <w:sz w:val="28"/>
        </w:rPr>
        <w:t>Circumstances where a Capability Interview does not need to be delivered face to face</w:t>
      </w:r>
      <w:bookmarkEnd w:id="39"/>
      <w:bookmarkEnd w:id="40"/>
      <w:bookmarkEnd w:id="41"/>
      <w:r w:rsidRPr="00DF093C">
        <w:rPr>
          <w:sz w:val="28"/>
        </w:rPr>
        <w:t xml:space="preserve"> </w:t>
      </w:r>
    </w:p>
    <w:p w14:paraId="58EB338A" w14:textId="1737DA27" w:rsidR="007B6676" w:rsidRDefault="007B6676" w:rsidP="002714B8">
      <w:pPr>
        <w:tabs>
          <w:tab w:val="right" w:pos="1701"/>
        </w:tabs>
      </w:pPr>
      <w:r>
        <w:t xml:space="preserve">Providers </w:t>
      </w:r>
      <w:r w:rsidRPr="002714B8">
        <w:rPr>
          <w:rFonts w:asciiTheme="minorHAnsi" w:hAnsiTheme="minorHAnsi" w:cstheme="minorHAnsi"/>
          <w:szCs w:val="22"/>
        </w:rPr>
        <w:t>must</w:t>
      </w:r>
      <w:r>
        <w:t xml:space="preserve"> conduct Capability Interviews face to face, except in allowable circumstances. </w:t>
      </w:r>
    </w:p>
    <w:p w14:paraId="775C0341" w14:textId="2AB4268E" w:rsidR="00D2327D" w:rsidRDefault="00D2327D" w:rsidP="00D2327D">
      <w:pPr>
        <w:pStyle w:val="DeedReferences"/>
      </w:pPr>
      <w:r>
        <w:t>(Grant Agreement reference: clauses 111.9)</w:t>
      </w:r>
    </w:p>
    <w:p w14:paraId="7654C9D1" w14:textId="77777777" w:rsidR="007B6676" w:rsidRDefault="007B6676" w:rsidP="00B61595">
      <w:pPr>
        <w:pStyle w:val="guidelinetext"/>
        <w:spacing w:line="240" w:lineRule="auto"/>
        <w:ind w:left="0"/>
      </w:pPr>
    </w:p>
    <w:p w14:paraId="7742A402" w14:textId="77777777" w:rsidR="007B6676" w:rsidRPr="00B61595" w:rsidRDefault="007B6676" w:rsidP="00BB59AC">
      <w:pPr>
        <w:pStyle w:val="Heading3"/>
        <w:spacing w:before="0" w:after="120"/>
      </w:pPr>
      <w:bookmarkStart w:id="42" w:name="_Toc20920434"/>
      <w:bookmarkStart w:id="43" w:name="_Toc21422434"/>
      <w:bookmarkStart w:id="44" w:name="_Toc105518227"/>
      <w:r w:rsidRPr="00BB59AC">
        <w:t>Allowable Circumstances</w:t>
      </w:r>
      <w:bookmarkEnd w:id="42"/>
      <w:bookmarkEnd w:id="43"/>
      <w:bookmarkEnd w:id="44"/>
    </w:p>
    <w:p w14:paraId="529AD550" w14:textId="77777777" w:rsidR="007B6676" w:rsidRDefault="007B6676" w:rsidP="002714B8">
      <w:pPr>
        <w:tabs>
          <w:tab w:val="right" w:pos="1701"/>
        </w:tabs>
      </w:pPr>
      <w:r>
        <w:t xml:space="preserve">Allowable </w:t>
      </w:r>
      <w:r w:rsidRPr="002714B8">
        <w:rPr>
          <w:rFonts w:asciiTheme="minorHAnsi" w:hAnsiTheme="minorHAnsi" w:cstheme="minorHAnsi"/>
          <w:szCs w:val="22"/>
        </w:rPr>
        <w:t>Circumstances</w:t>
      </w:r>
      <w:r>
        <w:t xml:space="preserve"> are limited to circumstances that:</w:t>
      </w:r>
    </w:p>
    <w:p w14:paraId="18F6502E" w14:textId="77777777" w:rsidR="007B6676" w:rsidRDefault="007B6676" w:rsidP="00BB59AC">
      <w:pPr>
        <w:pStyle w:val="guidelinetext"/>
        <w:numPr>
          <w:ilvl w:val="0"/>
          <w:numId w:val="9"/>
        </w:numPr>
        <w:spacing w:before="60" w:line="240" w:lineRule="auto"/>
        <w:ind w:left="714" w:hanging="357"/>
      </w:pPr>
      <w:r>
        <w:t>are beyond the Participant or Provider’s control; and</w:t>
      </w:r>
    </w:p>
    <w:p w14:paraId="3C6EC0B0" w14:textId="77777777" w:rsidR="007B6676" w:rsidRDefault="007B6676" w:rsidP="00BB59AC">
      <w:pPr>
        <w:pStyle w:val="guidelinetext"/>
        <w:numPr>
          <w:ilvl w:val="0"/>
          <w:numId w:val="9"/>
        </w:numPr>
        <w:spacing w:before="60" w:line="240" w:lineRule="auto"/>
        <w:ind w:left="714" w:hanging="357"/>
      </w:pPr>
      <w:r>
        <w:t>prevent the Capability Interview from being delivered face to face,</w:t>
      </w:r>
    </w:p>
    <w:p w14:paraId="7FE300D1" w14:textId="77777777" w:rsidR="007B6676" w:rsidRDefault="007B6676" w:rsidP="00DF093C">
      <w:pPr>
        <w:tabs>
          <w:tab w:val="right" w:pos="1701"/>
        </w:tabs>
      </w:pPr>
      <w:r>
        <w:t xml:space="preserve">including where </w:t>
      </w:r>
      <w:r w:rsidRPr="002714B8">
        <w:rPr>
          <w:rFonts w:asciiTheme="minorHAnsi" w:hAnsiTheme="minorHAnsi" w:cstheme="minorHAnsi"/>
          <w:szCs w:val="22"/>
        </w:rPr>
        <w:t>any</w:t>
      </w:r>
      <w:r>
        <w:t xml:space="preserve"> one or more of the following apply to the Participant:</w:t>
      </w:r>
    </w:p>
    <w:p w14:paraId="42A34CCF" w14:textId="77777777" w:rsidR="007B6676" w:rsidRDefault="007B6676" w:rsidP="00BB59AC">
      <w:pPr>
        <w:pStyle w:val="guidelinetext"/>
        <w:numPr>
          <w:ilvl w:val="0"/>
          <w:numId w:val="9"/>
        </w:numPr>
        <w:spacing w:before="60" w:line="240" w:lineRule="auto"/>
        <w:ind w:left="714" w:hanging="357"/>
      </w:pPr>
      <w:r>
        <w:t>they reside in an area that is affected by:</w:t>
      </w:r>
    </w:p>
    <w:p w14:paraId="0DC676D8" w14:textId="77777777" w:rsidR="007B6676" w:rsidRDefault="007B6676" w:rsidP="00BB59AC">
      <w:pPr>
        <w:pStyle w:val="guidelinebullet"/>
        <w:numPr>
          <w:ilvl w:val="1"/>
          <w:numId w:val="9"/>
        </w:numPr>
        <w:ind w:left="1134"/>
      </w:pPr>
      <w:r>
        <w:t>extreme weather conditions;</w:t>
      </w:r>
    </w:p>
    <w:p w14:paraId="11CA078D" w14:textId="77777777" w:rsidR="007B6676" w:rsidRDefault="007B6676" w:rsidP="00BB59AC">
      <w:pPr>
        <w:pStyle w:val="guidelinebullet"/>
        <w:numPr>
          <w:ilvl w:val="1"/>
          <w:numId w:val="9"/>
        </w:numPr>
        <w:ind w:left="1134"/>
      </w:pPr>
      <w:r>
        <w:t>a natural disaster; and/or</w:t>
      </w:r>
    </w:p>
    <w:p w14:paraId="0E905FDA" w14:textId="77777777" w:rsidR="007B6676" w:rsidRDefault="007B6676" w:rsidP="00BB59AC">
      <w:pPr>
        <w:pStyle w:val="guidelinebullet"/>
        <w:numPr>
          <w:ilvl w:val="1"/>
          <w:numId w:val="9"/>
        </w:numPr>
        <w:ind w:left="1134"/>
      </w:pPr>
      <w:r>
        <w:t>public transport strikes;</w:t>
      </w:r>
    </w:p>
    <w:p w14:paraId="53B9E771" w14:textId="77777777" w:rsidR="007B6676" w:rsidRDefault="007B6676" w:rsidP="00BB59AC">
      <w:pPr>
        <w:pStyle w:val="guidelinetext"/>
        <w:numPr>
          <w:ilvl w:val="0"/>
          <w:numId w:val="9"/>
        </w:numPr>
        <w:spacing w:before="60" w:line="240" w:lineRule="auto"/>
        <w:ind w:left="714" w:hanging="357"/>
      </w:pPr>
      <w:r>
        <w:t>they are participating in full-time Education (including training), and this participation restricts their availability to attend the Capability Interview face to face;</w:t>
      </w:r>
    </w:p>
    <w:p w14:paraId="1DF0AB33" w14:textId="77777777" w:rsidR="007B6676" w:rsidRDefault="007B6676" w:rsidP="00BB59AC">
      <w:pPr>
        <w:pStyle w:val="guidelinetext"/>
        <w:numPr>
          <w:ilvl w:val="0"/>
          <w:numId w:val="9"/>
        </w:numPr>
        <w:spacing w:before="60" w:line="240" w:lineRule="auto"/>
        <w:ind w:left="714" w:hanging="357"/>
      </w:pPr>
      <w:r>
        <w:lastRenderedPageBreak/>
        <w:t>they are Employed and their hours restrict their availability to attend the Capability Interview face to face; and/or</w:t>
      </w:r>
    </w:p>
    <w:p w14:paraId="34E49281" w14:textId="77777777" w:rsidR="007B6676" w:rsidRDefault="007B6676" w:rsidP="00BB59AC">
      <w:pPr>
        <w:pStyle w:val="guidelinetext"/>
        <w:numPr>
          <w:ilvl w:val="0"/>
          <w:numId w:val="9"/>
        </w:numPr>
        <w:spacing w:before="60" w:line="240" w:lineRule="auto"/>
        <w:ind w:left="714" w:hanging="357"/>
      </w:pPr>
      <w:r>
        <w:t>they are not medically fit to attend the Capability Interview face to face.</w:t>
      </w:r>
    </w:p>
    <w:p w14:paraId="3FD52393" w14:textId="77777777" w:rsidR="007B6676" w:rsidRPr="002714B8" w:rsidRDefault="007B6676" w:rsidP="002714B8">
      <w:pPr>
        <w:tabs>
          <w:tab w:val="right" w:pos="1701"/>
        </w:tabs>
        <w:rPr>
          <w:rFonts w:asciiTheme="minorHAnsi" w:hAnsiTheme="minorHAnsi" w:cstheme="minorHAnsi"/>
          <w:szCs w:val="22"/>
        </w:rPr>
      </w:pPr>
      <w:r>
        <w:t xml:space="preserve">If Allowable Circumstances prevent the Capability Interview from being delivered face to face, the Provider may </w:t>
      </w:r>
      <w:r w:rsidRPr="002714B8">
        <w:rPr>
          <w:rFonts w:asciiTheme="minorHAnsi" w:hAnsiTheme="minorHAnsi" w:cstheme="minorHAnsi"/>
          <w:szCs w:val="22"/>
        </w:rPr>
        <w:t>conduct the Capability Interview via telephone or videoconference so that it is delivered within the standard two Business Days timeframe.</w:t>
      </w:r>
    </w:p>
    <w:p w14:paraId="6EC28788" w14:textId="74AA15D5" w:rsidR="007B6676" w:rsidRDefault="007B6676" w:rsidP="002714B8">
      <w:pPr>
        <w:tabs>
          <w:tab w:val="right" w:pos="1701"/>
        </w:tabs>
      </w:pPr>
      <w:r w:rsidRPr="002714B8">
        <w:rPr>
          <w:rFonts w:asciiTheme="minorHAnsi" w:hAnsiTheme="minorHAnsi" w:cstheme="minorHAnsi"/>
          <w:szCs w:val="22"/>
        </w:rPr>
        <w:t>When scheduling</w:t>
      </w:r>
      <w:r>
        <w:t xml:space="preserve"> the Capability Interview to be delivered via phone or videoconference</w:t>
      </w:r>
      <w:r w:rsidRPr="00A83247">
        <w:t xml:space="preserve">, the </w:t>
      </w:r>
      <w:r>
        <w:t>Provider</w:t>
      </w:r>
      <w:r w:rsidRPr="00A83247">
        <w:t xml:space="preserve"> must record the </w:t>
      </w:r>
      <w:r>
        <w:t>Allowable Circumstance</w:t>
      </w:r>
      <w:r w:rsidRPr="00A83247">
        <w:t xml:space="preserve"> in the </w:t>
      </w:r>
      <w:r>
        <w:t>D</w:t>
      </w:r>
      <w:r w:rsidRPr="00A83247">
        <w:t>epartment’s IT</w:t>
      </w:r>
      <w:r>
        <w:t> S</w:t>
      </w:r>
      <w:r w:rsidRPr="00A83247">
        <w:t>ystem</w:t>
      </w:r>
      <w:r>
        <w:t>s</w:t>
      </w:r>
      <w:r w:rsidRPr="00A83247">
        <w:t>.</w:t>
      </w:r>
    </w:p>
    <w:p w14:paraId="6E9E3D02" w14:textId="77777777" w:rsidR="007B6676" w:rsidRDefault="007B6676" w:rsidP="007B6676">
      <w:pPr>
        <w:pStyle w:val="Heading3"/>
        <w:pBdr>
          <w:bottom w:val="single" w:sz="4" w:space="1" w:color="auto"/>
        </w:pBdr>
        <w:spacing w:before="0"/>
      </w:pPr>
    </w:p>
    <w:p w14:paraId="47975DF4" w14:textId="352EBBE5" w:rsidR="007B6676" w:rsidRPr="00DF093C" w:rsidRDefault="007B6676" w:rsidP="00DF093C">
      <w:pPr>
        <w:pStyle w:val="Heading2"/>
        <w:numPr>
          <w:ilvl w:val="0"/>
          <w:numId w:val="10"/>
        </w:numPr>
        <w:spacing w:before="0"/>
        <w:ind w:left="567" w:hanging="567"/>
        <w:rPr>
          <w:sz w:val="28"/>
        </w:rPr>
      </w:pPr>
      <w:bookmarkStart w:id="45" w:name="_Toc105518228"/>
      <w:r w:rsidRPr="00DF093C">
        <w:rPr>
          <w:sz w:val="28"/>
        </w:rPr>
        <w:t>Circumstances where a Capability Interview does not need to be delivered within two Business Days</w:t>
      </w:r>
      <w:bookmarkEnd w:id="45"/>
      <w:r w:rsidRPr="00DF093C">
        <w:rPr>
          <w:sz w:val="28"/>
        </w:rPr>
        <w:t xml:space="preserve"> </w:t>
      </w:r>
    </w:p>
    <w:p w14:paraId="28A05E5F" w14:textId="77777777" w:rsidR="007B6676" w:rsidRPr="00DF093C" w:rsidRDefault="007B6676" w:rsidP="00DF093C">
      <w:pPr>
        <w:spacing w:before="240"/>
        <w:rPr>
          <w:sz w:val="24"/>
          <w:u w:val="single"/>
        </w:rPr>
      </w:pPr>
      <w:bookmarkStart w:id="46" w:name="_Toc20920436"/>
      <w:bookmarkStart w:id="47" w:name="_Toc21422436"/>
      <w:r w:rsidRPr="00DF093C">
        <w:rPr>
          <w:sz w:val="24"/>
          <w:u w:val="single"/>
        </w:rPr>
        <w:t>If the Participant has an Acceptable Reason</w:t>
      </w:r>
      <w:bookmarkEnd w:id="46"/>
      <w:bookmarkEnd w:id="47"/>
    </w:p>
    <w:p w14:paraId="2B511C5C" w14:textId="77777777" w:rsidR="007B6676" w:rsidRDefault="007B6676" w:rsidP="002714B8">
      <w:pPr>
        <w:tabs>
          <w:tab w:val="right" w:pos="1701"/>
        </w:tabs>
      </w:pPr>
      <w:r w:rsidRPr="007B6676">
        <w:t>A Participant</w:t>
      </w:r>
      <w:r w:rsidRPr="00E146D5">
        <w:t xml:space="preserve"> may notify the Provider, before the end of the standard two Business Days timeframe, that the </w:t>
      </w:r>
      <w:r w:rsidRPr="002714B8">
        <w:rPr>
          <w:rFonts w:asciiTheme="minorHAnsi" w:hAnsiTheme="minorHAnsi" w:cstheme="minorHAnsi"/>
          <w:szCs w:val="22"/>
        </w:rPr>
        <w:t>Participant</w:t>
      </w:r>
      <w:r w:rsidRPr="00E146D5">
        <w:t xml:space="preserve"> is unable to attend the Capability Interview within that timeframe</w:t>
      </w:r>
      <w:r>
        <w:t xml:space="preserve">. Providers must then assess whether the Participant’s reason for not being able to </w:t>
      </w:r>
      <w:r w:rsidRPr="007B6676">
        <w:t>attend the Capability Interview within that timeframe</w:t>
      </w:r>
      <w:r>
        <w:t xml:space="preserve"> is </w:t>
      </w:r>
      <w:r w:rsidRPr="007B6676">
        <w:t xml:space="preserve">an </w:t>
      </w:r>
      <w:r>
        <w:t>Acceptable Reason.</w:t>
      </w:r>
    </w:p>
    <w:p w14:paraId="61B9B196" w14:textId="77777777" w:rsidR="007B6676" w:rsidRDefault="007B6676" w:rsidP="002714B8">
      <w:pPr>
        <w:tabs>
          <w:tab w:val="right" w:pos="1701"/>
        </w:tabs>
      </w:pPr>
      <w:r>
        <w:t xml:space="preserve">For the </w:t>
      </w:r>
      <w:r w:rsidRPr="002714B8">
        <w:rPr>
          <w:rFonts w:asciiTheme="minorHAnsi" w:hAnsiTheme="minorHAnsi" w:cstheme="minorHAnsi"/>
          <w:szCs w:val="22"/>
        </w:rPr>
        <w:t>purposes</w:t>
      </w:r>
      <w:r>
        <w:t xml:space="preserve"> of the above, the Provider must determine that a </w:t>
      </w:r>
      <w:r w:rsidRPr="007B6676">
        <w:t>Participant has an Acceptable Reason for being unable to attend the Capability Interview within the standard two Business Day</w:t>
      </w:r>
      <w:r w:rsidRPr="00E146D5">
        <w:t xml:space="preserve">s timeframe </w:t>
      </w:r>
      <w:r>
        <w:t>if:</w:t>
      </w:r>
    </w:p>
    <w:p w14:paraId="2BDEC23A" w14:textId="77777777" w:rsidR="007B6676" w:rsidRPr="001209FB" w:rsidRDefault="007B6676" w:rsidP="00BB59AC">
      <w:pPr>
        <w:pStyle w:val="guidelinetext"/>
        <w:numPr>
          <w:ilvl w:val="0"/>
          <w:numId w:val="9"/>
        </w:numPr>
        <w:spacing w:before="60" w:line="240" w:lineRule="auto"/>
        <w:ind w:left="714" w:hanging="357"/>
      </w:pPr>
      <w:r>
        <w:t xml:space="preserve">the Participant </w:t>
      </w:r>
      <w:r w:rsidRPr="001209FB">
        <w:t>notified the Provider</w:t>
      </w:r>
      <w:r>
        <w:t>,</w:t>
      </w:r>
      <w:r w:rsidRPr="00E146D5">
        <w:t xml:space="preserve"> before the end of the standard two Business Days timeframe</w:t>
      </w:r>
      <w:r w:rsidRPr="001209FB">
        <w:t xml:space="preserve">, that the </w:t>
      </w:r>
      <w:r>
        <w:t>Participant</w:t>
      </w:r>
      <w:r w:rsidRPr="001209FB">
        <w:t xml:space="preserve"> is unable to </w:t>
      </w:r>
      <w:r w:rsidRPr="00E146D5">
        <w:t>attend the Capability Interview</w:t>
      </w:r>
      <w:r w:rsidRPr="001209FB">
        <w:t>; and</w:t>
      </w:r>
    </w:p>
    <w:p w14:paraId="1BCDF2C7" w14:textId="77777777" w:rsidR="007B6676" w:rsidRDefault="007B6676" w:rsidP="00BB59AC">
      <w:pPr>
        <w:pStyle w:val="guidelinetext"/>
        <w:numPr>
          <w:ilvl w:val="0"/>
          <w:numId w:val="9"/>
        </w:numPr>
        <w:spacing w:before="60" w:line="240" w:lineRule="auto"/>
        <w:ind w:left="714" w:hanging="357"/>
      </w:pPr>
      <w:r w:rsidRPr="001209FB">
        <w:t xml:space="preserve">the Provider is satisfied that the </w:t>
      </w:r>
      <w:r>
        <w:t>Participant</w:t>
      </w:r>
      <w:r w:rsidRPr="001209FB">
        <w:t xml:space="preserve"> has a Valid Reason for being unable to </w:t>
      </w:r>
      <w:r w:rsidRPr="00E146D5">
        <w:t>attend the Capability Interview within the standard two Business Days timeframe</w:t>
      </w:r>
      <w:r w:rsidRPr="001209FB">
        <w:t>.</w:t>
      </w:r>
    </w:p>
    <w:p w14:paraId="46E78F9D" w14:textId="77777777" w:rsidR="007B6676" w:rsidRDefault="007B6676" w:rsidP="002714B8">
      <w:pPr>
        <w:tabs>
          <w:tab w:val="right" w:pos="1701"/>
        </w:tabs>
      </w:pPr>
      <w:r>
        <w:t xml:space="preserve">A Provider must determine </w:t>
      </w:r>
      <w:r w:rsidRPr="00E146D5">
        <w:t>that the Participant has a Valid Reason</w:t>
      </w:r>
      <w:r>
        <w:t xml:space="preserve"> if, and only if, they are satisfied that </w:t>
      </w:r>
      <w:r w:rsidRPr="00E62DD4">
        <w:t>the reason th</w:t>
      </w:r>
      <w:r>
        <w:t>e Participant</w:t>
      </w:r>
      <w:r w:rsidRPr="00E62DD4">
        <w:t xml:space="preserve"> </w:t>
      </w:r>
      <w:r>
        <w:t>provides:</w:t>
      </w:r>
    </w:p>
    <w:p w14:paraId="3C7D5346" w14:textId="77777777" w:rsidR="007B6676" w:rsidRDefault="007B6676" w:rsidP="00BB59AC">
      <w:pPr>
        <w:pStyle w:val="guidelinetext"/>
        <w:numPr>
          <w:ilvl w:val="0"/>
          <w:numId w:val="9"/>
        </w:numPr>
        <w:spacing w:before="60" w:line="240" w:lineRule="auto"/>
        <w:ind w:left="714" w:hanging="357"/>
      </w:pPr>
      <w:r>
        <w:t xml:space="preserve">would </w:t>
      </w:r>
      <w:r w:rsidRPr="00890C6A">
        <w:t>d</w:t>
      </w:r>
      <w:r>
        <w:t>irectly prevent</w:t>
      </w:r>
      <w:r w:rsidRPr="00890C6A">
        <w:t xml:space="preserve"> the </w:t>
      </w:r>
      <w:r>
        <w:t>Participant</w:t>
      </w:r>
      <w:r w:rsidRPr="00890C6A">
        <w:t xml:space="preserve"> from </w:t>
      </w:r>
      <w:r w:rsidRPr="00E146D5">
        <w:t>attending the Capability Interview within the standard two Business Days timeframe</w:t>
      </w:r>
      <w:r>
        <w:t>;</w:t>
      </w:r>
    </w:p>
    <w:p w14:paraId="2EF08B15" w14:textId="77777777" w:rsidR="007B6676" w:rsidRPr="00E62DD4" w:rsidRDefault="007B6676" w:rsidP="00BB59AC">
      <w:pPr>
        <w:pStyle w:val="guidelinetext"/>
        <w:numPr>
          <w:ilvl w:val="0"/>
          <w:numId w:val="9"/>
        </w:numPr>
        <w:spacing w:before="60" w:line="240" w:lineRule="auto"/>
        <w:ind w:left="714" w:hanging="357"/>
      </w:pPr>
      <w:r w:rsidRPr="00E62DD4">
        <w:t xml:space="preserve">would be considered </w:t>
      </w:r>
      <w:r>
        <w:t xml:space="preserve">to be </w:t>
      </w:r>
      <w:r w:rsidRPr="00E62DD4">
        <w:t>reasonable by a member of the general public;</w:t>
      </w:r>
      <w:r>
        <w:t xml:space="preserve"> and</w:t>
      </w:r>
    </w:p>
    <w:p w14:paraId="5D14789F" w14:textId="77777777" w:rsidR="007B6676" w:rsidRDefault="007B6676" w:rsidP="00BB59AC">
      <w:pPr>
        <w:pStyle w:val="guidelinetext"/>
        <w:numPr>
          <w:ilvl w:val="0"/>
          <w:numId w:val="9"/>
        </w:numPr>
        <w:spacing w:before="60" w:line="240" w:lineRule="auto"/>
        <w:ind w:left="714" w:hanging="357"/>
      </w:pPr>
      <w:r>
        <w:t>aligns with the Participant’s</w:t>
      </w:r>
      <w:r w:rsidRPr="00E62DD4">
        <w:t xml:space="preserve"> personal circumstances as known by the Provider</w:t>
      </w:r>
      <w:r>
        <w:t>.</w:t>
      </w:r>
    </w:p>
    <w:p w14:paraId="75645D5A" w14:textId="77777777" w:rsidR="007B6676" w:rsidRDefault="007B6676" w:rsidP="002714B8">
      <w:pPr>
        <w:tabs>
          <w:tab w:val="right" w:pos="1701"/>
        </w:tabs>
      </w:pPr>
      <w:r>
        <w:t>If the Provider</w:t>
      </w:r>
      <w:r w:rsidRPr="00DA4038">
        <w:t xml:space="preserve"> </w:t>
      </w:r>
      <w:r>
        <w:t>determines that a Participant</w:t>
      </w:r>
      <w:r w:rsidRPr="00230E56">
        <w:t xml:space="preserve"> has an Acceptable Reason for being unable to attend the </w:t>
      </w:r>
      <w:r w:rsidRPr="002714B8">
        <w:rPr>
          <w:rFonts w:asciiTheme="minorHAnsi" w:hAnsiTheme="minorHAnsi" w:cstheme="minorHAnsi"/>
          <w:szCs w:val="22"/>
        </w:rPr>
        <w:t>Capability</w:t>
      </w:r>
      <w:r w:rsidRPr="00230E56">
        <w:t xml:space="preserve"> Interview within the standard two </w:t>
      </w:r>
      <w:r>
        <w:t>Business Days</w:t>
      </w:r>
      <w:r w:rsidRPr="00230E56">
        <w:t xml:space="preserve"> timeframe</w:t>
      </w:r>
      <w:r>
        <w:t xml:space="preserve"> as discussed above, the Provider must schedule the Capability Interview to occur within 12 Business Days after the standard two Business Days timeframe. Broadly speaking, this means that the Provider must schedule the Capability Interview within 14 Business Days after the Participant incurs the Demerit that triggers the </w:t>
      </w:r>
      <w:r w:rsidRPr="002714B8">
        <w:rPr>
          <w:rFonts w:asciiTheme="minorHAnsi" w:hAnsiTheme="minorHAnsi" w:cstheme="minorHAnsi"/>
          <w:szCs w:val="22"/>
        </w:rPr>
        <w:t>Capability</w:t>
      </w:r>
      <w:r>
        <w:t xml:space="preserve"> Interview.</w:t>
      </w:r>
    </w:p>
    <w:p w14:paraId="265E2D9F" w14:textId="77777777" w:rsidR="007B6676" w:rsidRPr="002714B8" w:rsidRDefault="007B6676" w:rsidP="002714B8">
      <w:pPr>
        <w:tabs>
          <w:tab w:val="right" w:pos="1701"/>
        </w:tabs>
        <w:rPr>
          <w:rFonts w:asciiTheme="minorHAnsi" w:hAnsiTheme="minorHAnsi" w:cstheme="minorHAnsi"/>
          <w:szCs w:val="22"/>
        </w:rPr>
      </w:pPr>
      <w:r>
        <w:t xml:space="preserve">In this case, Providers must select ‘unable to re-engage within two Business Days’ in the </w:t>
      </w:r>
      <w:r w:rsidRPr="002714B8">
        <w:rPr>
          <w:rFonts w:asciiTheme="minorHAnsi" w:hAnsiTheme="minorHAnsi" w:cstheme="minorHAnsi"/>
          <w:szCs w:val="22"/>
        </w:rPr>
        <w:t>Department’s IT Systems. The Department’s IT Systems will then prompt the Provider to schedule the Capability Interview within that 14 Business Day timeframe. This will lift the Participant’s payment suspension, but the requirement to attend the Capability Interview will still be outstanding on the Participant’s record.</w:t>
      </w:r>
    </w:p>
    <w:p w14:paraId="06090435" w14:textId="54B8C429" w:rsidR="007B6676" w:rsidRDefault="007B6676" w:rsidP="002714B8">
      <w:pPr>
        <w:tabs>
          <w:tab w:val="right" w:pos="1701"/>
        </w:tabs>
      </w:pPr>
      <w:r w:rsidRPr="002714B8">
        <w:rPr>
          <w:rFonts w:asciiTheme="minorHAnsi" w:hAnsiTheme="minorHAnsi" w:cstheme="minorHAnsi"/>
          <w:szCs w:val="22"/>
        </w:rPr>
        <w:t>If the Provider selects ‘unable to re-engage within two Business Days’ in the Department’s IT Systems as</w:t>
      </w:r>
      <w:r>
        <w:t xml:space="preserve"> referred to above, the Provider must also select a description of the relevant Valid Reason from the drop-down menu that will appear. In selecting a reason option from the drop-down menu, the Provider must select the option that is most similar to the Participant’s Valid Reason as </w:t>
      </w:r>
      <w:r>
        <w:lastRenderedPageBreak/>
        <w:t>they described it to the Provider. The Provider must not use the options in the drop-down menu to prompt or elicit responses from the Participant.</w:t>
      </w:r>
      <w:r w:rsidRPr="00A83247">
        <w:t xml:space="preserve"> A full list of the </w:t>
      </w:r>
      <w:r>
        <w:t xml:space="preserve">reasons that appear in the </w:t>
      </w:r>
      <w:r w:rsidRPr="00A83247">
        <w:t xml:space="preserve">drop-down menu can be found at </w:t>
      </w:r>
      <w:r w:rsidR="00CE5B83" w:rsidRPr="00B61595">
        <w:t>Attachment A</w:t>
      </w:r>
      <w:r w:rsidRPr="00A83247">
        <w:t>.</w:t>
      </w:r>
    </w:p>
    <w:p w14:paraId="22F317C2" w14:textId="77777777" w:rsidR="007B6676" w:rsidRPr="00DF093C" w:rsidRDefault="007B6676" w:rsidP="00DF093C">
      <w:pPr>
        <w:spacing w:before="240"/>
        <w:rPr>
          <w:sz w:val="24"/>
          <w:u w:val="single"/>
        </w:rPr>
      </w:pPr>
      <w:bookmarkStart w:id="48" w:name="_Toc20920437"/>
      <w:bookmarkStart w:id="49" w:name="_Toc21422437"/>
      <w:r w:rsidRPr="00DF093C">
        <w:rPr>
          <w:sz w:val="24"/>
          <w:u w:val="single"/>
        </w:rPr>
        <w:t>If the Participant does not have an Acceptable Reason</w:t>
      </w:r>
      <w:bookmarkEnd w:id="48"/>
      <w:bookmarkEnd w:id="49"/>
    </w:p>
    <w:p w14:paraId="62E33149" w14:textId="43457418" w:rsidR="007B6676" w:rsidRDefault="007B6676" w:rsidP="002714B8">
      <w:pPr>
        <w:tabs>
          <w:tab w:val="right" w:pos="1701"/>
        </w:tabs>
      </w:pPr>
      <w:r>
        <w:t>If the Provider</w:t>
      </w:r>
      <w:r w:rsidRPr="00C06230">
        <w:t xml:space="preserve"> assesses that the </w:t>
      </w:r>
      <w:r>
        <w:t>Participant</w:t>
      </w:r>
      <w:r w:rsidRPr="00C06230">
        <w:t xml:space="preserve">’s reason is not </w:t>
      </w:r>
      <w:r>
        <w:t>an A</w:t>
      </w:r>
      <w:r w:rsidRPr="00C06230">
        <w:t>cceptable</w:t>
      </w:r>
      <w:r>
        <w:t xml:space="preserve"> Reason as discussed above</w:t>
      </w:r>
      <w:r w:rsidRPr="00C06230">
        <w:t xml:space="preserve">, the </w:t>
      </w:r>
      <w:r>
        <w:t>Provider</w:t>
      </w:r>
      <w:r w:rsidRPr="00C06230">
        <w:t xml:space="preserve"> must</w:t>
      </w:r>
      <w:r>
        <w:t xml:space="preserve"> schedule the Capability Interview within the standard two Business Days timeframe. </w:t>
      </w:r>
      <w:r w:rsidRPr="002714B8">
        <w:rPr>
          <w:rFonts w:asciiTheme="minorHAnsi" w:hAnsiTheme="minorHAnsi" w:cstheme="minorHAnsi"/>
          <w:szCs w:val="22"/>
        </w:rPr>
        <w:t>The</w:t>
      </w:r>
      <w:r>
        <w:t xml:space="preserve"> Provider must then </w:t>
      </w:r>
      <w:r w:rsidRPr="00C06230">
        <w:t xml:space="preserve">tell the </w:t>
      </w:r>
      <w:r>
        <w:t>Participant</w:t>
      </w:r>
      <w:r w:rsidRPr="00C06230">
        <w:t xml:space="preserve"> why </w:t>
      </w:r>
      <w:r>
        <w:t>their reason</w:t>
      </w:r>
      <w:r w:rsidRPr="00C06230">
        <w:t xml:space="preserve"> is not </w:t>
      </w:r>
      <w:r>
        <w:t>an A</w:t>
      </w:r>
      <w:r w:rsidRPr="00C06230">
        <w:t>cceptable</w:t>
      </w:r>
      <w:r>
        <w:t xml:space="preserve"> Reason, inform them that they are still expected to attend the Capability Interview</w:t>
      </w:r>
      <w:r w:rsidRPr="00C06230">
        <w:t xml:space="preserve"> and remind them </w:t>
      </w:r>
      <w:r>
        <w:t>that their Income Support Payment suspension will not be lifted until they do so</w:t>
      </w:r>
      <w:r w:rsidRPr="00C06230">
        <w:t>.</w:t>
      </w:r>
    </w:p>
    <w:p w14:paraId="40E6A61F" w14:textId="77777777" w:rsidR="007B6676" w:rsidRPr="00DF093C" w:rsidRDefault="007B6676" w:rsidP="00DF093C">
      <w:pPr>
        <w:spacing w:before="240"/>
        <w:rPr>
          <w:sz w:val="24"/>
          <w:u w:val="single"/>
        </w:rPr>
      </w:pPr>
      <w:bookmarkStart w:id="50" w:name="_Toc20920438"/>
      <w:bookmarkStart w:id="51" w:name="_Toc21422438"/>
      <w:r w:rsidRPr="00DF093C">
        <w:rPr>
          <w:sz w:val="24"/>
          <w:u w:val="single"/>
        </w:rPr>
        <w:t>When part-time or outreach services prevent delivery of the Capability Interview within two Business Days</w:t>
      </w:r>
      <w:bookmarkEnd w:id="50"/>
      <w:bookmarkEnd w:id="51"/>
    </w:p>
    <w:p w14:paraId="6B7FBC9D" w14:textId="77777777" w:rsidR="007B6676" w:rsidRDefault="007B6676" w:rsidP="00B61595">
      <w:pPr>
        <w:pStyle w:val="guidelinetext"/>
        <w:spacing w:line="240" w:lineRule="auto"/>
        <w:ind w:left="0"/>
      </w:pPr>
      <w:r w:rsidRPr="00230E56">
        <w:t>If</w:t>
      </w:r>
      <w:r>
        <w:t>:</w:t>
      </w:r>
    </w:p>
    <w:p w14:paraId="1E73CC92" w14:textId="77777777" w:rsidR="007B6676" w:rsidRDefault="007B6676" w:rsidP="00BB59AC">
      <w:pPr>
        <w:pStyle w:val="guidelinetext"/>
        <w:numPr>
          <w:ilvl w:val="0"/>
          <w:numId w:val="9"/>
        </w:numPr>
        <w:spacing w:before="60" w:line="240" w:lineRule="auto"/>
        <w:ind w:left="714" w:hanging="357"/>
      </w:pPr>
      <w:r>
        <w:t>the Provider</w:t>
      </w:r>
      <w:r w:rsidRPr="00230E56">
        <w:t xml:space="preserve"> </w:t>
      </w:r>
      <w:r>
        <w:t xml:space="preserve">determines that the Capability Interview must be conducted face to face (e.g. because it </w:t>
      </w:r>
      <w:r w:rsidRPr="00230E56">
        <w:t xml:space="preserve">is unsuitable to deliver the Capability Interview via </w:t>
      </w:r>
      <w:r>
        <w:t>telephone or videoconference);</w:t>
      </w:r>
      <w:r w:rsidRPr="00230E56">
        <w:t xml:space="preserve"> but </w:t>
      </w:r>
    </w:p>
    <w:p w14:paraId="5B7BC87E" w14:textId="77777777" w:rsidR="007B6676" w:rsidRDefault="007B6676" w:rsidP="00BB59AC">
      <w:pPr>
        <w:pStyle w:val="guidelinetext"/>
        <w:numPr>
          <w:ilvl w:val="0"/>
          <w:numId w:val="9"/>
        </w:numPr>
        <w:spacing w:before="60" w:line="240" w:lineRule="auto"/>
        <w:ind w:left="714" w:hanging="357"/>
      </w:pPr>
      <w:r w:rsidRPr="00230E56">
        <w:t xml:space="preserve">part-time or outreach services prevent the Provider from delivering the Capability Interview face to face within the standard two </w:t>
      </w:r>
      <w:r>
        <w:t>Business Days</w:t>
      </w:r>
      <w:r w:rsidRPr="00230E56">
        <w:t xml:space="preserve"> timeframe, </w:t>
      </w:r>
    </w:p>
    <w:p w14:paraId="36C7603E" w14:textId="77777777" w:rsidR="007B6676" w:rsidRPr="002714B8" w:rsidRDefault="007B6676" w:rsidP="002714B8">
      <w:pPr>
        <w:tabs>
          <w:tab w:val="right" w:pos="1701"/>
        </w:tabs>
        <w:rPr>
          <w:rFonts w:asciiTheme="minorHAnsi" w:hAnsiTheme="minorHAnsi" w:cstheme="minorHAnsi"/>
          <w:szCs w:val="22"/>
        </w:rPr>
      </w:pPr>
      <w:r>
        <w:t xml:space="preserve">the </w:t>
      </w:r>
      <w:r w:rsidRPr="00230E56">
        <w:t>Provider must schedule the Capability Interview to occur as soon as possible</w:t>
      </w:r>
      <w:r>
        <w:t xml:space="preserve"> after the </w:t>
      </w:r>
      <w:r w:rsidRPr="00230E56">
        <w:t xml:space="preserve">standard two </w:t>
      </w:r>
      <w:r>
        <w:t>Business Days</w:t>
      </w:r>
      <w:r w:rsidRPr="00230E56">
        <w:t xml:space="preserve"> timeframe. </w:t>
      </w:r>
      <w:r>
        <w:t>In any event, t</w:t>
      </w:r>
      <w:r w:rsidRPr="00230E56">
        <w:t xml:space="preserve">he Provider </w:t>
      </w:r>
      <w:r>
        <w:t xml:space="preserve">must </w:t>
      </w:r>
      <w:r w:rsidRPr="00230E56">
        <w:t xml:space="preserve">schedule the Capability interview to occur </w:t>
      </w:r>
      <w:r w:rsidRPr="002714B8">
        <w:rPr>
          <w:rFonts w:asciiTheme="minorHAnsi" w:hAnsiTheme="minorHAnsi" w:cstheme="minorHAnsi"/>
          <w:szCs w:val="22"/>
        </w:rPr>
        <w:t>within 12 Business Days after the standard two Business Days timeframe. Broadly speaking, this means that the Provider must schedule the Capability Interview within 14 Business Days after the Participant incurs the Demerit that triggers the Capability Interview.</w:t>
      </w:r>
    </w:p>
    <w:p w14:paraId="19C3F588" w14:textId="77777777" w:rsidR="007B6676" w:rsidRPr="002714B8" w:rsidRDefault="007B6676" w:rsidP="002714B8">
      <w:pPr>
        <w:tabs>
          <w:tab w:val="right" w:pos="1701"/>
        </w:tabs>
        <w:rPr>
          <w:rFonts w:asciiTheme="minorHAnsi" w:hAnsiTheme="minorHAnsi" w:cstheme="minorHAnsi"/>
          <w:szCs w:val="22"/>
        </w:rPr>
      </w:pPr>
      <w:r w:rsidRPr="002714B8">
        <w:rPr>
          <w:rFonts w:asciiTheme="minorHAnsi" w:hAnsiTheme="minorHAnsi" w:cstheme="minorHAnsi"/>
          <w:szCs w:val="22"/>
        </w:rPr>
        <w:t>In these cases, Providers must select ‘re-engagement not required’ in the Department’s IT Systems. This will lift the Participant’s Income Support Payment suspension, but the requirement to attend the Capability Interview will still be outstanding on the Participant’s record.</w:t>
      </w:r>
    </w:p>
    <w:p w14:paraId="0DAF0F11" w14:textId="77777777" w:rsidR="007B6676" w:rsidRPr="002714B8" w:rsidRDefault="007B6676" w:rsidP="002714B8">
      <w:pPr>
        <w:tabs>
          <w:tab w:val="right" w:pos="1701"/>
        </w:tabs>
        <w:rPr>
          <w:rFonts w:asciiTheme="minorHAnsi" w:hAnsiTheme="minorHAnsi" w:cstheme="minorHAnsi"/>
          <w:szCs w:val="22"/>
        </w:rPr>
      </w:pPr>
      <w:r w:rsidRPr="002714B8">
        <w:rPr>
          <w:rFonts w:asciiTheme="minorHAnsi" w:hAnsiTheme="minorHAnsi" w:cstheme="minorHAnsi"/>
          <w:szCs w:val="22"/>
        </w:rPr>
        <w:t>The Provider must record the reason that re-engagement is not required in the Department’s IT Systems. The only drop-down menu option is ‘Part-time/outreach services’.</w:t>
      </w:r>
    </w:p>
    <w:p w14:paraId="0FE1BC8C" w14:textId="5FDE09F5" w:rsidR="007B6676" w:rsidRDefault="007B6676" w:rsidP="002714B8">
      <w:pPr>
        <w:tabs>
          <w:tab w:val="right" w:pos="1701"/>
        </w:tabs>
      </w:pPr>
      <w:r w:rsidRPr="002714B8">
        <w:rPr>
          <w:rFonts w:asciiTheme="minorHAnsi" w:hAnsiTheme="minorHAnsi" w:cstheme="minorHAnsi"/>
          <w:szCs w:val="22"/>
        </w:rPr>
        <w:t>The Provider</w:t>
      </w:r>
      <w:r>
        <w:t xml:space="preserve"> must then manually schedule the Capability Interview in the Participant’s Electronic Calendar.</w:t>
      </w:r>
    </w:p>
    <w:p w14:paraId="620AF144" w14:textId="77777777" w:rsidR="007B6676" w:rsidRPr="00DF093C" w:rsidRDefault="007B6676" w:rsidP="00DF093C">
      <w:pPr>
        <w:spacing w:before="240"/>
        <w:rPr>
          <w:sz w:val="24"/>
          <w:u w:val="single"/>
        </w:rPr>
      </w:pPr>
      <w:bookmarkStart w:id="52" w:name="_Toc20920439"/>
      <w:bookmarkStart w:id="53" w:name="_Toc21422439"/>
      <w:r w:rsidRPr="00DF093C">
        <w:rPr>
          <w:sz w:val="24"/>
          <w:u w:val="single"/>
        </w:rPr>
        <w:t>When the Participant is transferred to another Provider or they are returning to service after an Exemption</w:t>
      </w:r>
      <w:bookmarkEnd w:id="52"/>
      <w:bookmarkEnd w:id="53"/>
    </w:p>
    <w:p w14:paraId="58D6B690" w14:textId="77777777" w:rsidR="007B6676" w:rsidRDefault="007B6676" w:rsidP="002714B8">
      <w:pPr>
        <w:tabs>
          <w:tab w:val="right" w:pos="1701"/>
        </w:tabs>
      </w:pPr>
      <w:r>
        <w:t xml:space="preserve">A Provider does not need to conduct the Capability Interview within the </w:t>
      </w:r>
      <w:r w:rsidRPr="00230E56">
        <w:t xml:space="preserve">standard two </w:t>
      </w:r>
      <w:r>
        <w:t>Business Days</w:t>
      </w:r>
      <w:r w:rsidRPr="00230E56">
        <w:t xml:space="preserve"> </w:t>
      </w:r>
      <w:r w:rsidRPr="002714B8">
        <w:rPr>
          <w:rFonts w:asciiTheme="minorHAnsi" w:hAnsiTheme="minorHAnsi" w:cstheme="minorHAnsi"/>
          <w:szCs w:val="22"/>
        </w:rPr>
        <w:t>timeframe</w:t>
      </w:r>
      <w:r>
        <w:t xml:space="preserve"> where, after the Capability Interview is triggered, but before it is finalised, the Participant:</w:t>
      </w:r>
    </w:p>
    <w:p w14:paraId="40268BA1" w14:textId="733F6FFF" w:rsidR="007B6676" w:rsidRDefault="007B6676" w:rsidP="00BB59AC">
      <w:pPr>
        <w:pStyle w:val="guidelinetext"/>
        <w:numPr>
          <w:ilvl w:val="0"/>
          <w:numId w:val="9"/>
        </w:numPr>
        <w:spacing w:before="60" w:line="240" w:lineRule="auto"/>
        <w:ind w:left="714" w:hanging="357"/>
      </w:pPr>
      <w:r>
        <w:t xml:space="preserve">transfers from the Provider to another Provider, but remains in </w:t>
      </w:r>
      <w:r w:rsidR="00E146D5">
        <w:t>DES</w:t>
      </w:r>
      <w:r>
        <w:t xml:space="preserve">; or </w:t>
      </w:r>
    </w:p>
    <w:p w14:paraId="21C766BF" w14:textId="77777777" w:rsidR="007B6676" w:rsidRDefault="007B6676" w:rsidP="00DF093C">
      <w:pPr>
        <w:pStyle w:val="guidelinetext"/>
        <w:numPr>
          <w:ilvl w:val="0"/>
          <w:numId w:val="9"/>
        </w:numPr>
        <w:spacing w:before="60" w:line="240" w:lineRule="auto"/>
        <w:ind w:left="714" w:hanging="357"/>
      </w:pPr>
      <w:r>
        <w:t>is granted an Exemption.</w:t>
      </w:r>
    </w:p>
    <w:p w14:paraId="79BD7D42" w14:textId="77777777" w:rsidR="007B6676" w:rsidRPr="002714B8" w:rsidRDefault="007B6676" w:rsidP="002714B8">
      <w:pPr>
        <w:tabs>
          <w:tab w:val="right" w:pos="1701"/>
        </w:tabs>
        <w:rPr>
          <w:rFonts w:asciiTheme="minorHAnsi" w:hAnsiTheme="minorHAnsi" w:cstheme="minorHAnsi"/>
          <w:szCs w:val="22"/>
        </w:rPr>
      </w:pPr>
      <w:r>
        <w:t xml:space="preserve">When the Participant transfers to a new Provider, the new Provider must conduct the Capability </w:t>
      </w:r>
      <w:r w:rsidRPr="002714B8">
        <w:rPr>
          <w:rFonts w:asciiTheme="minorHAnsi" w:hAnsiTheme="minorHAnsi" w:cstheme="minorHAnsi"/>
          <w:szCs w:val="22"/>
        </w:rPr>
        <w:t>Interview at the Participant’s Initial Interview.</w:t>
      </w:r>
    </w:p>
    <w:p w14:paraId="757B3EF1" w14:textId="59660CC0" w:rsidR="007B6676" w:rsidRDefault="007B6676" w:rsidP="002714B8">
      <w:pPr>
        <w:tabs>
          <w:tab w:val="right" w:pos="1701"/>
        </w:tabs>
      </w:pPr>
      <w:r w:rsidRPr="002714B8">
        <w:rPr>
          <w:rFonts w:asciiTheme="minorHAnsi" w:hAnsiTheme="minorHAnsi" w:cstheme="minorHAnsi"/>
          <w:szCs w:val="22"/>
        </w:rPr>
        <w:t>When t</w:t>
      </w:r>
      <w:r>
        <w:t xml:space="preserve">he Participant returns to servicing after an Exemption, the Provider must conduct the Capability Interview </w:t>
      </w:r>
      <w:r w:rsidRPr="00230E56">
        <w:t>w</w:t>
      </w:r>
      <w:r>
        <w:t>ithin 14</w:t>
      </w:r>
      <w:r w:rsidRPr="00230E56">
        <w:t xml:space="preserve"> Business Days after </w:t>
      </w:r>
      <w:r>
        <w:t>the Participant returns.</w:t>
      </w:r>
    </w:p>
    <w:p w14:paraId="3B040E9F" w14:textId="77777777" w:rsidR="00E146D5" w:rsidRDefault="00E146D5" w:rsidP="00B61595">
      <w:pPr>
        <w:pStyle w:val="guidelinetext"/>
        <w:spacing w:line="240" w:lineRule="auto"/>
        <w:ind w:left="0"/>
      </w:pPr>
    </w:p>
    <w:p w14:paraId="142A8808" w14:textId="4F4A495C" w:rsidR="007B6676" w:rsidRPr="00B61595" w:rsidRDefault="007B6676" w:rsidP="00BB59AC">
      <w:pPr>
        <w:pStyle w:val="Heading3"/>
        <w:spacing w:before="0" w:after="120"/>
      </w:pPr>
      <w:bookmarkStart w:id="54" w:name="_Toc105518229"/>
      <w:bookmarkStart w:id="55" w:name="_Toc20920440"/>
      <w:bookmarkStart w:id="56" w:name="_Toc21422440"/>
      <w:r w:rsidRPr="00BB59AC">
        <w:lastRenderedPageBreak/>
        <w:t>Reporting a Work Refusal Failure and Unemployment Failure before the Capability Interview is finalised</w:t>
      </w:r>
      <w:bookmarkEnd w:id="54"/>
      <w:bookmarkEnd w:id="55"/>
      <w:bookmarkEnd w:id="56"/>
    </w:p>
    <w:p w14:paraId="3EB164B6" w14:textId="230A71BF" w:rsidR="007B6676" w:rsidRDefault="007B6676" w:rsidP="002714B8">
      <w:pPr>
        <w:tabs>
          <w:tab w:val="right" w:pos="1701"/>
        </w:tabs>
      </w:pPr>
      <w:r>
        <w:t>Providers must still create Work Refusal Failure reports and Unemployment Failure reports in accordance with their obligations</w:t>
      </w:r>
      <w:r w:rsidR="00E146D5">
        <w:t xml:space="preserve"> under the DES Grant Agreement</w:t>
      </w:r>
      <w:r>
        <w:t xml:space="preserve">, regardless of whether the </w:t>
      </w:r>
      <w:r w:rsidRPr="002714B8">
        <w:rPr>
          <w:rFonts w:asciiTheme="minorHAnsi" w:hAnsiTheme="minorHAnsi" w:cstheme="minorHAnsi"/>
          <w:szCs w:val="22"/>
        </w:rPr>
        <w:t>Participant</w:t>
      </w:r>
      <w:r>
        <w:t xml:space="preserve"> has an outstanding Capability Interview in the Department’s IT Systems.</w:t>
      </w:r>
    </w:p>
    <w:p w14:paraId="38FEB53D" w14:textId="6FED40E9" w:rsidR="007B6676" w:rsidRDefault="007B6676" w:rsidP="002714B8">
      <w:pPr>
        <w:tabs>
          <w:tab w:val="right" w:pos="1701"/>
        </w:tabs>
      </w:pPr>
      <w:r>
        <w:t xml:space="preserve">For </w:t>
      </w:r>
      <w:r w:rsidRPr="002714B8">
        <w:rPr>
          <w:rFonts w:asciiTheme="minorHAnsi" w:hAnsiTheme="minorHAnsi" w:cstheme="minorHAnsi"/>
          <w:szCs w:val="22"/>
        </w:rPr>
        <w:t>more</w:t>
      </w:r>
      <w:r>
        <w:t xml:space="preserve"> information, see </w:t>
      </w:r>
      <w:r w:rsidRPr="00662B03">
        <w:t xml:space="preserve">the </w:t>
      </w:r>
      <w:r w:rsidR="00CE5B83" w:rsidRPr="00B61595">
        <w:t>Work Refusal and Unemployment Failures Guideline</w:t>
      </w:r>
      <w:r w:rsidRPr="00662B03">
        <w:t>.</w:t>
      </w:r>
    </w:p>
    <w:p w14:paraId="204413D6" w14:textId="77777777" w:rsidR="00E146D5" w:rsidRDefault="00E146D5" w:rsidP="00B61595">
      <w:pPr>
        <w:pStyle w:val="guidelinetext"/>
        <w:spacing w:line="240" w:lineRule="auto"/>
        <w:ind w:left="0"/>
      </w:pPr>
    </w:p>
    <w:p w14:paraId="1E7BAFF1" w14:textId="77777777" w:rsidR="007B6676" w:rsidRPr="00B61595" w:rsidRDefault="007B6676" w:rsidP="00BB59AC">
      <w:pPr>
        <w:pStyle w:val="Heading3"/>
        <w:spacing w:before="0" w:after="120"/>
      </w:pPr>
      <w:bookmarkStart w:id="57" w:name="_Toc20920441"/>
      <w:bookmarkStart w:id="58" w:name="_Toc21422441"/>
      <w:bookmarkStart w:id="59" w:name="_Toc105518230"/>
      <w:r w:rsidRPr="00BB59AC">
        <w:t>If a Participant fails to attend their Capability Interview</w:t>
      </w:r>
      <w:bookmarkEnd w:id="57"/>
      <w:bookmarkEnd w:id="58"/>
      <w:bookmarkEnd w:id="59"/>
    </w:p>
    <w:p w14:paraId="51C8AD2B" w14:textId="7BE01976" w:rsidR="00E146D5" w:rsidRDefault="007B6676" w:rsidP="002714B8">
      <w:pPr>
        <w:tabs>
          <w:tab w:val="right" w:pos="1701"/>
        </w:tabs>
      </w:pPr>
      <w:r w:rsidRPr="00CA00E3">
        <w:t xml:space="preserve">As noted </w:t>
      </w:r>
      <w:r w:rsidRPr="002714B8">
        <w:rPr>
          <w:rFonts w:asciiTheme="minorHAnsi" w:hAnsiTheme="minorHAnsi" w:cstheme="minorHAnsi"/>
          <w:szCs w:val="22"/>
        </w:rPr>
        <w:t>above</w:t>
      </w:r>
      <w:r w:rsidRPr="00CA00E3">
        <w:t xml:space="preserve">, a Capability Interview </w:t>
      </w:r>
      <w:r>
        <w:t>is a type of Reconnection Requirement</w:t>
      </w:r>
      <w:r w:rsidRPr="00CA00E3">
        <w:t xml:space="preserve">. See the </w:t>
      </w:r>
      <w:r w:rsidR="00CE5B83" w:rsidRPr="00B61595">
        <w:t>Targeted Compliance Framework: Mutual Obligation Failures Guideline</w:t>
      </w:r>
      <w:r w:rsidRPr="00CA00E3">
        <w:t xml:space="preserve"> for more information on the steps Providers must take </w:t>
      </w:r>
      <w:r>
        <w:t>when a Participant fails to meet a Reconnection Requirement</w:t>
      </w:r>
      <w:r w:rsidRPr="00CA00E3">
        <w:t>.</w:t>
      </w:r>
    </w:p>
    <w:p w14:paraId="1AA8267C" w14:textId="77777777" w:rsidR="00E146D5" w:rsidRDefault="00E146D5" w:rsidP="00BB59AC">
      <w:pPr>
        <w:pStyle w:val="guidelinetext"/>
        <w:spacing w:line="240" w:lineRule="auto"/>
        <w:ind w:left="0"/>
      </w:pPr>
    </w:p>
    <w:p w14:paraId="3FD9310C" w14:textId="2AB3C056" w:rsidR="00E146D5" w:rsidRPr="00DF093C" w:rsidRDefault="00E146D5" w:rsidP="00DF093C">
      <w:pPr>
        <w:pStyle w:val="Heading2"/>
        <w:numPr>
          <w:ilvl w:val="0"/>
          <w:numId w:val="10"/>
        </w:numPr>
        <w:spacing w:before="0"/>
        <w:ind w:left="567" w:hanging="567"/>
        <w:rPr>
          <w:sz w:val="28"/>
        </w:rPr>
      </w:pPr>
      <w:bookmarkStart w:id="60" w:name="_Toc105518231"/>
      <w:r w:rsidRPr="00DF093C">
        <w:rPr>
          <w:sz w:val="28"/>
        </w:rPr>
        <w:t>Preparing to conduct a Capability Interview</w:t>
      </w:r>
      <w:bookmarkEnd w:id="60"/>
      <w:r w:rsidRPr="00DF093C">
        <w:rPr>
          <w:sz w:val="28"/>
        </w:rPr>
        <w:t xml:space="preserve"> </w:t>
      </w:r>
    </w:p>
    <w:p w14:paraId="2BF97DAD" w14:textId="77777777" w:rsidR="00E146D5" w:rsidRDefault="00E146D5" w:rsidP="002714B8">
      <w:pPr>
        <w:tabs>
          <w:tab w:val="right" w:pos="1701"/>
        </w:tabs>
      </w:pPr>
      <w:r>
        <w:t xml:space="preserve">Prior to the Capability Interview, the Provider must complete a pre-interview check in the </w:t>
      </w:r>
      <w:r w:rsidRPr="002714B8">
        <w:rPr>
          <w:rFonts w:asciiTheme="minorHAnsi" w:hAnsiTheme="minorHAnsi" w:cstheme="minorHAnsi"/>
          <w:szCs w:val="22"/>
        </w:rPr>
        <w:t>Department’s</w:t>
      </w:r>
      <w:r>
        <w:t xml:space="preserve"> IT Systems. The Provider must prepare for completing the pre-interview check by reviewing the following:</w:t>
      </w:r>
    </w:p>
    <w:p w14:paraId="1D572B58" w14:textId="77777777" w:rsidR="00E146D5" w:rsidRPr="0022302B" w:rsidRDefault="00E146D5" w:rsidP="00BB59AC">
      <w:pPr>
        <w:pStyle w:val="guidelinetext"/>
        <w:numPr>
          <w:ilvl w:val="0"/>
          <w:numId w:val="9"/>
        </w:numPr>
        <w:spacing w:before="60" w:line="240" w:lineRule="auto"/>
        <w:ind w:left="714" w:hanging="357"/>
      </w:pPr>
      <w:r>
        <w:t>the Participant</w:t>
      </w:r>
      <w:r w:rsidRPr="0022302B">
        <w:t xml:space="preserve">’s </w:t>
      </w:r>
      <w:r>
        <w:t xml:space="preserve">current </w:t>
      </w:r>
      <w:r w:rsidRPr="0022302B">
        <w:t>Job Seeker Classification Instrument</w:t>
      </w:r>
      <w:r>
        <w:t xml:space="preserve"> (JSCI)</w:t>
      </w:r>
      <w:r w:rsidRPr="0022302B">
        <w:t xml:space="preserve">—to familiarise themselves with the </w:t>
      </w:r>
      <w:r>
        <w:t>Participant</w:t>
      </w:r>
      <w:r w:rsidRPr="0022302B">
        <w:t>’s personal circumstances</w:t>
      </w:r>
      <w:r>
        <w:t>;</w:t>
      </w:r>
    </w:p>
    <w:p w14:paraId="34268C1C" w14:textId="77777777" w:rsidR="00E146D5" w:rsidRPr="0022302B" w:rsidRDefault="00E146D5" w:rsidP="00BB59AC">
      <w:pPr>
        <w:pStyle w:val="guidelinetext"/>
        <w:numPr>
          <w:ilvl w:val="0"/>
          <w:numId w:val="9"/>
        </w:numPr>
        <w:spacing w:before="60" w:line="240" w:lineRule="auto"/>
        <w:ind w:left="714" w:hanging="357"/>
      </w:pPr>
      <w:r w:rsidRPr="0022302B">
        <w:t>the Capability Management Tool</w:t>
      </w:r>
      <w:r>
        <w:t xml:space="preserve"> (CMT)</w:t>
      </w:r>
      <w:r w:rsidRPr="0022302B">
        <w:t xml:space="preserve">—for information on barriers </w:t>
      </w:r>
      <w:r>
        <w:t>that may be affecting the Participant’s ability to meet their Mutual Obligation Requirements;</w:t>
      </w:r>
    </w:p>
    <w:p w14:paraId="45D9F067" w14:textId="77777777" w:rsidR="00E146D5" w:rsidRDefault="00E146D5" w:rsidP="00BB59AC">
      <w:pPr>
        <w:pStyle w:val="guidelinetext"/>
        <w:numPr>
          <w:ilvl w:val="0"/>
          <w:numId w:val="9"/>
        </w:numPr>
        <w:spacing w:before="60" w:line="240" w:lineRule="auto"/>
        <w:ind w:left="714" w:hanging="357"/>
      </w:pPr>
      <w:r w:rsidRPr="0022302B">
        <w:t>the Job</w:t>
      </w:r>
      <w:r>
        <w:t xml:space="preserve"> Seeker Personal Summary—to familiarise themselves with the Participant’s basic information history and current circumstances;</w:t>
      </w:r>
    </w:p>
    <w:p w14:paraId="54E87E47" w14:textId="77777777" w:rsidR="00E146D5" w:rsidRDefault="00E146D5" w:rsidP="00BB59AC">
      <w:pPr>
        <w:pStyle w:val="guidelinetext"/>
        <w:numPr>
          <w:ilvl w:val="0"/>
          <w:numId w:val="9"/>
        </w:numPr>
        <w:spacing w:before="60" w:line="240" w:lineRule="auto"/>
        <w:ind w:left="714" w:hanging="357"/>
      </w:pPr>
      <w:r>
        <w:t>the Participant’s current Job Plan—to determine whether the Participant’s Mutual Obligation Requirements:</w:t>
      </w:r>
    </w:p>
    <w:p w14:paraId="764141FB" w14:textId="77777777" w:rsidR="00E146D5" w:rsidRDefault="00E146D5" w:rsidP="00BB59AC">
      <w:pPr>
        <w:pStyle w:val="guidelinebullet"/>
        <w:numPr>
          <w:ilvl w:val="1"/>
          <w:numId w:val="9"/>
        </w:numPr>
        <w:ind w:left="1134"/>
      </w:pPr>
      <w:r>
        <w:t>are up to date and appropriate based on the Participant’s personal circumstances;</w:t>
      </w:r>
    </w:p>
    <w:p w14:paraId="408D325E" w14:textId="77777777" w:rsidR="00E146D5" w:rsidRDefault="00E146D5" w:rsidP="00BB59AC">
      <w:pPr>
        <w:pStyle w:val="guidelinebullet"/>
        <w:numPr>
          <w:ilvl w:val="1"/>
          <w:numId w:val="9"/>
        </w:numPr>
        <w:ind w:left="1134"/>
      </w:pPr>
      <w:r>
        <w:t>include an appropriate level of Job Search;</w:t>
      </w:r>
    </w:p>
    <w:p w14:paraId="03D2277B" w14:textId="77777777" w:rsidR="00E146D5" w:rsidRDefault="00E146D5" w:rsidP="00BB59AC">
      <w:pPr>
        <w:pStyle w:val="guidelinebullet"/>
        <w:numPr>
          <w:ilvl w:val="1"/>
          <w:numId w:val="9"/>
        </w:numPr>
        <w:ind w:left="1134"/>
      </w:pPr>
      <w:r>
        <w:t>do not conflict with each other; and</w:t>
      </w:r>
    </w:p>
    <w:p w14:paraId="3041394E" w14:textId="77777777" w:rsidR="00E146D5" w:rsidRDefault="00E146D5" w:rsidP="00BB59AC">
      <w:pPr>
        <w:pStyle w:val="guidelinebullet"/>
        <w:numPr>
          <w:ilvl w:val="1"/>
          <w:numId w:val="9"/>
        </w:numPr>
        <w:ind w:left="1134"/>
      </w:pPr>
      <w:r>
        <w:t>do not add up to excessive hours.</w:t>
      </w:r>
    </w:p>
    <w:p w14:paraId="514031D6" w14:textId="5F3DB695" w:rsidR="00E146D5" w:rsidRPr="00877122" w:rsidRDefault="00E146D5" w:rsidP="002714B8">
      <w:pPr>
        <w:tabs>
          <w:tab w:val="right" w:pos="1701"/>
        </w:tabs>
      </w:pPr>
      <w:r>
        <w:t xml:space="preserve">In determining these things, the Provider must consider the relevant requirements in the DES </w:t>
      </w:r>
      <w:r w:rsidR="00CE5B83" w:rsidRPr="00B61595">
        <w:t>Job Plan and Scheduling Mutual Obligation Requirements Guideline</w:t>
      </w:r>
      <w:r>
        <w:t>s.</w:t>
      </w:r>
    </w:p>
    <w:p w14:paraId="26C4CA0B" w14:textId="23073E77" w:rsidR="00E146D5" w:rsidRDefault="00E146D5" w:rsidP="002714B8">
      <w:pPr>
        <w:tabs>
          <w:tab w:val="right" w:pos="1701"/>
        </w:tabs>
      </w:pPr>
      <w:r w:rsidRPr="0022302B">
        <w:t xml:space="preserve">The </w:t>
      </w:r>
      <w:r w:rsidRPr="002714B8">
        <w:rPr>
          <w:rFonts w:asciiTheme="minorHAnsi" w:hAnsiTheme="minorHAnsi" w:cstheme="minorHAnsi"/>
          <w:szCs w:val="22"/>
        </w:rPr>
        <w:t>Provider</w:t>
      </w:r>
      <w:r w:rsidRPr="0022302B">
        <w:t xml:space="preserve"> </w:t>
      </w:r>
      <w:r>
        <w:t>must</w:t>
      </w:r>
      <w:r w:rsidRPr="0022302B">
        <w:t xml:space="preserve"> be well prepared and have all relevant information to hand </w:t>
      </w:r>
      <w:r>
        <w:t xml:space="preserve">both </w:t>
      </w:r>
      <w:r w:rsidRPr="0022302B">
        <w:t>prior to conducting the Capability Interview and during the Capability Interview itself.</w:t>
      </w:r>
    </w:p>
    <w:p w14:paraId="67F42BED" w14:textId="77777777" w:rsidR="00CE5B83" w:rsidRDefault="00CE5B83" w:rsidP="00B61595">
      <w:pPr>
        <w:pStyle w:val="guidelinetext"/>
        <w:spacing w:line="240" w:lineRule="auto"/>
        <w:ind w:left="0"/>
      </w:pPr>
    </w:p>
    <w:p w14:paraId="6687BFAA" w14:textId="77777777" w:rsidR="00E146D5" w:rsidRPr="00B61595" w:rsidRDefault="00E146D5" w:rsidP="00BB59AC">
      <w:pPr>
        <w:pStyle w:val="Heading3"/>
        <w:spacing w:before="0" w:after="120"/>
      </w:pPr>
      <w:bookmarkStart w:id="61" w:name="_Toc20920443"/>
      <w:bookmarkStart w:id="62" w:name="_Toc21422443"/>
      <w:bookmarkStart w:id="63" w:name="_Toc105518232"/>
      <w:r w:rsidRPr="00BB59AC">
        <w:t>Pre-interview check</w:t>
      </w:r>
      <w:bookmarkEnd w:id="61"/>
      <w:bookmarkEnd w:id="62"/>
      <w:bookmarkEnd w:id="63"/>
    </w:p>
    <w:p w14:paraId="00D0DB64" w14:textId="77777777" w:rsidR="00E146D5" w:rsidRPr="002714B8" w:rsidRDefault="00E146D5" w:rsidP="002714B8">
      <w:pPr>
        <w:tabs>
          <w:tab w:val="right" w:pos="1701"/>
        </w:tabs>
        <w:rPr>
          <w:rFonts w:asciiTheme="minorHAnsi" w:hAnsiTheme="minorHAnsi" w:cstheme="minorHAnsi"/>
          <w:szCs w:val="22"/>
        </w:rPr>
      </w:pPr>
      <w:r>
        <w:t>As noted above, the Provider must conduct the Capability Interview pre-interview check prior to the Capability Interview. The Provider can access the pre-interview check in the Department’s IT Systems</w:t>
      </w:r>
      <w:r w:rsidRPr="00280437">
        <w:t xml:space="preserve"> </w:t>
      </w:r>
      <w:r>
        <w:t xml:space="preserve">by </w:t>
      </w:r>
      <w:r w:rsidRPr="002714B8">
        <w:rPr>
          <w:rFonts w:asciiTheme="minorHAnsi" w:hAnsiTheme="minorHAnsi" w:cstheme="minorHAnsi"/>
          <w:szCs w:val="22"/>
        </w:rPr>
        <w:t>selecting the relevant Capability Interview listed on the Targeted Compliance Framework/History screen.</w:t>
      </w:r>
    </w:p>
    <w:p w14:paraId="677D3DC1" w14:textId="77777777" w:rsidR="00E146D5" w:rsidRPr="002714B8" w:rsidRDefault="00E146D5" w:rsidP="002714B8">
      <w:pPr>
        <w:tabs>
          <w:tab w:val="right" w:pos="1701"/>
        </w:tabs>
        <w:rPr>
          <w:rFonts w:asciiTheme="minorHAnsi" w:hAnsiTheme="minorHAnsi" w:cstheme="minorHAnsi"/>
          <w:szCs w:val="22"/>
        </w:rPr>
      </w:pPr>
      <w:r w:rsidRPr="002714B8">
        <w:rPr>
          <w:rFonts w:asciiTheme="minorHAnsi" w:hAnsiTheme="minorHAnsi" w:cstheme="minorHAnsi"/>
          <w:szCs w:val="22"/>
        </w:rPr>
        <w:t>The pre-interview check is composed of a set of questions aimed at determining whether the Participant’s Job Plan is suitable (i.e. the Mutual Obligation Requirements specified in their Job Plan are appropriate to the Participant’s circumstances and the Participant is capable of meeting them).</w:t>
      </w:r>
    </w:p>
    <w:p w14:paraId="4AB6F852" w14:textId="77777777" w:rsidR="00E146D5" w:rsidRPr="002714B8" w:rsidRDefault="00E146D5" w:rsidP="002714B8">
      <w:pPr>
        <w:tabs>
          <w:tab w:val="right" w:pos="1701"/>
        </w:tabs>
        <w:rPr>
          <w:rFonts w:asciiTheme="minorHAnsi" w:hAnsiTheme="minorHAnsi" w:cstheme="minorHAnsi"/>
          <w:szCs w:val="22"/>
        </w:rPr>
      </w:pPr>
      <w:r w:rsidRPr="002714B8">
        <w:rPr>
          <w:rFonts w:asciiTheme="minorHAnsi" w:hAnsiTheme="minorHAnsi" w:cstheme="minorHAnsi"/>
          <w:szCs w:val="22"/>
        </w:rPr>
        <w:t>The questions in the pre-interview check focus only on the Mutual Obligation Requirements in the Participant’s Job Plan. Providers must not consider voluntary requirements as part of this check.</w:t>
      </w:r>
    </w:p>
    <w:p w14:paraId="6861339C" w14:textId="77777777" w:rsidR="00E146D5" w:rsidRPr="002714B8" w:rsidRDefault="00E146D5" w:rsidP="002714B8">
      <w:pPr>
        <w:tabs>
          <w:tab w:val="right" w:pos="1701"/>
        </w:tabs>
        <w:rPr>
          <w:rFonts w:asciiTheme="minorHAnsi" w:hAnsiTheme="minorHAnsi" w:cstheme="minorHAnsi"/>
          <w:szCs w:val="22"/>
        </w:rPr>
      </w:pPr>
      <w:r w:rsidRPr="002714B8">
        <w:rPr>
          <w:rFonts w:asciiTheme="minorHAnsi" w:hAnsiTheme="minorHAnsi" w:cstheme="minorHAnsi"/>
          <w:szCs w:val="22"/>
        </w:rPr>
        <w:lastRenderedPageBreak/>
        <w:t>The Provider must answer the pre-interview check questions accurately.</w:t>
      </w:r>
    </w:p>
    <w:p w14:paraId="7405CEFF" w14:textId="77777777" w:rsidR="00E146D5" w:rsidRPr="002714B8" w:rsidRDefault="00E146D5" w:rsidP="002714B8">
      <w:pPr>
        <w:tabs>
          <w:tab w:val="right" w:pos="1701"/>
        </w:tabs>
        <w:rPr>
          <w:rFonts w:asciiTheme="minorHAnsi" w:hAnsiTheme="minorHAnsi" w:cstheme="minorHAnsi"/>
          <w:szCs w:val="22"/>
        </w:rPr>
      </w:pPr>
      <w:r w:rsidRPr="002714B8">
        <w:rPr>
          <w:rFonts w:asciiTheme="minorHAnsi" w:hAnsiTheme="minorHAnsi" w:cstheme="minorHAnsi"/>
          <w:szCs w:val="22"/>
        </w:rPr>
        <w:t>When answering the pre-interview check questions, Providers must only use the information that had been recorded in the Department’s IT Systems at the time the Job Plan was negotiated. Providers must not use information that has been recorded since.</w:t>
      </w:r>
    </w:p>
    <w:p w14:paraId="1DE2F8FC" w14:textId="5D924F90" w:rsidR="00E146D5" w:rsidRDefault="00E146D5" w:rsidP="002714B8">
      <w:pPr>
        <w:tabs>
          <w:tab w:val="right" w:pos="1701"/>
        </w:tabs>
      </w:pPr>
      <w:r w:rsidRPr="002714B8">
        <w:rPr>
          <w:rFonts w:asciiTheme="minorHAnsi" w:hAnsiTheme="minorHAnsi" w:cstheme="minorHAnsi"/>
          <w:szCs w:val="22"/>
        </w:rPr>
        <w:t>For more information</w:t>
      </w:r>
      <w:r>
        <w:t xml:space="preserve"> regarding the pre-interview check, see </w:t>
      </w:r>
      <w:r w:rsidR="00CE5B83" w:rsidRPr="00B61595">
        <w:t>Attachment B</w:t>
      </w:r>
      <w:r w:rsidRPr="0018287E">
        <w:t>.</w:t>
      </w:r>
    </w:p>
    <w:bookmarkEnd w:id="38"/>
    <w:p w14:paraId="1625D25F" w14:textId="77777777" w:rsidR="007F595F" w:rsidRDefault="007F595F" w:rsidP="00231A92">
      <w:pPr>
        <w:pStyle w:val="guidelinechanges"/>
        <w:keepNext/>
        <w:keepLines/>
        <w:spacing w:before="0"/>
        <w:rPr>
          <w:sz w:val="22"/>
        </w:rPr>
      </w:pPr>
    </w:p>
    <w:p w14:paraId="44043D96" w14:textId="77777777" w:rsidR="00B661F0" w:rsidRDefault="00B661F0" w:rsidP="00231A92">
      <w:pPr>
        <w:pStyle w:val="guidelinechanges"/>
        <w:keepNext/>
        <w:keepLines/>
        <w:pBdr>
          <w:top w:val="single" w:sz="4" w:space="1" w:color="auto"/>
        </w:pBdr>
        <w:spacing w:before="0"/>
        <w:rPr>
          <w:sz w:val="22"/>
        </w:rPr>
      </w:pPr>
    </w:p>
    <w:p w14:paraId="71BB6A5F" w14:textId="5D2403CF" w:rsidR="007F595F" w:rsidRPr="00DF093C" w:rsidRDefault="009825F4" w:rsidP="00DF093C">
      <w:pPr>
        <w:pStyle w:val="Heading2"/>
        <w:numPr>
          <w:ilvl w:val="0"/>
          <w:numId w:val="10"/>
        </w:numPr>
        <w:spacing w:before="0"/>
        <w:ind w:left="567" w:hanging="567"/>
        <w:rPr>
          <w:sz w:val="28"/>
        </w:rPr>
      </w:pPr>
      <w:bookmarkStart w:id="64" w:name="_Toc105518233"/>
      <w:r w:rsidRPr="00DF093C">
        <w:rPr>
          <w:sz w:val="28"/>
        </w:rPr>
        <w:t>Conducting the Capability Interview</w:t>
      </w:r>
      <w:bookmarkEnd w:id="64"/>
      <w:r w:rsidR="007F595F" w:rsidRPr="00DF093C">
        <w:rPr>
          <w:sz w:val="28"/>
        </w:rPr>
        <w:t xml:space="preserve"> </w:t>
      </w:r>
    </w:p>
    <w:p w14:paraId="0D0CA7FA" w14:textId="77777777" w:rsidR="00E146D5" w:rsidRPr="00B61595" w:rsidRDefault="00E146D5" w:rsidP="00BB59AC">
      <w:pPr>
        <w:pStyle w:val="Heading3"/>
        <w:spacing w:before="0" w:after="120"/>
      </w:pPr>
      <w:bookmarkStart w:id="65" w:name="_Toc20920445"/>
      <w:bookmarkStart w:id="66" w:name="_Toc21422445"/>
      <w:bookmarkStart w:id="67" w:name="_Toc105518234"/>
      <w:r w:rsidRPr="00BB59AC">
        <w:t>Delivery by a different staff member</w:t>
      </w:r>
      <w:bookmarkEnd w:id="65"/>
      <w:bookmarkEnd w:id="66"/>
      <w:bookmarkEnd w:id="67"/>
    </w:p>
    <w:p w14:paraId="3994D4C6" w14:textId="77777777" w:rsidR="00E146D5" w:rsidRPr="002714B8" w:rsidRDefault="00E146D5" w:rsidP="002714B8">
      <w:pPr>
        <w:tabs>
          <w:tab w:val="right" w:pos="1701"/>
        </w:tabs>
        <w:rPr>
          <w:rFonts w:asciiTheme="minorHAnsi" w:hAnsiTheme="minorHAnsi" w:cstheme="minorHAnsi"/>
          <w:szCs w:val="22"/>
        </w:rPr>
      </w:pPr>
      <w:r>
        <w:t xml:space="preserve">While it is not a requirement, it is strongly recommended that the staff member who delivers the Capability Interview is someone other than the staff member who negotiated the Participant’s last Job Plan. This </w:t>
      </w:r>
      <w:r w:rsidRPr="002714B8">
        <w:rPr>
          <w:rFonts w:asciiTheme="minorHAnsi" w:hAnsiTheme="minorHAnsi" w:cstheme="minorHAnsi"/>
          <w:szCs w:val="22"/>
        </w:rPr>
        <w:t>is because the Participant may disclose new information to another staff member that they had not disclosed to their usual consultant.</w:t>
      </w:r>
    </w:p>
    <w:p w14:paraId="1DB37730" w14:textId="77777777" w:rsidR="00E146D5" w:rsidRDefault="00E146D5" w:rsidP="002714B8">
      <w:pPr>
        <w:tabs>
          <w:tab w:val="right" w:pos="1701"/>
        </w:tabs>
      </w:pPr>
      <w:r w:rsidRPr="002714B8">
        <w:rPr>
          <w:rFonts w:asciiTheme="minorHAnsi" w:hAnsiTheme="minorHAnsi" w:cstheme="minorHAnsi"/>
          <w:szCs w:val="22"/>
        </w:rPr>
        <w:t>Site resourcing may restrict this practice–some Provider sites may have very limited staffing. In this situation, it is</w:t>
      </w:r>
      <w:r>
        <w:t xml:space="preserve"> permissible for the same staff member who negotiated the last Job Plan to also conduct the Capability Interview.</w:t>
      </w:r>
    </w:p>
    <w:p w14:paraId="596BB3C3" w14:textId="77777777" w:rsidR="00AB70DA" w:rsidRPr="00A8714B" w:rsidRDefault="00AB70DA" w:rsidP="00AB70DA">
      <w:pPr>
        <w:pStyle w:val="guidelinetext"/>
        <w:spacing w:line="240" w:lineRule="auto"/>
        <w:ind w:left="0"/>
      </w:pPr>
    </w:p>
    <w:p w14:paraId="270859DB" w14:textId="77777777" w:rsidR="00AB70DA" w:rsidRPr="00BB59AC" w:rsidRDefault="00AB70DA" w:rsidP="00BB59AC">
      <w:pPr>
        <w:pStyle w:val="Heading3"/>
        <w:spacing w:before="0" w:after="120"/>
      </w:pPr>
      <w:bookmarkStart w:id="68" w:name="_Toc511126783"/>
      <w:bookmarkStart w:id="69" w:name="_Toc105518235"/>
      <w:r w:rsidRPr="00BB59AC">
        <w:t>Getting Started</w:t>
      </w:r>
      <w:bookmarkEnd w:id="68"/>
      <w:bookmarkEnd w:id="69"/>
      <w:r w:rsidRPr="00BB59AC">
        <w:t xml:space="preserve"> </w:t>
      </w:r>
    </w:p>
    <w:p w14:paraId="111F0A53" w14:textId="77777777" w:rsidR="004163A3" w:rsidRDefault="00AB70DA" w:rsidP="002714B8">
      <w:pPr>
        <w:tabs>
          <w:tab w:val="right" w:pos="1701"/>
        </w:tabs>
      </w:pPr>
      <w:r w:rsidRPr="00A8714B">
        <w:t xml:space="preserve">The Provider must </w:t>
      </w:r>
      <w:r w:rsidR="004163A3">
        <w:t xml:space="preserve">first </w:t>
      </w:r>
      <w:r w:rsidRPr="00A8714B">
        <w:t xml:space="preserve">advise the </w:t>
      </w:r>
      <w:r w:rsidR="00231A92">
        <w:t xml:space="preserve">Participant </w:t>
      </w:r>
      <w:r w:rsidRPr="00A8714B">
        <w:t xml:space="preserve">that the Capability Interview is being undertaken due to their </w:t>
      </w:r>
      <w:r w:rsidR="004163A3">
        <w:t>Mutual Obligation Failure(s). T</w:t>
      </w:r>
      <w:r w:rsidR="004163A3" w:rsidRPr="0044651E">
        <w:t xml:space="preserve">he </w:t>
      </w:r>
      <w:r w:rsidR="004163A3">
        <w:t>Provider</w:t>
      </w:r>
      <w:r w:rsidR="004163A3" w:rsidRPr="0044651E">
        <w:t xml:space="preserve"> must explain the purpose and potential outcomes of the </w:t>
      </w:r>
      <w:r w:rsidR="004163A3" w:rsidRPr="002714B8">
        <w:rPr>
          <w:rFonts w:asciiTheme="minorHAnsi" w:hAnsiTheme="minorHAnsi" w:cstheme="minorHAnsi"/>
          <w:szCs w:val="22"/>
        </w:rPr>
        <w:t>Capability</w:t>
      </w:r>
      <w:r w:rsidR="004163A3" w:rsidRPr="0044651E">
        <w:t xml:space="preserve"> Interview</w:t>
      </w:r>
      <w:r w:rsidR="004163A3" w:rsidRPr="00880B12">
        <w:t>, including</w:t>
      </w:r>
      <w:r w:rsidR="004163A3">
        <w:t>:</w:t>
      </w:r>
    </w:p>
    <w:p w14:paraId="5742FD13" w14:textId="77777777" w:rsidR="004163A3" w:rsidRDefault="004163A3" w:rsidP="00BB59AC">
      <w:pPr>
        <w:pStyle w:val="guidelinetext"/>
        <w:numPr>
          <w:ilvl w:val="0"/>
          <w:numId w:val="9"/>
        </w:numPr>
        <w:spacing w:before="60" w:line="240" w:lineRule="auto"/>
        <w:ind w:left="714" w:hanging="357"/>
      </w:pPr>
      <w:r w:rsidRPr="00880B12">
        <w:t xml:space="preserve">that </w:t>
      </w:r>
      <w:r>
        <w:t xml:space="preserve">the Participant’s </w:t>
      </w:r>
      <w:r w:rsidRPr="00880B12">
        <w:t>Job Plan may require re-negotiating</w:t>
      </w:r>
      <w:r>
        <w:t>;</w:t>
      </w:r>
    </w:p>
    <w:p w14:paraId="3FF3B7D7" w14:textId="77777777" w:rsidR="004163A3" w:rsidRDefault="004163A3" w:rsidP="00BB59AC">
      <w:pPr>
        <w:pStyle w:val="guidelinetext"/>
        <w:numPr>
          <w:ilvl w:val="0"/>
          <w:numId w:val="9"/>
        </w:numPr>
        <w:spacing w:before="60" w:line="240" w:lineRule="auto"/>
        <w:ind w:left="714" w:hanging="357"/>
      </w:pPr>
      <w:r>
        <w:t xml:space="preserve">that </w:t>
      </w:r>
      <w:r w:rsidRPr="0044651E">
        <w:t xml:space="preserve">the </w:t>
      </w:r>
      <w:r>
        <w:t>Participant will</w:t>
      </w:r>
      <w:r w:rsidRPr="0044651E">
        <w:t xml:space="preserve"> either return to the Green Zone or continu</w:t>
      </w:r>
      <w:r>
        <w:t>e</w:t>
      </w:r>
      <w:r w:rsidRPr="0044651E">
        <w:t xml:space="preserve"> in the Warning Zone</w:t>
      </w:r>
      <w:r>
        <w:t>, depending on the outcome of the Capability Interview; and</w:t>
      </w:r>
      <w:r w:rsidRPr="0044651E">
        <w:t xml:space="preserve"> </w:t>
      </w:r>
    </w:p>
    <w:p w14:paraId="03E08934" w14:textId="77777777" w:rsidR="004163A3" w:rsidRDefault="004163A3" w:rsidP="00BB59AC">
      <w:pPr>
        <w:pStyle w:val="guidelinetext"/>
        <w:numPr>
          <w:ilvl w:val="0"/>
          <w:numId w:val="9"/>
        </w:numPr>
        <w:spacing w:before="60" w:line="240" w:lineRule="auto"/>
        <w:ind w:left="714" w:hanging="357"/>
      </w:pPr>
      <w:r w:rsidRPr="0044651E">
        <w:t xml:space="preserve">the financial consequences </w:t>
      </w:r>
      <w:r>
        <w:t>for the Participant if they continue to commit</w:t>
      </w:r>
      <w:r w:rsidRPr="0044651E">
        <w:t xml:space="preserve"> </w:t>
      </w:r>
      <w:r>
        <w:t>Mutual Obligation Failures</w:t>
      </w:r>
      <w:r w:rsidRPr="0044651E">
        <w:t>.</w:t>
      </w:r>
    </w:p>
    <w:p w14:paraId="57FC380D" w14:textId="77777777" w:rsidR="004163A3" w:rsidRDefault="004163A3" w:rsidP="002714B8">
      <w:pPr>
        <w:tabs>
          <w:tab w:val="right" w:pos="1701"/>
        </w:tabs>
      </w:pPr>
      <w:r>
        <w:t>The</w:t>
      </w:r>
      <w:r w:rsidRPr="00880B12">
        <w:t xml:space="preserve"> focus </w:t>
      </w:r>
      <w:r w:rsidRPr="002714B8">
        <w:rPr>
          <w:rFonts w:asciiTheme="minorHAnsi" w:hAnsiTheme="minorHAnsi" w:cstheme="minorHAnsi"/>
          <w:szCs w:val="22"/>
        </w:rPr>
        <w:t>of</w:t>
      </w:r>
      <w:r w:rsidRPr="00880B12">
        <w:t xml:space="preserve"> the Capability Interview is to</w:t>
      </w:r>
      <w:r>
        <w:t>:</w:t>
      </w:r>
    </w:p>
    <w:p w14:paraId="01FF325A" w14:textId="77777777" w:rsidR="004163A3" w:rsidRDefault="004163A3" w:rsidP="00BB59AC">
      <w:pPr>
        <w:pStyle w:val="guidelinetext"/>
        <w:numPr>
          <w:ilvl w:val="0"/>
          <w:numId w:val="9"/>
        </w:numPr>
        <w:spacing w:before="60" w:line="240" w:lineRule="auto"/>
        <w:ind w:left="714" w:hanging="357"/>
      </w:pPr>
      <w:r w:rsidRPr="00880B12">
        <w:t xml:space="preserve">ensure the </w:t>
      </w:r>
      <w:r>
        <w:t>Participant</w:t>
      </w:r>
      <w:r w:rsidRPr="00880B12">
        <w:t xml:space="preserve"> understands their </w:t>
      </w:r>
      <w:r>
        <w:t>Mutual Obligation Requirements</w:t>
      </w:r>
      <w:r w:rsidRPr="00880B12">
        <w:t xml:space="preserve"> and the consequences of not meeting them</w:t>
      </w:r>
      <w:r>
        <w:t>;</w:t>
      </w:r>
    </w:p>
    <w:p w14:paraId="363B6230" w14:textId="77777777" w:rsidR="004163A3" w:rsidRDefault="004163A3" w:rsidP="00BB59AC">
      <w:pPr>
        <w:pStyle w:val="guidelinetext"/>
        <w:numPr>
          <w:ilvl w:val="0"/>
          <w:numId w:val="9"/>
        </w:numPr>
        <w:spacing w:before="60" w:line="240" w:lineRule="auto"/>
        <w:ind w:left="714" w:hanging="357"/>
      </w:pPr>
      <w:r>
        <w:t>ensure the Participant’s Mutual Obligation Requirements set out in their Job Plan are appropriate for their circumstances; and</w:t>
      </w:r>
    </w:p>
    <w:p w14:paraId="1F32ADD3" w14:textId="77777777" w:rsidR="004163A3" w:rsidRDefault="004163A3" w:rsidP="00BB59AC">
      <w:pPr>
        <w:pStyle w:val="guidelinetext"/>
        <w:numPr>
          <w:ilvl w:val="0"/>
          <w:numId w:val="9"/>
        </w:numPr>
        <w:spacing w:before="60" w:line="240" w:lineRule="auto"/>
        <w:ind w:left="714" w:hanging="357"/>
      </w:pPr>
      <w:r>
        <w:t xml:space="preserve">identify any undisclosed barriers preventing the Participant from meeting their Mutual Obligation Requirements. </w:t>
      </w:r>
    </w:p>
    <w:p w14:paraId="76432EB9" w14:textId="77777777" w:rsidR="004163A3" w:rsidRDefault="004163A3" w:rsidP="002714B8">
      <w:pPr>
        <w:tabs>
          <w:tab w:val="right" w:pos="1701"/>
        </w:tabs>
      </w:pPr>
      <w:r>
        <w:t xml:space="preserve">The </w:t>
      </w:r>
      <w:r w:rsidRPr="002714B8">
        <w:rPr>
          <w:rFonts w:asciiTheme="minorHAnsi" w:hAnsiTheme="minorHAnsi" w:cstheme="minorHAnsi"/>
          <w:szCs w:val="22"/>
        </w:rPr>
        <w:t>Provider</w:t>
      </w:r>
      <w:r>
        <w:t xml:space="preserve"> must</w:t>
      </w:r>
      <w:r w:rsidRPr="00880B12">
        <w:t xml:space="preserve"> ensure the </w:t>
      </w:r>
      <w:r>
        <w:t>Participant</w:t>
      </w:r>
      <w:r w:rsidRPr="00880B12">
        <w:t xml:space="preserve"> understands that their Provider is seeking to better understand the reasons why they have not been meeting their </w:t>
      </w:r>
      <w:r>
        <w:t>Mutual Obligation Requirements</w:t>
      </w:r>
      <w:r w:rsidRPr="00880B12">
        <w:t>.</w:t>
      </w:r>
    </w:p>
    <w:p w14:paraId="78598F95" w14:textId="0095A2D4" w:rsidR="00AB70DA" w:rsidRPr="00A8714B" w:rsidRDefault="004163A3" w:rsidP="00DF093C">
      <w:pPr>
        <w:keepNext/>
        <w:tabs>
          <w:tab w:val="right" w:pos="1701"/>
        </w:tabs>
      </w:pPr>
      <w:r>
        <w:t>Providers must advise Participants that:</w:t>
      </w:r>
    </w:p>
    <w:p w14:paraId="7FE460BC" w14:textId="10E064EA" w:rsidR="00AB70DA" w:rsidRPr="00A8714B" w:rsidRDefault="004F5BC2" w:rsidP="00BB59AC">
      <w:pPr>
        <w:pStyle w:val="guidelinetext"/>
        <w:numPr>
          <w:ilvl w:val="0"/>
          <w:numId w:val="9"/>
        </w:numPr>
        <w:spacing w:before="60" w:line="240" w:lineRule="auto"/>
        <w:ind w:left="714" w:hanging="357"/>
      </w:pPr>
      <w:r>
        <w:t>i</w:t>
      </w:r>
      <w:r w:rsidRPr="00A8714B">
        <w:t xml:space="preserve">t </w:t>
      </w:r>
      <w:r w:rsidR="00AB70DA" w:rsidRPr="00A8714B">
        <w:t xml:space="preserve">is important </w:t>
      </w:r>
      <w:r w:rsidR="00AB70DA" w:rsidRPr="00AF6AED">
        <w:t>t</w:t>
      </w:r>
      <w:r w:rsidR="00AB70DA">
        <w:t xml:space="preserve">hey </w:t>
      </w:r>
      <w:r w:rsidR="00AB70DA" w:rsidRPr="00A8714B">
        <w:t xml:space="preserve">disclose any personal circumstances that may be affecting </w:t>
      </w:r>
      <w:r w:rsidR="00AB70DA" w:rsidRPr="00AF6AED">
        <w:t>the</w:t>
      </w:r>
      <w:r w:rsidR="00AB70DA">
        <w:t>ir</w:t>
      </w:r>
      <w:r w:rsidR="00AB70DA" w:rsidRPr="00A8714B">
        <w:t xml:space="preserve"> ability to comply with their </w:t>
      </w:r>
      <w:r w:rsidR="004163A3">
        <w:t>Mutual Obligation R</w:t>
      </w:r>
      <w:r w:rsidR="004163A3" w:rsidRPr="00A8714B">
        <w:t xml:space="preserve">equirements </w:t>
      </w:r>
      <w:r w:rsidR="00AB70DA" w:rsidRPr="00A8714B">
        <w:t xml:space="preserve">(so the Provider can set </w:t>
      </w:r>
      <w:r w:rsidR="004163A3">
        <w:t>Mutual Obligation R</w:t>
      </w:r>
      <w:r w:rsidR="004163A3" w:rsidRPr="00A8714B">
        <w:t xml:space="preserve">equirements </w:t>
      </w:r>
      <w:r w:rsidR="00AB70DA" w:rsidRPr="00A8714B">
        <w:t>appropriately)</w:t>
      </w:r>
      <w:r w:rsidR="004163A3">
        <w:t>;</w:t>
      </w:r>
      <w:r w:rsidR="00AB70DA" w:rsidRPr="00A8714B">
        <w:t xml:space="preserve"> </w:t>
      </w:r>
    </w:p>
    <w:p w14:paraId="775FFABD" w14:textId="192F57BD" w:rsidR="00AB70DA" w:rsidRPr="00A8714B" w:rsidRDefault="004F5BC2" w:rsidP="00BB59AC">
      <w:pPr>
        <w:pStyle w:val="guidelinetext"/>
        <w:numPr>
          <w:ilvl w:val="0"/>
          <w:numId w:val="9"/>
        </w:numPr>
        <w:spacing w:before="60" w:line="240" w:lineRule="auto"/>
        <w:ind w:left="714" w:hanging="357"/>
      </w:pPr>
      <w:r>
        <w:t>i</w:t>
      </w:r>
      <w:r w:rsidRPr="00A8714B">
        <w:t xml:space="preserve">f </w:t>
      </w:r>
      <w:r w:rsidR="00AB70DA" w:rsidRPr="00A8714B">
        <w:t xml:space="preserve">needed, </w:t>
      </w:r>
      <w:r w:rsidR="00AB70DA" w:rsidRPr="00AF6AED">
        <w:t>the</w:t>
      </w:r>
      <w:r w:rsidR="004163A3">
        <w:t xml:space="preserve"> Participant</w:t>
      </w:r>
      <w:r w:rsidR="00AB70DA">
        <w:t xml:space="preserve"> </w:t>
      </w:r>
      <w:r w:rsidR="00AB70DA" w:rsidRPr="00A8714B">
        <w:t xml:space="preserve">will be provided with assistance to help them meet their </w:t>
      </w:r>
      <w:r w:rsidR="004163A3">
        <w:t>Mutual Obligation Requirements, or their Mutual Obligation Requirements may be adjusted;</w:t>
      </w:r>
    </w:p>
    <w:p w14:paraId="38231AF9" w14:textId="5103348F" w:rsidR="00AB70DA" w:rsidRPr="00A8714B" w:rsidRDefault="00CE5B83" w:rsidP="00BB59AC">
      <w:pPr>
        <w:pStyle w:val="guidelinetext"/>
        <w:numPr>
          <w:ilvl w:val="0"/>
          <w:numId w:val="9"/>
        </w:numPr>
        <w:spacing w:before="60" w:line="240" w:lineRule="auto"/>
        <w:ind w:left="714" w:hanging="357"/>
      </w:pPr>
      <w:r>
        <w:t>t</w:t>
      </w:r>
      <w:r w:rsidR="004F5BC2" w:rsidRPr="00AF6AED">
        <w:t>he</w:t>
      </w:r>
      <w:r w:rsidR="004163A3">
        <w:t xml:space="preserve"> Participant</w:t>
      </w:r>
      <w:r w:rsidR="004F5BC2">
        <w:t xml:space="preserve"> </w:t>
      </w:r>
      <w:r w:rsidR="00AB70DA" w:rsidRPr="00A8714B">
        <w:t>may require and receive different services as a result of the Capability Interview</w:t>
      </w:r>
      <w:r w:rsidR="004163A3">
        <w:t>;</w:t>
      </w:r>
      <w:r w:rsidR="00AB70DA" w:rsidRPr="00A8714B">
        <w:t xml:space="preserve"> </w:t>
      </w:r>
    </w:p>
    <w:p w14:paraId="35CE951B" w14:textId="1F32B4B3" w:rsidR="00AB70DA" w:rsidRPr="00A8714B" w:rsidRDefault="004F5BC2" w:rsidP="00BB59AC">
      <w:pPr>
        <w:pStyle w:val="guidelinetext"/>
        <w:numPr>
          <w:ilvl w:val="0"/>
          <w:numId w:val="9"/>
        </w:numPr>
        <w:spacing w:before="60" w:line="240" w:lineRule="auto"/>
        <w:ind w:left="714" w:hanging="357"/>
      </w:pPr>
      <w:r>
        <w:lastRenderedPageBreak/>
        <w:t>t</w:t>
      </w:r>
      <w:r w:rsidRPr="00AF6AED">
        <w:t>he</w:t>
      </w:r>
      <w:r>
        <w:t xml:space="preserve">y </w:t>
      </w:r>
      <w:r w:rsidR="00AB70DA" w:rsidRPr="00A8714B">
        <w:t xml:space="preserve">may be referred to the Services </w:t>
      </w:r>
      <w:r w:rsidR="004163A3">
        <w:t>Australia</w:t>
      </w:r>
      <w:r w:rsidR="00AB70DA" w:rsidRPr="00A8714B">
        <w:t xml:space="preserve"> for a</w:t>
      </w:r>
      <w:r>
        <w:t xml:space="preserve"> </w:t>
      </w:r>
      <w:r w:rsidR="00AB70DA" w:rsidRPr="00A8714B">
        <w:t>n</w:t>
      </w:r>
      <w:r>
        <w:t>ew</w:t>
      </w:r>
      <w:r w:rsidR="00AB70DA" w:rsidRPr="00A8714B">
        <w:t xml:space="preserve"> Employment Services Assessment</w:t>
      </w:r>
      <w:r w:rsidR="004163A3">
        <w:t xml:space="preserve"> (ESAt); and</w:t>
      </w:r>
      <w:r w:rsidR="00AB70DA" w:rsidRPr="00A8714B">
        <w:t xml:space="preserve"> </w:t>
      </w:r>
    </w:p>
    <w:p w14:paraId="513AEDB2" w14:textId="017C4BFD" w:rsidR="00AB70DA" w:rsidRPr="00A8714B" w:rsidRDefault="004163A3" w:rsidP="00BB59AC">
      <w:pPr>
        <w:pStyle w:val="guidelinetext"/>
        <w:numPr>
          <w:ilvl w:val="0"/>
          <w:numId w:val="9"/>
        </w:numPr>
        <w:spacing w:before="60" w:line="240" w:lineRule="auto"/>
        <w:ind w:left="714" w:hanging="357"/>
      </w:pPr>
      <w:r>
        <w:t xml:space="preserve">if they continue to commit Mutual Obligation Failures without a Valid Reason, this </w:t>
      </w:r>
      <w:r w:rsidR="00AB70DA" w:rsidRPr="00A8714B">
        <w:t xml:space="preserve">will result in </w:t>
      </w:r>
      <w:r w:rsidR="00AB70DA" w:rsidRPr="00AF6AED">
        <w:t>increas</w:t>
      </w:r>
      <w:r w:rsidR="00AB70DA">
        <w:t>ingly</w:t>
      </w:r>
      <w:r w:rsidR="00AB70DA" w:rsidRPr="00A8714B">
        <w:t xml:space="preserve"> serious consequences, including </w:t>
      </w:r>
      <w:r>
        <w:t xml:space="preserve">potential </w:t>
      </w:r>
      <w:r w:rsidR="00AB70DA" w:rsidRPr="00A8714B">
        <w:t xml:space="preserve">loss of </w:t>
      </w:r>
      <w:r>
        <w:t>their I</w:t>
      </w:r>
      <w:r w:rsidRPr="00A8714B">
        <w:t xml:space="preserve">ncome </w:t>
      </w:r>
      <w:r>
        <w:t>S</w:t>
      </w:r>
      <w:r w:rsidRPr="00A8714B">
        <w:t xml:space="preserve">upport </w:t>
      </w:r>
      <w:r>
        <w:t>P</w:t>
      </w:r>
      <w:r w:rsidRPr="00A8714B">
        <w:t>ayment</w:t>
      </w:r>
      <w:r w:rsidR="00AB70DA" w:rsidRPr="00A8714B">
        <w:t>.</w:t>
      </w:r>
    </w:p>
    <w:p w14:paraId="5CBDAB0A" w14:textId="187BDC3D" w:rsidR="00AB70DA" w:rsidRPr="00A8714B" w:rsidRDefault="00AB70DA" w:rsidP="002714B8">
      <w:pPr>
        <w:tabs>
          <w:tab w:val="right" w:pos="1701"/>
        </w:tabs>
      </w:pPr>
      <w:r w:rsidRPr="00A8714B">
        <w:t xml:space="preserve">The Provider </w:t>
      </w:r>
      <w:r w:rsidR="004163A3">
        <w:t>must</w:t>
      </w:r>
      <w:r w:rsidR="004163A3" w:rsidRPr="00A8714B">
        <w:t xml:space="preserve"> </w:t>
      </w:r>
      <w:r w:rsidRPr="00A8714B">
        <w:t xml:space="preserve">ask the </w:t>
      </w:r>
      <w:r w:rsidR="00231A92">
        <w:t xml:space="preserve">Participant </w:t>
      </w:r>
      <w:r w:rsidRPr="00A8714B">
        <w:t xml:space="preserve">if they have any concerns or questions before starting the </w:t>
      </w:r>
      <w:r w:rsidRPr="002714B8">
        <w:rPr>
          <w:rFonts w:asciiTheme="minorHAnsi" w:hAnsiTheme="minorHAnsi" w:cstheme="minorHAnsi"/>
          <w:szCs w:val="22"/>
        </w:rPr>
        <w:t>Capability</w:t>
      </w:r>
      <w:r w:rsidRPr="00A8714B">
        <w:t xml:space="preserve"> Interview, and they should address these where possible. </w:t>
      </w:r>
    </w:p>
    <w:p w14:paraId="22AFD85C" w14:textId="77777777" w:rsidR="00AB70DA" w:rsidRPr="00A8714B" w:rsidRDefault="00AB70DA" w:rsidP="00BB59AC">
      <w:pPr>
        <w:pStyle w:val="guidelinetext"/>
        <w:spacing w:line="240" w:lineRule="auto"/>
        <w:ind w:left="0"/>
      </w:pPr>
    </w:p>
    <w:p w14:paraId="0213B953" w14:textId="77777777" w:rsidR="00AB70DA" w:rsidRPr="00BB59AC" w:rsidRDefault="00AB70DA" w:rsidP="00BB59AC">
      <w:pPr>
        <w:pStyle w:val="Heading3"/>
        <w:spacing w:before="0" w:after="120"/>
      </w:pPr>
      <w:bookmarkStart w:id="70" w:name="_Toc511126784"/>
      <w:bookmarkStart w:id="71" w:name="_Toc105518236"/>
      <w:r w:rsidRPr="00BB59AC">
        <w:t>Capability Interview discussion</w:t>
      </w:r>
      <w:bookmarkEnd w:id="70"/>
      <w:bookmarkEnd w:id="71"/>
    </w:p>
    <w:p w14:paraId="49B9606C" w14:textId="4CC28261" w:rsidR="00AB70DA" w:rsidRPr="00A8714B" w:rsidRDefault="004163A3" w:rsidP="002714B8">
      <w:pPr>
        <w:tabs>
          <w:tab w:val="right" w:pos="1701"/>
        </w:tabs>
      </w:pPr>
      <w:r>
        <w:t>During</w:t>
      </w:r>
      <w:r w:rsidR="00AB70DA">
        <w:t xml:space="preserve"> the </w:t>
      </w:r>
      <w:r w:rsidR="00AB70DA" w:rsidRPr="002714B8">
        <w:rPr>
          <w:rFonts w:asciiTheme="minorHAnsi" w:hAnsiTheme="minorHAnsi" w:cstheme="minorHAnsi"/>
          <w:szCs w:val="22"/>
        </w:rPr>
        <w:t>Capability</w:t>
      </w:r>
      <w:r w:rsidR="00AB70DA" w:rsidRPr="00A8714B">
        <w:t xml:space="preserve"> Interview, </w:t>
      </w:r>
      <w:r>
        <w:t xml:space="preserve">the </w:t>
      </w:r>
      <w:r w:rsidR="00AB70DA">
        <w:t>Provider</w:t>
      </w:r>
      <w:r>
        <w:t xml:space="preserve"> must </w:t>
      </w:r>
      <w:r w:rsidR="00AB70DA" w:rsidRPr="00A8714B">
        <w:t xml:space="preserve">discuss </w:t>
      </w:r>
      <w:r w:rsidR="00AB70DA">
        <w:t xml:space="preserve">the following </w:t>
      </w:r>
      <w:r w:rsidR="00AB70DA" w:rsidRPr="00A8714B">
        <w:t xml:space="preserve">with the </w:t>
      </w:r>
      <w:r w:rsidR="00231A92">
        <w:t>Participant</w:t>
      </w:r>
      <w:r w:rsidR="00AB70DA" w:rsidRPr="00A8714B">
        <w:t xml:space="preserve">:  </w:t>
      </w:r>
    </w:p>
    <w:p w14:paraId="67B4DCB6" w14:textId="603347C6" w:rsidR="00AB70DA" w:rsidRPr="00A8714B" w:rsidRDefault="00AB70DA" w:rsidP="00BB59AC">
      <w:pPr>
        <w:pStyle w:val="guidelinetext"/>
        <w:numPr>
          <w:ilvl w:val="0"/>
          <w:numId w:val="9"/>
        </w:numPr>
        <w:spacing w:before="60" w:line="240" w:lineRule="auto"/>
        <w:ind w:left="714" w:hanging="357"/>
      </w:pPr>
      <w:r w:rsidRPr="00A8714B">
        <w:t xml:space="preserve">the </w:t>
      </w:r>
      <w:r w:rsidR="00231A92">
        <w:t xml:space="preserve">Participant’s </w:t>
      </w:r>
      <w:r w:rsidRPr="00A8714B">
        <w:t xml:space="preserve">understanding of their Mutual Obligation Requirements and what they must do to meet them. This may require a detailed discussion to ascertain the </w:t>
      </w:r>
      <w:r w:rsidR="00231A92">
        <w:t xml:space="preserve">Participant’s </w:t>
      </w:r>
      <w:r w:rsidRPr="00A8714B">
        <w:t xml:space="preserve">level of understanding of what they must do to avoid Demerits and </w:t>
      </w:r>
      <w:r w:rsidR="004163A3">
        <w:t>Income Support Payment suspension, reduction and/or cancellation;</w:t>
      </w:r>
      <w:r w:rsidRPr="00A8714B">
        <w:t xml:space="preserve">  </w:t>
      </w:r>
    </w:p>
    <w:p w14:paraId="20841BEB" w14:textId="28CE674C" w:rsidR="00AB70DA" w:rsidRPr="00A8714B" w:rsidRDefault="00AB70DA" w:rsidP="00BB59AC">
      <w:pPr>
        <w:pStyle w:val="guidelinetext"/>
        <w:numPr>
          <w:ilvl w:val="0"/>
          <w:numId w:val="9"/>
        </w:numPr>
        <w:spacing w:before="60" w:line="240" w:lineRule="auto"/>
        <w:ind w:left="714" w:hanging="357"/>
      </w:pPr>
      <w:r w:rsidRPr="00A8714B">
        <w:t xml:space="preserve">the reasons behind the </w:t>
      </w:r>
      <w:r w:rsidR="00231A92">
        <w:t xml:space="preserve">Participant’s </w:t>
      </w:r>
      <w:r w:rsidRPr="00A8714B">
        <w:t xml:space="preserve">recent </w:t>
      </w:r>
      <w:r w:rsidR="004163A3">
        <w:t xml:space="preserve">Mutual Obligation Failure(s) </w:t>
      </w:r>
      <w:r w:rsidRPr="00A8714B">
        <w:t xml:space="preserve">and any factors that may be affecting the </w:t>
      </w:r>
      <w:r w:rsidR="00231A92">
        <w:t>Participant’s</w:t>
      </w:r>
      <w:r>
        <w:t xml:space="preserve"> capacity to meet </w:t>
      </w:r>
      <w:r w:rsidRPr="00A8714B">
        <w:t xml:space="preserve">their </w:t>
      </w:r>
      <w:r w:rsidR="004163A3">
        <w:t>Mutual Obligation Requirements;</w:t>
      </w:r>
    </w:p>
    <w:p w14:paraId="072FCC22" w14:textId="115D938C" w:rsidR="00AB70DA" w:rsidRPr="00A8714B" w:rsidRDefault="00AB70DA" w:rsidP="00BB59AC">
      <w:pPr>
        <w:pStyle w:val="guidelinetext"/>
        <w:numPr>
          <w:ilvl w:val="0"/>
          <w:numId w:val="9"/>
        </w:numPr>
        <w:spacing w:before="60" w:line="240" w:lineRule="auto"/>
        <w:ind w:left="714" w:hanging="357"/>
      </w:pPr>
      <w:r w:rsidRPr="00A8714B">
        <w:t xml:space="preserve">whether alternative </w:t>
      </w:r>
      <w:r w:rsidR="004163A3" w:rsidRPr="004163A3">
        <w:t>Mutual Obligation Requirements</w:t>
      </w:r>
      <w:r w:rsidR="004163A3" w:rsidRPr="004163A3" w:rsidDel="004163A3">
        <w:t xml:space="preserve"> </w:t>
      </w:r>
      <w:r w:rsidRPr="00A8714B">
        <w:t>may be more appropriate</w:t>
      </w:r>
      <w:r>
        <w:t xml:space="preserve"> for the </w:t>
      </w:r>
      <w:r w:rsidR="00231A92">
        <w:t>Participant</w:t>
      </w:r>
      <w:r w:rsidR="004163A3">
        <w:t>;</w:t>
      </w:r>
    </w:p>
    <w:p w14:paraId="4FB6EBF3" w14:textId="4DF21988" w:rsidR="00AB70DA" w:rsidRPr="00A8714B" w:rsidRDefault="00AB70DA" w:rsidP="00BB59AC">
      <w:pPr>
        <w:pStyle w:val="guidelinetext"/>
        <w:numPr>
          <w:ilvl w:val="0"/>
          <w:numId w:val="9"/>
        </w:numPr>
        <w:spacing w:before="60" w:line="240" w:lineRule="auto"/>
        <w:ind w:left="714" w:hanging="357"/>
      </w:pPr>
      <w:r w:rsidRPr="00A8714B">
        <w:t xml:space="preserve">any undisclosed barriers that might be preventing the </w:t>
      </w:r>
      <w:r w:rsidR="00231A92">
        <w:t xml:space="preserve">Participant </w:t>
      </w:r>
      <w:r w:rsidRPr="00A8714B">
        <w:t xml:space="preserve">from meeting their </w:t>
      </w:r>
      <w:r w:rsidR="004163A3" w:rsidRPr="004163A3">
        <w:t>Mutual Obligation Requirements</w:t>
      </w:r>
      <w:r w:rsidR="004163A3">
        <w:t>;</w:t>
      </w:r>
    </w:p>
    <w:p w14:paraId="37869A93" w14:textId="7B38F545" w:rsidR="00AB70DA" w:rsidRPr="00A8714B" w:rsidRDefault="00AB70DA" w:rsidP="00BB59AC">
      <w:pPr>
        <w:pStyle w:val="guidelinetext"/>
        <w:numPr>
          <w:ilvl w:val="0"/>
          <w:numId w:val="9"/>
        </w:numPr>
        <w:spacing w:before="60" w:line="240" w:lineRule="auto"/>
        <w:ind w:left="714" w:hanging="357"/>
      </w:pPr>
      <w:r w:rsidRPr="00A8714B">
        <w:t xml:space="preserve">any support or assistance the </w:t>
      </w:r>
      <w:r w:rsidR="00231A92">
        <w:t xml:space="preserve">Participant </w:t>
      </w:r>
      <w:r w:rsidRPr="00A8714B">
        <w:t xml:space="preserve">identifies that might better help them </w:t>
      </w:r>
      <w:r w:rsidR="004163A3">
        <w:t>meet th</w:t>
      </w:r>
      <w:r w:rsidR="00A5339B">
        <w:t>e</w:t>
      </w:r>
      <w:r w:rsidR="004163A3">
        <w:t>ir Mutual Obligation Requirements;</w:t>
      </w:r>
    </w:p>
    <w:p w14:paraId="41E4D650" w14:textId="7AF78061" w:rsidR="00AB70DA" w:rsidRPr="00A8714B" w:rsidRDefault="00AB70DA" w:rsidP="00BB59AC">
      <w:pPr>
        <w:pStyle w:val="guidelinetext"/>
        <w:numPr>
          <w:ilvl w:val="0"/>
          <w:numId w:val="9"/>
        </w:numPr>
        <w:spacing w:before="60" w:line="240" w:lineRule="auto"/>
        <w:ind w:left="714" w:hanging="357"/>
      </w:pPr>
      <w:r w:rsidRPr="00A8714B">
        <w:t xml:space="preserve">if applicable, </w:t>
      </w:r>
      <w:r w:rsidR="00A5339B">
        <w:t>the quality of their</w:t>
      </w:r>
      <w:r w:rsidR="00231A92">
        <w:t xml:space="preserve"> </w:t>
      </w:r>
      <w:r w:rsidRPr="00A8714B">
        <w:t xml:space="preserve">Job Search </w:t>
      </w:r>
      <w:r w:rsidR="00A5339B">
        <w:t>efforts;</w:t>
      </w:r>
    </w:p>
    <w:p w14:paraId="02FE9DE6" w14:textId="4FCF6228" w:rsidR="00AB70DA" w:rsidRPr="00A8714B" w:rsidRDefault="00AB70DA" w:rsidP="00BB59AC">
      <w:pPr>
        <w:pStyle w:val="guidelinetext"/>
        <w:numPr>
          <w:ilvl w:val="0"/>
          <w:numId w:val="9"/>
        </w:numPr>
        <w:spacing w:before="60" w:line="240" w:lineRule="auto"/>
        <w:ind w:left="714" w:hanging="357"/>
      </w:pPr>
      <w:r w:rsidRPr="00A8714B">
        <w:t xml:space="preserve">if applicable, what the </w:t>
      </w:r>
      <w:r w:rsidR="00231A92">
        <w:t xml:space="preserve">Participant </w:t>
      </w:r>
      <w:r w:rsidRPr="00A8714B">
        <w:t xml:space="preserve">will do to increase their chances of finding </w:t>
      </w:r>
      <w:r w:rsidR="00A5339B">
        <w:t>Employment;</w:t>
      </w:r>
    </w:p>
    <w:p w14:paraId="7000A420" w14:textId="0FA59B9A" w:rsidR="00AB70DA" w:rsidRPr="00A8714B" w:rsidRDefault="00AB70DA" w:rsidP="00BB59AC">
      <w:pPr>
        <w:pStyle w:val="guidelinetext"/>
        <w:numPr>
          <w:ilvl w:val="0"/>
          <w:numId w:val="9"/>
        </w:numPr>
        <w:spacing w:before="60" w:line="240" w:lineRule="auto"/>
        <w:ind w:left="714" w:hanging="357"/>
      </w:pPr>
      <w:r w:rsidRPr="00A8714B">
        <w:t xml:space="preserve">if applicable, the </w:t>
      </w:r>
      <w:r w:rsidR="00231A92">
        <w:t xml:space="preserve">Participant’s </w:t>
      </w:r>
      <w:r>
        <w:t>attempts</w:t>
      </w:r>
      <w:r w:rsidRPr="00A8714B">
        <w:t xml:space="preserve"> to find and keep suitable </w:t>
      </w:r>
      <w:r w:rsidR="00A5339B">
        <w:t>E</w:t>
      </w:r>
      <w:r w:rsidR="00A5339B" w:rsidRPr="00A8714B">
        <w:t>mployment</w:t>
      </w:r>
      <w:r w:rsidRPr="00A8714B">
        <w:t>, including their long-term employment goals</w:t>
      </w:r>
      <w:r w:rsidR="00A5339B">
        <w:t xml:space="preserve">; </w:t>
      </w:r>
      <w:r w:rsidR="00C6238E">
        <w:t>and</w:t>
      </w:r>
      <w:r w:rsidRPr="00A8714B">
        <w:t xml:space="preserve"> </w:t>
      </w:r>
    </w:p>
    <w:p w14:paraId="574C3CF0" w14:textId="3CEC7A12" w:rsidR="00AB70DA" w:rsidRPr="00A8714B" w:rsidRDefault="00AB70DA" w:rsidP="00BB59AC">
      <w:pPr>
        <w:pStyle w:val="guidelinetext"/>
        <w:numPr>
          <w:ilvl w:val="0"/>
          <w:numId w:val="9"/>
        </w:numPr>
        <w:spacing w:before="60" w:line="240" w:lineRule="auto"/>
        <w:ind w:left="714" w:hanging="357"/>
      </w:pPr>
      <w:r w:rsidRPr="00A8714B">
        <w:t xml:space="preserve">anything else of relevance to the </w:t>
      </w:r>
      <w:r w:rsidR="00231A92">
        <w:t xml:space="preserve">Participant’s </w:t>
      </w:r>
      <w:r w:rsidRPr="00A8714B">
        <w:t xml:space="preserve">capability to meet their </w:t>
      </w:r>
      <w:r w:rsidR="00A5339B" w:rsidRPr="00A5339B">
        <w:t>Mutual Obligation Requirements</w:t>
      </w:r>
      <w:r w:rsidRPr="00A8714B">
        <w:t>.</w:t>
      </w:r>
    </w:p>
    <w:p w14:paraId="3C988C32" w14:textId="77777777" w:rsidR="00A5339B" w:rsidRDefault="00A5339B" w:rsidP="002714B8">
      <w:pPr>
        <w:tabs>
          <w:tab w:val="right" w:pos="1701"/>
        </w:tabs>
      </w:pPr>
      <w:r>
        <w:t xml:space="preserve">Providers </w:t>
      </w:r>
      <w:r w:rsidRPr="002714B8">
        <w:rPr>
          <w:rFonts w:asciiTheme="minorHAnsi" w:hAnsiTheme="minorHAnsi" w:cstheme="minorHAnsi"/>
          <w:szCs w:val="22"/>
        </w:rPr>
        <w:t>should</w:t>
      </w:r>
      <w:r>
        <w:t xml:space="preserve"> note that the Capability Interview is not an opportunity to review the circumstances under which each Demerit was accrued or to review the decision-making process for each Demerit decision.</w:t>
      </w:r>
    </w:p>
    <w:p w14:paraId="4EB91472" w14:textId="49DB4922" w:rsidR="00AB70DA" w:rsidRDefault="00AB70DA" w:rsidP="002714B8">
      <w:pPr>
        <w:tabs>
          <w:tab w:val="right" w:pos="1701"/>
        </w:tabs>
      </w:pPr>
      <w:r w:rsidRPr="00A8714B">
        <w:t xml:space="preserve">During </w:t>
      </w:r>
      <w:r w:rsidR="00AC7349" w:rsidRPr="00AC7349">
        <w:t xml:space="preserve">Capability Interview </w:t>
      </w:r>
      <w:r w:rsidRPr="00A8714B">
        <w:t xml:space="preserve">discussion with the </w:t>
      </w:r>
      <w:r w:rsidR="00231A92">
        <w:t>Participant</w:t>
      </w:r>
      <w:r w:rsidRPr="00A8714B">
        <w:t xml:space="preserve">, the Provider must </w:t>
      </w:r>
      <w:r w:rsidR="00AC7349">
        <w:t xml:space="preserve">accurately answer all the </w:t>
      </w:r>
      <w:r w:rsidR="00AC7349" w:rsidRPr="002714B8">
        <w:rPr>
          <w:rFonts w:asciiTheme="minorHAnsi" w:hAnsiTheme="minorHAnsi" w:cstheme="minorHAnsi"/>
          <w:szCs w:val="22"/>
        </w:rPr>
        <w:t>Capability</w:t>
      </w:r>
      <w:r w:rsidR="00AC7349">
        <w:t xml:space="preserve"> Interview questions that can be accessed on the Targeted Compliance Framework/History screen</w:t>
      </w:r>
      <w:r w:rsidR="00AC7349" w:rsidRPr="0044651E">
        <w:t xml:space="preserve"> in the </w:t>
      </w:r>
      <w:r w:rsidR="00AC7349">
        <w:t>D</w:t>
      </w:r>
      <w:r w:rsidR="00AC7349" w:rsidRPr="0044651E">
        <w:t>epartment’s IT</w:t>
      </w:r>
      <w:r w:rsidR="00AC7349">
        <w:t> S</w:t>
      </w:r>
      <w:r w:rsidR="00AC7349" w:rsidRPr="0044651E">
        <w:t>ystem</w:t>
      </w:r>
      <w:r w:rsidR="00AC7349">
        <w:t>s</w:t>
      </w:r>
      <w:r w:rsidR="00AC7349" w:rsidRPr="0044651E">
        <w:t>.</w:t>
      </w:r>
      <w:r w:rsidR="00AC7349">
        <w:t xml:space="preserve"> The Provider must also accurately record additional information relating to those questions where they are prompted to do so by the Department’s IT Systems</w:t>
      </w:r>
      <w:r w:rsidRPr="00A8714B">
        <w:t>.</w:t>
      </w:r>
      <w:r w:rsidR="00DD7D49" w:rsidRPr="00A8714B">
        <w:t xml:space="preserve"> </w:t>
      </w:r>
    </w:p>
    <w:p w14:paraId="35EB16A3" w14:textId="77777777" w:rsidR="00C126C5" w:rsidRPr="00A8714B" w:rsidRDefault="00C126C5" w:rsidP="00BB59AC">
      <w:pPr>
        <w:pStyle w:val="guidelinetext"/>
        <w:spacing w:line="240" w:lineRule="auto"/>
        <w:ind w:left="0"/>
      </w:pPr>
    </w:p>
    <w:p w14:paraId="5432ED7A" w14:textId="59ECCCCF" w:rsidR="00AB70DA" w:rsidRPr="00BB59AC" w:rsidRDefault="00AB70DA" w:rsidP="00BB59AC">
      <w:pPr>
        <w:pStyle w:val="Heading3"/>
        <w:spacing w:before="0" w:after="120"/>
      </w:pPr>
      <w:bookmarkStart w:id="72" w:name="_Toc511126785"/>
      <w:bookmarkStart w:id="73" w:name="_Toc105518237"/>
      <w:r w:rsidRPr="00BB59AC">
        <w:t xml:space="preserve">Re-running the </w:t>
      </w:r>
      <w:r w:rsidR="00AC7349" w:rsidRPr="00BB59AC">
        <w:t>Job Seeker Classification Instrument (</w:t>
      </w:r>
      <w:r w:rsidRPr="00BB59AC">
        <w:t>JSCI</w:t>
      </w:r>
      <w:bookmarkEnd w:id="72"/>
      <w:r w:rsidR="00AC7349" w:rsidRPr="00BB59AC">
        <w:t>)</w:t>
      </w:r>
      <w:bookmarkEnd w:id="73"/>
      <w:r w:rsidRPr="00BB59AC">
        <w:t xml:space="preserve"> </w:t>
      </w:r>
    </w:p>
    <w:p w14:paraId="28C9E9B9" w14:textId="77777777" w:rsidR="00AC7349" w:rsidRDefault="00AC7349" w:rsidP="002714B8">
      <w:pPr>
        <w:tabs>
          <w:tab w:val="right" w:pos="1701"/>
        </w:tabs>
      </w:pPr>
      <w:r>
        <w:t>During each Capability Interview, the Provider must:</w:t>
      </w:r>
    </w:p>
    <w:p w14:paraId="65181607" w14:textId="77777777" w:rsidR="00AC7349" w:rsidRDefault="00AC7349" w:rsidP="00BB59AC">
      <w:pPr>
        <w:pStyle w:val="guidelinetext"/>
        <w:numPr>
          <w:ilvl w:val="0"/>
          <w:numId w:val="9"/>
        </w:numPr>
        <w:spacing w:before="60" w:line="240" w:lineRule="auto"/>
        <w:ind w:left="714" w:hanging="357"/>
      </w:pPr>
      <w:r>
        <w:t>review the Participant’s JSCI assessment; and</w:t>
      </w:r>
    </w:p>
    <w:p w14:paraId="6811F0BE" w14:textId="77777777" w:rsidR="00AC7349" w:rsidRDefault="00AC7349" w:rsidP="00BB59AC">
      <w:pPr>
        <w:pStyle w:val="guidelinetext"/>
        <w:numPr>
          <w:ilvl w:val="0"/>
          <w:numId w:val="9"/>
        </w:numPr>
        <w:spacing w:before="60" w:line="240" w:lineRule="auto"/>
        <w:ind w:left="714" w:hanging="357"/>
      </w:pPr>
      <w:r>
        <w:t>if the JSCI does not accurately reflect the current circumstances of the Participant as disclosed during the Capability Interview, update the Participant’s JSCI.</w:t>
      </w:r>
    </w:p>
    <w:p w14:paraId="1FE71D17" w14:textId="770E3C2E" w:rsidR="00AB70DA" w:rsidRDefault="00AB70DA" w:rsidP="002714B8">
      <w:pPr>
        <w:tabs>
          <w:tab w:val="right" w:pos="1701"/>
        </w:tabs>
      </w:pPr>
      <w:r w:rsidRPr="004A2FB8">
        <w:t xml:space="preserve">See the </w:t>
      </w:r>
      <w:r w:rsidR="00FC4673" w:rsidRPr="00DF093C">
        <w:rPr>
          <w:rFonts w:asciiTheme="minorHAnsi" w:hAnsiTheme="minorHAnsi" w:cstheme="minorHAnsi"/>
          <w:szCs w:val="22"/>
        </w:rPr>
        <w:t>DES</w:t>
      </w:r>
      <w:r w:rsidR="00FC4673" w:rsidRPr="00DF093C">
        <w:t xml:space="preserve"> Job Seeker Classification </w:t>
      </w:r>
      <w:r w:rsidR="004A2FB8" w:rsidRPr="00DF093C">
        <w:t xml:space="preserve">Instrument </w:t>
      </w:r>
      <w:r w:rsidR="00FC4673" w:rsidRPr="00DF093C">
        <w:t xml:space="preserve">Guidelines </w:t>
      </w:r>
      <w:r w:rsidRPr="004A2FB8">
        <w:t xml:space="preserve">for </w:t>
      </w:r>
      <w:r w:rsidR="00AC7349">
        <w:t xml:space="preserve">more </w:t>
      </w:r>
      <w:r w:rsidRPr="004A2FB8">
        <w:t>information</w:t>
      </w:r>
      <w:r w:rsidRPr="00A8714B">
        <w:t xml:space="preserve"> on </w:t>
      </w:r>
      <w:r w:rsidR="00AC7349" w:rsidRPr="00AC7349">
        <w:t>how to conduct/update a JSCI</w:t>
      </w:r>
      <w:r w:rsidRPr="00A8714B">
        <w:t>.</w:t>
      </w:r>
    </w:p>
    <w:p w14:paraId="06F1FD17" w14:textId="77777777" w:rsidR="00AB70DA" w:rsidRPr="00A8714B" w:rsidRDefault="00AB70DA" w:rsidP="00AB70DA">
      <w:pPr>
        <w:pStyle w:val="guidelinetext"/>
        <w:spacing w:line="240" w:lineRule="auto"/>
        <w:ind w:left="0"/>
      </w:pPr>
    </w:p>
    <w:p w14:paraId="0053BCD9" w14:textId="78279556" w:rsidR="00AB70DA" w:rsidRPr="00BB59AC" w:rsidRDefault="00AB70DA" w:rsidP="00BB59AC">
      <w:pPr>
        <w:pStyle w:val="Heading3"/>
        <w:spacing w:before="0" w:after="120"/>
      </w:pPr>
      <w:bookmarkStart w:id="74" w:name="_Toc511126786"/>
      <w:bookmarkStart w:id="75" w:name="_Toc105518238"/>
      <w:r w:rsidRPr="00BB59AC">
        <w:lastRenderedPageBreak/>
        <w:t xml:space="preserve">Referring the </w:t>
      </w:r>
      <w:r w:rsidR="00C71BA1" w:rsidRPr="00BB59AC">
        <w:t xml:space="preserve">Participant </w:t>
      </w:r>
      <w:r w:rsidRPr="00BB59AC">
        <w:t>for an Employment Services Assessment</w:t>
      </w:r>
      <w:bookmarkEnd w:id="74"/>
      <w:r w:rsidRPr="00BB59AC">
        <w:t xml:space="preserve"> </w:t>
      </w:r>
      <w:r w:rsidR="00AC7349" w:rsidRPr="00BB59AC">
        <w:t>after re-running the JSCI</w:t>
      </w:r>
      <w:bookmarkEnd w:id="75"/>
    </w:p>
    <w:p w14:paraId="606BD3A4" w14:textId="6F054831" w:rsidR="00AC7349" w:rsidRDefault="00AC7349" w:rsidP="002714B8">
      <w:pPr>
        <w:tabs>
          <w:tab w:val="right" w:pos="1701"/>
        </w:tabs>
      </w:pPr>
      <w:r w:rsidRPr="00AC7349">
        <w:t xml:space="preserve">An Employment Services Assessment (ESAt) determines whether a Participant should receive services in </w:t>
      </w:r>
      <w:r>
        <w:t xml:space="preserve">the DES Disability Management Service or DES Employment Support Service </w:t>
      </w:r>
      <w:r w:rsidRPr="00AC7349">
        <w:t xml:space="preserve">or other </w:t>
      </w:r>
      <w:r w:rsidRPr="002714B8">
        <w:rPr>
          <w:rFonts w:asciiTheme="minorHAnsi" w:hAnsiTheme="minorHAnsi" w:cstheme="minorHAnsi"/>
          <w:szCs w:val="22"/>
        </w:rPr>
        <w:t>programs</w:t>
      </w:r>
      <w:r w:rsidRPr="00AC7349">
        <w:t xml:space="preserve"> such as </w:t>
      </w:r>
      <w:r w:rsidR="00CE5B83">
        <w:t>Workforce Australia</w:t>
      </w:r>
      <w:r w:rsidRPr="00AC7349">
        <w:t>.</w:t>
      </w:r>
    </w:p>
    <w:p w14:paraId="36B3B211" w14:textId="08CE0D6C" w:rsidR="00AB70DA" w:rsidRPr="002714B8" w:rsidRDefault="00AB70DA" w:rsidP="002714B8">
      <w:pPr>
        <w:tabs>
          <w:tab w:val="right" w:pos="1701"/>
        </w:tabs>
        <w:rPr>
          <w:rFonts w:asciiTheme="minorHAnsi" w:hAnsiTheme="minorHAnsi" w:cstheme="minorHAnsi"/>
          <w:szCs w:val="22"/>
        </w:rPr>
      </w:pPr>
      <w:r w:rsidRPr="00A8714B">
        <w:t xml:space="preserve">After </w:t>
      </w:r>
      <w:r w:rsidR="00AC7349" w:rsidRPr="00AC7349">
        <w:t>the Provider conducts the JSCI, the Department’s IT Systems may show that the result of the JSCI is a referral to Services Australia for an ESAt</w:t>
      </w:r>
      <w:r w:rsidRPr="00AF6AED">
        <w:t>.</w:t>
      </w:r>
      <w:r w:rsidRPr="00A8714B">
        <w:t xml:space="preserve"> Alternatively, the Provider </w:t>
      </w:r>
      <w:r w:rsidR="00AC7349">
        <w:t>should</w:t>
      </w:r>
      <w:r w:rsidR="00AC7349" w:rsidRPr="00A8714B">
        <w:t xml:space="preserve"> </w:t>
      </w:r>
      <w:r w:rsidRPr="00A8714B">
        <w:t xml:space="preserve">refer </w:t>
      </w:r>
      <w:r w:rsidR="00C71BA1">
        <w:t>Participant</w:t>
      </w:r>
      <w:r w:rsidR="00AC7349">
        <w:t>s</w:t>
      </w:r>
      <w:r w:rsidR="00C71BA1">
        <w:t xml:space="preserve"> </w:t>
      </w:r>
      <w:r w:rsidR="00AC7349" w:rsidRPr="00AC7349">
        <w:t>who they consider may need an ESAt to Services Australia</w:t>
      </w:r>
      <w:r w:rsidR="00AC7349">
        <w:t>.</w:t>
      </w:r>
      <w:r w:rsidR="00AC7349" w:rsidRPr="00AC7349">
        <w:t xml:space="preserve"> </w:t>
      </w:r>
      <w:r>
        <w:t xml:space="preserve">Providers </w:t>
      </w:r>
      <w:r w:rsidR="00AC7349" w:rsidRPr="00AC7349">
        <w:t xml:space="preserve">must comply with the </w:t>
      </w:r>
      <w:r w:rsidR="00DD5260" w:rsidRPr="00DF093C">
        <w:t>DES Referral for an Employment Services Assessment Guidelines</w:t>
      </w:r>
      <w:r w:rsidR="00AC7349" w:rsidRPr="00AC7349">
        <w:t xml:space="preserve"> on the Provider Portal when referring Participants </w:t>
      </w:r>
      <w:r w:rsidR="00AC7349" w:rsidRPr="002714B8">
        <w:rPr>
          <w:rFonts w:asciiTheme="minorHAnsi" w:hAnsiTheme="minorHAnsi" w:cstheme="minorHAnsi"/>
          <w:szCs w:val="22"/>
        </w:rPr>
        <w:t>to Services Australia for an ESAt.</w:t>
      </w:r>
    </w:p>
    <w:p w14:paraId="26C2F6C4" w14:textId="19A05092" w:rsidR="00AB70DA" w:rsidRPr="002714B8" w:rsidRDefault="00AC7349" w:rsidP="002714B8">
      <w:pPr>
        <w:tabs>
          <w:tab w:val="right" w:pos="1701"/>
        </w:tabs>
        <w:rPr>
          <w:rFonts w:asciiTheme="minorHAnsi" w:hAnsiTheme="minorHAnsi" w:cstheme="minorHAnsi"/>
          <w:szCs w:val="22"/>
        </w:rPr>
      </w:pPr>
      <w:r w:rsidRPr="002714B8">
        <w:rPr>
          <w:rFonts w:asciiTheme="minorHAnsi" w:hAnsiTheme="minorHAnsi" w:cstheme="minorHAnsi"/>
          <w:szCs w:val="22"/>
        </w:rPr>
        <w:t xml:space="preserve">Services Australia </w:t>
      </w:r>
      <w:r w:rsidR="00AB70DA" w:rsidRPr="002714B8">
        <w:rPr>
          <w:rFonts w:asciiTheme="minorHAnsi" w:hAnsiTheme="minorHAnsi" w:cstheme="minorHAnsi"/>
          <w:szCs w:val="22"/>
        </w:rPr>
        <w:t xml:space="preserve">will notify the Provider of the outcome of the ESAt via a Noticeboard message in the Department’s IT </w:t>
      </w:r>
      <w:r w:rsidR="00CD61D9" w:rsidRPr="002714B8">
        <w:rPr>
          <w:rFonts w:asciiTheme="minorHAnsi" w:hAnsiTheme="minorHAnsi" w:cstheme="minorHAnsi"/>
          <w:szCs w:val="22"/>
        </w:rPr>
        <w:t>Systems</w:t>
      </w:r>
      <w:r w:rsidR="00AB70DA" w:rsidRPr="002714B8">
        <w:rPr>
          <w:rFonts w:asciiTheme="minorHAnsi" w:hAnsiTheme="minorHAnsi" w:cstheme="minorHAnsi"/>
          <w:szCs w:val="22"/>
        </w:rPr>
        <w:t>, and they will upload any newly disclosed vulnerabilities and barriers into the CMT for the Provider to action.</w:t>
      </w:r>
    </w:p>
    <w:p w14:paraId="208186B6" w14:textId="38AF7630" w:rsidR="00AB70DA" w:rsidRPr="002714B8" w:rsidRDefault="00AB70DA" w:rsidP="002714B8">
      <w:pPr>
        <w:tabs>
          <w:tab w:val="right" w:pos="1701"/>
        </w:tabs>
        <w:rPr>
          <w:rFonts w:asciiTheme="minorHAnsi" w:hAnsiTheme="minorHAnsi" w:cstheme="minorHAnsi"/>
          <w:szCs w:val="22"/>
        </w:rPr>
      </w:pPr>
      <w:r w:rsidRPr="002714B8">
        <w:rPr>
          <w:rFonts w:asciiTheme="minorHAnsi" w:hAnsiTheme="minorHAnsi" w:cstheme="minorHAnsi"/>
          <w:szCs w:val="22"/>
        </w:rPr>
        <w:t xml:space="preserve">Where </w:t>
      </w:r>
      <w:r w:rsidR="00DD5260" w:rsidRPr="002714B8">
        <w:rPr>
          <w:rFonts w:asciiTheme="minorHAnsi" w:hAnsiTheme="minorHAnsi" w:cstheme="minorHAnsi"/>
          <w:szCs w:val="22"/>
        </w:rPr>
        <w:t>the JSCI</w:t>
      </w:r>
      <w:r w:rsidRPr="002714B8">
        <w:rPr>
          <w:rFonts w:asciiTheme="minorHAnsi" w:hAnsiTheme="minorHAnsi" w:cstheme="minorHAnsi"/>
          <w:szCs w:val="22"/>
        </w:rPr>
        <w:t xml:space="preserve"> result</w:t>
      </w:r>
      <w:r w:rsidR="00DD5260" w:rsidRPr="002714B8">
        <w:rPr>
          <w:rFonts w:asciiTheme="minorHAnsi" w:hAnsiTheme="minorHAnsi" w:cstheme="minorHAnsi"/>
          <w:szCs w:val="22"/>
        </w:rPr>
        <w:t>s</w:t>
      </w:r>
      <w:r w:rsidRPr="002714B8">
        <w:rPr>
          <w:rFonts w:asciiTheme="minorHAnsi" w:hAnsiTheme="minorHAnsi" w:cstheme="minorHAnsi"/>
          <w:szCs w:val="22"/>
        </w:rPr>
        <w:t xml:space="preserve"> in an ESAt being required and a referral </w:t>
      </w:r>
      <w:r w:rsidR="00AC7349" w:rsidRPr="002714B8">
        <w:rPr>
          <w:rFonts w:asciiTheme="minorHAnsi" w:hAnsiTheme="minorHAnsi" w:cstheme="minorHAnsi"/>
          <w:szCs w:val="22"/>
        </w:rPr>
        <w:t xml:space="preserve">to Services Australia is </w:t>
      </w:r>
      <w:r w:rsidRPr="002714B8">
        <w:rPr>
          <w:rFonts w:asciiTheme="minorHAnsi" w:hAnsiTheme="minorHAnsi" w:cstheme="minorHAnsi"/>
          <w:szCs w:val="22"/>
        </w:rPr>
        <w:t>made within the Capability Interview</w:t>
      </w:r>
      <w:r w:rsidR="003C2519" w:rsidRPr="002714B8">
        <w:rPr>
          <w:rFonts w:asciiTheme="minorHAnsi" w:hAnsiTheme="minorHAnsi" w:cstheme="minorHAnsi"/>
          <w:szCs w:val="22"/>
        </w:rPr>
        <w:t xml:space="preserve">, </w:t>
      </w:r>
      <w:r w:rsidRPr="002714B8">
        <w:rPr>
          <w:rFonts w:asciiTheme="minorHAnsi" w:hAnsiTheme="minorHAnsi" w:cstheme="minorHAnsi"/>
          <w:szCs w:val="22"/>
        </w:rPr>
        <w:t>the Capability Interview will be finalised once the ESAt appointment is booked</w:t>
      </w:r>
      <w:r w:rsidR="003C2519" w:rsidRPr="002714B8">
        <w:rPr>
          <w:rFonts w:asciiTheme="minorHAnsi" w:hAnsiTheme="minorHAnsi" w:cstheme="minorHAnsi"/>
          <w:szCs w:val="22"/>
        </w:rPr>
        <w:t>. The outcome of the Capability Interview will be</w:t>
      </w:r>
      <w:r w:rsidRPr="002714B8">
        <w:rPr>
          <w:rFonts w:asciiTheme="minorHAnsi" w:hAnsiTheme="minorHAnsi" w:cstheme="minorHAnsi"/>
          <w:szCs w:val="22"/>
        </w:rPr>
        <w:t xml:space="preserve"> ‘newly disclosed </w:t>
      </w:r>
      <w:r w:rsidR="003C2519" w:rsidRPr="002714B8">
        <w:rPr>
          <w:rFonts w:asciiTheme="minorHAnsi" w:hAnsiTheme="minorHAnsi" w:cstheme="minorHAnsi"/>
          <w:szCs w:val="22"/>
        </w:rPr>
        <w:t xml:space="preserve">information’ (meaning the Participant’s Job Plan is not suitable), </w:t>
      </w:r>
      <w:r w:rsidRPr="002714B8">
        <w:rPr>
          <w:rFonts w:asciiTheme="minorHAnsi" w:hAnsiTheme="minorHAnsi" w:cstheme="minorHAnsi"/>
          <w:szCs w:val="22"/>
        </w:rPr>
        <w:t xml:space="preserve">and the </w:t>
      </w:r>
      <w:r w:rsidR="00C71BA1" w:rsidRPr="002714B8">
        <w:rPr>
          <w:rFonts w:asciiTheme="minorHAnsi" w:hAnsiTheme="minorHAnsi" w:cstheme="minorHAnsi"/>
          <w:szCs w:val="22"/>
        </w:rPr>
        <w:t xml:space="preserve">Participant </w:t>
      </w:r>
      <w:r w:rsidRPr="002714B8">
        <w:rPr>
          <w:rFonts w:asciiTheme="minorHAnsi" w:hAnsiTheme="minorHAnsi" w:cstheme="minorHAnsi"/>
          <w:szCs w:val="22"/>
        </w:rPr>
        <w:t>will return to the Green Zone</w:t>
      </w:r>
      <w:r w:rsidR="003C2519" w:rsidRPr="002714B8">
        <w:rPr>
          <w:rFonts w:asciiTheme="minorHAnsi" w:hAnsiTheme="minorHAnsi" w:cstheme="minorHAnsi"/>
          <w:szCs w:val="22"/>
        </w:rPr>
        <w:t xml:space="preserve"> with their Demerits reset to zero</w:t>
      </w:r>
      <w:r w:rsidRPr="002714B8">
        <w:rPr>
          <w:rFonts w:asciiTheme="minorHAnsi" w:hAnsiTheme="minorHAnsi" w:cstheme="minorHAnsi"/>
          <w:szCs w:val="22"/>
        </w:rPr>
        <w:t xml:space="preserve">. </w:t>
      </w:r>
    </w:p>
    <w:p w14:paraId="0237F94A" w14:textId="77777777" w:rsidR="003C2519" w:rsidRDefault="00AB70DA" w:rsidP="002714B8">
      <w:pPr>
        <w:tabs>
          <w:tab w:val="right" w:pos="1701"/>
        </w:tabs>
      </w:pPr>
      <w:r w:rsidRPr="002714B8">
        <w:rPr>
          <w:rFonts w:asciiTheme="minorHAnsi" w:hAnsiTheme="minorHAnsi" w:cstheme="minorHAnsi"/>
          <w:szCs w:val="22"/>
        </w:rPr>
        <w:t>While awaiti</w:t>
      </w:r>
      <w:r>
        <w:t xml:space="preserve">ng the outcome of an ESAt, </w:t>
      </w:r>
      <w:r w:rsidR="00C71BA1">
        <w:t xml:space="preserve">Participants </w:t>
      </w:r>
      <w:r>
        <w:t xml:space="preserve">are still required to meet their Mutual Obligation Requirements, </w:t>
      </w:r>
      <w:r w:rsidR="003C2519" w:rsidRPr="003C2519">
        <w:t>but they cannot accrue further Demerits for Mutual Obligation Failures.</w:t>
      </w:r>
    </w:p>
    <w:p w14:paraId="225DB1FB" w14:textId="77777777" w:rsidR="00C126C5" w:rsidRPr="00A8714B" w:rsidRDefault="00C126C5" w:rsidP="00BB59AC">
      <w:pPr>
        <w:pStyle w:val="guidelinetext"/>
        <w:spacing w:line="240" w:lineRule="auto"/>
        <w:ind w:left="0"/>
      </w:pPr>
    </w:p>
    <w:p w14:paraId="7F819D6E" w14:textId="77777777" w:rsidR="00C126C5" w:rsidRPr="00BB59AC" w:rsidRDefault="00C126C5" w:rsidP="00BB59AC">
      <w:pPr>
        <w:pStyle w:val="Heading3"/>
        <w:spacing w:before="0" w:after="120"/>
      </w:pPr>
      <w:bookmarkStart w:id="76" w:name="_Toc105518239"/>
      <w:r w:rsidRPr="00BB59AC">
        <w:t>Finalising the Capability Interview</w:t>
      </w:r>
      <w:bookmarkEnd w:id="76"/>
    </w:p>
    <w:p w14:paraId="2A818E75" w14:textId="77777777" w:rsidR="00C126C5" w:rsidRPr="002714B8" w:rsidRDefault="00C126C5" w:rsidP="002714B8">
      <w:pPr>
        <w:tabs>
          <w:tab w:val="right" w:pos="1701"/>
        </w:tabs>
        <w:rPr>
          <w:rFonts w:asciiTheme="minorHAnsi" w:hAnsiTheme="minorHAnsi" w:cstheme="minorHAnsi"/>
          <w:szCs w:val="22"/>
        </w:rPr>
      </w:pPr>
      <w:r>
        <w:t xml:space="preserve">The Provider must finalise the Capability Interview in the Department’s IT Systems while the </w:t>
      </w:r>
      <w:r w:rsidRPr="002714B8">
        <w:rPr>
          <w:rFonts w:asciiTheme="minorHAnsi" w:hAnsiTheme="minorHAnsi" w:cstheme="minorHAnsi"/>
          <w:szCs w:val="22"/>
        </w:rPr>
        <w:t>Participant is still in attendance at the Capability Interview appointment, or while the Participant is still in contact where the Capability Interview was delivered via phone or videoconference.</w:t>
      </w:r>
    </w:p>
    <w:p w14:paraId="4742DDF8" w14:textId="77777777" w:rsidR="00C126C5" w:rsidRDefault="00C126C5" w:rsidP="002714B8">
      <w:pPr>
        <w:tabs>
          <w:tab w:val="right" w:pos="1701"/>
        </w:tabs>
      </w:pPr>
      <w:r w:rsidRPr="002714B8">
        <w:rPr>
          <w:rFonts w:asciiTheme="minorHAnsi" w:hAnsiTheme="minorHAnsi" w:cstheme="minorHAnsi"/>
          <w:szCs w:val="22"/>
        </w:rPr>
        <w:t>If the Participant attended the Capability Interview appointment but did not participate for the duration</w:t>
      </w:r>
      <w:r>
        <w:t xml:space="preserve"> of the appointment, Providers must complete the Capability Interview based on what they know about the Participant, and finalise the Capability Interview in the Department’s IT Systems the same day.</w:t>
      </w:r>
    </w:p>
    <w:p w14:paraId="7ADFF3F5" w14:textId="77777777" w:rsidR="00AB70DA" w:rsidRDefault="00AB70DA" w:rsidP="00AB70DA">
      <w:pPr>
        <w:pStyle w:val="guidelinetext"/>
        <w:spacing w:line="240" w:lineRule="auto"/>
        <w:ind w:left="0"/>
      </w:pPr>
    </w:p>
    <w:p w14:paraId="17CEA53D" w14:textId="77777777" w:rsidR="00AB70DA" w:rsidRPr="00BB59AC" w:rsidRDefault="00AB70DA" w:rsidP="00BB59AC">
      <w:pPr>
        <w:pStyle w:val="Heading3"/>
        <w:spacing w:before="0" w:after="120"/>
      </w:pPr>
      <w:bookmarkStart w:id="77" w:name="_Toc511126787"/>
      <w:bookmarkStart w:id="78" w:name="_Toc105518240"/>
      <w:r w:rsidRPr="00BB59AC">
        <w:t>Using the Capability Management Tool</w:t>
      </w:r>
      <w:bookmarkEnd w:id="77"/>
      <w:bookmarkEnd w:id="78"/>
      <w:r w:rsidRPr="00BB59AC">
        <w:t xml:space="preserve"> </w:t>
      </w:r>
    </w:p>
    <w:p w14:paraId="6DA5E495" w14:textId="1F95D053" w:rsidR="00AB70DA" w:rsidRPr="002714B8" w:rsidRDefault="003C2519" w:rsidP="002714B8">
      <w:pPr>
        <w:tabs>
          <w:tab w:val="right" w:pos="1701"/>
        </w:tabs>
        <w:rPr>
          <w:rFonts w:asciiTheme="minorHAnsi" w:hAnsiTheme="minorHAnsi" w:cstheme="minorHAnsi"/>
          <w:szCs w:val="22"/>
        </w:rPr>
      </w:pPr>
      <w:r w:rsidRPr="003C2519">
        <w:t xml:space="preserve">Providers have an obligation to use the Capability Management Tool </w:t>
      </w:r>
      <w:r>
        <w:t xml:space="preserve">(CMT) </w:t>
      </w:r>
      <w:r w:rsidRPr="003C2519">
        <w:t xml:space="preserve">during the Capability Interview. Providers can access the CMT in the Department’s IT Systems. </w:t>
      </w:r>
      <w:r w:rsidR="00AB70DA" w:rsidRPr="00A8714B">
        <w:t xml:space="preserve">The </w:t>
      </w:r>
      <w:r w:rsidR="00FB382B">
        <w:t>C</w:t>
      </w:r>
      <w:r w:rsidR="00AB70DA" w:rsidRPr="00A8714B">
        <w:t xml:space="preserve">MT is used to record, review </w:t>
      </w:r>
      <w:r w:rsidR="00AB70DA" w:rsidRPr="002714B8">
        <w:rPr>
          <w:rFonts w:asciiTheme="minorHAnsi" w:hAnsiTheme="minorHAnsi" w:cstheme="minorHAnsi"/>
          <w:szCs w:val="22"/>
        </w:rPr>
        <w:t xml:space="preserve">and manage information </w:t>
      </w:r>
      <w:r w:rsidRPr="002714B8">
        <w:rPr>
          <w:rFonts w:asciiTheme="minorHAnsi" w:hAnsiTheme="minorHAnsi" w:cstheme="minorHAnsi"/>
          <w:szCs w:val="22"/>
        </w:rPr>
        <w:t>on</w:t>
      </w:r>
      <w:r w:rsidR="00AB70DA" w:rsidRPr="002714B8">
        <w:rPr>
          <w:rFonts w:asciiTheme="minorHAnsi" w:hAnsiTheme="minorHAnsi" w:cstheme="minorHAnsi"/>
          <w:szCs w:val="22"/>
        </w:rPr>
        <w:t xml:space="preserve"> </w:t>
      </w:r>
      <w:r w:rsidR="00C71BA1" w:rsidRPr="002714B8">
        <w:rPr>
          <w:rFonts w:asciiTheme="minorHAnsi" w:hAnsiTheme="minorHAnsi" w:cstheme="minorHAnsi"/>
          <w:szCs w:val="22"/>
        </w:rPr>
        <w:t xml:space="preserve">Participant’s </w:t>
      </w:r>
      <w:r w:rsidR="00AB70DA" w:rsidRPr="002714B8">
        <w:rPr>
          <w:rFonts w:asciiTheme="minorHAnsi" w:hAnsiTheme="minorHAnsi" w:cstheme="minorHAnsi"/>
          <w:szCs w:val="22"/>
        </w:rPr>
        <w:t xml:space="preserve">personal circumstances that may be affecting their capacity to meet their </w:t>
      </w:r>
      <w:r w:rsidRPr="002714B8">
        <w:rPr>
          <w:rFonts w:asciiTheme="minorHAnsi" w:hAnsiTheme="minorHAnsi" w:cstheme="minorHAnsi"/>
          <w:szCs w:val="22"/>
        </w:rPr>
        <w:t>Mutual Obligation Requirements</w:t>
      </w:r>
      <w:r w:rsidR="00AB70DA" w:rsidRPr="002714B8">
        <w:rPr>
          <w:rFonts w:asciiTheme="minorHAnsi" w:hAnsiTheme="minorHAnsi" w:cstheme="minorHAnsi"/>
          <w:szCs w:val="22"/>
        </w:rPr>
        <w:t>. The CMT consolidates information collected from the Capability Interview discussion, the most recent JSCI and any past ES</w:t>
      </w:r>
      <w:r w:rsidR="00DF093C">
        <w:rPr>
          <w:rFonts w:asciiTheme="minorHAnsi" w:hAnsiTheme="minorHAnsi" w:cstheme="minorHAnsi"/>
          <w:szCs w:val="22"/>
        </w:rPr>
        <w:t>Ats or Capability Assessments.</w:t>
      </w:r>
    </w:p>
    <w:p w14:paraId="103F16A7" w14:textId="288163FE" w:rsidR="00AB70DA" w:rsidRDefault="003C2519" w:rsidP="002714B8">
      <w:pPr>
        <w:tabs>
          <w:tab w:val="right" w:pos="1701"/>
        </w:tabs>
      </w:pPr>
      <w:r w:rsidRPr="002714B8">
        <w:rPr>
          <w:rFonts w:asciiTheme="minorHAnsi" w:hAnsiTheme="minorHAnsi" w:cstheme="minorHAnsi"/>
          <w:szCs w:val="22"/>
        </w:rPr>
        <w:t>Based on the</w:t>
      </w:r>
      <w:r w:rsidRPr="003C2519">
        <w:t xml:space="preserve"> discussion with the Participant </w:t>
      </w:r>
      <w:r>
        <w:t>during the Capability Interview</w:t>
      </w:r>
      <w:r w:rsidR="00AB70DA" w:rsidRPr="00A8714B">
        <w:t xml:space="preserve">, Providers must use the CMT to </w:t>
      </w:r>
      <w:r>
        <w:t xml:space="preserve">accurately </w:t>
      </w:r>
      <w:r w:rsidR="00AB70DA" w:rsidRPr="00A8714B">
        <w:t xml:space="preserve">record </w:t>
      </w:r>
      <w:r w:rsidRPr="003C2519">
        <w:t>information regarding all</w:t>
      </w:r>
      <w:r w:rsidRPr="003C2519" w:rsidDel="003C2519">
        <w:t xml:space="preserve"> </w:t>
      </w:r>
      <w:r w:rsidR="00AB70DA" w:rsidRPr="00A8714B">
        <w:t xml:space="preserve">identified barriers or vulnerabilities affecting the </w:t>
      </w:r>
      <w:r w:rsidR="00C71BA1">
        <w:t xml:space="preserve">Participant’s </w:t>
      </w:r>
      <w:r w:rsidR="00AB70DA" w:rsidRPr="00A8714B">
        <w:t xml:space="preserve">ability to meet their </w:t>
      </w:r>
      <w:r w:rsidRPr="003C2519">
        <w:t>Mutual Obligation Requirements</w:t>
      </w:r>
      <w:r w:rsidR="00AB70DA" w:rsidRPr="00A8714B">
        <w:t>.</w:t>
      </w:r>
    </w:p>
    <w:p w14:paraId="06E5D919" w14:textId="093509CD" w:rsidR="00DD5260" w:rsidRDefault="00DD5260" w:rsidP="00ED4558">
      <w:pPr>
        <w:pStyle w:val="DeedReferences"/>
      </w:pPr>
      <w:r>
        <w:t>(Grant Agreement reference: clauses 111.8)</w:t>
      </w:r>
    </w:p>
    <w:p w14:paraId="6B670DBD" w14:textId="77777777" w:rsidR="007F595F" w:rsidRDefault="007F595F" w:rsidP="00B661F0">
      <w:pPr>
        <w:pStyle w:val="guidelinechanges"/>
        <w:spacing w:before="0"/>
        <w:rPr>
          <w:sz w:val="22"/>
        </w:rPr>
      </w:pPr>
    </w:p>
    <w:p w14:paraId="6B86F42F" w14:textId="7393F3C0" w:rsidR="007F595F" w:rsidRDefault="007F595F" w:rsidP="00B661F0">
      <w:pPr>
        <w:pStyle w:val="guidelinechanges"/>
        <w:pBdr>
          <w:top w:val="single" w:sz="4" w:space="1" w:color="auto"/>
        </w:pBdr>
        <w:spacing w:before="0"/>
        <w:rPr>
          <w:sz w:val="22"/>
        </w:rPr>
      </w:pPr>
    </w:p>
    <w:p w14:paraId="335297E6" w14:textId="709DA71D" w:rsidR="007F595F" w:rsidRPr="00ED4558" w:rsidRDefault="00AB70DA" w:rsidP="00ED4558">
      <w:pPr>
        <w:pStyle w:val="Heading2"/>
        <w:numPr>
          <w:ilvl w:val="0"/>
          <w:numId w:val="10"/>
        </w:numPr>
        <w:spacing w:before="0"/>
        <w:ind w:left="567" w:hanging="567"/>
        <w:rPr>
          <w:sz w:val="28"/>
        </w:rPr>
      </w:pPr>
      <w:bookmarkStart w:id="79" w:name="_Toc105518241"/>
      <w:r w:rsidRPr="00ED4558">
        <w:rPr>
          <w:sz w:val="28"/>
        </w:rPr>
        <w:t>Actioning outcomes from a Capability Interview</w:t>
      </w:r>
      <w:bookmarkEnd w:id="79"/>
      <w:r w:rsidR="007F595F" w:rsidRPr="00ED4558">
        <w:rPr>
          <w:sz w:val="28"/>
        </w:rPr>
        <w:t xml:space="preserve"> </w:t>
      </w:r>
    </w:p>
    <w:p w14:paraId="0DFF8DD4" w14:textId="77777777" w:rsidR="003C2519" w:rsidRPr="00B61595" w:rsidRDefault="003C2519" w:rsidP="002714B8">
      <w:pPr>
        <w:tabs>
          <w:tab w:val="right" w:pos="1701"/>
        </w:tabs>
      </w:pPr>
      <w:r w:rsidRPr="00B61595">
        <w:t xml:space="preserve">As noted above, the Department’s IT Systems will determine the outcome of the Capability Interview based on the </w:t>
      </w:r>
      <w:r w:rsidRPr="002714B8">
        <w:rPr>
          <w:rFonts w:asciiTheme="minorHAnsi" w:hAnsiTheme="minorHAnsi" w:cstheme="minorHAnsi"/>
          <w:szCs w:val="22"/>
        </w:rPr>
        <w:t>information</w:t>
      </w:r>
      <w:r w:rsidRPr="00B61595">
        <w:t xml:space="preserve"> that the Provider records in the Department’s IT Systems in relation to the Capability Interview. The possible outcomes are as follows:</w:t>
      </w:r>
    </w:p>
    <w:p w14:paraId="1FF0BCA8" w14:textId="77777777" w:rsidR="003C2519" w:rsidRDefault="003C2519" w:rsidP="00BB59AC">
      <w:pPr>
        <w:pStyle w:val="guidelinetext"/>
        <w:numPr>
          <w:ilvl w:val="0"/>
          <w:numId w:val="9"/>
        </w:numPr>
        <w:spacing w:before="60" w:line="240" w:lineRule="auto"/>
        <w:ind w:left="714" w:hanging="357"/>
      </w:pPr>
      <w:r>
        <w:lastRenderedPageBreak/>
        <w:t xml:space="preserve">the Participant’s Job Plan is suitable for the Participant, which is referred to in the Department’s IT Systems as ‘Deemed capable of meeting their Job Plan requirements’; or </w:t>
      </w:r>
    </w:p>
    <w:p w14:paraId="71824D2C" w14:textId="77777777" w:rsidR="003C2519" w:rsidRDefault="003C2519" w:rsidP="00BB59AC">
      <w:pPr>
        <w:pStyle w:val="guidelinetext"/>
        <w:numPr>
          <w:ilvl w:val="0"/>
          <w:numId w:val="9"/>
        </w:numPr>
        <w:spacing w:before="60" w:line="240" w:lineRule="auto"/>
        <w:ind w:left="714" w:hanging="357"/>
      </w:pPr>
      <w:r>
        <w:t>the Participant’s Job Plan is not suitable for the Participant, which is referred to in the Department’s IT Systems as one of the following, depending on the reason that the Job Plan is not suitable:</w:t>
      </w:r>
    </w:p>
    <w:p w14:paraId="2ED79084" w14:textId="77777777" w:rsidR="003C2519" w:rsidRDefault="003C2519" w:rsidP="00BB59AC">
      <w:pPr>
        <w:pStyle w:val="guidelinebullet"/>
        <w:numPr>
          <w:ilvl w:val="1"/>
          <w:numId w:val="9"/>
        </w:numPr>
        <w:ind w:left="1134"/>
      </w:pPr>
      <w:r>
        <w:t>‘Errors in the Job Plan–Requires Update’;</w:t>
      </w:r>
    </w:p>
    <w:p w14:paraId="1ECFD16D" w14:textId="77777777" w:rsidR="003C2519" w:rsidRDefault="003C2519" w:rsidP="00BB59AC">
      <w:pPr>
        <w:pStyle w:val="guidelinebullet"/>
        <w:numPr>
          <w:ilvl w:val="1"/>
          <w:numId w:val="9"/>
        </w:numPr>
        <w:ind w:left="1134"/>
      </w:pPr>
      <w:r>
        <w:t>‘Not capable of meeting their Job Plan requirements due to their circumstances/capacity’; or</w:t>
      </w:r>
    </w:p>
    <w:p w14:paraId="25A2024A" w14:textId="77777777" w:rsidR="003C2519" w:rsidRDefault="003C2519" w:rsidP="00BB59AC">
      <w:pPr>
        <w:pStyle w:val="guidelinebullet"/>
        <w:numPr>
          <w:ilvl w:val="1"/>
          <w:numId w:val="9"/>
        </w:numPr>
        <w:ind w:left="1134"/>
      </w:pPr>
      <w:r>
        <w:t>‘Newly disclosed information’.</w:t>
      </w:r>
    </w:p>
    <w:p w14:paraId="533E937E" w14:textId="77777777" w:rsidR="003C2519" w:rsidRPr="00B61595" w:rsidRDefault="003C2519" w:rsidP="002714B8">
      <w:pPr>
        <w:tabs>
          <w:tab w:val="right" w:pos="1701"/>
        </w:tabs>
      </w:pPr>
      <w:r w:rsidRPr="00B61595">
        <w:t>Each of these outcomes is discussed in further detail below.</w:t>
      </w:r>
    </w:p>
    <w:p w14:paraId="708042EF" w14:textId="67C46838" w:rsidR="00001ED0" w:rsidRDefault="003C2519" w:rsidP="002714B8">
      <w:pPr>
        <w:tabs>
          <w:tab w:val="right" w:pos="1701"/>
        </w:tabs>
      </w:pPr>
      <w:r w:rsidRPr="00B61595">
        <w:t xml:space="preserve">Once </w:t>
      </w:r>
      <w:r w:rsidRPr="002714B8">
        <w:rPr>
          <w:rFonts w:asciiTheme="minorHAnsi" w:hAnsiTheme="minorHAnsi" w:cstheme="minorHAnsi"/>
          <w:szCs w:val="22"/>
        </w:rPr>
        <w:t>the</w:t>
      </w:r>
      <w:r w:rsidRPr="00B61595">
        <w:t xml:space="preserve"> Department’s IT Systems have determined the outcome of the Capability Interview, </w:t>
      </w:r>
      <w:r>
        <w:t>t</w:t>
      </w:r>
      <w:r w:rsidR="00AB70DA" w:rsidRPr="00AB70DA">
        <w:t xml:space="preserve">he Provider must explain </w:t>
      </w:r>
      <w:r>
        <w:t>this</w:t>
      </w:r>
      <w:r w:rsidRPr="00AB70DA">
        <w:t xml:space="preserve"> </w:t>
      </w:r>
      <w:r w:rsidR="00AB70DA" w:rsidRPr="00AB70DA">
        <w:t xml:space="preserve">outcome to the </w:t>
      </w:r>
      <w:r w:rsidR="00C71BA1">
        <w:t xml:space="preserve">Participant </w:t>
      </w:r>
      <w:r>
        <w:t>and</w:t>
      </w:r>
      <w:r w:rsidRPr="00AB70DA">
        <w:t xml:space="preserve"> </w:t>
      </w:r>
      <w:r w:rsidR="00AB70DA" w:rsidRPr="00AB70DA">
        <w:t>ensure they understand</w:t>
      </w:r>
      <w:r>
        <w:t xml:space="preserve"> what it means and</w:t>
      </w:r>
      <w:r w:rsidR="00DD7D49">
        <w:t xml:space="preserve"> what will happen next. </w:t>
      </w:r>
    </w:p>
    <w:p w14:paraId="55E1D38F" w14:textId="77777777" w:rsidR="00001ED0" w:rsidRDefault="00001ED0" w:rsidP="00BB59AC">
      <w:pPr>
        <w:pStyle w:val="guidelinetext"/>
        <w:spacing w:line="240" w:lineRule="auto"/>
        <w:ind w:left="0"/>
        <w:rPr>
          <w:rFonts w:eastAsia="Times New Roman"/>
        </w:rPr>
      </w:pPr>
    </w:p>
    <w:p w14:paraId="47999C7D" w14:textId="77777777" w:rsidR="00001ED0" w:rsidRPr="00B61595" w:rsidRDefault="00001ED0" w:rsidP="00BB59AC">
      <w:pPr>
        <w:pStyle w:val="Heading3"/>
        <w:spacing w:before="0" w:after="120"/>
      </w:pPr>
      <w:bookmarkStart w:id="80" w:name="_Toc20920452"/>
      <w:bookmarkStart w:id="81" w:name="_Toc21422452"/>
      <w:bookmarkStart w:id="82" w:name="_Toc105518242"/>
      <w:r w:rsidRPr="00BB59AC">
        <w:t>The Participant’s Job Plan is not suitable</w:t>
      </w:r>
      <w:bookmarkEnd w:id="80"/>
      <w:bookmarkEnd w:id="81"/>
      <w:bookmarkEnd w:id="82"/>
      <w:r w:rsidRPr="00BB59AC">
        <w:t xml:space="preserve"> </w:t>
      </w:r>
    </w:p>
    <w:p w14:paraId="6B153D5A" w14:textId="77777777" w:rsidR="00001ED0" w:rsidRPr="00B61595" w:rsidRDefault="00001ED0" w:rsidP="002714B8">
      <w:pPr>
        <w:tabs>
          <w:tab w:val="right" w:pos="1701"/>
        </w:tabs>
      </w:pPr>
      <w:r w:rsidRPr="00B61595">
        <w:t>If the outcome of the Capability Interview is that the Participant’s Job Plan is not suitable for the Participant:</w:t>
      </w:r>
    </w:p>
    <w:p w14:paraId="28DF8CA6" w14:textId="77777777" w:rsidR="00001ED0" w:rsidRDefault="00001ED0" w:rsidP="00BB59AC">
      <w:pPr>
        <w:pStyle w:val="guidelinetext"/>
        <w:numPr>
          <w:ilvl w:val="0"/>
          <w:numId w:val="9"/>
        </w:numPr>
        <w:spacing w:before="60" w:line="240" w:lineRule="auto"/>
        <w:ind w:left="714" w:hanging="357"/>
      </w:pPr>
      <w:r w:rsidRPr="00537F2F">
        <w:t xml:space="preserve">the </w:t>
      </w:r>
      <w:r>
        <w:t>Participant is</w:t>
      </w:r>
      <w:r w:rsidRPr="00537F2F">
        <w:t xml:space="preserve"> returned to the Green Zone with their Demerits reset to zero</w:t>
      </w:r>
      <w:r>
        <w:t>; and</w:t>
      </w:r>
    </w:p>
    <w:p w14:paraId="232385F6" w14:textId="5165C8E8" w:rsidR="00001ED0" w:rsidRDefault="00001ED0" w:rsidP="00BB59AC">
      <w:pPr>
        <w:pStyle w:val="guidelinetext"/>
        <w:numPr>
          <w:ilvl w:val="0"/>
          <w:numId w:val="9"/>
        </w:numPr>
        <w:spacing w:before="60" w:line="240" w:lineRule="auto"/>
        <w:ind w:left="714" w:hanging="357"/>
      </w:pPr>
      <w:r>
        <w:t xml:space="preserve">the Provider must negotiate and update the Job Plan so that it is suitable for the Participant in accordance with </w:t>
      </w:r>
      <w:r w:rsidRPr="00511E90">
        <w:t xml:space="preserve">the </w:t>
      </w:r>
      <w:r>
        <w:t xml:space="preserve">DES </w:t>
      </w:r>
      <w:r w:rsidR="00DD5260" w:rsidRPr="00B61595">
        <w:t>Job Plan and Scheduling Mutual Obligation Requirements Guideline</w:t>
      </w:r>
      <w:r>
        <w:t>s</w:t>
      </w:r>
      <w:r w:rsidRPr="00E1408A">
        <w:t>, except in the circum</w:t>
      </w:r>
      <w:r>
        <w:t>stances described below under the heading ‘Outcome: ‘Newly disclosed information’’. Providers are strongly encouraged to negotiate and update the Job Plan as part of the Capability Interview once the outcome has been determined by the Department’s IT Systems. If it is not updated as part of the Capability Interview, the Provider must negotiate and update the Job Plan within the 10 Business Days following the finalisation of the Capability Interview.</w:t>
      </w:r>
    </w:p>
    <w:p w14:paraId="65D0688A" w14:textId="077CBB93" w:rsidR="00001ED0" w:rsidRDefault="00001ED0" w:rsidP="002714B8">
      <w:pPr>
        <w:tabs>
          <w:tab w:val="right" w:pos="1701"/>
        </w:tabs>
      </w:pPr>
      <w:r w:rsidRPr="00B61595">
        <w:t xml:space="preserve">Until </w:t>
      </w:r>
      <w:r w:rsidRPr="002714B8">
        <w:rPr>
          <w:rFonts w:asciiTheme="minorHAnsi" w:hAnsiTheme="minorHAnsi" w:cstheme="minorHAnsi"/>
          <w:szCs w:val="22"/>
        </w:rPr>
        <w:t>the</w:t>
      </w:r>
      <w:r w:rsidRPr="00B61595">
        <w:t xml:space="preserve"> Job Plan is updated and agreed by the Participant, they cannot accrue further Demerits.</w:t>
      </w:r>
    </w:p>
    <w:p w14:paraId="07476687" w14:textId="77777777" w:rsidR="00001ED0" w:rsidRPr="00665BB5" w:rsidRDefault="00001ED0" w:rsidP="00665BB5">
      <w:pPr>
        <w:spacing w:before="240"/>
        <w:rPr>
          <w:sz w:val="24"/>
          <w:u w:val="single"/>
        </w:rPr>
      </w:pPr>
      <w:bookmarkStart w:id="83" w:name="_Toc20920453"/>
      <w:bookmarkStart w:id="84" w:name="_Toc21422453"/>
      <w:r w:rsidRPr="00B61595">
        <w:rPr>
          <w:sz w:val="24"/>
          <w:u w:val="single"/>
        </w:rPr>
        <w:t>Outcome: ‘Errors in the Job Plan–Requires Update’</w:t>
      </w:r>
      <w:bookmarkEnd w:id="83"/>
      <w:bookmarkEnd w:id="84"/>
    </w:p>
    <w:p w14:paraId="59350E33" w14:textId="1BF2D45E" w:rsidR="00001ED0" w:rsidRDefault="00001ED0" w:rsidP="002714B8">
      <w:pPr>
        <w:tabs>
          <w:tab w:val="right" w:pos="1701"/>
        </w:tabs>
      </w:pPr>
      <w:r w:rsidRPr="00B61595">
        <w:t xml:space="preserve">If the Provider records in the Department’s IT Systems that the Job Plan has errors during the Capability Interview, the outcome of the Capability Interview will be that the Participant’s Job Plan is not suitable for the Participant. A Job Plan contains errors if it includes items that are inappropriate for the Participant. </w:t>
      </w:r>
    </w:p>
    <w:p w14:paraId="2801A07F" w14:textId="77777777" w:rsidR="00001ED0" w:rsidRPr="00B61595" w:rsidRDefault="00001ED0" w:rsidP="00DF093C">
      <w:pPr>
        <w:pStyle w:val="guidelinechanges"/>
        <w:keepNext/>
        <w:spacing w:before="120"/>
        <w:rPr>
          <w:rFonts w:eastAsia="Times New Roman"/>
        </w:rPr>
      </w:pPr>
      <w:r w:rsidRPr="00B61595">
        <w:rPr>
          <w:rFonts w:eastAsia="Times New Roman"/>
          <w:i/>
          <w:sz w:val="22"/>
        </w:rPr>
        <w:t>Provider action</w:t>
      </w:r>
    </w:p>
    <w:p w14:paraId="6177020D" w14:textId="77777777" w:rsidR="00001ED0" w:rsidRDefault="00001ED0" w:rsidP="00BB59AC">
      <w:pPr>
        <w:pStyle w:val="guidelinetext"/>
        <w:numPr>
          <w:ilvl w:val="0"/>
          <w:numId w:val="9"/>
        </w:numPr>
        <w:spacing w:before="60" w:line="240" w:lineRule="auto"/>
        <w:ind w:left="714" w:hanging="357"/>
      </w:pPr>
      <w:r>
        <w:t xml:space="preserve">Advise the Participant that there are errors in their Job Plan, which means that </w:t>
      </w:r>
      <w:r w:rsidRPr="00537F2F">
        <w:t>the Job Plan is not suitable</w:t>
      </w:r>
      <w:r>
        <w:t xml:space="preserve"> for the Participant. </w:t>
      </w:r>
    </w:p>
    <w:p w14:paraId="2D96855D" w14:textId="77777777" w:rsidR="00001ED0" w:rsidRDefault="00001ED0" w:rsidP="00BB59AC">
      <w:pPr>
        <w:pStyle w:val="guidelinetext"/>
        <w:numPr>
          <w:ilvl w:val="0"/>
          <w:numId w:val="9"/>
        </w:numPr>
        <w:spacing w:before="60" w:line="240" w:lineRule="auto"/>
        <w:ind w:left="714" w:hanging="357"/>
      </w:pPr>
      <w:r>
        <w:t>Advise the Participant that their Demerits will be reset to zero and they will return to the Green Zone.</w:t>
      </w:r>
    </w:p>
    <w:p w14:paraId="0287160F" w14:textId="23DB7F55" w:rsidR="00001ED0" w:rsidRDefault="00001ED0" w:rsidP="00BB59AC">
      <w:pPr>
        <w:pStyle w:val="guidelinetext"/>
        <w:numPr>
          <w:ilvl w:val="0"/>
          <w:numId w:val="9"/>
        </w:numPr>
        <w:spacing w:before="60" w:line="240" w:lineRule="auto"/>
        <w:ind w:left="714" w:hanging="357"/>
      </w:pPr>
      <w:r>
        <w:t xml:space="preserve">In consultation with the Participant, update the Job Plan to address the identified errors in accordance with </w:t>
      </w:r>
      <w:r w:rsidRPr="00BF270F">
        <w:t xml:space="preserve">the </w:t>
      </w:r>
      <w:r>
        <w:t xml:space="preserve">DES </w:t>
      </w:r>
      <w:r w:rsidR="00DD5260" w:rsidRPr="00B61595">
        <w:t>Job Plan and Scheduling Mutual Obligation Requirements Guideline</w:t>
      </w:r>
      <w:r>
        <w:t>s</w:t>
      </w:r>
      <w:r w:rsidRPr="00DF3631">
        <w:t>.</w:t>
      </w:r>
    </w:p>
    <w:p w14:paraId="1365E5B0" w14:textId="77777777" w:rsidR="00001ED0" w:rsidRPr="00665BB5" w:rsidRDefault="00001ED0" w:rsidP="00665BB5">
      <w:pPr>
        <w:spacing w:before="240"/>
        <w:rPr>
          <w:sz w:val="24"/>
          <w:u w:val="single"/>
        </w:rPr>
      </w:pPr>
      <w:bookmarkStart w:id="85" w:name="_Toc20920454"/>
      <w:bookmarkStart w:id="86" w:name="_Toc21422454"/>
      <w:r w:rsidRPr="00B61595">
        <w:rPr>
          <w:sz w:val="24"/>
          <w:u w:val="single"/>
        </w:rPr>
        <w:t>Outcome: ‘Not capable of meeting their Job Plan requirements due to their circumstances/capacity’</w:t>
      </w:r>
      <w:bookmarkEnd w:id="85"/>
      <w:bookmarkEnd w:id="86"/>
    </w:p>
    <w:p w14:paraId="4729592C" w14:textId="7F09BDB7" w:rsidR="00001ED0" w:rsidRDefault="00001ED0" w:rsidP="002714B8">
      <w:pPr>
        <w:tabs>
          <w:tab w:val="right" w:pos="1701"/>
        </w:tabs>
      </w:pPr>
      <w:r w:rsidRPr="00B61595">
        <w:t xml:space="preserve">If </w:t>
      </w:r>
      <w:r w:rsidRPr="002714B8">
        <w:rPr>
          <w:rFonts w:asciiTheme="minorHAnsi" w:hAnsiTheme="minorHAnsi" w:cstheme="minorHAnsi"/>
          <w:szCs w:val="22"/>
        </w:rPr>
        <w:t>the</w:t>
      </w:r>
      <w:r w:rsidRPr="00B61595">
        <w:t xml:space="preserve"> Provider records in the Department’s IT Systems that the Participant’s personal circumstances prevent them from successfully meeting the Mutual Obligation Requirements set out in their Job </w:t>
      </w:r>
      <w:r w:rsidRPr="00B61595">
        <w:lastRenderedPageBreak/>
        <w:t>Plan during the Capability Interview, the outcome of the Capability Interview will be that the Participant’s Job Plan is not suitable for the Participant.</w:t>
      </w:r>
    </w:p>
    <w:p w14:paraId="33C00580" w14:textId="24104F15" w:rsidR="00897E67" w:rsidRPr="00B61595" w:rsidRDefault="00897E67" w:rsidP="002714B8">
      <w:pPr>
        <w:tabs>
          <w:tab w:val="right" w:pos="1701"/>
        </w:tabs>
      </w:pPr>
      <w:r w:rsidRPr="00B61595">
        <w:t xml:space="preserve">For example: a parent with caring responsibilities may not be the principal carer, but may not have the </w:t>
      </w:r>
      <w:r w:rsidRPr="002714B8">
        <w:rPr>
          <w:rFonts w:asciiTheme="minorHAnsi" w:hAnsiTheme="minorHAnsi" w:cstheme="minorHAnsi"/>
          <w:szCs w:val="22"/>
        </w:rPr>
        <w:t>capacity</w:t>
      </w:r>
      <w:r w:rsidRPr="00B61595">
        <w:t xml:space="preserve"> to attend requirements outside of school hours on certain days</w:t>
      </w:r>
    </w:p>
    <w:p w14:paraId="1F76921D" w14:textId="77777777" w:rsidR="00001ED0" w:rsidRPr="00B61595" w:rsidRDefault="00001ED0" w:rsidP="00B61595">
      <w:pPr>
        <w:pStyle w:val="guidelinechanges"/>
        <w:spacing w:before="120"/>
        <w:rPr>
          <w:rFonts w:eastAsia="Times New Roman"/>
        </w:rPr>
      </w:pPr>
      <w:r w:rsidRPr="00B61595">
        <w:rPr>
          <w:rFonts w:eastAsia="Times New Roman"/>
          <w:i/>
          <w:sz w:val="22"/>
        </w:rPr>
        <w:t>Provider action</w:t>
      </w:r>
    </w:p>
    <w:p w14:paraId="22D02646" w14:textId="77777777" w:rsidR="00001ED0" w:rsidRDefault="00001ED0" w:rsidP="00BB59AC">
      <w:pPr>
        <w:pStyle w:val="guidelinetext"/>
        <w:numPr>
          <w:ilvl w:val="0"/>
          <w:numId w:val="9"/>
        </w:numPr>
        <w:spacing w:before="60" w:line="240" w:lineRule="auto"/>
        <w:ind w:left="714" w:hanging="357"/>
      </w:pPr>
      <w:r>
        <w:t xml:space="preserve">Advise the Participant that their personal circumstances have made their current Job Plan </w:t>
      </w:r>
      <w:r w:rsidRPr="00537F2F">
        <w:t>not suitable</w:t>
      </w:r>
      <w:r>
        <w:t xml:space="preserve"> for them. </w:t>
      </w:r>
    </w:p>
    <w:p w14:paraId="265906B3" w14:textId="77777777" w:rsidR="00001ED0" w:rsidRDefault="00001ED0" w:rsidP="00BB59AC">
      <w:pPr>
        <w:pStyle w:val="guidelinetext"/>
        <w:numPr>
          <w:ilvl w:val="0"/>
          <w:numId w:val="9"/>
        </w:numPr>
        <w:spacing w:before="60" w:line="240" w:lineRule="auto"/>
        <w:ind w:left="714" w:hanging="357"/>
      </w:pPr>
      <w:r>
        <w:t>Advise the Participant that their Demerits will be reset to zero and they will return to the Green Zone.</w:t>
      </w:r>
    </w:p>
    <w:p w14:paraId="4062CE81" w14:textId="3D6B616A" w:rsidR="00001ED0" w:rsidRDefault="00001ED0" w:rsidP="00BB59AC">
      <w:pPr>
        <w:pStyle w:val="guidelinetext"/>
        <w:numPr>
          <w:ilvl w:val="0"/>
          <w:numId w:val="9"/>
        </w:numPr>
        <w:spacing w:before="60" w:line="240" w:lineRule="auto"/>
        <w:ind w:left="714" w:hanging="357"/>
      </w:pPr>
      <w:r>
        <w:t xml:space="preserve">In consultation with the Participant, update the Job Plan so that it is suitable in accordance with </w:t>
      </w:r>
      <w:r w:rsidRPr="00BF270F">
        <w:t xml:space="preserve">the </w:t>
      </w:r>
      <w:r>
        <w:t xml:space="preserve">DES </w:t>
      </w:r>
      <w:hyperlink r:id="rId12" w:history="1">
        <w:r w:rsidRPr="00B61595">
          <w:t>Job Plan and Scheduling Mutual Obligation Requirements Guideline</w:t>
        </w:r>
      </w:hyperlink>
      <w:r>
        <w:t xml:space="preserve">s. </w:t>
      </w:r>
    </w:p>
    <w:p w14:paraId="2998FDA9" w14:textId="77777777" w:rsidR="00001ED0" w:rsidRPr="00665BB5" w:rsidRDefault="00001ED0" w:rsidP="00665BB5">
      <w:pPr>
        <w:spacing w:before="240"/>
        <w:rPr>
          <w:sz w:val="24"/>
          <w:u w:val="single"/>
        </w:rPr>
      </w:pPr>
      <w:bookmarkStart w:id="87" w:name="_Toc20920455"/>
      <w:bookmarkStart w:id="88" w:name="_Toc21422455"/>
      <w:r w:rsidRPr="00B61595">
        <w:rPr>
          <w:sz w:val="24"/>
          <w:u w:val="single"/>
        </w:rPr>
        <w:t>Outcome: ‘Newly disclosed information’–newly disclosed personal circumstances</w:t>
      </w:r>
      <w:bookmarkEnd w:id="87"/>
      <w:bookmarkEnd w:id="88"/>
    </w:p>
    <w:p w14:paraId="6D480B37" w14:textId="77777777" w:rsidR="00001ED0" w:rsidRPr="00B61595" w:rsidRDefault="00001ED0" w:rsidP="002714B8">
      <w:pPr>
        <w:tabs>
          <w:tab w:val="right" w:pos="1701"/>
        </w:tabs>
      </w:pPr>
      <w:r w:rsidRPr="00B61595">
        <w:t xml:space="preserve">The Provider may assess that the Participant would normally be capable of meeting their Mutual </w:t>
      </w:r>
      <w:r w:rsidRPr="002714B8">
        <w:rPr>
          <w:rFonts w:asciiTheme="minorHAnsi" w:hAnsiTheme="minorHAnsi" w:cstheme="minorHAnsi"/>
          <w:szCs w:val="22"/>
        </w:rPr>
        <w:t>Obligation</w:t>
      </w:r>
      <w:r w:rsidRPr="00B61595">
        <w:t xml:space="preserve"> Requirements. However, the Participant has disclosed new information about their personal circumstances that was previously unknown to the Provider, and these circumstances would have affected the Participant’s ability to meet their Mutual Obligation Requirements at the time they accrued Demerits.</w:t>
      </w:r>
    </w:p>
    <w:p w14:paraId="7FE3407A" w14:textId="2F4B651C" w:rsidR="00001ED0" w:rsidRPr="002714B8" w:rsidRDefault="00001ED0" w:rsidP="002714B8">
      <w:pPr>
        <w:tabs>
          <w:tab w:val="right" w:pos="1701"/>
        </w:tabs>
        <w:rPr>
          <w:rFonts w:asciiTheme="minorHAnsi" w:hAnsiTheme="minorHAnsi" w:cstheme="minorHAnsi"/>
          <w:szCs w:val="22"/>
        </w:rPr>
      </w:pPr>
      <w:r w:rsidRPr="00B61595">
        <w:t xml:space="preserve">Circumstances are considered to be newly disclosed if they are not already recorded in the </w:t>
      </w:r>
      <w:r w:rsidRPr="002714B8">
        <w:rPr>
          <w:rFonts w:asciiTheme="minorHAnsi" w:hAnsiTheme="minorHAnsi" w:cstheme="minorHAnsi"/>
          <w:szCs w:val="22"/>
        </w:rPr>
        <w:t>Department’s IT Systems.</w:t>
      </w:r>
    </w:p>
    <w:p w14:paraId="7A72A255" w14:textId="387BD8B4" w:rsidR="00897E67" w:rsidRPr="002714B8" w:rsidRDefault="00897E67" w:rsidP="002714B8">
      <w:pPr>
        <w:tabs>
          <w:tab w:val="right" w:pos="1701"/>
        </w:tabs>
        <w:rPr>
          <w:rFonts w:asciiTheme="minorHAnsi" w:hAnsiTheme="minorHAnsi" w:cstheme="minorHAnsi"/>
          <w:szCs w:val="22"/>
        </w:rPr>
      </w:pPr>
      <w:r w:rsidRPr="002714B8">
        <w:rPr>
          <w:rFonts w:asciiTheme="minorHAnsi" w:hAnsiTheme="minorHAnsi" w:cstheme="minorHAnsi"/>
          <w:szCs w:val="22"/>
        </w:rPr>
        <w:t>For example: the Participant has disclosed that they are homeless or a victim of family violence.</w:t>
      </w:r>
    </w:p>
    <w:p w14:paraId="08995CEA" w14:textId="77777777" w:rsidR="00001ED0" w:rsidRPr="002714B8" w:rsidRDefault="00001ED0" w:rsidP="002714B8">
      <w:pPr>
        <w:tabs>
          <w:tab w:val="right" w:pos="1701"/>
        </w:tabs>
        <w:rPr>
          <w:rFonts w:asciiTheme="minorHAnsi" w:hAnsiTheme="minorHAnsi" w:cstheme="minorHAnsi"/>
          <w:szCs w:val="22"/>
        </w:rPr>
      </w:pPr>
      <w:r w:rsidRPr="002714B8">
        <w:rPr>
          <w:rFonts w:asciiTheme="minorHAnsi" w:hAnsiTheme="minorHAnsi" w:cstheme="minorHAnsi"/>
          <w:szCs w:val="22"/>
        </w:rPr>
        <w:t>This is not a review of whether the Participant should have accrued Demerits in relation to the relevant Mutual Obligation Failures—instead, the newly disclosed information informs the assessment of the Participant’s overall capability at the time they accrued Demerits.</w:t>
      </w:r>
    </w:p>
    <w:p w14:paraId="7E8E3833" w14:textId="77777777" w:rsidR="00001ED0" w:rsidRPr="00B61595" w:rsidRDefault="00001ED0" w:rsidP="002714B8">
      <w:pPr>
        <w:tabs>
          <w:tab w:val="right" w:pos="1701"/>
        </w:tabs>
      </w:pPr>
      <w:r w:rsidRPr="002714B8">
        <w:rPr>
          <w:rFonts w:asciiTheme="minorHAnsi" w:hAnsiTheme="minorHAnsi" w:cstheme="minorHAnsi"/>
          <w:szCs w:val="22"/>
        </w:rPr>
        <w:t>Because</w:t>
      </w:r>
      <w:r w:rsidRPr="00B61595">
        <w:t xml:space="preserve"> the Participant is normally capable of meeting their Mutual Obligation Requirements, their Job Plan does not necessarily require updating.</w:t>
      </w:r>
    </w:p>
    <w:p w14:paraId="310EE966" w14:textId="77777777" w:rsidR="00001ED0" w:rsidRPr="00B61595" w:rsidRDefault="00001ED0" w:rsidP="00B61595">
      <w:pPr>
        <w:pStyle w:val="guidelinechanges"/>
        <w:spacing w:before="120"/>
        <w:rPr>
          <w:rFonts w:eastAsia="Times New Roman"/>
        </w:rPr>
      </w:pPr>
      <w:r w:rsidRPr="00B61595">
        <w:rPr>
          <w:rFonts w:eastAsia="Times New Roman"/>
          <w:i/>
          <w:sz w:val="22"/>
        </w:rPr>
        <w:t>Provider action</w:t>
      </w:r>
    </w:p>
    <w:p w14:paraId="241CC50C" w14:textId="77777777" w:rsidR="00001ED0" w:rsidRDefault="00001ED0" w:rsidP="00BB59AC">
      <w:pPr>
        <w:pStyle w:val="guidelinetext"/>
        <w:numPr>
          <w:ilvl w:val="0"/>
          <w:numId w:val="9"/>
        </w:numPr>
        <w:spacing w:before="60" w:line="240" w:lineRule="auto"/>
        <w:ind w:left="714" w:hanging="357"/>
      </w:pPr>
      <w:r>
        <w:t xml:space="preserve">Advise the Participant that newly disclosed information would have affected their ability to meet Mutual Obligation Requirements at the time of Demerit accrual. </w:t>
      </w:r>
    </w:p>
    <w:p w14:paraId="7EC032C6" w14:textId="77777777" w:rsidR="00001ED0" w:rsidRDefault="00001ED0" w:rsidP="00BB59AC">
      <w:pPr>
        <w:pStyle w:val="guidelinetext"/>
        <w:numPr>
          <w:ilvl w:val="0"/>
          <w:numId w:val="9"/>
        </w:numPr>
        <w:spacing w:before="60" w:line="240" w:lineRule="auto"/>
        <w:ind w:left="714" w:hanging="357"/>
      </w:pPr>
      <w:r>
        <w:t>Advise the Participant that their Demerits will be reset to zero and they will return to the Green Zone.</w:t>
      </w:r>
    </w:p>
    <w:p w14:paraId="2E68D8D5" w14:textId="36B0A8EF" w:rsidR="00001ED0" w:rsidRDefault="00001ED0" w:rsidP="00BB59AC">
      <w:pPr>
        <w:pStyle w:val="guidelinetext"/>
        <w:numPr>
          <w:ilvl w:val="0"/>
          <w:numId w:val="9"/>
        </w:numPr>
        <w:spacing w:before="60" w:line="240" w:lineRule="auto"/>
        <w:ind w:left="714" w:hanging="357"/>
      </w:pPr>
      <w:r>
        <w:t xml:space="preserve">Consider whether the Job Plan requires updating. If so, negotiate and update the Job Plan so that it is suitable in accordance </w:t>
      </w:r>
      <w:r w:rsidRPr="009A1081">
        <w:t xml:space="preserve">with the </w:t>
      </w:r>
      <w:r>
        <w:t xml:space="preserve">DES </w:t>
      </w:r>
      <w:r w:rsidR="00DD5260" w:rsidRPr="00B61595">
        <w:t>Job Plan and Scheduling Mutual Obligation Requirements Guideline</w:t>
      </w:r>
      <w:r>
        <w:t>s</w:t>
      </w:r>
      <w:r w:rsidRPr="009A1081">
        <w:t>.</w:t>
      </w:r>
    </w:p>
    <w:p w14:paraId="07532372" w14:textId="77777777" w:rsidR="00001ED0" w:rsidRPr="00665BB5" w:rsidRDefault="00001ED0" w:rsidP="00665BB5">
      <w:pPr>
        <w:spacing w:before="240"/>
        <w:rPr>
          <w:sz w:val="24"/>
          <w:u w:val="single"/>
        </w:rPr>
      </w:pPr>
      <w:bookmarkStart w:id="89" w:name="_Toc20920456"/>
      <w:bookmarkStart w:id="90" w:name="_Toc21422456"/>
      <w:r w:rsidRPr="00B61595">
        <w:rPr>
          <w:sz w:val="24"/>
          <w:u w:val="single"/>
        </w:rPr>
        <w:t>Outcome: ‘Newly disclosed information’–The Participant’s stream or program eligibility has changed</w:t>
      </w:r>
      <w:bookmarkEnd w:id="89"/>
      <w:bookmarkEnd w:id="90"/>
    </w:p>
    <w:p w14:paraId="1B838B82" w14:textId="7D308AEF" w:rsidR="00001ED0" w:rsidRPr="00B61595" w:rsidRDefault="00001ED0" w:rsidP="002714B8">
      <w:pPr>
        <w:tabs>
          <w:tab w:val="right" w:pos="1701"/>
        </w:tabs>
      </w:pPr>
      <w:r w:rsidRPr="00B61595">
        <w:t xml:space="preserve">If a </w:t>
      </w:r>
      <w:r w:rsidRPr="002714B8">
        <w:rPr>
          <w:rFonts w:asciiTheme="minorHAnsi" w:hAnsiTheme="minorHAnsi" w:cstheme="minorHAnsi"/>
          <w:szCs w:val="22"/>
        </w:rPr>
        <w:t>Participant</w:t>
      </w:r>
      <w:r w:rsidRPr="00B61595">
        <w:t xml:space="preserve"> is placed into another </w:t>
      </w:r>
      <w:r w:rsidR="006A7CD0">
        <w:t>service</w:t>
      </w:r>
      <w:r w:rsidRPr="00B61595">
        <w:t xml:space="preserve"> as a result of the finalisation of an ESAt, the outcome of the Capability Interview will be that the Participant’s Job Plan is not suitable for the Participant.</w:t>
      </w:r>
    </w:p>
    <w:p w14:paraId="208BAB75" w14:textId="77777777" w:rsidR="00001ED0" w:rsidRPr="00B61595" w:rsidRDefault="00001ED0" w:rsidP="00B61595">
      <w:pPr>
        <w:pStyle w:val="guidelinechanges"/>
        <w:spacing w:before="120"/>
        <w:rPr>
          <w:rFonts w:eastAsia="Times New Roman"/>
        </w:rPr>
      </w:pPr>
      <w:r w:rsidRPr="00B61595">
        <w:rPr>
          <w:rFonts w:eastAsia="Times New Roman"/>
          <w:i/>
          <w:sz w:val="22"/>
        </w:rPr>
        <w:t>Provider action</w:t>
      </w:r>
    </w:p>
    <w:p w14:paraId="293D67F2" w14:textId="72059582" w:rsidR="00001ED0" w:rsidRDefault="00001ED0" w:rsidP="00BB59AC">
      <w:pPr>
        <w:pStyle w:val="guidelinetext"/>
        <w:numPr>
          <w:ilvl w:val="0"/>
          <w:numId w:val="9"/>
        </w:numPr>
        <w:spacing w:before="60" w:line="240" w:lineRule="auto"/>
        <w:ind w:left="714" w:hanging="357"/>
      </w:pPr>
      <w:r>
        <w:t xml:space="preserve">Advise the Participant that their program eligibility has changed as a result of the finalisation of an ESAt. </w:t>
      </w:r>
    </w:p>
    <w:p w14:paraId="33C96A7C" w14:textId="77777777" w:rsidR="00001ED0" w:rsidRDefault="00001ED0" w:rsidP="00BB59AC">
      <w:pPr>
        <w:pStyle w:val="guidelinetext"/>
        <w:numPr>
          <w:ilvl w:val="0"/>
          <w:numId w:val="9"/>
        </w:numPr>
        <w:spacing w:before="60" w:line="240" w:lineRule="auto"/>
        <w:ind w:left="714" w:hanging="357"/>
      </w:pPr>
      <w:r>
        <w:t>Advise the Participant that their Demerits will be reset to zero and they will return to the Green Zone.</w:t>
      </w:r>
    </w:p>
    <w:p w14:paraId="5106DA08" w14:textId="324DB67C" w:rsidR="00001ED0" w:rsidRDefault="00001ED0" w:rsidP="00BB59AC">
      <w:pPr>
        <w:pStyle w:val="guidelinetext"/>
        <w:numPr>
          <w:ilvl w:val="0"/>
          <w:numId w:val="9"/>
        </w:numPr>
        <w:spacing w:before="60" w:line="240" w:lineRule="auto"/>
        <w:ind w:left="714" w:hanging="357"/>
      </w:pPr>
      <w:r>
        <w:t xml:space="preserve">In consultation with the Participant, update the Job Plan so that it is suitable in accordance with </w:t>
      </w:r>
      <w:r w:rsidRPr="00BF270F">
        <w:t xml:space="preserve">the </w:t>
      </w:r>
      <w:r w:rsidR="006A7CD0">
        <w:t xml:space="preserve">DES </w:t>
      </w:r>
      <w:r w:rsidR="00DD5260" w:rsidRPr="00B61595">
        <w:t>Job Plan and Scheduling Mutual Obligation Requirements Guideline</w:t>
      </w:r>
      <w:r w:rsidR="006A7CD0">
        <w:t>s</w:t>
      </w:r>
      <w:r w:rsidRPr="009A1081">
        <w:t>.</w:t>
      </w:r>
    </w:p>
    <w:p w14:paraId="414803BA" w14:textId="77777777" w:rsidR="006A7CD0" w:rsidRPr="009A1081" w:rsidRDefault="006A7CD0" w:rsidP="00BB59AC">
      <w:pPr>
        <w:pStyle w:val="guidelinetext"/>
        <w:spacing w:line="240" w:lineRule="auto"/>
        <w:ind w:left="0"/>
      </w:pPr>
    </w:p>
    <w:p w14:paraId="5A981D73" w14:textId="4E72286B" w:rsidR="00001ED0" w:rsidRPr="00B61595" w:rsidRDefault="00001ED0" w:rsidP="00BB59AC">
      <w:pPr>
        <w:pStyle w:val="Heading3"/>
        <w:spacing w:before="0" w:after="120"/>
      </w:pPr>
      <w:bookmarkStart w:id="91" w:name="_Toc20920457"/>
      <w:bookmarkStart w:id="92" w:name="_Toc21422457"/>
      <w:bookmarkStart w:id="93" w:name="_Toc105518243"/>
      <w:r w:rsidRPr="00BB59AC">
        <w:t>The Participant’s Job Plan is suitable for the Participant</w:t>
      </w:r>
      <w:bookmarkEnd w:id="91"/>
      <w:bookmarkEnd w:id="92"/>
      <w:bookmarkEnd w:id="93"/>
    </w:p>
    <w:p w14:paraId="18AEBA31" w14:textId="77777777" w:rsidR="00001ED0" w:rsidRPr="002714B8" w:rsidRDefault="00001ED0" w:rsidP="002714B8">
      <w:pPr>
        <w:tabs>
          <w:tab w:val="right" w:pos="1701"/>
        </w:tabs>
        <w:rPr>
          <w:rFonts w:asciiTheme="minorHAnsi" w:hAnsiTheme="minorHAnsi" w:cstheme="minorHAnsi"/>
          <w:szCs w:val="22"/>
        </w:rPr>
      </w:pPr>
      <w:r w:rsidRPr="00B61595">
        <w:t xml:space="preserve">If the outcome of the Capability Interview is that the Participant’s Job Plan is suitable for the </w:t>
      </w:r>
      <w:r w:rsidRPr="002714B8">
        <w:rPr>
          <w:rFonts w:asciiTheme="minorHAnsi" w:hAnsiTheme="minorHAnsi" w:cstheme="minorHAnsi"/>
          <w:szCs w:val="22"/>
        </w:rPr>
        <w:t xml:space="preserve">Participant, they will continue in the Warning Zone with three Demerits once the Capability Interview is finalised. </w:t>
      </w:r>
    </w:p>
    <w:p w14:paraId="0229B57C" w14:textId="77777777" w:rsidR="00001ED0" w:rsidRPr="00B61595" w:rsidRDefault="00001ED0" w:rsidP="002714B8">
      <w:pPr>
        <w:tabs>
          <w:tab w:val="right" w:pos="1701"/>
        </w:tabs>
      </w:pPr>
      <w:r w:rsidRPr="002714B8">
        <w:rPr>
          <w:rFonts w:asciiTheme="minorHAnsi" w:hAnsiTheme="minorHAnsi" w:cstheme="minorHAnsi"/>
          <w:szCs w:val="22"/>
        </w:rPr>
        <w:t>Because</w:t>
      </w:r>
      <w:r w:rsidRPr="00B61595">
        <w:t xml:space="preserve"> the Job Plan is suitable for the Participant, it does not need to be updated.</w:t>
      </w:r>
    </w:p>
    <w:p w14:paraId="1523F4B2" w14:textId="77777777" w:rsidR="00001ED0" w:rsidRPr="00B61595" w:rsidRDefault="00001ED0" w:rsidP="00B61595">
      <w:pPr>
        <w:pStyle w:val="guidelinechanges"/>
        <w:spacing w:before="120"/>
        <w:rPr>
          <w:rFonts w:eastAsia="Times New Roman"/>
        </w:rPr>
      </w:pPr>
      <w:r w:rsidRPr="00B61595">
        <w:rPr>
          <w:rFonts w:eastAsia="Times New Roman"/>
          <w:i/>
          <w:sz w:val="22"/>
        </w:rPr>
        <w:t>Provider action</w:t>
      </w:r>
    </w:p>
    <w:p w14:paraId="1F6F0F4F" w14:textId="77777777" w:rsidR="00001ED0" w:rsidRDefault="00001ED0" w:rsidP="00BB59AC">
      <w:pPr>
        <w:pStyle w:val="guidelinetext"/>
        <w:numPr>
          <w:ilvl w:val="0"/>
          <w:numId w:val="9"/>
        </w:numPr>
        <w:spacing w:before="60" w:line="240" w:lineRule="auto"/>
        <w:ind w:left="714" w:hanging="357"/>
      </w:pPr>
      <w:r>
        <w:t>Advise the Participant that their Job Plan has been assessed as being suitable for them.</w:t>
      </w:r>
    </w:p>
    <w:p w14:paraId="02AB0E7D" w14:textId="77777777" w:rsidR="00001ED0" w:rsidRDefault="00001ED0" w:rsidP="00BB59AC">
      <w:pPr>
        <w:pStyle w:val="guidelinetext"/>
        <w:numPr>
          <w:ilvl w:val="0"/>
          <w:numId w:val="9"/>
        </w:numPr>
        <w:spacing w:before="60" w:line="240" w:lineRule="auto"/>
        <w:ind w:left="714" w:hanging="357"/>
      </w:pPr>
      <w:r>
        <w:t>Advise the Participant that the next time they commit a Mutual Obligation Failure without Valid Reason, this may result in a Capability Assessment with Services Australia.</w:t>
      </w:r>
    </w:p>
    <w:p w14:paraId="77577B24" w14:textId="53641061" w:rsidR="00001ED0" w:rsidRDefault="00001ED0" w:rsidP="00BB59AC">
      <w:pPr>
        <w:pStyle w:val="guidelinetext"/>
        <w:numPr>
          <w:ilvl w:val="0"/>
          <w:numId w:val="9"/>
        </w:numPr>
        <w:spacing w:before="60" w:line="240" w:lineRule="auto"/>
        <w:ind w:left="714" w:hanging="357"/>
      </w:pPr>
      <w:r>
        <w:t>Ensure the Participant understands the Mutual Obligation Requirements in their Job Plan and the consequences of non-compliance.</w:t>
      </w:r>
    </w:p>
    <w:p w14:paraId="721C1AF3" w14:textId="77777777" w:rsidR="00001ED0" w:rsidRPr="00665BB5" w:rsidRDefault="00001ED0" w:rsidP="00665BB5">
      <w:pPr>
        <w:spacing w:before="240"/>
        <w:rPr>
          <w:sz w:val="24"/>
          <w:u w:val="single"/>
        </w:rPr>
      </w:pPr>
      <w:bookmarkStart w:id="94" w:name="_Toc20920458"/>
      <w:bookmarkStart w:id="95" w:name="_Toc21422458"/>
      <w:r w:rsidRPr="00B61595">
        <w:rPr>
          <w:sz w:val="24"/>
          <w:u w:val="single"/>
        </w:rPr>
        <w:t>Ramifications of further non-compliance</w:t>
      </w:r>
      <w:bookmarkEnd w:id="94"/>
      <w:bookmarkEnd w:id="95"/>
    </w:p>
    <w:p w14:paraId="510FF8CE" w14:textId="6A5E8ED5" w:rsidR="00AB70DA" w:rsidRDefault="00001ED0" w:rsidP="002714B8">
      <w:pPr>
        <w:tabs>
          <w:tab w:val="right" w:pos="1701"/>
        </w:tabs>
      </w:pPr>
      <w:r w:rsidRPr="00B61595">
        <w:t xml:space="preserve">See </w:t>
      </w:r>
      <w:r w:rsidRPr="002714B8">
        <w:rPr>
          <w:rFonts w:asciiTheme="minorHAnsi" w:hAnsiTheme="minorHAnsi" w:cstheme="minorHAnsi"/>
          <w:szCs w:val="22"/>
        </w:rPr>
        <w:t>the</w:t>
      </w:r>
      <w:r w:rsidRPr="00B61595">
        <w:t xml:space="preserve"> </w:t>
      </w:r>
      <w:r w:rsidR="00DD5260" w:rsidRPr="00B61595">
        <w:t>Targeted Compliance Framework: Mutual Obligation Failures Guideline</w:t>
      </w:r>
      <w:r w:rsidR="006A7CD0">
        <w:t>s</w:t>
      </w:r>
      <w:r w:rsidRPr="00B61595">
        <w:t xml:space="preserve"> (under the heading ‘The Penalty Zone’) for more information on the consequences for the Participant if they continue to accrue Demerits after they remain in the Warning Zone following a Capability Interview.</w:t>
      </w:r>
    </w:p>
    <w:p w14:paraId="1E35CF19" w14:textId="77777777" w:rsidR="006A7CD0" w:rsidRDefault="006A7CD0" w:rsidP="006A7CD0">
      <w:pPr>
        <w:pStyle w:val="guidelinechanges"/>
        <w:spacing w:before="0"/>
        <w:rPr>
          <w:sz w:val="22"/>
        </w:rPr>
      </w:pPr>
    </w:p>
    <w:p w14:paraId="1156A975" w14:textId="77777777" w:rsidR="006A7CD0" w:rsidRDefault="006A7CD0" w:rsidP="006A7CD0">
      <w:pPr>
        <w:pStyle w:val="guidelinechanges"/>
        <w:pBdr>
          <w:top w:val="single" w:sz="4" w:space="1" w:color="auto"/>
        </w:pBdr>
        <w:spacing w:before="0"/>
        <w:rPr>
          <w:sz w:val="22"/>
        </w:rPr>
      </w:pPr>
    </w:p>
    <w:p w14:paraId="44AFA9E5" w14:textId="00CB9A5C" w:rsidR="006A7CD0" w:rsidRDefault="006A7CD0" w:rsidP="00BB59AC">
      <w:pPr>
        <w:pStyle w:val="Heading3"/>
        <w:spacing w:before="0" w:after="120"/>
      </w:pPr>
      <w:bookmarkStart w:id="96" w:name="_Toc105518244"/>
      <w:r>
        <w:t>Summary of required Documentary Evidence</w:t>
      </w:r>
      <w:bookmarkEnd w:id="96"/>
      <w:r>
        <w:t xml:space="preserve"> </w:t>
      </w:r>
    </w:p>
    <w:p w14:paraId="23378E1F" w14:textId="3CE7D9B0" w:rsidR="008C3491" w:rsidRDefault="008C3491" w:rsidP="002714B8">
      <w:pPr>
        <w:tabs>
          <w:tab w:val="right" w:pos="1701"/>
        </w:tabs>
      </w:pPr>
      <w:r>
        <w:t xml:space="preserve">In addition to the evidence recorded in the Department’s IT Systems, evidence supporting the </w:t>
      </w:r>
      <w:r w:rsidRPr="002714B8">
        <w:rPr>
          <w:rFonts w:asciiTheme="minorHAnsi" w:hAnsiTheme="minorHAnsi" w:cstheme="minorHAnsi"/>
          <w:szCs w:val="22"/>
        </w:rPr>
        <w:t>outcome</w:t>
      </w:r>
      <w:r>
        <w:t xml:space="preserve"> of the Capability Interview could include:</w:t>
      </w:r>
    </w:p>
    <w:p w14:paraId="6001EB8D" w14:textId="77777777" w:rsidR="006A7CD0" w:rsidRPr="002A32D2" w:rsidRDefault="006A7CD0" w:rsidP="00BB59AC">
      <w:pPr>
        <w:pStyle w:val="guidelinetext"/>
        <w:numPr>
          <w:ilvl w:val="0"/>
          <w:numId w:val="9"/>
        </w:numPr>
        <w:spacing w:before="60" w:line="240" w:lineRule="auto"/>
        <w:ind w:left="714" w:hanging="357"/>
      </w:pPr>
      <w:r w:rsidRPr="002A32D2">
        <w:t xml:space="preserve">prior notification of the requirement to attend, Job Referral, referral to a Job Interview or notification of an Employment Offer; </w:t>
      </w:r>
    </w:p>
    <w:p w14:paraId="44B66AD8" w14:textId="77777777" w:rsidR="006A7CD0" w:rsidRPr="002A32D2" w:rsidRDefault="006A7CD0" w:rsidP="00BB59AC">
      <w:pPr>
        <w:pStyle w:val="guidelinetext"/>
        <w:numPr>
          <w:ilvl w:val="0"/>
          <w:numId w:val="9"/>
        </w:numPr>
        <w:spacing w:before="60" w:line="240" w:lineRule="auto"/>
        <w:ind w:left="714" w:hanging="357"/>
      </w:pPr>
      <w:r w:rsidRPr="002A32D2">
        <w:t xml:space="preserve">prior notification of details provided to a </w:t>
      </w:r>
      <w:r>
        <w:t>Participant</w:t>
      </w:r>
      <w:r w:rsidRPr="002A32D2">
        <w:t xml:space="preserve"> in relation to attending an Activity or Appointment with a Provider or third party; </w:t>
      </w:r>
    </w:p>
    <w:p w14:paraId="252DCC84" w14:textId="77777777" w:rsidR="006A7CD0" w:rsidRPr="002A32D2" w:rsidRDefault="006A7CD0" w:rsidP="00BB59AC">
      <w:pPr>
        <w:pStyle w:val="guidelinetext"/>
        <w:numPr>
          <w:ilvl w:val="0"/>
          <w:numId w:val="9"/>
        </w:numPr>
        <w:spacing w:before="60" w:line="240" w:lineRule="auto"/>
        <w:ind w:left="714" w:hanging="357"/>
      </w:pPr>
      <w:r w:rsidRPr="002A32D2">
        <w:t xml:space="preserve">the format of the Notification (i.e. SMS, email or letter); </w:t>
      </w:r>
    </w:p>
    <w:p w14:paraId="690BBAF1" w14:textId="77777777" w:rsidR="006A7CD0" w:rsidRPr="002A32D2" w:rsidRDefault="006A7CD0" w:rsidP="00BB59AC">
      <w:pPr>
        <w:pStyle w:val="guidelinetext"/>
        <w:numPr>
          <w:ilvl w:val="0"/>
          <w:numId w:val="9"/>
        </w:numPr>
        <w:spacing w:before="60" w:line="240" w:lineRule="auto"/>
        <w:ind w:left="714" w:hanging="357"/>
      </w:pPr>
      <w:r w:rsidRPr="002A32D2">
        <w:t>fully or partially completed Job Searches provided in hard copy form;</w:t>
      </w:r>
    </w:p>
    <w:p w14:paraId="020FAB56" w14:textId="77777777" w:rsidR="006A7CD0" w:rsidRPr="002A32D2" w:rsidRDefault="006A7CD0" w:rsidP="00BB59AC">
      <w:pPr>
        <w:pStyle w:val="guidelinetext"/>
        <w:numPr>
          <w:ilvl w:val="0"/>
          <w:numId w:val="9"/>
        </w:numPr>
        <w:spacing w:before="60" w:line="240" w:lineRule="auto"/>
        <w:ind w:left="714" w:hanging="357"/>
      </w:pPr>
      <w:r w:rsidRPr="002A32D2">
        <w:t xml:space="preserve">a record of a discussion with a </w:t>
      </w:r>
      <w:r>
        <w:t>Participant</w:t>
      </w:r>
      <w:r w:rsidRPr="002A32D2">
        <w:t xml:space="preserve"> where it has been recorded in the 'Comments' screen in the </w:t>
      </w:r>
      <w:r>
        <w:t>D</w:t>
      </w:r>
      <w:r w:rsidRPr="002A32D2">
        <w:t xml:space="preserve">epartment’s IT system; </w:t>
      </w:r>
    </w:p>
    <w:p w14:paraId="2E2CB86B" w14:textId="77777777" w:rsidR="006A7CD0" w:rsidRPr="002A32D2" w:rsidRDefault="006A7CD0" w:rsidP="00BB59AC">
      <w:pPr>
        <w:pStyle w:val="guidelinetext"/>
        <w:numPr>
          <w:ilvl w:val="0"/>
          <w:numId w:val="9"/>
        </w:numPr>
        <w:spacing w:before="60" w:line="240" w:lineRule="auto"/>
        <w:ind w:left="714" w:hanging="357"/>
      </w:pPr>
      <w:r w:rsidRPr="002A32D2">
        <w:t>details of the job/employer and/or details of the incident, including dates, the parties involved and what occurred; or</w:t>
      </w:r>
    </w:p>
    <w:p w14:paraId="58E0292A" w14:textId="04ABA0DE" w:rsidR="00AB70DA" w:rsidRPr="00B61595" w:rsidRDefault="006A7CD0" w:rsidP="00BB59AC">
      <w:pPr>
        <w:pStyle w:val="guidelinetext"/>
        <w:numPr>
          <w:ilvl w:val="0"/>
          <w:numId w:val="9"/>
        </w:numPr>
        <w:spacing w:before="60" w:line="240" w:lineRule="auto"/>
        <w:ind w:left="714" w:hanging="357"/>
      </w:pPr>
      <w:r w:rsidRPr="002A32D2">
        <w:t>details of the incident, including dates, the parties involved and what occurred</w:t>
      </w:r>
    </w:p>
    <w:p w14:paraId="55F2C2F0" w14:textId="5C6B8870" w:rsidR="007F595F" w:rsidRDefault="007F595F" w:rsidP="00271F52">
      <w:pPr>
        <w:pStyle w:val="guidelinetext"/>
        <w:spacing w:line="240" w:lineRule="auto"/>
        <w:ind w:left="0"/>
      </w:pPr>
    </w:p>
    <w:p w14:paraId="1F9E031C" w14:textId="0BE9FCA7" w:rsidR="00271F52" w:rsidRDefault="00271F52" w:rsidP="00271F52">
      <w:pPr>
        <w:pStyle w:val="guidelinetext"/>
        <w:spacing w:line="240" w:lineRule="auto"/>
        <w:ind w:left="0"/>
      </w:pPr>
    </w:p>
    <w:p w14:paraId="70CEDF4F" w14:textId="77777777" w:rsidR="00271F52" w:rsidRDefault="00271F52" w:rsidP="00271F52">
      <w:pPr>
        <w:pStyle w:val="Heading3"/>
        <w:spacing w:before="0"/>
        <w:sectPr w:rsidR="00271F52" w:rsidSect="00327C8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134" w:left="1440" w:header="709" w:footer="170" w:gutter="0"/>
          <w:cols w:space="708"/>
          <w:titlePg/>
          <w:docGrid w:linePitch="360"/>
        </w:sectPr>
      </w:pPr>
    </w:p>
    <w:p w14:paraId="234B1761" w14:textId="5DC2ED24" w:rsidR="00271F52" w:rsidRPr="00ED4558" w:rsidRDefault="00271F52" w:rsidP="003217EA">
      <w:pPr>
        <w:pStyle w:val="Heading2"/>
        <w:spacing w:before="0"/>
        <w:rPr>
          <w:sz w:val="28"/>
        </w:rPr>
      </w:pPr>
      <w:bookmarkStart w:id="97" w:name="_Toc105518245"/>
      <w:r w:rsidRPr="00ED4558">
        <w:rPr>
          <w:sz w:val="28"/>
        </w:rPr>
        <w:lastRenderedPageBreak/>
        <w:t xml:space="preserve">Attachment A – </w:t>
      </w:r>
      <w:r w:rsidR="006A7CD0" w:rsidRPr="00ED4558">
        <w:rPr>
          <w:sz w:val="28"/>
        </w:rPr>
        <w:t>‘Unable to Re-engage Within 2 Business Days’ reason options</w:t>
      </w:r>
      <w:bookmarkEnd w:id="97"/>
    </w:p>
    <w:tbl>
      <w:tblPr>
        <w:tblStyle w:val="ListTable2"/>
        <w:tblW w:w="0" w:type="auto"/>
        <w:tblLook w:val="0620" w:firstRow="1" w:lastRow="0" w:firstColumn="0" w:lastColumn="0" w:noHBand="1" w:noVBand="1"/>
        <w:tblCaption w:val="'Unable to Re-engage Within 2 Business Days' reason options"/>
        <w:tblDescription w:val="This table lists all of the system drop-downs that are available to a Provider when they record 'Unable to Re-engage Within 2 Business Days' against a requirement in the Department's IT System."/>
      </w:tblPr>
      <w:tblGrid>
        <w:gridCol w:w="4508"/>
        <w:gridCol w:w="4508"/>
      </w:tblGrid>
      <w:tr w:rsidR="006A7CD0" w:rsidRPr="0075744C" w14:paraId="492A5B55" w14:textId="77777777" w:rsidTr="008C3491">
        <w:trPr>
          <w:cnfStyle w:val="100000000000" w:firstRow="1" w:lastRow="0" w:firstColumn="0" w:lastColumn="0" w:oddVBand="0" w:evenVBand="0" w:oddHBand="0" w:evenHBand="0" w:firstRowFirstColumn="0" w:firstRowLastColumn="0" w:lastRowFirstColumn="0" w:lastRowLastColumn="0"/>
          <w:tblHeader/>
        </w:trPr>
        <w:tc>
          <w:tcPr>
            <w:tcW w:w="9016" w:type="dxa"/>
            <w:gridSpan w:val="2"/>
          </w:tcPr>
          <w:bookmarkEnd w:id="22"/>
          <w:p w14:paraId="7B74C159" w14:textId="77777777" w:rsidR="006A7CD0" w:rsidRPr="0075744C" w:rsidRDefault="006A7CD0" w:rsidP="008C3491">
            <w:r>
              <w:t>‘Unable to Re-engage within 2 Business Days’</w:t>
            </w:r>
          </w:p>
        </w:tc>
      </w:tr>
      <w:tr w:rsidR="006A7CD0" w14:paraId="788F1394" w14:textId="77777777" w:rsidTr="008C3491">
        <w:tc>
          <w:tcPr>
            <w:tcW w:w="4508" w:type="dxa"/>
          </w:tcPr>
          <w:p w14:paraId="78FEAA36" w14:textId="77777777" w:rsidR="006A7CD0" w:rsidRDefault="006A7CD0" w:rsidP="006A7CD0">
            <w:pPr>
              <w:pStyle w:val="guidelinetext"/>
              <w:numPr>
                <w:ilvl w:val="0"/>
                <w:numId w:val="38"/>
              </w:numPr>
              <w:spacing w:before="60" w:after="60" w:line="240" w:lineRule="auto"/>
              <w:ind w:left="284" w:hanging="284"/>
            </w:pPr>
            <w:r>
              <w:t>Caring/family duties that were unexpected impacts attendance</w:t>
            </w:r>
          </w:p>
          <w:p w14:paraId="5CD4CDC1" w14:textId="77777777" w:rsidR="006A7CD0" w:rsidRDefault="006A7CD0" w:rsidP="006A7CD0">
            <w:pPr>
              <w:pStyle w:val="guidelinetext"/>
              <w:numPr>
                <w:ilvl w:val="0"/>
                <w:numId w:val="38"/>
              </w:numPr>
              <w:spacing w:before="60" w:after="60" w:line="240" w:lineRule="auto"/>
              <w:ind w:left="284" w:hanging="284"/>
            </w:pPr>
            <w:r>
              <w:t>Cultural business over next two business days impacts attendance</w:t>
            </w:r>
          </w:p>
          <w:p w14:paraId="6AE653EE" w14:textId="77777777" w:rsidR="006A7CD0" w:rsidRDefault="006A7CD0" w:rsidP="006A7CD0">
            <w:pPr>
              <w:pStyle w:val="guidelinetext"/>
              <w:numPr>
                <w:ilvl w:val="0"/>
                <w:numId w:val="38"/>
              </w:numPr>
              <w:spacing w:before="60" w:after="60" w:line="240" w:lineRule="auto"/>
              <w:ind w:left="284" w:hanging="284"/>
            </w:pPr>
            <w:r>
              <w:t>Full-Time Activity/Training impacts attendance</w:t>
            </w:r>
          </w:p>
          <w:p w14:paraId="212EC41A" w14:textId="77777777" w:rsidR="006A7CD0" w:rsidRDefault="006A7CD0" w:rsidP="006A7CD0">
            <w:pPr>
              <w:pStyle w:val="guidelinetext"/>
              <w:numPr>
                <w:ilvl w:val="0"/>
                <w:numId w:val="38"/>
              </w:numPr>
              <w:spacing w:before="60" w:after="60" w:line="240" w:lineRule="auto"/>
              <w:ind w:left="284" w:hanging="284"/>
            </w:pPr>
            <w:r>
              <w:t>Housing instability/emergency impacts attendance</w:t>
            </w:r>
          </w:p>
          <w:p w14:paraId="1A25EFFD" w14:textId="77777777" w:rsidR="006A7CD0" w:rsidRDefault="006A7CD0" w:rsidP="006A7CD0">
            <w:pPr>
              <w:pStyle w:val="guidelinetext"/>
              <w:numPr>
                <w:ilvl w:val="0"/>
                <w:numId w:val="38"/>
              </w:numPr>
              <w:spacing w:before="60" w:after="60" w:line="240" w:lineRule="auto"/>
              <w:ind w:left="284" w:hanging="284"/>
            </w:pPr>
            <w:r>
              <w:t>Legal requirements impact attendance</w:t>
            </w:r>
          </w:p>
        </w:tc>
        <w:tc>
          <w:tcPr>
            <w:tcW w:w="4508" w:type="dxa"/>
          </w:tcPr>
          <w:p w14:paraId="3C748EE2" w14:textId="77777777" w:rsidR="006A7CD0" w:rsidRDefault="006A7CD0" w:rsidP="006A7CD0">
            <w:pPr>
              <w:pStyle w:val="guidelinetext"/>
              <w:numPr>
                <w:ilvl w:val="0"/>
                <w:numId w:val="38"/>
              </w:numPr>
              <w:spacing w:before="60" w:after="60" w:line="240" w:lineRule="auto"/>
              <w:ind w:left="284" w:hanging="284"/>
            </w:pPr>
            <w:r>
              <w:t>Local issue/natural disaster impacts attendance</w:t>
            </w:r>
          </w:p>
          <w:p w14:paraId="5E9A4300" w14:textId="6ACEB6FE" w:rsidR="006A7CD0" w:rsidRDefault="006A7CD0" w:rsidP="006A7CD0">
            <w:pPr>
              <w:pStyle w:val="guidelinetext"/>
              <w:numPr>
                <w:ilvl w:val="0"/>
                <w:numId w:val="38"/>
              </w:numPr>
              <w:spacing w:before="60" w:after="60" w:line="240" w:lineRule="auto"/>
              <w:ind w:left="284" w:hanging="284"/>
            </w:pPr>
            <w:r>
              <w:t>Major personal crisis affecting job seeker impacts attendance</w:t>
            </w:r>
          </w:p>
          <w:p w14:paraId="5F093B1A" w14:textId="77777777" w:rsidR="006A7CD0" w:rsidRDefault="006A7CD0" w:rsidP="006A7CD0">
            <w:pPr>
              <w:pStyle w:val="guidelinetext"/>
              <w:numPr>
                <w:ilvl w:val="0"/>
                <w:numId w:val="38"/>
              </w:numPr>
              <w:spacing w:before="60" w:after="60" w:line="240" w:lineRule="auto"/>
              <w:ind w:left="284" w:hanging="284"/>
            </w:pPr>
            <w:r>
              <w:t>Medical/health issue over next two days impacts attendance</w:t>
            </w:r>
          </w:p>
          <w:p w14:paraId="002D4810" w14:textId="77777777" w:rsidR="006A7CD0" w:rsidRDefault="006A7CD0" w:rsidP="006A7CD0">
            <w:pPr>
              <w:pStyle w:val="guidelinetext"/>
              <w:numPr>
                <w:ilvl w:val="0"/>
                <w:numId w:val="38"/>
              </w:numPr>
              <w:spacing w:before="60" w:after="60" w:line="240" w:lineRule="auto"/>
              <w:ind w:left="284" w:hanging="284"/>
            </w:pPr>
            <w:r>
              <w:t>Travel/transport–exceptional issue impacts attendance</w:t>
            </w:r>
          </w:p>
          <w:p w14:paraId="64324BB4" w14:textId="77777777" w:rsidR="006A7CD0" w:rsidRDefault="006A7CD0" w:rsidP="006A7CD0">
            <w:pPr>
              <w:pStyle w:val="guidelinetext"/>
              <w:numPr>
                <w:ilvl w:val="0"/>
                <w:numId w:val="38"/>
              </w:numPr>
              <w:spacing w:before="60" w:after="60" w:line="240" w:lineRule="auto"/>
              <w:ind w:left="284" w:hanging="284"/>
            </w:pPr>
            <w:r>
              <w:t>Working over next two business days</w:t>
            </w:r>
          </w:p>
        </w:tc>
      </w:tr>
    </w:tbl>
    <w:p w14:paraId="23EEFF2A" w14:textId="77777777" w:rsidR="006A7CD0" w:rsidRDefault="006A7CD0" w:rsidP="006A7CD0">
      <w:pPr>
        <w:pStyle w:val="guidelinetext"/>
        <w:ind w:left="0"/>
      </w:pPr>
    </w:p>
    <w:p w14:paraId="22BFC567" w14:textId="77777777" w:rsidR="006A7CD0" w:rsidRDefault="006A7CD0" w:rsidP="006A7CD0">
      <w:r>
        <w:br w:type="page"/>
      </w:r>
    </w:p>
    <w:p w14:paraId="3204BD69" w14:textId="77777777" w:rsidR="006A7CD0" w:rsidRPr="003217EA" w:rsidRDefault="006A7CD0" w:rsidP="003217EA">
      <w:pPr>
        <w:pStyle w:val="Heading2"/>
        <w:spacing w:before="0"/>
        <w:rPr>
          <w:sz w:val="28"/>
        </w:rPr>
      </w:pPr>
      <w:bookmarkStart w:id="98" w:name="_Attachment_B—Pre-interview_check"/>
      <w:bookmarkStart w:id="99" w:name="_Toc20920461"/>
      <w:bookmarkStart w:id="100" w:name="_Toc21422461"/>
      <w:bookmarkStart w:id="101" w:name="_Toc105518246"/>
      <w:bookmarkEnd w:id="98"/>
      <w:r w:rsidRPr="003217EA">
        <w:rPr>
          <w:sz w:val="28"/>
        </w:rPr>
        <w:lastRenderedPageBreak/>
        <w:t>Attachment B—Pre-interview check questions</w:t>
      </w:r>
      <w:bookmarkEnd w:id="99"/>
      <w:bookmarkEnd w:id="100"/>
      <w:bookmarkEnd w:id="101"/>
    </w:p>
    <w:p w14:paraId="7AE33970" w14:textId="0607E2BA" w:rsidR="006A7CD0" w:rsidRPr="00327C85" w:rsidRDefault="006A7CD0" w:rsidP="006A7CD0">
      <w:pPr>
        <w:pStyle w:val="guidelinetext"/>
        <w:ind w:left="0"/>
        <w:rPr>
          <w:rFonts w:eastAsia="Times New Roman"/>
        </w:rPr>
      </w:pPr>
      <w:r w:rsidRPr="00B61595">
        <w:rPr>
          <w:rFonts w:eastAsia="Times New Roman"/>
        </w:rPr>
        <w:t xml:space="preserve">NOTE: When assessing whether the activity hours and types of activities in a Participant’s Job Plan are appropriate, Providers must follow the DES </w:t>
      </w:r>
      <w:r w:rsidR="003217EA" w:rsidRPr="00B61595">
        <w:rPr>
          <w:rFonts w:eastAsia="Times New Roman"/>
        </w:rPr>
        <w:t>Job Plan and Scheduling Mutual Obligation Requirements Guideline</w:t>
      </w:r>
      <w:r w:rsidRPr="00327C85">
        <w:rPr>
          <w:rFonts w:eastAsia="Times New Roman"/>
        </w:rPr>
        <w:t>s.</w:t>
      </w:r>
    </w:p>
    <w:tbl>
      <w:tblPr>
        <w:tblStyle w:val="ListTable2"/>
        <w:tblW w:w="9072" w:type="dxa"/>
        <w:tblLook w:val="06A0" w:firstRow="1" w:lastRow="0" w:firstColumn="1" w:lastColumn="0" w:noHBand="1" w:noVBand="1"/>
        <w:tblCaption w:val="Pre-interview check questions"/>
        <w:tblDescription w:val="This table iterates the questions the provider must answer while undertaking the Pre-Interview Job Plan Check, and it gives some best practice advice to ensure the providers answer the questions accurately."/>
      </w:tblPr>
      <w:tblGrid>
        <w:gridCol w:w="437"/>
        <w:gridCol w:w="436"/>
        <w:gridCol w:w="8199"/>
      </w:tblGrid>
      <w:tr w:rsidR="006A7CD0" w:rsidRPr="00C25E3B" w14:paraId="216A70D4" w14:textId="77777777" w:rsidTr="008C34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2" w:type="dxa"/>
            <w:gridSpan w:val="3"/>
          </w:tcPr>
          <w:p w14:paraId="7A1F64C9" w14:textId="77777777" w:rsidR="006A7CD0" w:rsidRPr="00C25E3B" w:rsidRDefault="006A7CD0" w:rsidP="008C3491">
            <w:pPr>
              <w:pStyle w:val="guidelinetext"/>
              <w:spacing w:after="120"/>
              <w:ind w:left="0"/>
            </w:pPr>
            <w:r w:rsidRPr="00C25E3B">
              <w:t>Pre-Interview Job Plan Check questions</w:t>
            </w:r>
          </w:p>
        </w:tc>
      </w:tr>
      <w:tr w:rsidR="006A7CD0" w14:paraId="3D1FD702" w14:textId="77777777" w:rsidTr="008C3491">
        <w:tc>
          <w:tcPr>
            <w:cnfStyle w:val="001000000000" w:firstRow="0" w:lastRow="0" w:firstColumn="1" w:lastColumn="0" w:oddVBand="0" w:evenVBand="0" w:oddHBand="0" w:evenHBand="0" w:firstRowFirstColumn="0" w:firstRowLastColumn="0" w:lastRowFirstColumn="0" w:lastRowLastColumn="0"/>
            <w:tcW w:w="436" w:type="dxa"/>
          </w:tcPr>
          <w:sdt>
            <w:sdtPr>
              <w:rPr>
                <w:rFonts w:ascii="Segoe UI Symbol" w:hAnsi="Segoe UI Symbol" w:cs="Segoe UI Symbol"/>
              </w:rPr>
              <w:id w:val="888770736"/>
              <w14:checkbox>
                <w14:checked w14:val="0"/>
                <w14:checkedState w14:val="2612" w14:font="MS Gothic"/>
                <w14:uncheckedState w14:val="2610" w14:font="MS Gothic"/>
              </w14:checkbox>
            </w:sdtPr>
            <w:sdtEndPr/>
            <w:sdtContent>
              <w:p w14:paraId="0B772799" w14:textId="77777777" w:rsidR="006A7CD0" w:rsidRPr="00902B21" w:rsidRDefault="006A7CD0" w:rsidP="008C3491">
                <w:pPr>
                  <w:pStyle w:val="guidelinetext"/>
                  <w:spacing w:before="40" w:after="40"/>
                  <w:ind w:left="0"/>
                  <w:rPr>
                    <w:rFonts w:ascii="Segoe UI Symbol" w:hAnsi="Segoe UI Symbol" w:cs="Segoe UI Symbol"/>
                  </w:rPr>
                </w:pPr>
                <w:r>
                  <w:rPr>
                    <w:rFonts w:ascii="MS Gothic" w:eastAsia="MS Gothic" w:hAnsi="MS Gothic" w:cs="Segoe UI Symbol" w:hint="eastAsia"/>
                  </w:rPr>
                  <w:t>☐</w:t>
                </w:r>
              </w:p>
            </w:sdtContent>
          </w:sdt>
        </w:tc>
        <w:tc>
          <w:tcPr>
            <w:tcW w:w="8636" w:type="dxa"/>
            <w:gridSpan w:val="2"/>
          </w:tcPr>
          <w:p w14:paraId="7536BCFF" w14:textId="77777777" w:rsidR="006A7CD0" w:rsidRDefault="006A7CD0" w:rsidP="008C3491">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b/>
              </w:rPr>
            </w:pPr>
            <w:r w:rsidRPr="00D776D0">
              <w:rPr>
                <w:b/>
              </w:rPr>
              <w:t>How many hours of activity participation per fortnight have been set?</w:t>
            </w:r>
          </w:p>
          <w:p w14:paraId="4FFD671D" w14:textId="7A809614" w:rsidR="006A7CD0" w:rsidRPr="00902B21" w:rsidRDefault="006A7CD0" w:rsidP="008C3491">
            <w:pPr>
              <w:pStyle w:val="guidelinetext"/>
              <w:spacing w:before="40"/>
              <w:ind w:left="0"/>
              <w:cnfStyle w:val="000000000000" w:firstRow="0" w:lastRow="0" w:firstColumn="0" w:lastColumn="0" w:oddVBand="0" w:evenVBand="0" w:oddHBand="0" w:evenHBand="0" w:firstRowFirstColumn="0" w:firstRowLastColumn="0" w:lastRowFirstColumn="0" w:lastRowLastColumn="0"/>
              <w:rPr>
                <w:sz w:val="20"/>
              </w:rPr>
            </w:pPr>
            <w:r w:rsidRPr="00902B21">
              <w:rPr>
                <w:sz w:val="20"/>
              </w:rPr>
              <w:t xml:space="preserve">This is the total hours recorded for compulsory activities. The codes in the Participant’s Job Plan may indicate the hours per week/fortnight, or the hours may be outlined in the Free Text Job Plan code. </w:t>
            </w:r>
          </w:p>
          <w:p w14:paraId="4769B3B4" w14:textId="79DD69D8" w:rsidR="006A7CD0" w:rsidRPr="00902B21" w:rsidRDefault="006A7CD0" w:rsidP="008C3491">
            <w:pPr>
              <w:pStyle w:val="guidelinetext"/>
              <w:spacing w:after="40"/>
              <w:ind w:left="0"/>
              <w:cnfStyle w:val="000000000000" w:firstRow="0" w:lastRow="0" w:firstColumn="0" w:lastColumn="0" w:oddVBand="0" w:evenVBand="0" w:oddHBand="0" w:evenHBand="0" w:firstRowFirstColumn="0" w:firstRowLastColumn="0" w:lastRowFirstColumn="0" w:lastRowLastColumn="0"/>
              <w:rPr>
                <w:i/>
              </w:rPr>
            </w:pPr>
          </w:p>
        </w:tc>
      </w:tr>
      <w:tr w:rsidR="006A7CD0" w14:paraId="27FF0900" w14:textId="77777777" w:rsidTr="008C3491">
        <w:tc>
          <w:tcPr>
            <w:cnfStyle w:val="001000000000" w:firstRow="0" w:lastRow="0" w:firstColumn="1" w:lastColumn="0" w:oddVBand="0" w:evenVBand="0" w:oddHBand="0" w:evenHBand="0" w:firstRowFirstColumn="0" w:firstRowLastColumn="0" w:lastRowFirstColumn="0" w:lastRowLastColumn="0"/>
            <w:tcW w:w="436" w:type="dxa"/>
          </w:tcPr>
          <w:sdt>
            <w:sdtPr>
              <w:rPr>
                <w:rFonts w:ascii="Segoe UI Symbol" w:hAnsi="Segoe UI Symbol" w:cs="Segoe UI Symbol"/>
              </w:rPr>
              <w:id w:val="1394998099"/>
              <w14:checkbox>
                <w14:checked w14:val="0"/>
                <w14:checkedState w14:val="2612" w14:font="MS Gothic"/>
                <w14:uncheckedState w14:val="2610" w14:font="MS Gothic"/>
              </w14:checkbox>
            </w:sdtPr>
            <w:sdtEndPr/>
            <w:sdtContent>
              <w:p w14:paraId="098840AC" w14:textId="77777777" w:rsidR="006A7CD0" w:rsidRDefault="006A7CD0" w:rsidP="008C3491">
                <w:pPr>
                  <w:pStyle w:val="guidelinetext"/>
                  <w:spacing w:before="40" w:after="40"/>
                  <w:ind w:left="0"/>
                  <w:rPr>
                    <w:rFonts w:ascii="Segoe UI Symbol" w:hAnsi="Segoe UI Symbol" w:cs="Segoe UI Symbol"/>
                  </w:rPr>
                </w:pPr>
                <w:r>
                  <w:rPr>
                    <w:rFonts w:ascii="MS Gothic" w:eastAsia="MS Gothic" w:hAnsi="MS Gothic" w:cs="Segoe UI Symbol" w:hint="eastAsia"/>
                  </w:rPr>
                  <w:t>☐</w:t>
                </w:r>
              </w:p>
            </w:sdtContent>
          </w:sdt>
        </w:tc>
        <w:tc>
          <w:tcPr>
            <w:tcW w:w="8636" w:type="dxa"/>
            <w:gridSpan w:val="2"/>
          </w:tcPr>
          <w:p w14:paraId="4B25AAE6" w14:textId="77777777" w:rsidR="006A7CD0" w:rsidRDefault="006A7CD0" w:rsidP="008C3491">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b/>
              </w:rPr>
            </w:pPr>
            <w:r w:rsidRPr="00D776D0">
              <w:rPr>
                <w:b/>
              </w:rPr>
              <w:t xml:space="preserve">Are the number of activity hours appropriate and in line with the </w:t>
            </w:r>
            <w:r>
              <w:rPr>
                <w:b/>
              </w:rPr>
              <w:t>Participant</w:t>
            </w:r>
            <w:r w:rsidRPr="00D776D0">
              <w:rPr>
                <w:b/>
              </w:rPr>
              <w:t>’s requirement level?</w:t>
            </w:r>
          </w:p>
          <w:p w14:paraId="7F1A1E08" w14:textId="77777777" w:rsidR="006A7CD0" w:rsidRPr="00902B21" w:rsidRDefault="006A7CD0" w:rsidP="008C3491">
            <w:pPr>
              <w:pStyle w:val="guidelinetext"/>
              <w:spacing w:before="40" w:after="40"/>
              <w:ind w:left="0"/>
              <w:cnfStyle w:val="000000000000" w:firstRow="0" w:lastRow="0" w:firstColumn="0" w:lastColumn="0" w:oddVBand="0" w:evenVBand="0" w:oddHBand="0" w:evenHBand="0" w:firstRowFirstColumn="0" w:firstRowLastColumn="0" w:lastRowFirstColumn="0" w:lastRowLastColumn="0"/>
            </w:pPr>
            <w:r w:rsidRPr="00902B21">
              <w:rPr>
                <w:sz w:val="20"/>
              </w:rPr>
              <w:t>Refer to the Activity Requirements table beneath these questions. This shows the number of hours of compulsory activity participation considered above Participant expectations based on the Participant’s age and level of requirements.</w:t>
            </w:r>
          </w:p>
        </w:tc>
      </w:tr>
      <w:tr w:rsidR="006A7CD0" w:rsidRPr="00C25E3B" w14:paraId="26C33DB4" w14:textId="77777777" w:rsidTr="008C3491">
        <w:tc>
          <w:tcPr>
            <w:cnfStyle w:val="001000000000" w:firstRow="0" w:lastRow="0" w:firstColumn="1" w:lastColumn="0" w:oddVBand="0" w:evenVBand="0" w:oddHBand="0" w:evenHBand="0" w:firstRowFirstColumn="0" w:firstRowLastColumn="0" w:lastRowFirstColumn="0" w:lastRowLastColumn="0"/>
            <w:tcW w:w="9072" w:type="dxa"/>
            <w:gridSpan w:val="3"/>
          </w:tcPr>
          <w:p w14:paraId="7E0914A5" w14:textId="77777777" w:rsidR="006A7CD0" w:rsidRPr="00C25E3B" w:rsidRDefault="006A7CD0" w:rsidP="008C3491">
            <w:pPr>
              <w:pStyle w:val="guidelinetext"/>
              <w:spacing w:before="40" w:after="40"/>
              <w:ind w:left="454"/>
            </w:pPr>
            <w:r w:rsidRPr="00C25E3B">
              <w:t>Are the Participant’s activities appropriate based on their personal circumstances?</w:t>
            </w:r>
          </w:p>
          <w:p w14:paraId="3D6A015E" w14:textId="77777777" w:rsidR="006A7CD0" w:rsidRPr="00C25E3B" w:rsidRDefault="006A7CD0" w:rsidP="008C3491">
            <w:pPr>
              <w:pStyle w:val="guidelinetext"/>
              <w:spacing w:before="40" w:after="40"/>
              <w:ind w:left="454"/>
            </w:pPr>
            <w:r w:rsidRPr="00C25E3B">
              <w:t>Select all that apply.</w:t>
            </w:r>
          </w:p>
        </w:tc>
      </w:tr>
      <w:tr w:rsidR="006A7CD0" w14:paraId="2A5AFD72" w14:textId="77777777" w:rsidTr="008C3491">
        <w:tc>
          <w:tcPr>
            <w:cnfStyle w:val="001000000000" w:firstRow="0" w:lastRow="0" w:firstColumn="1" w:lastColumn="0" w:oddVBand="0" w:evenVBand="0" w:oddHBand="0" w:evenHBand="0" w:firstRowFirstColumn="0" w:firstRowLastColumn="0" w:lastRowFirstColumn="0" w:lastRowLastColumn="0"/>
            <w:tcW w:w="872" w:type="dxa"/>
            <w:gridSpan w:val="2"/>
          </w:tcPr>
          <w:sdt>
            <w:sdtPr>
              <w:rPr>
                <w:rFonts w:ascii="Segoe UI Symbol" w:hAnsi="Segoe UI Symbol" w:cs="Segoe UI Symbol"/>
              </w:rPr>
              <w:id w:val="-129793523"/>
              <w14:checkbox>
                <w14:checked w14:val="0"/>
                <w14:checkedState w14:val="2612" w14:font="MS Gothic"/>
                <w14:uncheckedState w14:val="2610" w14:font="MS Gothic"/>
              </w14:checkbox>
            </w:sdtPr>
            <w:sdtEndPr/>
            <w:sdtContent>
              <w:p w14:paraId="2B22F1F7" w14:textId="77777777" w:rsidR="006A7CD0" w:rsidRDefault="006A7CD0" w:rsidP="008C3491">
                <w:pPr>
                  <w:pStyle w:val="guidelinetext"/>
                  <w:spacing w:before="40" w:after="40"/>
                  <w:ind w:left="0"/>
                  <w:jc w:val="right"/>
                </w:pPr>
                <w:r>
                  <w:rPr>
                    <w:rFonts w:ascii="MS Gothic" w:eastAsia="MS Gothic" w:hAnsi="MS Gothic" w:cs="Segoe UI Symbol" w:hint="eastAsia"/>
                  </w:rPr>
                  <w:t>☐</w:t>
                </w:r>
              </w:p>
            </w:sdtContent>
          </w:sdt>
        </w:tc>
        <w:tc>
          <w:tcPr>
            <w:tcW w:w="8200" w:type="dxa"/>
          </w:tcPr>
          <w:p w14:paraId="76A966D2" w14:textId="77777777" w:rsidR="006A7CD0" w:rsidRPr="00C25E3B" w:rsidRDefault="006A7CD0" w:rsidP="008C3491">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b/>
              </w:rPr>
            </w:pPr>
            <w:r w:rsidRPr="00C25E3B">
              <w:rPr>
                <w:b/>
              </w:rPr>
              <w:t>The Participant has been set requirements that are appropriate for their personal circumstances and capacity.</w:t>
            </w:r>
          </w:p>
          <w:p w14:paraId="5BDA7B2D" w14:textId="77777777" w:rsidR="006A7CD0" w:rsidRPr="00902B21" w:rsidRDefault="006A7CD0" w:rsidP="008C3491">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902B21">
              <w:rPr>
                <w:sz w:val="20"/>
              </w:rPr>
              <w:t>For example:</w:t>
            </w:r>
          </w:p>
          <w:p w14:paraId="67B454F9" w14:textId="77777777" w:rsidR="006A7CD0" w:rsidRPr="00902B21" w:rsidRDefault="006A7CD0" w:rsidP="006A7CD0">
            <w:pPr>
              <w:pStyle w:val="guidelinetext"/>
              <w:numPr>
                <w:ilvl w:val="0"/>
                <w:numId w:val="39"/>
              </w:numPr>
              <w:spacing w:before="40" w:after="40"/>
              <w:ind w:left="284" w:hanging="284"/>
              <w:cnfStyle w:val="000000000000" w:firstRow="0" w:lastRow="0" w:firstColumn="0" w:lastColumn="0" w:oddVBand="0" w:evenVBand="0" w:oddHBand="0" w:evenHBand="0" w:firstRowFirstColumn="0" w:firstRowLastColumn="0" w:lastRowFirstColumn="0" w:lastRowLastColumn="0"/>
              <w:rPr>
                <w:sz w:val="20"/>
              </w:rPr>
            </w:pPr>
            <w:r w:rsidRPr="00902B21">
              <w:rPr>
                <w:sz w:val="20"/>
              </w:rPr>
              <w:t>A Participant with low literacy/numeracy is not asked to complete training or education that is well beyond their capacity.</w:t>
            </w:r>
          </w:p>
          <w:p w14:paraId="0C2CB651" w14:textId="77777777" w:rsidR="006A7CD0" w:rsidRDefault="006A7CD0" w:rsidP="006A7CD0">
            <w:pPr>
              <w:pStyle w:val="guidelinetext"/>
              <w:numPr>
                <w:ilvl w:val="0"/>
                <w:numId w:val="39"/>
              </w:numPr>
              <w:spacing w:before="40" w:after="40"/>
              <w:ind w:left="284" w:hanging="284"/>
              <w:cnfStyle w:val="000000000000" w:firstRow="0" w:lastRow="0" w:firstColumn="0" w:lastColumn="0" w:oddVBand="0" w:evenVBand="0" w:oddHBand="0" w:evenHBand="0" w:firstRowFirstColumn="0" w:firstRowLastColumn="0" w:lastRowFirstColumn="0" w:lastRowLastColumn="0"/>
            </w:pPr>
            <w:r w:rsidRPr="00902B21">
              <w:rPr>
                <w:sz w:val="20"/>
              </w:rPr>
              <w:t>A Participant with chronic back pain is not asked to attend an activity that requires them to stand all day.</w:t>
            </w:r>
          </w:p>
        </w:tc>
      </w:tr>
      <w:tr w:rsidR="006A7CD0" w14:paraId="273C8816" w14:textId="77777777" w:rsidTr="008C3491">
        <w:tc>
          <w:tcPr>
            <w:cnfStyle w:val="001000000000" w:firstRow="0" w:lastRow="0" w:firstColumn="1" w:lastColumn="0" w:oddVBand="0" w:evenVBand="0" w:oddHBand="0" w:evenHBand="0" w:firstRowFirstColumn="0" w:firstRowLastColumn="0" w:lastRowFirstColumn="0" w:lastRowLastColumn="0"/>
            <w:tcW w:w="872" w:type="dxa"/>
            <w:gridSpan w:val="2"/>
          </w:tcPr>
          <w:sdt>
            <w:sdtPr>
              <w:rPr>
                <w:rFonts w:ascii="Segoe UI Symbol" w:hAnsi="Segoe UI Symbol" w:cs="Segoe UI Symbol"/>
              </w:rPr>
              <w:id w:val="582336060"/>
              <w14:checkbox>
                <w14:checked w14:val="0"/>
                <w14:checkedState w14:val="2612" w14:font="MS Gothic"/>
                <w14:uncheckedState w14:val="2610" w14:font="MS Gothic"/>
              </w14:checkbox>
            </w:sdtPr>
            <w:sdtEndPr/>
            <w:sdtContent>
              <w:p w14:paraId="7FB9C4D8" w14:textId="77777777" w:rsidR="006A7CD0" w:rsidRDefault="006A7CD0" w:rsidP="008C3491">
                <w:pPr>
                  <w:pStyle w:val="guidelinetext"/>
                  <w:spacing w:before="40" w:after="40"/>
                  <w:ind w:left="0"/>
                  <w:jc w:val="right"/>
                  <w:rPr>
                    <w:rFonts w:ascii="Segoe UI Symbol" w:hAnsi="Segoe UI Symbol" w:cs="Segoe UI Symbol"/>
                  </w:rPr>
                </w:pPr>
                <w:r>
                  <w:rPr>
                    <w:rFonts w:ascii="MS Gothic" w:eastAsia="MS Gothic" w:hAnsi="MS Gothic" w:cs="Segoe UI Symbol" w:hint="eastAsia"/>
                  </w:rPr>
                  <w:t>☐</w:t>
                </w:r>
              </w:p>
            </w:sdtContent>
          </w:sdt>
        </w:tc>
        <w:tc>
          <w:tcPr>
            <w:tcW w:w="8200" w:type="dxa"/>
          </w:tcPr>
          <w:p w14:paraId="14C188C9" w14:textId="77777777" w:rsidR="006A7CD0" w:rsidRPr="00C25E3B" w:rsidRDefault="006A7CD0" w:rsidP="008C3491">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b/>
              </w:rPr>
            </w:pPr>
            <w:r w:rsidRPr="00C25E3B">
              <w:rPr>
                <w:b/>
              </w:rPr>
              <w:t>The Participant’s requirements are scheduled at an appropriate time as per their calendar.</w:t>
            </w:r>
          </w:p>
          <w:p w14:paraId="5FA9334D" w14:textId="77777777" w:rsidR="006A7CD0" w:rsidRPr="00902B21" w:rsidRDefault="006A7CD0" w:rsidP="008C3491">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902B21">
              <w:rPr>
                <w:sz w:val="20"/>
              </w:rPr>
              <w:t>For example:</w:t>
            </w:r>
          </w:p>
          <w:p w14:paraId="7921F838" w14:textId="77777777" w:rsidR="006A7CD0" w:rsidRDefault="006A7CD0" w:rsidP="006A7CD0">
            <w:pPr>
              <w:pStyle w:val="guidelinetext"/>
              <w:numPr>
                <w:ilvl w:val="0"/>
                <w:numId w:val="39"/>
              </w:numPr>
              <w:spacing w:before="40" w:after="40"/>
              <w:ind w:left="284" w:hanging="284"/>
              <w:cnfStyle w:val="000000000000" w:firstRow="0" w:lastRow="0" w:firstColumn="0" w:lastColumn="0" w:oddVBand="0" w:evenVBand="0" w:oddHBand="0" w:evenHBand="0" w:firstRowFirstColumn="0" w:firstRowLastColumn="0" w:lastRowFirstColumn="0" w:lastRowLastColumn="0"/>
            </w:pPr>
            <w:r w:rsidRPr="00902B21">
              <w:rPr>
                <w:sz w:val="20"/>
              </w:rPr>
              <w:t>A Principal Carer Parent is not asked to attend requirements outside of school hours when they have not indicated that either this is appropriate for them or that they have childcare arrangements in place.</w:t>
            </w:r>
          </w:p>
        </w:tc>
      </w:tr>
      <w:tr w:rsidR="006A7CD0" w14:paraId="631F29B9" w14:textId="77777777" w:rsidTr="008C3491">
        <w:tc>
          <w:tcPr>
            <w:cnfStyle w:val="001000000000" w:firstRow="0" w:lastRow="0" w:firstColumn="1" w:lastColumn="0" w:oddVBand="0" w:evenVBand="0" w:oddHBand="0" w:evenHBand="0" w:firstRowFirstColumn="0" w:firstRowLastColumn="0" w:lastRowFirstColumn="0" w:lastRowLastColumn="0"/>
            <w:tcW w:w="872" w:type="dxa"/>
            <w:gridSpan w:val="2"/>
          </w:tcPr>
          <w:sdt>
            <w:sdtPr>
              <w:rPr>
                <w:rFonts w:ascii="Segoe UI Symbol" w:hAnsi="Segoe UI Symbol" w:cs="Segoe UI Symbol"/>
              </w:rPr>
              <w:id w:val="-194620838"/>
              <w14:checkbox>
                <w14:checked w14:val="0"/>
                <w14:checkedState w14:val="2612" w14:font="MS Gothic"/>
                <w14:uncheckedState w14:val="2610" w14:font="MS Gothic"/>
              </w14:checkbox>
            </w:sdtPr>
            <w:sdtEndPr/>
            <w:sdtContent>
              <w:p w14:paraId="583D84B0" w14:textId="77777777" w:rsidR="006A7CD0" w:rsidRDefault="006A7CD0" w:rsidP="008C3491">
                <w:pPr>
                  <w:pStyle w:val="guidelinetext"/>
                  <w:spacing w:before="40" w:after="40"/>
                  <w:ind w:left="0"/>
                  <w:jc w:val="right"/>
                  <w:rPr>
                    <w:rFonts w:ascii="Segoe UI Symbol" w:hAnsi="Segoe UI Symbol" w:cs="Segoe UI Symbol"/>
                  </w:rPr>
                </w:pPr>
                <w:r>
                  <w:rPr>
                    <w:rFonts w:ascii="MS Gothic" w:eastAsia="MS Gothic" w:hAnsi="MS Gothic" w:cs="Segoe UI Symbol" w:hint="eastAsia"/>
                  </w:rPr>
                  <w:t>☐</w:t>
                </w:r>
              </w:p>
            </w:sdtContent>
          </w:sdt>
        </w:tc>
        <w:tc>
          <w:tcPr>
            <w:tcW w:w="8200" w:type="dxa"/>
          </w:tcPr>
          <w:p w14:paraId="4B1845D4" w14:textId="77777777" w:rsidR="006A7CD0" w:rsidRPr="00C25E3B" w:rsidRDefault="006A7CD0" w:rsidP="008C3491">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b/>
              </w:rPr>
            </w:pPr>
            <w:r w:rsidRPr="00C25E3B">
              <w:rPr>
                <w:b/>
              </w:rPr>
              <w:t>The Participant is reasonably able to get there (the Participant has transport available).</w:t>
            </w:r>
          </w:p>
          <w:p w14:paraId="7D3BB373" w14:textId="77777777" w:rsidR="006A7CD0" w:rsidRPr="00902B21" w:rsidRDefault="006A7CD0" w:rsidP="008C3491">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sz w:val="20"/>
              </w:rPr>
            </w:pPr>
            <w:r w:rsidRPr="00902B21">
              <w:rPr>
                <w:sz w:val="20"/>
              </w:rPr>
              <w:t>For example:</w:t>
            </w:r>
          </w:p>
          <w:p w14:paraId="76603005" w14:textId="77777777" w:rsidR="006A7CD0" w:rsidRPr="00902B21" w:rsidRDefault="006A7CD0" w:rsidP="006A7CD0">
            <w:pPr>
              <w:pStyle w:val="guidelinetext"/>
              <w:numPr>
                <w:ilvl w:val="0"/>
                <w:numId w:val="39"/>
              </w:numPr>
              <w:spacing w:before="40" w:after="40"/>
              <w:ind w:left="284" w:hanging="284"/>
              <w:cnfStyle w:val="000000000000" w:firstRow="0" w:lastRow="0" w:firstColumn="0" w:lastColumn="0" w:oddVBand="0" w:evenVBand="0" w:oddHBand="0" w:evenHBand="0" w:firstRowFirstColumn="0" w:firstRowLastColumn="0" w:lastRowFirstColumn="0" w:lastRowLastColumn="0"/>
              <w:rPr>
                <w:sz w:val="20"/>
              </w:rPr>
            </w:pPr>
            <w:r w:rsidRPr="00902B21">
              <w:rPr>
                <w:sz w:val="20"/>
              </w:rPr>
              <w:t>A Participant who does not have a car is not asked to attend a requirement where there is infrequent or non-existent public transport.</w:t>
            </w:r>
          </w:p>
        </w:tc>
      </w:tr>
      <w:tr w:rsidR="006A7CD0" w14:paraId="7359688E" w14:textId="77777777" w:rsidTr="008C3491">
        <w:tc>
          <w:tcPr>
            <w:cnfStyle w:val="001000000000" w:firstRow="0" w:lastRow="0" w:firstColumn="1" w:lastColumn="0" w:oddVBand="0" w:evenVBand="0" w:oddHBand="0" w:evenHBand="0" w:firstRowFirstColumn="0" w:firstRowLastColumn="0" w:lastRowFirstColumn="0" w:lastRowLastColumn="0"/>
            <w:tcW w:w="436" w:type="dxa"/>
          </w:tcPr>
          <w:sdt>
            <w:sdtPr>
              <w:rPr>
                <w:rFonts w:ascii="Segoe UI Symbol" w:hAnsi="Segoe UI Symbol" w:cs="Segoe UI Symbol"/>
              </w:rPr>
              <w:id w:val="825788602"/>
              <w14:checkbox>
                <w14:checked w14:val="0"/>
                <w14:checkedState w14:val="2612" w14:font="MS Gothic"/>
                <w14:uncheckedState w14:val="2610" w14:font="MS Gothic"/>
              </w14:checkbox>
            </w:sdtPr>
            <w:sdtEndPr/>
            <w:sdtContent>
              <w:p w14:paraId="3D908C6D" w14:textId="77777777" w:rsidR="006A7CD0" w:rsidRDefault="006A7CD0" w:rsidP="008C3491">
                <w:pPr>
                  <w:pStyle w:val="guidelinetext"/>
                  <w:spacing w:before="40" w:after="40"/>
                  <w:ind w:left="0"/>
                  <w:rPr>
                    <w:rFonts w:ascii="Segoe UI Symbol" w:hAnsi="Segoe UI Symbol" w:cs="Segoe UI Symbol"/>
                  </w:rPr>
                </w:pPr>
                <w:r>
                  <w:rPr>
                    <w:rFonts w:ascii="MS Gothic" w:eastAsia="MS Gothic" w:hAnsi="MS Gothic" w:cs="Segoe UI Symbol" w:hint="eastAsia"/>
                  </w:rPr>
                  <w:t>☐</w:t>
                </w:r>
              </w:p>
            </w:sdtContent>
          </w:sdt>
        </w:tc>
        <w:tc>
          <w:tcPr>
            <w:tcW w:w="8636" w:type="dxa"/>
            <w:gridSpan w:val="2"/>
          </w:tcPr>
          <w:p w14:paraId="6D6812DA" w14:textId="77777777" w:rsidR="006A7CD0" w:rsidRDefault="006A7CD0" w:rsidP="008C3491">
            <w:pPr>
              <w:pStyle w:val="guidelinetext"/>
              <w:spacing w:before="40" w:after="40"/>
              <w:ind w:left="0"/>
              <w:cnfStyle w:val="000000000000" w:firstRow="0" w:lastRow="0" w:firstColumn="0" w:lastColumn="0" w:oddVBand="0" w:evenVBand="0" w:oddHBand="0" w:evenHBand="0" w:firstRowFirstColumn="0" w:firstRowLastColumn="0" w:lastRowFirstColumn="0" w:lastRowLastColumn="0"/>
            </w:pPr>
            <w:r>
              <w:rPr>
                <w:b/>
              </w:rPr>
              <w:t>Are there any requirements in the Job Plan that have an end date in the past (expired) or that are no longer appropriate?</w:t>
            </w:r>
          </w:p>
          <w:p w14:paraId="4CA82C8E" w14:textId="77777777" w:rsidR="006A7CD0" w:rsidRDefault="006A7CD0" w:rsidP="008C3491">
            <w:pPr>
              <w:pStyle w:val="guidelinetext"/>
              <w:spacing w:before="40" w:after="40"/>
              <w:ind w:left="0"/>
              <w:cnfStyle w:val="000000000000" w:firstRow="0" w:lastRow="0" w:firstColumn="0" w:lastColumn="0" w:oddVBand="0" w:evenVBand="0" w:oddHBand="0" w:evenHBand="0" w:firstRowFirstColumn="0" w:firstRowLastColumn="0" w:lastRowFirstColumn="0" w:lastRowLastColumn="0"/>
              <w:rPr>
                <w:sz w:val="20"/>
              </w:rPr>
            </w:pPr>
            <w:r>
              <w:rPr>
                <w:sz w:val="20"/>
              </w:rPr>
              <w:t>For example:</w:t>
            </w:r>
          </w:p>
          <w:p w14:paraId="6AC22B0F" w14:textId="77777777" w:rsidR="006A7CD0" w:rsidRPr="00902B21" w:rsidRDefault="006A7CD0" w:rsidP="006A7CD0">
            <w:pPr>
              <w:pStyle w:val="guidelinetext"/>
              <w:numPr>
                <w:ilvl w:val="0"/>
                <w:numId w:val="39"/>
              </w:numPr>
              <w:spacing w:before="40" w:after="40"/>
              <w:ind w:left="284" w:hanging="284"/>
              <w:cnfStyle w:val="000000000000" w:firstRow="0" w:lastRow="0" w:firstColumn="0" w:lastColumn="0" w:oddVBand="0" w:evenVBand="0" w:oddHBand="0" w:evenHBand="0" w:firstRowFirstColumn="0" w:firstRowLastColumn="0" w:lastRowFirstColumn="0" w:lastRowLastColumn="0"/>
              <w:rPr>
                <w:sz w:val="20"/>
              </w:rPr>
            </w:pPr>
            <w:r w:rsidRPr="00902B21">
              <w:rPr>
                <w:sz w:val="20"/>
              </w:rPr>
              <w:t>None of the codes in a Participant’s Job Plan have end dates that have lapsed.</w:t>
            </w:r>
          </w:p>
          <w:p w14:paraId="35FAD8BC" w14:textId="77777777" w:rsidR="006A7CD0" w:rsidRPr="00902B21" w:rsidRDefault="006A7CD0" w:rsidP="006A7CD0">
            <w:pPr>
              <w:pStyle w:val="guidelinetext"/>
              <w:numPr>
                <w:ilvl w:val="0"/>
                <w:numId w:val="39"/>
              </w:numPr>
              <w:spacing w:before="40" w:after="40"/>
              <w:ind w:left="284" w:hanging="284"/>
              <w:cnfStyle w:val="000000000000" w:firstRow="0" w:lastRow="0" w:firstColumn="0" w:lastColumn="0" w:oddVBand="0" w:evenVBand="0" w:oddHBand="0" w:evenHBand="0" w:firstRowFirstColumn="0" w:firstRowLastColumn="0" w:lastRowFirstColumn="0" w:lastRowLastColumn="0"/>
            </w:pPr>
            <w:r w:rsidRPr="00902B21">
              <w:rPr>
                <w:sz w:val="20"/>
              </w:rPr>
              <w:t>Requirements that are no longer appropriate are removed—such as self-employment for a Participant who is no longer self-employed.</w:t>
            </w:r>
          </w:p>
        </w:tc>
      </w:tr>
      <w:tr w:rsidR="006A7CD0" w14:paraId="667C8FA0" w14:textId="77777777" w:rsidTr="008C3491">
        <w:tc>
          <w:tcPr>
            <w:cnfStyle w:val="001000000000" w:firstRow="0" w:lastRow="0" w:firstColumn="1" w:lastColumn="0" w:oddVBand="0" w:evenVBand="0" w:oddHBand="0" w:evenHBand="0" w:firstRowFirstColumn="0" w:firstRowLastColumn="0" w:lastRowFirstColumn="0" w:lastRowLastColumn="0"/>
            <w:tcW w:w="9072" w:type="dxa"/>
            <w:gridSpan w:val="3"/>
          </w:tcPr>
          <w:p w14:paraId="480CFBA2" w14:textId="77777777" w:rsidR="006A7CD0" w:rsidRPr="00C25E3B" w:rsidRDefault="006A7CD0" w:rsidP="008C3491">
            <w:pPr>
              <w:pStyle w:val="guidelinetext"/>
              <w:keepNext/>
              <w:spacing w:before="40" w:after="40"/>
              <w:ind w:left="454"/>
            </w:pPr>
            <w:r w:rsidRPr="00C25E3B">
              <w:lastRenderedPageBreak/>
              <w:t>Is the number of Job Search efforts appropriate to the individual?</w:t>
            </w:r>
          </w:p>
          <w:p w14:paraId="351E4CFF" w14:textId="77777777" w:rsidR="006A7CD0" w:rsidRPr="00902B21" w:rsidRDefault="006A7CD0" w:rsidP="008C3491">
            <w:pPr>
              <w:pStyle w:val="guidelinetext"/>
              <w:keepNext/>
              <w:spacing w:before="40" w:after="40"/>
              <w:ind w:left="454"/>
            </w:pPr>
            <w:r w:rsidRPr="00C25E3B">
              <w:t>Select all that apply.</w:t>
            </w:r>
          </w:p>
        </w:tc>
      </w:tr>
      <w:tr w:rsidR="006A7CD0" w14:paraId="28254BEB" w14:textId="77777777" w:rsidTr="008C3491">
        <w:tc>
          <w:tcPr>
            <w:cnfStyle w:val="001000000000" w:firstRow="0" w:lastRow="0" w:firstColumn="1" w:lastColumn="0" w:oddVBand="0" w:evenVBand="0" w:oddHBand="0" w:evenHBand="0" w:firstRowFirstColumn="0" w:firstRowLastColumn="0" w:lastRowFirstColumn="0" w:lastRowLastColumn="0"/>
            <w:tcW w:w="872" w:type="dxa"/>
            <w:gridSpan w:val="2"/>
          </w:tcPr>
          <w:sdt>
            <w:sdtPr>
              <w:rPr>
                <w:rFonts w:ascii="Segoe UI Symbol" w:hAnsi="Segoe UI Symbol" w:cs="Segoe UI Symbol"/>
              </w:rPr>
              <w:id w:val="1471249464"/>
              <w14:checkbox>
                <w14:checked w14:val="0"/>
                <w14:checkedState w14:val="2612" w14:font="MS Gothic"/>
                <w14:uncheckedState w14:val="2610" w14:font="MS Gothic"/>
              </w14:checkbox>
            </w:sdtPr>
            <w:sdtEndPr/>
            <w:sdtContent>
              <w:p w14:paraId="539EE7C8" w14:textId="77777777" w:rsidR="006A7CD0" w:rsidRDefault="006A7CD0" w:rsidP="008C3491">
                <w:pPr>
                  <w:pStyle w:val="guidelinetext"/>
                  <w:spacing w:before="40" w:after="40"/>
                  <w:ind w:left="0"/>
                  <w:jc w:val="right"/>
                </w:pPr>
                <w:r>
                  <w:rPr>
                    <w:rFonts w:ascii="MS Gothic" w:eastAsia="MS Gothic" w:hAnsi="MS Gothic" w:cs="Segoe UI Symbol" w:hint="eastAsia"/>
                  </w:rPr>
                  <w:t>☐</w:t>
                </w:r>
              </w:p>
            </w:sdtContent>
          </w:sdt>
        </w:tc>
        <w:tc>
          <w:tcPr>
            <w:tcW w:w="8200" w:type="dxa"/>
            <w:vAlign w:val="center"/>
          </w:tcPr>
          <w:p w14:paraId="122ECAC3" w14:textId="77777777" w:rsidR="006A7CD0" w:rsidRPr="00C25E3B" w:rsidRDefault="006A7CD0" w:rsidP="008C3491">
            <w:pPr>
              <w:pStyle w:val="guidelinetext"/>
              <w:spacing w:before="0"/>
              <w:ind w:left="0"/>
              <w:cnfStyle w:val="000000000000" w:firstRow="0" w:lastRow="0" w:firstColumn="0" w:lastColumn="0" w:oddVBand="0" w:evenVBand="0" w:oddHBand="0" w:evenHBand="0" w:firstRowFirstColumn="0" w:firstRowLastColumn="0" w:lastRowFirstColumn="0" w:lastRowLastColumn="0"/>
              <w:rPr>
                <w:b/>
              </w:rPr>
            </w:pPr>
            <w:r w:rsidRPr="00C25E3B">
              <w:rPr>
                <w:b/>
              </w:rPr>
              <w:t>Appropriate based on stream/program</w:t>
            </w:r>
          </w:p>
        </w:tc>
      </w:tr>
      <w:tr w:rsidR="006A7CD0" w14:paraId="335004B2" w14:textId="77777777" w:rsidTr="008C3491">
        <w:tc>
          <w:tcPr>
            <w:cnfStyle w:val="001000000000" w:firstRow="0" w:lastRow="0" w:firstColumn="1" w:lastColumn="0" w:oddVBand="0" w:evenVBand="0" w:oddHBand="0" w:evenHBand="0" w:firstRowFirstColumn="0" w:firstRowLastColumn="0" w:lastRowFirstColumn="0" w:lastRowLastColumn="0"/>
            <w:tcW w:w="872" w:type="dxa"/>
            <w:gridSpan w:val="2"/>
          </w:tcPr>
          <w:sdt>
            <w:sdtPr>
              <w:rPr>
                <w:rFonts w:ascii="Segoe UI Symbol" w:hAnsi="Segoe UI Symbol" w:cs="Segoe UI Symbol"/>
              </w:rPr>
              <w:id w:val="-1135015991"/>
              <w14:checkbox>
                <w14:checked w14:val="0"/>
                <w14:checkedState w14:val="2612" w14:font="MS Gothic"/>
                <w14:uncheckedState w14:val="2610" w14:font="MS Gothic"/>
              </w14:checkbox>
            </w:sdtPr>
            <w:sdtEndPr/>
            <w:sdtContent>
              <w:p w14:paraId="39DE4F3D" w14:textId="77777777" w:rsidR="006A7CD0" w:rsidRDefault="006A7CD0" w:rsidP="008C3491">
                <w:pPr>
                  <w:pStyle w:val="guidelinetext"/>
                  <w:spacing w:before="40" w:after="40"/>
                  <w:ind w:left="0"/>
                  <w:jc w:val="right"/>
                  <w:rPr>
                    <w:rFonts w:ascii="Segoe UI Symbol" w:hAnsi="Segoe UI Symbol" w:cs="Segoe UI Symbol"/>
                  </w:rPr>
                </w:pPr>
                <w:r>
                  <w:rPr>
                    <w:rFonts w:ascii="MS Gothic" w:eastAsia="MS Gothic" w:hAnsi="MS Gothic" w:cs="Segoe UI Symbol" w:hint="eastAsia"/>
                  </w:rPr>
                  <w:t>☐</w:t>
                </w:r>
              </w:p>
            </w:sdtContent>
          </w:sdt>
        </w:tc>
        <w:tc>
          <w:tcPr>
            <w:tcW w:w="8200" w:type="dxa"/>
            <w:vAlign w:val="center"/>
          </w:tcPr>
          <w:p w14:paraId="20929AF9" w14:textId="77777777" w:rsidR="006A7CD0" w:rsidRPr="00C25E3B" w:rsidRDefault="006A7CD0" w:rsidP="008C3491">
            <w:pPr>
              <w:pStyle w:val="guidelinetext"/>
              <w:spacing w:before="0"/>
              <w:ind w:left="0"/>
              <w:cnfStyle w:val="000000000000" w:firstRow="0" w:lastRow="0" w:firstColumn="0" w:lastColumn="0" w:oddVBand="0" w:evenVBand="0" w:oddHBand="0" w:evenHBand="0" w:firstRowFirstColumn="0" w:firstRowLastColumn="0" w:lastRowFirstColumn="0" w:lastRowLastColumn="0"/>
              <w:rPr>
                <w:b/>
              </w:rPr>
            </w:pPr>
            <w:r w:rsidRPr="00C25E3B">
              <w:rPr>
                <w:b/>
              </w:rPr>
              <w:t>Appropriate based on local labour market</w:t>
            </w:r>
          </w:p>
        </w:tc>
      </w:tr>
      <w:tr w:rsidR="006A7CD0" w14:paraId="40967937" w14:textId="77777777" w:rsidTr="008C3491">
        <w:tc>
          <w:tcPr>
            <w:cnfStyle w:val="001000000000" w:firstRow="0" w:lastRow="0" w:firstColumn="1" w:lastColumn="0" w:oddVBand="0" w:evenVBand="0" w:oddHBand="0" w:evenHBand="0" w:firstRowFirstColumn="0" w:firstRowLastColumn="0" w:lastRowFirstColumn="0" w:lastRowLastColumn="0"/>
            <w:tcW w:w="872" w:type="dxa"/>
            <w:gridSpan w:val="2"/>
          </w:tcPr>
          <w:sdt>
            <w:sdtPr>
              <w:rPr>
                <w:rFonts w:ascii="Segoe UI Symbol" w:hAnsi="Segoe UI Symbol" w:cs="Segoe UI Symbol"/>
              </w:rPr>
              <w:id w:val="-412855682"/>
              <w14:checkbox>
                <w14:checked w14:val="0"/>
                <w14:checkedState w14:val="2612" w14:font="MS Gothic"/>
                <w14:uncheckedState w14:val="2610" w14:font="MS Gothic"/>
              </w14:checkbox>
            </w:sdtPr>
            <w:sdtEndPr/>
            <w:sdtContent>
              <w:p w14:paraId="1FD0EA05" w14:textId="77777777" w:rsidR="006A7CD0" w:rsidRDefault="006A7CD0" w:rsidP="008C3491">
                <w:pPr>
                  <w:pStyle w:val="guidelinetext"/>
                  <w:spacing w:before="40" w:after="40"/>
                  <w:ind w:left="0"/>
                  <w:jc w:val="right"/>
                  <w:rPr>
                    <w:rFonts w:ascii="Segoe UI Symbol" w:hAnsi="Segoe UI Symbol" w:cs="Segoe UI Symbol"/>
                  </w:rPr>
                </w:pPr>
                <w:r>
                  <w:rPr>
                    <w:rFonts w:ascii="MS Gothic" w:eastAsia="MS Gothic" w:hAnsi="MS Gothic" w:cs="Segoe UI Symbol" w:hint="eastAsia"/>
                  </w:rPr>
                  <w:t>☐</w:t>
                </w:r>
              </w:p>
            </w:sdtContent>
          </w:sdt>
        </w:tc>
        <w:tc>
          <w:tcPr>
            <w:tcW w:w="8200" w:type="dxa"/>
            <w:vAlign w:val="center"/>
          </w:tcPr>
          <w:p w14:paraId="2CAE94FD" w14:textId="77777777" w:rsidR="006A7CD0" w:rsidRPr="00C25E3B" w:rsidRDefault="006A7CD0" w:rsidP="008C3491">
            <w:pPr>
              <w:pStyle w:val="guidelinetext"/>
              <w:spacing w:before="0"/>
              <w:ind w:left="0"/>
              <w:cnfStyle w:val="000000000000" w:firstRow="0" w:lastRow="0" w:firstColumn="0" w:lastColumn="0" w:oddVBand="0" w:evenVBand="0" w:oddHBand="0" w:evenHBand="0" w:firstRowFirstColumn="0" w:firstRowLastColumn="0" w:lastRowFirstColumn="0" w:lastRowLastColumn="0"/>
              <w:rPr>
                <w:b/>
              </w:rPr>
            </w:pPr>
            <w:r w:rsidRPr="00C25E3B">
              <w:rPr>
                <w:b/>
              </w:rPr>
              <w:t>Appropriate based on personal circumstances/barriers of Participant</w:t>
            </w:r>
          </w:p>
        </w:tc>
      </w:tr>
      <w:tr w:rsidR="006A7CD0" w:rsidRPr="00C25E3B" w14:paraId="5B69EDE7" w14:textId="77777777" w:rsidTr="008C3491">
        <w:tc>
          <w:tcPr>
            <w:cnfStyle w:val="001000000000" w:firstRow="0" w:lastRow="0" w:firstColumn="1" w:lastColumn="0" w:oddVBand="0" w:evenVBand="0" w:oddHBand="0" w:evenHBand="0" w:firstRowFirstColumn="0" w:firstRowLastColumn="0" w:lastRowFirstColumn="0" w:lastRowLastColumn="0"/>
            <w:tcW w:w="9072" w:type="dxa"/>
            <w:gridSpan w:val="3"/>
          </w:tcPr>
          <w:p w14:paraId="67B4FB82" w14:textId="77777777" w:rsidR="006A7CD0" w:rsidRPr="00C25E3B" w:rsidRDefault="006A7CD0" w:rsidP="008C3491">
            <w:pPr>
              <w:pStyle w:val="guidelinetext"/>
              <w:spacing w:before="40" w:after="40"/>
              <w:ind w:left="454"/>
              <w:rPr>
                <w:b w:val="0"/>
                <w:sz w:val="20"/>
              </w:rPr>
            </w:pPr>
            <w:r w:rsidRPr="00C25E3B">
              <w:rPr>
                <w:b w:val="0"/>
                <w:sz w:val="20"/>
              </w:rPr>
              <w:t>This includes reviewing the number of Job Search efforts required and the overall validity of the requirement for the Participant. This looks at the Participant’s local labour market, stream/program, and personal circumstances. It also looks at other Mutual Obligation Requirements a Participant is meeting which may reduce their required efforts.</w:t>
            </w:r>
          </w:p>
          <w:p w14:paraId="2521A3D6" w14:textId="77777777" w:rsidR="006A7CD0" w:rsidRPr="00C25E3B" w:rsidRDefault="006A7CD0" w:rsidP="008C3491">
            <w:pPr>
              <w:pStyle w:val="guidelinetext"/>
              <w:spacing w:before="40" w:after="40"/>
              <w:ind w:left="454"/>
              <w:rPr>
                <w:b w:val="0"/>
                <w:sz w:val="20"/>
              </w:rPr>
            </w:pPr>
            <w:r w:rsidRPr="00C25E3B">
              <w:rPr>
                <w:b w:val="0"/>
                <w:sz w:val="20"/>
              </w:rPr>
              <w:t>For example:</w:t>
            </w:r>
          </w:p>
          <w:p w14:paraId="16971B04" w14:textId="77777777" w:rsidR="006A7CD0" w:rsidRPr="00C25E3B" w:rsidRDefault="006A7CD0" w:rsidP="006A7CD0">
            <w:pPr>
              <w:pStyle w:val="guidelinetext"/>
              <w:numPr>
                <w:ilvl w:val="0"/>
                <w:numId w:val="40"/>
              </w:numPr>
              <w:spacing w:before="40" w:after="40"/>
              <w:ind w:left="738" w:hanging="284"/>
              <w:rPr>
                <w:b w:val="0"/>
                <w:sz w:val="20"/>
              </w:rPr>
            </w:pPr>
            <w:r w:rsidRPr="00C25E3B">
              <w:rPr>
                <w:b w:val="0"/>
                <w:sz w:val="20"/>
              </w:rPr>
              <w:t>A Participant who lives in a remote seasonal or tourist area—i.e. an area with a weak labour market—is not required to apply for a number of jobs that significantly exceeds local labour market thresholds.</w:t>
            </w:r>
          </w:p>
          <w:p w14:paraId="3DF42CDD" w14:textId="77777777" w:rsidR="006A7CD0" w:rsidRPr="00C25E3B" w:rsidRDefault="006A7CD0" w:rsidP="006A7CD0">
            <w:pPr>
              <w:pStyle w:val="guidelinetext"/>
              <w:numPr>
                <w:ilvl w:val="0"/>
                <w:numId w:val="40"/>
              </w:numPr>
              <w:spacing w:before="40" w:after="40"/>
              <w:ind w:left="738" w:hanging="284"/>
              <w:rPr>
                <w:b w:val="0"/>
                <w:sz w:val="20"/>
              </w:rPr>
            </w:pPr>
            <w:r w:rsidRPr="00C25E3B">
              <w:rPr>
                <w:b w:val="0"/>
                <w:sz w:val="20"/>
              </w:rPr>
              <w:t>A Participant whose literacy levels are low is required to submit an appropriate number of Job Search efforts while they are receiving other supports to increase their literacy levels.</w:t>
            </w:r>
          </w:p>
        </w:tc>
      </w:tr>
    </w:tbl>
    <w:p w14:paraId="09D8AC09" w14:textId="77777777" w:rsidR="006A7CD0" w:rsidRDefault="006A7CD0" w:rsidP="006A7CD0">
      <w:pPr>
        <w:pStyle w:val="Heading4"/>
        <w:spacing w:before="360" w:after="120"/>
      </w:pPr>
      <w:r>
        <w:t>Activity requirement hours</w:t>
      </w:r>
    </w:p>
    <w:p w14:paraId="584C8513" w14:textId="77777777" w:rsidR="006A7CD0" w:rsidRPr="00962FD4" w:rsidRDefault="006A7CD0" w:rsidP="006A7CD0">
      <w:pPr>
        <w:pStyle w:val="guidelinetext"/>
        <w:ind w:left="0"/>
      </w:pPr>
      <w:r>
        <w:t xml:space="preserve">The following table can be used as reference when reviewing the Job Plan. </w:t>
      </w:r>
    </w:p>
    <w:tbl>
      <w:tblPr>
        <w:tblStyle w:val="TableGrid"/>
        <w:tblW w:w="0" w:type="auto"/>
        <w:tblBorders>
          <w:left w:val="none" w:sz="0" w:space="0" w:color="auto"/>
          <w:right w:val="none" w:sz="0" w:space="0" w:color="auto"/>
        </w:tblBorders>
        <w:tblLook w:val="0420" w:firstRow="1" w:lastRow="0" w:firstColumn="0" w:lastColumn="0" w:noHBand="0" w:noVBand="1"/>
        <w:tblCaption w:val="Total compulsory activity participation hours"/>
        <w:tblDescription w:val="This table describes the maximum number of activity participation hours that should be prescribed in the Job Plan per age cohort."/>
      </w:tblPr>
      <w:tblGrid>
        <w:gridCol w:w="3005"/>
        <w:gridCol w:w="3005"/>
        <w:gridCol w:w="3006"/>
      </w:tblGrid>
      <w:tr w:rsidR="006A7CD0" w:rsidRPr="00662E5F" w14:paraId="50E7A932" w14:textId="77777777" w:rsidTr="008C3491">
        <w:trPr>
          <w:tblHeader/>
        </w:trPr>
        <w:tc>
          <w:tcPr>
            <w:tcW w:w="9016" w:type="dxa"/>
            <w:gridSpan w:val="3"/>
            <w:tcBorders>
              <w:bottom w:val="nil"/>
            </w:tcBorders>
            <w:shd w:val="clear" w:color="auto" w:fill="auto"/>
          </w:tcPr>
          <w:p w14:paraId="0A99FF66" w14:textId="77777777" w:rsidR="006A7CD0" w:rsidRPr="00662E5F" w:rsidRDefault="006A7CD0" w:rsidP="008C3491">
            <w:pPr>
              <w:pStyle w:val="guidelinetext"/>
              <w:spacing w:before="60" w:after="20"/>
              <w:ind w:left="0"/>
              <w:jc w:val="center"/>
              <w:rPr>
                <w:b/>
              </w:rPr>
            </w:pPr>
            <w:r w:rsidRPr="00662E5F">
              <w:rPr>
                <w:b/>
              </w:rPr>
              <w:t>Total compulsory activity participation hours should not exceed…</w:t>
            </w:r>
          </w:p>
        </w:tc>
      </w:tr>
      <w:tr w:rsidR="006A7CD0" w14:paraId="2AA9CB55" w14:textId="77777777" w:rsidTr="008C3491">
        <w:tc>
          <w:tcPr>
            <w:tcW w:w="3005" w:type="dxa"/>
            <w:tcBorders>
              <w:top w:val="nil"/>
              <w:bottom w:val="single" w:sz="4" w:space="0" w:color="auto"/>
              <w:right w:val="nil"/>
            </w:tcBorders>
            <w:shd w:val="clear" w:color="auto" w:fill="auto"/>
          </w:tcPr>
          <w:p w14:paraId="6252C565" w14:textId="77777777" w:rsidR="006A7CD0" w:rsidRDefault="006A7CD0" w:rsidP="008C3491">
            <w:pPr>
              <w:pStyle w:val="guidelinetext"/>
              <w:spacing w:before="20" w:after="60"/>
              <w:ind w:left="0"/>
            </w:pPr>
            <w:r>
              <w:t>Age group</w:t>
            </w:r>
          </w:p>
        </w:tc>
        <w:tc>
          <w:tcPr>
            <w:tcW w:w="3005" w:type="dxa"/>
            <w:tcBorders>
              <w:top w:val="nil"/>
              <w:left w:val="nil"/>
              <w:bottom w:val="single" w:sz="4" w:space="0" w:color="auto"/>
              <w:right w:val="nil"/>
            </w:tcBorders>
            <w:shd w:val="clear" w:color="auto" w:fill="auto"/>
          </w:tcPr>
          <w:p w14:paraId="1C6B928E" w14:textId="77777777" w:rsidR="006A7CD0" w:rsidRDefault="006A7CD0" w:rsidP="008C3491">
            <w:pPr>
              <w:pStyle w:val="guidelinetext"/>
              <w:spacing w:before="20" w:after="60"/>
              <w:ind w:left="0"/>
            </w:pPr>
            <w:r>
              <w:t>Full-time requirements</w:t>
            </w:r>
          </w:p>
        </w:tc>
        <w:tc>
          <w:tcPr>
            <w:tcW w:w="3006" w:type="dxa"/>
            <w:tcBorders>
              <w:top w:val="nil"/>
              <w:left w:val="nil"/>
              <w:bottom w:val="single" w:sz="4" w:space="0" w:color="auto"/>
            </w:tcBorders>
            <w:shd w:val="clear" w:color="auto" w:fill="auto"/>
          </w:tcPr>
          <w:p w14:paraId="65E20369" w14:textId="77777777" w:rsidR="006A7CD0" w:rsidRDefault="006A7CD0" w:rsidP="008C3491">
            <w:pPr>
              <w:pStyle w:val="guidelinetext"/>
              <w:spacing w:before="20" w:after="60"/>
              <w:ind w:left="0"/>
            </w:pPr>
            <w:r>
              <w:t>Part-time requirements</w:t>
            </w:r>
          </w:p>
        </w:tc>
      </w:tr>
      <w:tr w:rsidR="006A7CD0" w14:paraId="7368A4DF" w14:textId="77777777" w:rsidTr="008C3491">
        <w:tc>
          <w:tcPr>
            <w:tcW w:w="3005" w:type="dxa"/>
            <w:tcBorders>
              <w:bottom w:val="nil"/>
              <w:right w:val="single" w:sz="8" w:space="0" w:color="auto"/>
            </w:tcBorders>
          </w:tcPr>
          <w:p w14:paraId="4EEA3CD7" w14:textId="77777777" w:rsidR="006A7CD0" w:rsidRDefault="006A7CD0" w:rsidP="008C3491">
            <w:pPr>
              <w:pStyle w:val="guidelinetext"/>
              <w:spacing w:before="60" w:after="60"/>
              <w:ind w:left="0"/>
            </w:pPr>
            <w:r>
              <w:t>Under 30</w:t>
            </w:r>
          </w:p>
        </w:tc>
        <w:tc>
          <w:tcPr>
            <w:tcW w:w="3005" w:type="dxa"/>
            <w:tcBorders>
              <w:left w:val="single" w:sz="8" w:space="0" w:color="auto"/>
              <w:bottom w:val="nil"/>
            </w:tcBorders>
          </w:tcPr>
          <w:p w14:paraId="0B2CF075" w14:textId="77777777" w:rsidR="006A7CD0" w:rsidRDefault="006A7CD0" w:rsidP="008C3491">
            <w:pPr>
              <w:pStyle w:val="guidelinetext"/>
              <w:spacing w:before="60" w:after="60"/>
              <w:ind w:left="0"/>
            </w:pPr>
            <w:r>
              <w:t>75hr</w:t>
            </w:r>
          </w:p>
        </w:tc>
        <w:tc>
          <w:tcPr>
            <w:tcW w:w="3006" w:type="dxa"/>
            <w:tcBorders>
              <w:bottom w:val="nil"/>
            </w:tcBorders>
          </w:tcPr>
          <w:p w14:paraId="56115EA4" w14:textId="77777777" w:rsidR="006A7CD0" w:rsidRDefault="006A7CD0" w:rsidP="008C3491">
            <w:pPr>
              <w:pStyle w:val="guidelinetext"/>
              <w:spacing w:before="60" w:after="60"/>
              <w:ind w:left="0"/>
            </w:pPr>
            <w:r>
              <w:t>61hr</w:t>
            </w:r>
          </w:p>
        </w:tc>
      </w:tr>
      <w:tr w:rsidR="006A7CD0" w14:paraId="0D8F24EC" w14:textId="77777777" w:rsidTr="008C3491">
        <w:tc>
          <w:tcPr>
            <w:tcW w:w="3005" w:type="dxa"/>
            <w:tcBorders>
              <w:top w:val="nil"/>
              <w:bottom w:val="nil"/>
              <w:right w:val="single" w:sz="8" w:space="0" w:color="auto"/>
            </w:tcBorders>
            <w:shd w:val="clear" w:color="auto" w:fill="EAF1DD" w:themeFill="accent3" w:themeFillTint="33"/>
          </w:tcPr>
          <w:p w14:paraId="108A036A" w14:textId="77777777" w:rsidR="006A7CD0" w:rsidRDefault="006A7CD0" w:rsidP="008C3491">
            <w:pPr>
              <w:pStyle w:val="guidelinetext"/>
              <w:spacing w:before="60" w:after="60"/>
              <w:ind w:left="0"/>
            </w:pPr>
            <w:r>
              <w:t>30–49</w:t>
            </w:r>
          </w:p>
        </w:tc>
        <w:tc>
          <w:tcPr>
            <w:tcW w:w="3005" w:type="dxa"/>
            <w:tcBorders>
              <w:top w:val="nil"/>
              <w:left w:val="single" w:sz="8" w:space="0" w:color="auto"/>
              <w:bottom w:val="nil"/>
            </w:tcBorders>
            <w:shd w:val="clear" w:color="auto" w:fill="EAF1DD" w:themeFill="accent3" w:themeFillTint="33"/>
          </w:tcPr>
          <w:p w14:paraId="19B1AB7D" w14:textId="77777777" w:rsidR="006A7CD0" w:rsidRDefault="006A7CD0" w:rsidP="008C3491">
            <w:pPr>
              <w:pStyle w:val="guidelinetext"/>
              <w:spacing w:before="60" w:after="60"/>
              <w:ind w:left="0"/>
            </w:pPr>
            <w:r>
              <w:t>75hr</w:t>
            </w:r>
          </w:p>
        </w:tc>
        <w:tc>
          <w:tcPr>
            <w:tcW w:w="3006" w:type="dxa"/>
            <w:tcBorders>
              <w:top w:val="nil"/>
              <w:bottom w:val="nil"/>
            </w:tcBorders>
            <w:shd w:val="clear" w:color="auto" w:fill="EAF1DD" w:themeFill="accent3" w:themeFillTint="33"/>
          </w:tcPr>
          <w:p w14:paraId="500C93CE" w14:textId="77777777" w:rsidR="006A7CD0" w:rsidRDefault="006A7CD0" w:rsidP="008C3491">
            <w:pPr>
              <w:pStyle w:val="guidelinetext"/>
              <w:spacing w:before="60" w:after="60"/>
              <w:ind w:left="0"/>
            </w:pPr>
            <w:r>
              <w:t>61hr</w:t>
            </w:r>
          </w:p>
        </w:tc>
      </w:tr>
      <w:tr w:rsidR="006A7CD0" w14:paraId="1C06A9C5" w14:textId="77777777" w:rsidTr="008C3491">
        <w:tc>
          <w:tcPr>
            <w:tcW w:w="3005" w:type="dxa"/>
            <w:tcBorders>
              <w:top w:val="nil"/>
              <w:bottom w:val="nil"/>
              <w:right w:val="single" w:sz="8" w:space="0" w:color="auto"/>
            </w:tcBorders>
          </w:tcPr>
          <w:p w14:paraId="47883877" w14:textId="77777777" w:rsidR="006A7CD0" w:rsidRDefault="006A7CD0" w:rsidP="008C3491">
            <w:pPr>
              <w:pStyle w:val="guidelinetext"/>
              <w:spacing w:before="60" w:after="60"/>
              <w:ind w:left="0"/>
            </w:pPr>
            <w:r>
              <w:t>50–59</w:t>
            </w:r>
          </w:p>
        </w:tc>
        <w:tc>
          <w:tcPr>
            <w:tcW w:w="3005" w:type="dxa"/>
            <w:tcBorders>
              <w:top w:val="nil"/>
              <w:left w:val="single" w:sz="8" w:space="0" w:color="auto"/>
              <w:bottom w:val="nil"/>
            </w:tcBorders>
          </w:tcPr>
          <w:p w14:paraId="4FEB190D" w14:textId="77777777" w:rsidR="006A7CD0" w:rsidRDefault="006A7CD0" w:rsidP="008C3491">
            <w:pPr>
              <w:pStyle w:val="guidelinetext"/>
              <w:spacing w:before="60" w:after="60"/>
              <w:ind w:left="0"/>
            </w:pPr>
            <w:r>
              <w:t>61hr</w:t>
            </w:r>
          </w:p>
        </w:tc>
        <w:tc>
          <w:tcPr>
            <w:tcW w:w="3006" w:type="dxa"/>
            <w:tcBorders>
              <w:top w:val="nil"/>
              <w:bottom w:val="nil"/>
            </w:tcBorders>
          </w:tcPr>
          <w:p w14:paraId="092CF02D" w14:textId="77777777" w:rsidR="006A7CD0" w:rsidRDefault="006A7CD0" w:rsidP="008C3491">
            <w:pPr>
              <w:pStyle w:val="guidelinetext"/>
              <w:spacing w:before="60" w:after="60"/>
              <w:ind w:left="0"/>
            </w:pPr>
            <w:r>
              <w:t>51hr</w:t>
            </w:r>
          </w:p>
        </w:tc>
      </w:tr>
      <w:tr w:rsidR="006A7CD0" w14:paraId="57537E12" w14:textId="77777777" w:rsidTr="008C3491">
        <w:tc>
          <w:tcPr>
            <w:tcW w:w="3005" w:type="dxa"/>
            <w:tcBorders>
              <w:top w:val="nil"/>
              <w:right w:val="single" w:sz="8" w:space="0" w:color="auto"/>
            </w:tcBorders>
            <w:shd w:val="clear" w:color="auto" w:fill="EAF1DD" w:themeFill="accent3" w:themeFillTint="33"/>
          </w:tcPr>
          <w:p w14:paraId="46AB9F9E" w14:textId="77777777" w:rsidR="006A7CD0" w:rsidRDefault="006A7CD0" w:rsidP="008C3491">
            <w:pPr>
              <w:pStyle w:val="guidelinetext"/>
              <w:spacing w:before="60" w:after="60"/>
              <w:ind w:left="0"/>
            </w:pPr>
            <w:r>
              <w:t>60 and over</w:t>
            </w:r>
          </w:p>
        </w:tc>
        <w:tc>
          <w:tcPr>
            <w:tcW w:w="3005" w:type="dxa"/>
            <w:tcBorders>
              <w:top w:val="nil"/>
              <w:left w:val="single" w:sz="8" w:space="0" w:color="auto"/>
            </w:tcBorders>
            <w:shd w:val="clear" w:color="auto" w:fill="EAF1DD" w:themeFill="accent3" w:themeFillTint="33"/>
          </w:tcPr>
          <w:p w14:paraId="41173AF4" w14:textId="77777777" w:rsidR="006A7CD0" w:rsidRDefault="006A7CD0" w:rsidP="008C3491">
            <w:pPr>
              <w:pStyle w:val="guidelinetext"/>
              <w:spacing w:before="60" w:after="60"/>
              <w:ind w:left="0"/>
            </w:pPr>
            <w:r>
              <w:t>41hr</w:t>
            </w:r>
          </w:p>
        </w:tc>
        <w:tc>
          <w:tcPr>
            <w:tcW w:w="3006" w:type="dxa"/>
            <w:tcBorders>
              <w:top w:val="nil"/>
            </w:tcBorders>
            <w:shd w:val="clear" w:color="auto" w:fill="EAF1DD" w:themeFill="accent3" w:themeFillTint="33"/>
          </w:tcPr>
          <w:p w14:paraId="333D7237" w14:textId="77777777" w:rsidR="006A7CD0" w:rsidRDefault="006A7CD0" w:rsidP="008C3491">
            <w:pPr>
              <w:pStyle w:val="guidelinetext"/>
              <w:spacing w:before="60" w:after="60"/>
              <w:ind w:left="0"/>
            </w:pPr>
            <w:r>
              <w:t>41hr</w:t>
            </w:r>
          </w:p>
        </w:tc>
      </w:tr>
    </w:tbl>
    <w:p w14:paraId="39186D6E" w14:textId="77777777" w:rsidR="006A7CD0" w:rsidRDefault="006A7CD0" w:rsidP="006A7CD0">
      <w:pPr>
        <w:pStyle w:val="guidelinetext"/>
        <w:ind w:left="0"/>
      </w:pPr>
    </w:p>
    <w:p w14:paraId="0BCD5948" w14:textId="1A8BA390" w:rsidR="007F595F" w:rsidRPr="008E1054" w:rsidRDefault="007F595F" w:rsidP="006A7CD0">
      <w:pPr>
        <w:pStyle w:val="guidelinetext"/>
        <w:ind w:left="0"/>
      </w:pPr>
    </w:p>
    <w:sectPr w:rsidR="007F595F" w:rsidRPr="008E1054" w:rsidSect="00B61595">
      <w:pgSz w:w="11906" w:h="16838" w:code="9"/>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57D85" w14:textId="77777777" w:rsidR="00E62549" w:rsidRDefault="00E62549">
      <w:r>
        <w:separator/>
      </w:r>
    </w:p>
    <w:p w14:paraId="517D23AB" w14:textId="77777777" w:rsidR="00E62549" w:rsidRDefault="00E62549"/>
  </w:endnote>
  <w:endnote w:type="continuationSeparator" w:id="0">
    <w:p w14:paraId="29C038F6" w14:textId="77777777" w:rsidR="00E62549" w:rsidRDefault="00E62549">
      <w:r>
        <w:continuationSeparator/>
      </w:r>
    </w:p>
    <w:p w14:paraId="4E560CE2" w14:textId="77777777" w:rsidR="00E62549" w:rsidRDefault="00E62549"/>
  </w:endnote>
  <w:endnote w:type="continuationNotice" w:id="1">
    <w:p w14:paraId="67A4CBE0" w14:textId="77777777" w:rsidR="00E62549" w:rsidRDefault="00E625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D846" w14:textId="77777777" w:rsidR="0022337C" w:rsidRDefault="00223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3E95" w14:textId="77402B57" w:rsidR="00DA6F7F" w:rsidRDefault="00DA6F7F" w:rsidP="003511DA">
    <w:pPr>
      <w:pStyle w:val="Footer"/>
      <w:rPr>
        <w:sz w:val="16"/>
        <w:szCs w:val="16"/>
      </w:rPr>
    </w:pPr>
    <w:r>
      <w:rPr>
        <w:sz w:val="16"/>
        <w:szCs w:val="16"/>
      </w:rPr>
      <w:t xml:space="preserve">Capability Interview </w:t>
    </w:r>
    <w:r w:rsidRPr="0015247F">
      <w:rPr>
        <w:sz w:val="16"/>
        <w:szCs w:val="16"/>
      </w:rPr>
      <w:t>Guidelines</w:t>
    </w:r>
  </w:p>
  <w:p w14:paraId="73CBA31C" w14:textId="0E108CEB" w:rsidR="00F23E30" w:rsidRPr="0015247F" w:rsidRDefault="00F23E30" w:rsidP="003511DA">
    <w:pPr>
      <w:pStyle w:val="Footer"/>
      <w:rPr>
        <w:sz w:val="16"/>
        <w:szCs w:val="16"/>
      </w:rPr>
    </w:pPr>
    <w:r>
      <w:rPr>
        <w:sz w:val="16"/>
        <w:szCs w:val="16"/>
      </w:rPr>
      <w:t>TRIM ID:</w:t>
    </w:r>
    <w:r w:rsidR="0001306D">
      <w:rPr>
        <w:sz w:val="16"/>
        <w:szCs w:val="16"/>
      </w:rPr>
      <w:t xml:space="preserve"> </w:t>
    </w:r>
    <w:r w:rsidRPr="00523B8E">
      <w:rPr>
        <w:sz w:val="16"/>
        <w:szCs w:val="16"/>
      </w:rPr>
      <w:t>D22/</w:t>
    </w:r>
    <w:r w:rsidR="00523B8E" w:rsidRPr="00523B8E">
      <w:rPr>
        <w:sz w:val="16"/>
        <w:szCs w:val="16"/>
      </w:rPr>
      <w:t>1467660</w:t>
    </w:r>
  </w:p>
  <w:p w14:paraId="0A5BA495" w14:textId="6F52CD18" w:rsidR="00DA6F7F" w:rsidRPr="0015247F" w:rsidRDefault="00DA6F7F" w:rsidP="00327C85">
    <w:pPr>
      <w:pStyle w:val="Footer"/>
      <w:tabs>
        <w:tab w:val="left" w:pos="5387"/>
      </w:tabs>
      <w:jc w:val="both"/>
      <w:rPr>
        <w:sz w:val="16"/>
        <w:szCs w:val="16"/>
      </w:rPr>
    </w:pPr>
    <w:r>
      <w:rPr>
        <w:sz w:val="16"/>
        <w:szCs w:val="16"/>
      </w:rPr>
      <w:t xml:space="preserve">Arc Record Number: </w:t>
    </w:r>
    <w:r w:rsidRPr="00111860">
      <w:rPr>
        <w:sz w:val="16"/>
        <w:szCs w:val="16"/>
      </w:rPr>
      <w:t>D22/</w:t>
    </w:r>
    <w:r>
      <w:rPr>
        <w:sz w:val="16"/>
        <w:szCs w:val="16"/>
      </w:rPr>
      <w:t>940527</w:t>
    </w:r>
    <w:r w:rsidRPr="0015247F">
      <w:rPr>
        <w:sz w:val="16"/>
        <w:szCs w:val="16"/>
      </w:rPr>
      <w:tab/>
    </w:r>
  </w:p>
  <w:p w14:paraId="78C59CE0" w14:textId="0A4CD48C" w:rsidR="00DA6F7F" w:rsidRDefault="00DA6F7F" w:rsidP="003511DA">
    <w:pPr>
      <w:pStyle w:val="Footer"/>
      <w:jc w:val="right"/>
    </w:pPr>
    <w:r>
      <w:rPr>
        <w:sz w:val="16"/>
        <w:szCs w:val="16"/>
      </w:rPr>
      <w:t xml:space="preserve">Effective Date: </w:t>
    </w:r>
    <w:r w:rsidR="00F23E30">
      <w:rPr>
        <w:sz w:val="16"/>
        <w:szCs w:val="16"/>
      </w:rPr>
      <w:t>1 January</w:t>
    </w:r>
    <w:r>
      <w:rPr>
        <w:sz w:val="16"/>
        <w:szCs w:val="16"/>
      </w:rPr>
      <w:t xml:space="preserve"> 202</w:t>
    </w:r>
    <w:r w:rsidR="00F23E30">
      <w:rPr>
        <w:sz w:val="16"/>
        <w:szCs w:val="16"/>
      </w:rPr>
      <w:t>3</w:t>
    </w:r>
  </w:p>
  <w:p w14:paraId="38E1B7D6" w14:textId="4B4A0BB4" w:rsidR="00DA6F7F" w:rsidRPr="003511DA" w:rsidRDefault="00DA6F7F" w:rsidP="003511DA">
    <w:pPr>
      <w:pStyle w:val="Footer"/>
      <w:jc w:val="center"/>
      <w:rPr>
        <w:sz w:val="16"/>
        <w:szCs w:val="16"/>
      </w:rPr>
    </w:pPr>
    <w:r w:rsidRPr="003511DA">
      <w:rPr>
        <w:sz w:val="16"/>
        <w:szCs w:val="16"/>
      </w:rPr>
      <w:fldChar w:fldCharType="begin"/>
    </w:r>
    <w:r w:rsidRPr="003511DA">
      <w:rPr>
        <w:sz w:val="16"/>
        <w:szCs w:val="16"/>
      </w:rPr>
      <w:instrText xml:space="preserve"> PAGE  \* Arabic  \* MERGEFORMAT </w:instrText>
    </w:r>
    <w:r w:rsidRPr="003511DA">
      <w:rPr>
        <w:sz w:val="16"/>
        <w:szCs w:val="16"/>
      </w:rPr>
      <w:fldChar w:fldCharType="separate"/>
    </w:r>
    <w:r w:rsidR="002E14AF">
      <w:rPr>
        <w:noProof/>
        <w:sz w:val="16"/>
        <w:szCs w:val="16"/>
      </w:rPr>
      <w:t>2</w:t>
    </w:r>
    <w:r w:rsidRPr="003511DA">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97DC4" w14:textId="14B0E8E9" w:rsidR="00DA6F7F" w:rsidRDefault="00DA6F7F" w:rsidP="006A7E31">
    <w:pPr>
      <w:pStyle w:val="Footer"/>
      <w:rPr>
        <w:sz w:val="16"/>
        <w:szCs w:val="16"/>
      </w:rPr>
    </w:pPr>
    <w:r>
      <w:rPr>
        <w:sz w:val="16"/>
        <w:szCs w:val="16"/>
      </w:rPr>
      <w:t xml:space="preserve">Capability Interview </w:t>
    </w:r>
    <w:r w:rsidRPr="0015247F">
      <w:rPr>
        <w:sz w:val="16"/>
        <w:szCs w:val="16"/>
      </w:rPr>
      <w:t>Guidelines</w:t>
    </w:r>
  </w:p>
  <w:p w14:paraId="61E3F5DA" w14:textId="6146D1CA" w:rsidR="00F23E30" w:rsidRPr="0015247F" w:rsidRDefault="00F23E30" w:rsidP="006A7E31">
    <w:pPr>
      <w:pStyle w:val="Footer"/>
      <w:rPr>
        <w:sz w:val="16"/>
        <w:szCs w:val="16"/>
      </w:rPr>
    </w:pPr>
    <w:r>
      <w:rPr>
        <w:sz w:val="16"/>
        <w:szCs w:val="16"/>
      </w:rPr>
      <w:t>TRIM ID:D22/</w:t>
    </w:r>
    <w:r w:rsidR="00523B8E">
      <w:rPr>
        <w:sz w:val="16"/>
        <w:szCs w:val="16"/>
      </w:rPr>
      <w:t>1467660</w:t>
    </w:r>
  </w:p>
  <w:p w14:paraId="70F79D55" w14:textId="7E0B14D6" w:rsidR="00DA6F7F" w:rsidRPr="0015247F" w:rsidRDefault="00DA6F7F" w:rsidP="006A7E31">
    <w:pPr>
      <w:pStyle w:val="Footer"/>
      <w:tabs>
        <w:tab w:val="left" w:pos="5387"/>
      </w:tabs>
      <w:rPr>
        <w:sz w:val="16"/>
        <w:szCs w:val="16"/>
      </w:rPr>
    </w:pPr>
    <w:r>
      <w:rPr>
        <w:sz w:val="16"/>
        <w:szCs w:val="16"/>
      </w:rPr>
      <w:t xml:space="preserve">Arc Record Number: </w:t>
    </w:r>
    <w:r w:rsidRPr="00111860">
      <w:rPr>
        <w:sz w:val="16"/>
        <w:szCs w:val="16"/>
      </w:rPr>
      <w:t>D2</w:t>
    </w:r>
    <w:r w:rsidR="00585416">
      <w:rPr>
        <w:sz w:val="16"/>
        <w:szCs w:val="16"/>
      </w:rPr>
      <w:t>2/</w:t>
    </w:r>
    <w:r w:rsidR="00C13D8B" w:rsidRPr="00C13D8B">
      <w:rPr>
        <w:sz w:val="16"/>
        <w:szCs w:val="16"/>
      </w:rPr>
      <w:t>940527</w:t>
    </w:r>
    <w:r w:rsidRPr="0015247F">
      <w:rPr>
        <w:sz w:val="16"/>
        <w:szCs w:val="16"/>
      </w:rPr>
      <w:tab/>
    </w:r>
  </w:p>
  <w:p w14:paraId="665BC1D9" w14:textId="586A5AF2" w:rsidR="00DA6F7F" w:rsidRPr="0015247F" w:rsidRDefault="00DA6F7F" w:rsidP="006A7E31">
    <w:pPr>
      <w:pStyle w:val="Footer"/>
      <w:tabs>
        <w:tab w:val="left" w:pos="5387"/>
      </w:tabs>
      <w:jc w:val="right"/>
      <w:rPr>
        <w:sz w:val="16"/>
        <w:szCs w:val="16"/>
      </w:rPr>
    </w:pPr>
    <w:r>
      <w:rPr>
        <w:sz w:val="16"/>
        <w:szCs w:val="16"/>
      </w:rPr>
      <w:t xml:space="preserve">Effective Date: </w:t>
    </w:r>
    <w:r w:rsidR="00C13D8B">
      <w:rPr>
        <w:sz w:val="16"/>
        <w:szCs w:val="16"/>
      </w:rPr>
      <w:t>1 January</w:t>
    </w:r>
    <w:r w:rsidR="008D5704">
      <w:rPr>
        <w:sz w:val="16"/>
        <w:szCs w:val="16"/>
      </w:rPr>
      <w:t xml:space="preserve"> </w:t>
    </w:r>
    <w:r w:rsidR="00585416">
      <w:rPr>
        <w:sz w:val="16"/>
        <w:szCs w:val="16"/>
      </w:rPr>
      <w:t>202</w:t>
    </w:r>
    <w:r w:rsidR="00C13D8B">
      <w:rPr>
        <w:sz w:val="16"/>
        <w:szCs w:val="16"/>
      </w:rPr>
      <w:t>3</w:t>
    </w:r>
  </w:p>
  <w:p w14:paraId="6823FA87" w14:textId="5B161601" w:rsidR="00DA6F7F" w:rsidRPr="003511DA" w:rsidRDefault="00DA6F7F" w:rsidP="003511DA">
    <w:pPr>
      <w:pStyle w:val="Footer"/>
      <w:jc w:val="center"/>
      <w:rPr>
        <w:sz w:val="16"/>
        <w:szCs w:val="16"/>
      </w:rPr>
    </w:pPr>
    <w:r w:rsidRPr="003511DA">
      <w:rPr>
        <w:sz w:val="16"/>
        <w:szCs w:val="16"/>
      </w:rPr>
      <w:fldChar w:fldCharType="begin"/>
    </w:r>
    <w:r w:rsidRPr="003511DA">
      <w:rPr>
        <w:sz w:val="16"/>
        <w:szCs w:val="16"/>
      </w:rPr>
      <w:instrText xml:space="preserve"> PAGE  \* Arabic  \* MERGEFORMAT </w:instrText>
    </w:r>
    <w:r w:rsidRPr="003511DA">
      <w:rPr>
        <w:sz w:val="16"/>
        <w:szCs w:val="16"/>
      </w:rPr>
      <w:fldChar w:fldCharType="separate"/>
    </w:r>
    <w:r w:rsidR="002E14AF">
      <w:rPr>
        <w:noProof/>
        <w:sz w:val="16"/>
        <w:szCs w:val="16"/>
      </w:rPr>
      <w:t>1</w:t>
    </w:r>
    <w:r w:rsidRPr="003511D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71396" w14:textId="77777777" w:rsidR="00E62549" w:rsidRDefault="00E62549">
      <w:r>
        <w:separator/>
      </w:r>
    </w:p>
    <w:p w14:paraId="2DA726CD" w14:textId="77777777" w:rsidR="00E62549" w:rsidRDefault="00E62549"/>
  </w:footnote>
  <w:footnote w:type="continuationSeparator" w:id="0">
    <w:p w14:paraId="0AFD8D93" w14:textId="77777777" w:rsidR="00E62549" w:rsidRDefault="00E62549">
      <w:r>
        <w:continuationSeparator/>
      </w:r>
    </w:p>
    <w:p w14:paraId="3C2CF4B4" w14:textId="77777777" w:rsidR="00E62549" w:rsidRDefault="00E62549"/>
  </w:footnote>
  <w:footnote w:type="continuationNotice" w:id="1">
    <w:p w14:paraId="5DCBEE84" w14:textId="77777777" w:rsidR="00E62549" w:rsidRDefault="00E6254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05B4" w14:textId="77777777" w:rsidR="0022337C" w:rsidRDefault="00223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DED7" w14:textId="77777777" w:rsidR="0022337C" w:rsidRDefault="00223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9E5A0" w14:textId="77777777" w:rsidR="0022337C" w:rsidRDefault="00223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31CE6EE"/>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FFFFFF88"/>
    <w:multiLevelType w:val="singleLevel"/>
    <w:tmpl w:val="4BAA2DE2"/>
    <w:lvl w:ilvl="0">
      <w:start w:val="1"/>
      <w:numFmt w:val="decimal"/>
      <w:pStyle w:val="ListNumber"/>
      <w:lvlText w:val="%1."/>
      <w:lvlJc w:val="left"/>
      <w:pPr>
        <w:tabs>
          <w:tab w:val="num" w:pos="360"/>
        </w:tabs>
        <w:ind w:left="360" w:hanging="360"/>
      </w:pPr>
    </w:lvl>
  </w:abstractNum>
  <w:abstractNum w:abstractNumId="2" w15:restartNumberingAfterBreak="0">
    <w:nsid w:val="03A46A45"/>
    <w:multiLevelType w:val="hybridMultilevel"/>
    <w:tmpl w:val="3D9E5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C0973"/>
    <w:multiLevelType w:val="multilevel"/>
    <w:tmpl w:val="6374D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563470"/>
    <w:multiLevelType w:val="hybridMultilevel"/>
    <w:tmpl w:val="D1A64A4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08E60F29"/>
    <w:multiLevelType w:val="hybridMultilevel"/>
    <w:tmpl w:val="9A10ED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097508CF"/>
    <w:multiLevelType w:val="hybridMultilevel"/>
    <w:tmpl w:val="565A10E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9761F15"/>
    <w:multiLevelType w:val="multilevel"/>
    <w:tmpl w:val="0EF2A3AE"/>
    <w:styleLink w:val="List1a1b1c"/>
    <w:lvl w:ilvl="0">
      <w:start w:val="1"/>
      <w:numFmt w:val="lowerLetter"/>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0C04BA6"/>
    <w:multiLevelType w:val="multilevel"/>
    <w:tmpl w:val="0EF2A3AE"/>
    <w:lvl w:ilvl="0">
      <w:start w:val="1"/>
      <w:numFmt w:val="lowerLetter"/>
      <w:pStyle w:val="List2"/>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13107623"/>
    <w:multiLevelType w:val="hybridMultilevel"/>
    <w:tmpl w:val="E9888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CE1A7D"/>
    <w:multiLevelType w:val="hybridMultilevel"/>
    <w:tmpl w:val="2DE6255C"/>
    <w:lvl w:ilvl="0" w:tplc="5ED2029C">
      <w:start w:val="1"/>
      <w:numFmt w:val="bullet"/>
      <w:pStyle w:val="ListBullet"/>
      <w:lvlText w:val=""/>
      <w:lvlJc w:val="left"/>
      <w:pPr>
        <w:tabs>
          <w:tab w:val="num" w:pos="357"/>
        </w:tabs>
        <w:ind w:left="714" w:hanging="357"/>
      </w:pPr>
      <w:rPr>
        <w:rFonts w:ascii="Symbol" w:hAnsi="Symbol" w:hint="default"/>
      </w:rPr>
    </w:lvl>
    <w:lvl w:ilvl="1" w:tplc="8DBC11DA">
      <w:start w:val="1"/>
      <w:numFmt w:val="lowerLetter"/>
      <w:pStyle w:val="Listabc"/>
      <w:lvlText w:val="%2)"/>
      <w:lvlJc w:val="left"/>
      <w:pPr>
        <w:tabs>
          <w:tab w:val="num" w:pos="1362"/>
        </w:tabs>
        <w:ind w:left="1362" w:hanging="360"/>
      </w:pPr>
      <w:rPr>
        <w:rFonts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11" w15:restartNumberingAfterBreak="0">
    <w:nsid w:val="2416289D"/>
    <w:multiLevelType w:val="hybridMultilevel"/>
    <w:tmpl w:val="8660B22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27384CB6"/>
    <w:multiLevelType w:val="hybridMultilevel"/>
    <w:tmpl w:val="D38E6ABC"/>
    <w:lvl w:ilvl="0" w:tplc="B44E83C8">
      <w:numFmt w:val="bullet"/>
      <w:lvlText w:val=""/>
      <w:lvlJc w:val="left"/>
      <w:pPr>
        <w:ind w:left="720" w:hanging="360"/>
      </w:pPr>
      <w:rPr>
        <w:rFonts w:ascii="Symbol" w:eastAsiaTheme="minorHAnsi" w:hAnsi="Symbol" w:cstheme="minorBidi" w:hint="default"/>
      </w:rPr>
    </w:lvl>
    <w:lvl w:ilvl="1" w:tplc="EBB8AED6">
      <w:numFmt w:val="bullet"/>
      <w:lvlText w:val="-"/>
      <w:lvlJc w:val="left"/>
      <w:pPr>
        <w:ind w:left="1440" w:hanging="360"/>
      </w:pPr>
      <w:rPr>
        <w:rFonts w:ascii="Garamond" w:eastAsiaTheme="minorHAnsi" w:hAnsi="Garamond" w:cs="Garamon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0F717D"/>
    <w:multiLevelType w:val="hybridMultilevel"/>
    <w:tmpl w:val="530691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E17902"/>
    <w:multiLevelType w:val="hybridMultilevel"/>
    <w:tmpl w:val="804C570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D011FE"/>
    <w:multiLevelType w:val="hybridMultilevel"/>
    <w:tmpl w:val="C56AEF7C"/>
    <w:lvl w:ilvl="0" w:tplc="EBB8AED6">
      <w:numFmt w:val="bullet"/>
      <w:lvlText w:val="-"/>
      <w:lvlJc w:val="left"/>
      <w:pPr>
        <w:ind w:left="2520" w:hanging="360"/>
      </w:pPr>
      <w:rPr>
        <w:rFonts w:ascii="Garamond" w:eastAsiaTheme="minorHAnsi" w:hAnsi="Garamond" w:cs="Garamond" w:hint="default"/>
      </w:rPr>
    </w:lvl>
    <w:lvl w:ilvl="1" w:tplc="EBB8AED6">
      <w:numFmt w:val="bullet"/>
      <w:lvlText w:val="-"/>
      <w:lvlJc w:val="left"/>
      <w:pPr>
        <w:ind w:left="3240" w:hanging="360"/>
      </w:pPr>
      <w:rPr>
        <w:rFonts w:ascii="Garamond" w:eastAsiaTheme="minorHAnsi" w:hAnsi="Garamond" w:cs="Garamond"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403B4734"/>
    <w:multiLevelType w:val="hybridMultilevel"/>
    <w:tmpl w:val="C41041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445F465D"/>
    <w:multiLevelType w:val="hybridMultilevel"/>
    <w:tmpl w:val="4F9ED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A726AA"/>
    <w:multiLevelType w:val="hybridMultilevel"/>
    <w:tmpl w:val="2760F8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E376089"/>
    <w:multiLevelType w:val="hybridMultilevel"/>
    <w:tmpl w:val="84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B967A7"/>
    <w:multiLevelType w:val="hybridMultilevel"/>
    <w:tmpl w:val="FBAED1F4"/>
    <w:lvl w:ilvl="0" w:tplc="15DCF940">
      <w:start w:val="1"/>
      <w:numFmt w:val="bullet"/>
      <w:pStyle w:val="Dotpoint"/>
      <w:lvlText w:val=""/>
      <w:lvlJc w:val="left"/>
      <w:pPr>
        <w:ind w:left="360" w:hanging="360"/>
      </w:pPr>
      <w:rPr>
        <w:rFonts w:ascii="Symbol" w:hAnsi="Symbol" w:hint="default"/>
        <w:b/>
        <w:i w:val="0"/>
        <w:color w:val="48B860"/>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476089"/>
    <w:multiLevelType w:val="hybridMultilevel"/>
    <w:tmpl w:val="ACDE6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A96ED2"/>
    <w:multiLevelType w:val="hybridMultilevel"/>
    <w:tmpl w:val="81EEEF7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 w15:restartNumberingAfterBreak="0">
    <w:nsid w:val="6F2D62B4"/>
    <w:multiLevelType w:val="hybridMultilevel"/>
    <w:tmpl w:val="BEB0FC0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727E2F17"/>
    <w:multiLevelType w:val="hybridMultilevel"/>
    <w:tmpl w:val="6650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6F2F22"/>
    <w:multiLevelType w:val="hybridMultilevel"/>
    <w:tmpl w:val="B93E1EA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7C727836"/>
    <w:multiLevelType w:val="hybridMultilevel"/>
    <w:tmpl w:val="8A1A70F8"/>
    <w:lvl w:ilvl="0" w:tplc="29EEE73C">
      <w:start w:val="1"/>
      <w:numFmt w:val="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7F984AFD"/>
    <w:multiLevelType w:val="hybridMultilevel"/>
    <w:tmpl w:val="A476B01A"/>
    <w:lvl w:ilvl="0" w:tplc="4FCCA8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8"/>
  </w:num>
  <w:num w:numId="5">
    <w:abstractNumId w:val="7"/>
  </w:num>
  <w:num w:numId="6">
    <w:abstractNumId w:val="28"/>
  </w:num>
  <w:num w:numId="7">
    <w:abstractNumId w:val="15"/>
  </w:num>
  <w:num w:numId="8">
    <w:abstractNumId w:val="22"/>
  </w:num>
  <w:num w:numId="9">
    <w:abstractNumId w:val="12"/>
  </w:num>
  <w:num w:numId="10">
    <w:abstractNumId w:val="19"/>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21"/>
  </w:num>
  <w:num w:numId="21">
    <w:abstractNumId w:val="29"/>
  </w:num>
  <w:num w:numId="22">
    <w:abstractNumId w:val="13"/>
  </w:num>
  <w:num w:numId="23">
    <w:abstractNumId w:val="10"/>
  </w:num>
  <w:num w:numId="24">
    <w:abstractNumId w:val="10"/>
  </w:num>
  <w:num w:numId="25">
    <w:abstractNumId w:val="17"/>
  </w:num>
  <w:num w:numId="26">
    <w:abstractNumId w:val="26"/>
  </w:num>
  <w:num w:numId="27">
    <w:abstractNumId w:val="18"/>
  </w:num>
  <w:num w:numId="28">
    <w:abstractNumId w:val="5"/>
  </w:num>
  <w:num w:numId="29">
    <w:abstractNumId w:val="16"/>
  </w:num>
  <w:num w:numId="30">
    <w:abstractNumId w:val="20"/>
  </w:num>
  <w:num w:numId="31">
    <w:abstractNumId w:val="14"/>
  </w:num>
  <w:num w:numId="32">
    <w:abstractNumId w:val="27"/>
  </w:num>
  <w:num w:numId="33">
    <w:abstractNumId w:val="25"/>
  </w:num>
  <w:num w:numId="34">
    <w:abstractNumId w:val="11"/>
  </w:num>
  <w:num w:numId="35">
    <w:abstractNumId w:val="6"/>
  </w:num>
  <w:num w:numId="36">
    <w:abstractNumId w:val="4"/>
  </w:num>
  <w:num w:numId="37">
    <w:abstractNumId w:val="2"/>
  </w:num>
  <w:num w:numId="38">
    <w:abstractNumId w:val="23"/>
  </w:num>
  <w:num w:numId="39">
    <w:abstractNumId w:val="9"/>
  </w:num>
  <w:num w:numId="4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AU" w:vendorID="64" w:dllVersion="6" w:nlCheck="1" w:checkStyle="1"/>
  <w:activeWritingStyle w:appName="MSWord" w:lang="en-US" w:vendorID="64" w:dllVersion="6"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39b54a,#1869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F5"/>
    <w:rsid w:val="00001ED0"/>
    <w:rsid w:val="00002A2C"/>
    <w:rsid w:val="0000545D"/>
    <w:rsid w:val="0001306D"/>
    <w:rsid w:val="000148A4"/>
    <w:rsid w:val="00014ECD"/>
    <w:rsid w:val="00016CD9"/>
    <w:rsid w:val="00022D4A"/>
    <w:rsid w:val="00024E82"/>
    <w:rsid w:val="00030930"/>
    <w:rsid w:val="000312AA"/>
    <w:rsid w:val="0003447E"/>
    <w:rsid w:val="00037C03"/>
    <w:rsid w:val="0004154B"/>
    <w:rsid w:val="000421D4"/>
    <w:rsid w:val="0004391C"/>
    <w:rsid w:val="00043F7B"/>
    <w:rsid w:val="000462E1"/>
    <w:rsid w:val="00051119"/>
    <w:rsid w:val="00051284"/>
    <w:rsid w:val="00051900"/>
    <w:rsid w:val="00052E5A"/>
    <w:rsid w:val="000530DC"/>
    <w:rsid w:val="00053875"/>
    <w:rsid w:val="00053A9F"/>
    <w:rsid w:val="000555B3"/>
    <w:rsid w:val="00061FDD"/>
    <w:rsid w:val="000629EB"/>
    <w:rsid w:val="0006416C"/>
    <w:rsid w:val="0006449D"/>
    <w:rsid w:val="000656CE"/>
    <w:rsid w:val="00065DED"/>
    <w:rsid w:val="000665E5"/>
    <w:rsid w:val="00066743"/>
    <w:rsid w:val="00070003"/>
    <w:rsid w:val="00075159"/>
    <w:rsid w:val="00082293"/>
    <w:rsid w:val="000868F1"/>
    <w:rsid w:val="00087EE0"/>
    <w:rsid w:val="00091029"/>
    <w:rsid w:val="000921E0"/>
    <w:rsid w:val="00093BC7"/>
    <w:rsid w:val="000951D8"/>
    <w:rsid w:val="000961EA"/>
    <w:rsid w:val="000962E9"/>
    <w:rsid w:val="00097A3A"/>
    <w:rsid w:val="000A0F5A"/>
    <w:rsid w:val="000A0F60"/>
    <w:rsid w:val="000A2106"/>
    <w:rsid w:val="000A2D52"/>
    <w:rsid w:val="000A579D"/>
    <w:rsid w:val="000A5B16"/>
    <w:rsid w:val="000B0DAD"/>
    <w:rsid w:val="000B1D00"/>
    <w:rsid w:val="000B3E4E"/>
    <w:rsid w:val="000B4BFE"/>
    <w:rsid w:val="000B5F3B"/>
    <w:rsid w:val="000B6522"/>
    <w:rsid w:val="000B7029"/>
    <w:rsid w:val="000B70AE"/>
    <w:rsid w:val="000C021B"/>
    <w:rsid w:val="000C1DB2"/>
    <w:rsid w:val="000C252B"/>
    <w:rsid w:val="000C5DBA"/>
    <w:rsid w:val="000C5F80"/>
    <w:rsid w:val="000D35F4"/>
    <w:rsid w:val="000D5683"/>
    <w:rsid w:val="000D56F1"/>
    <w:rsid w:val="000D6C9A"/>
    <w:rsid w:val="000D6F5B"/>
    <w:rsid w:val="000D7C6F"/>
    <w:rsid w:val="000E0418"/>
    <w:rsid w:val="000E0F58"/>
    <w:rsid w:val="000E24FD"/>
    <w:rsid w:val="000E3AA9"/>
    <w:rsid w:val="000E42B0"/>
    <w:rsid w:val="000E57DB"/>
    <w:rsid w:val="000E6690"/>
    <w:rsid w:val="000F3964"/>
    <w:rsid w:val="000F41B1"/>
    <w:rsid w:val="000F5B10"/>
    <w:rsid w:val="000F6A74"/>
    <w:rsid w:val="00103948"/>
    <w:rsid w:val="00103DAD"/>
    <w:rsid w:val="001101E3"/>
    <w:rsid w:val="00110C28"/>
    <w:rsid w:val="00111860"/>
    <w:rsid w:val="00113449"/>
    <w:rsid w:val="00113E6B"/>
    <w:rsid w:val="00126062"/>
    <w:rsid w:val="001266F1"/>
    <w:rsid w:val="00127383"/>
    <w:rsid w:val="001300E2"/>
    <w:rsid w:val="00132EED"/>
    <w:rsid w:val="00137233"/>
    <w:rsid w:val="001409AC"/>
    <w:rsid w:val="00141147"/>
    <w:rsid w:val="00144A9D"/>
    <w:rsid w:val="00145B1F"/>
    <w:rsid w:val="00146AF9"/>
    <w:rsid w:val="00147B8E"/>
    <w:rsid w:val="001500AA"/>
    <w:rsid w:val="00151F1F"/>
    <w:rsid w:val="001552FB"/>
    <w:rsid w:val="00155F62"/>
    <w:rsid w:val="00156E05"/>
    <w:rsid w:val="00156E5C"/>
    <w:rsid w:val="001576C8"/>
    <w:rsid w:val="00160B11"/>
    <w:rsid w:val="001633B6"/>
    <w:rsid w:val="00164A85"/>
    <w:rsid w:val="00170678"/>
    <w:rsid w:val="00174E70"/>
    <w:rsid w:val="001776B7"/>
    <w:rsid w:val="00180122"/>
    <w:rsid w:val="00190391"/>
    <w:rsid w:val="001906DA"/>
    <w:rsid w:val="001918CE"/>
    <w:rsid w:val="00191CC9"/>
    <w:rsid w:val="00193D9F"/>
    <w:rsid w:val="00194131"/>
    <w:rsid w:val="0019503D"/>
    <w:rsid w:val="00195785"/>
    <w:rsid w:val="00196C20"/>
    <w:rsid w:val="00197FAB"/>
    <w:rsid w:val="001A0B0D"/>
    <w:rsid w:val="001A295E"/>
    <w:rsid w:val="001A3FAA"/>
    <w:rsid w:val="001A4892"/>
    <w:rsid w:val="001A4FF9"/>
    <w:rsid w:val="001A549D"/>
    <w:rsid w:val="001A5541"/>
    <w:rsid w:val="001A5B64"/>
    <w:rsid w:val="001A689D"/>
    <w:rsid w:val="001A6F2D"/>
    <w:rsid w:val="001B14FB"/>
    <w:rsid w:val="001B22E1"/>
    <w:rsid w:val="001B2358"/>
    <w:rsid w:val="001B38A9"/>
    <w:rsid w:val="001B39F8"/>
    <w:rsid w:val="001B3DAD"/>
    <w:rsid w:val="001C24C1"/>
    <w:rsid w:val="001C2A5E"/>
    <w:rsid w:val="001C4B61"/>
    <w:rsid w:val="001C516F"/>
    <w:rsid w:val="001C70B6"/>
    <w:rsid w:val="001C78E8"/>
    <w:rsid w:val="001D12D5"/>
    <w:rsid w:val="001D69FA"/>
    <w:rsid w:val="001D6C78"/>
    <w:rsid w:val="001E01CF"/>
    <w:rsid w:val="001E0CD9"/>
    <w:rsid w:val="001E4B27"/>
    <w:rsid w:val="001E7ADA"/>
    <w:rsid w:val="001F179D"/>
    <w:rsid w:val="001F40EE"/>
    <w:rsid w:val="001F5500"/>
    <w:rsid w:val="001F5A01"/>
    <w:rsid w:val="001F62FC"/>
    <w:rsid w:val="00200FCC"/>
    <w:rsid w:val="00202944"/>
    <w:rsid w:val="00202A8C"/>
    <w:rsid w:val="002050B5"/>
    <w:rsid w:val="00212809"/>
    <w:rsid w:val="00212989"/>
    <w:rsid w:val="0021332D"/>
    <w:rsid w:val="0021363E"/>
    <w:rsid w:val="002145C8"/>
    <w:rsid w:val="00215E9F"/>
    <w:rsid w:val="002219D2"/>
    <w:rsid w:val="00222E6D"/>
    <w:rsid w:val="002232FD"/>
    <w:rsid w:val="0022337C"/>
    <w:rsid w:val="0022586D"/>
    <w:rsid w:val="002262AE"/>
    <w:rsid w:val="00227CFE"/>
    <w:rsid w:val="00231486"/>
    <w:rsid w:val="00231A92"/>
    <w:rsid w:val="00233239"/>
    <w:rsid w:val="002348BF"/>
    <w:rsid w:val="00237D7C"/>
    <w:rsid w:val="00237E1D"/>
    <w:rsid w:val="00240C15"/>
    <w:rsid w:val="00243B02"/>
    <w:rsid w:val="002458C7"/>
    <w:rsid w:val="00246655"/>
    <w:rsid w:val="00255A77"/>
    <w:rsid w:val="00255A9A"/>
    <w:rsid w:val="00257EDE"/>
    <w:rsid w:val="002613F7"/>
    <w:rsid w:val="00262A40"/>
    <w:rsid w:val="0026346D"/>
    <w:rsid w:val="002714B8"/>
    <w:rsid w:val="00271F52"/>
    <w:rsid w:val="002749A7"/>
    <w:rsid w:val="00276143"/>
    <w:rsid w:val="00276A50"/>
    <w:rsid w:val="00276FA0"/>
    <w:rsid w:val="002773A2"/>
    <w:rsid w:val="0028103E"/>
    <w:rsid w:val="00282FD8"/>
    <w:rsid w:val="00283858"/>
    <w:rsid w:val="0028487B"/>
    <w:rsid w:val="00290FF9"/>
    <w:rsid w:val="00293C28"/>
    <w:rsid w:val="00293C83"/>
    <w:rsid w:val="002943D5"/>
    <w:rsid w:val="00297252"/>
    <w:rsid w:val="002A05A4"/>
    <w:rsid w:val="002A2E5C"/>
    <w:rsid w:val="002A5C80"/>
    <w:rsid w:val="002A7845"/>
    <w:rsid w:val="002B0EB8"/>
    <w:rsid w:val="002B1A70"/>
    <w:rsid w:val="002B2D51"/>
    <w:rsid w:val="002B4ACD"/>
    <w:rsid w:val="002B6E69"/>
    <w:rsid w:val="002B7276"/>
    <w:rsid w:val="002C369D"/>
    <w:rsid w:val="002C3D57"/>
    <w:rsid w:val="002C6FB5"/>
    <w:rsid w:val="002C7C32"/>
    <w:rsid w:val="002D2DD1"/>
    <w:rsid w:val="002D612A"/>
    <w:rsid w:val="002E1381"/>
    <w:rsid w:val="002E14AF"/>
    <w:rsid w:val="002E2993"/>
    <w:rsid w:val="002E3382"/>
    <w:rsid w:val="002E3A6E"/>
    <w:rsid w:val="002E5190"/>
    <w:rsid w:val="002F1741"/>
    <w:rsid w:val="002F20BB"/>
    <w:rsid w:val="002F2594"/>
    <w:rsid w:val="002F2C82"/>
    <w:rsid w:val="002F3336"/>
    <w:rsid w:val="002F522B"/>
    <w:rsid w:val="00301EBC"/>
    <w:rsid w:val="00302565"/>
    <w:rsid w:val="003028A3"/>
    <w:rsid w:val="00302B34"/>
    <w:rsid w:val="00303A0E"/>
    <w:rsid w:val="00303BA2"/>
    <w:rsid w:val="00304997"/>
    <w:rsid w:val="00304CD7"/>
    <w:rsid w:val="00304DE5"/>
    <w:rsid w:val="00305BA4"/>
    <w:rsid w:val="00305C85"/>
    <w:rsid w:val="0030646E"/>
    <w:rsid w:val="00311514"/>
    <w:rsid w:val="00312B04"/>
    <w:rsid w:val="00312C10"/>
    <w:rsid w:val="00314F49"/>
    <w:rsid w:val="00315C5F"/>
    <w:rsid w:val="003217EA"/>
    <w:rsid w:val="00322E01"/>
    <w:rsid w:val="00323D95"/>
    <w:rsid w:val="00327574"/>
    <w:rsid w:val="00327C85"/>
    <w:rsid w:val="0033140F"/>
    <w:rsid w:val="00332540"/>
    <w:rsid w:val="0033479E"/>
    <w:rsid w:val="00334C85"/>
    <w:rsid w:val="00340E4C"/>
    <w:rsid w:val="00341648"/>
    <w:rsid w:val="00341B8F"/>
    <w:rsid w:val="0034605D"/>
    <w:rsid w:val="0034683D"/>
    <w:rsid w:val="00347DC3"/>
    <w:rsid w:val="00350A8B"/>
    <w:rsid w:val="00350FC8"/>
    <w:rsid w:val="003511DA"/>
    <w:rsid w:val="0035201C"/>
    <w:rsid w:val="00360829"/>
    <w:rsid w:val="00361CF9"/>
    <w:rsid w:val="00365EBF"/>
    <w:rsid w:val="003718F0"/>
    <w:rsid w:val="00373407"/>
    <w:rsid w:val="003748F8"/>
    <w:rsid w:val="00375373"/>
    <w:rsid w:val="003757B3"/>
    <w:rsid w:val="0037709C"/>
    <w:rsid w:val="00380C00"/>
    <w:rsid w:val="00380C16"/>
    <w:rsid w:val="003853CA"/>
    <w:rsid w:val="00391E64"/>
    <w:rsid w:val="00394050"/>
    <w:rsid w:val="00394EA8"/>
    <w:rsid w:val="00396663"/>
    <w:rsid w:val="00396CD3"/>
    <w:rsid w:val="003A1B98"/>
    <w:rsid w:val="003A7219"/>
    <w:rsid w:val="003A7B11"/>
    <w:rsid w:val="003B0754"/>
    <w:rsid w:val="003B09D9"/>
    <w:rsid w:val="003B7850"/>
    <w:rsid w:val="003B7A07"/>
    <w:rsid w:val="003C0BF9"/>
    <w:rsid w:val="003C1C94"/>
    <w:rsid w:val="003C2519"/>
    <w:rsid w:val="003C3946"/>
    <w:rsid w:val="003C4577"/>
    <w:rsid w:val="003C6597"/>
    <w:rsid w:val="003D2BCA"/>
    <w:rsid w:val="003D3990"/>
    <w:rsid w:val="003D5AF4"/>
    <w:rsid w:val="003D73AC"/>
    <w:rsid w:val="003D7C2F"/>
    <w:rsid w:val="003E0D6A"/>
    <w:rsid w:val="003E2ADF"/>
    <w:rsid w:val="003E3DEC"/>
    <w:rsid w:val="003E4997"/>
    <w:rsid w:val="003E75D1"/>
    <w:rsid w:val="003F3EAD"/>
    <w:rsid w:val="003F4C74"/>
    <w:rsid w:val="003F5316"/>
    <w:rsid w:val="003F5456"/>
    <w:rsid w:val="004017E3"/>
    <w:rsid w:val="00401AB7"/>
    <w:rsid w:val="0040221F"/>
    <w:rsid w:val="004045C4"/>
    <w:rsid w:val="00406F36"/>
    <w:rsid w:val="004100C8"/>
    <w:rsid w:val="004109E4"/>
    <w:rsid w:val="00410A60"/>
    <w:rsid w:val="0041223B"/>
    <w:rsid w:val="004163A3"/>
    <w:rsid w:val="00416835"/>
    <w:rsid w:val="00416DE6"/>
    <w:rsid w:val="0042100D"/>
    <w:rsid w:val="00422F8F"/>
    <w:rsid w:val="0042605A"/>
    <w:rsid w:val="00427E22"/>
    <w:rsid w:val="00430261"/>
    <w:rsid w:val="00430498"/>
    <w:rsid w:val="004315E4"/>
    <w:rsid w:val="00432E08"/>
    <w:rsid w:val="00433FDE"/>
    <w:rsid w:val="00434776"/>
    <w:rsid w:val="00434E37"/>
    <w:rsid w:val="0043748C"/>
    <w:rsid w:val="004374F6"/>
    <w:rsid w:val="004376FC"/>
    <w:rsid w:val="00437EC7"/>
    <w:rsid w:val="00440890"/>
    <w:rsid w:val="00442740"/>
    <w:rsid w:val="00443CA4"/>
    <w:rsid w:val="00445026"/>
    <w:rsid w:val="004467EF"/>
    <w:rsid w:val="004501B6"/>
    <w:rsid w:val="00450476"/>
    <w:rsid w:val="00451B1E"/>
    <w:rsid w:val="0045397A"/>
    <w:rsid w:val="00455896"/>
    <w:rsid w:val="00456CB1"/>
    <w:rsid w:val="004604C9"/>
    <w:rsid w:val="00462205"/>
    <w:rsid w:val="004659FB"/>
    <w:rsid w:val="00470766"/>
    <w:rsid w:val="0047387D"/>
    <w:rsid w:val="00473BBD"/>
    <w:rsid w:val="004757B7"/>
    <w:rsid w:val="00482D68"/>
    <w:rsid w:val="004869C8"/>
    <w:rsid w:val="00486C63"/>
    <w:rsid w:val="00487FF9"/>
    <w:rsid w:val="00490A06"/>
    <w:rsid w:val="0049166A"/>
    <w:rsid w:val="0049352E"/>
    <w:rsid w:val="004935D8"/>
    <w:rsid w:val="00494459"/>
    <w:rsid w:val="0049573F"/>
    <w:rsid w:val="004A0D8D"/>
    <w:rsid w:val="004A2FB8"/>
    <w:rsid w:val="004A3003"/>
    <w:rsid w:val="004A42B9"/>
    <w:rsid w:val="004A5792"/>
    <w:rsid w:val="004B15DD"/>
    <w:rsid w:val="004B2B2C"/>
    <w:rsid w:val="004B33F7"/>
    <w:rsid w:val="004B4DD8"/>
    <w:rsid w:val="004B631B"/>
    <w:rsid w:val="004B6957"/>
    <w:rsid w:val="004B7718"/>
    <w:rsid w:val="004B7D11"/>
    <w:rsid w:val="004C01A3"/>
    <w:rsid w:val="004C20DC"/>
    <w:rsid w:val="004C22A1"/>
    <w:rsid w:val="004C258E"/>
    <w:rsid w:val="004C385D"/>
    <w:rsid w:val="004C4103"/>
    <w:rsid w:val="004C6671"/>
    <w:rsid w:val="004C7B7A"/>
    <w:rsid w:val="004D0EBD"/>
    <w:rsid w:val="004D30E9"/>
    <w:rsid w:val="004D656B"/>
    <w:rsid w:val="004D6B20"/>
    <w:rsid w:val="004D7F9B"/>
    <w:rsid w:val="004E0715"/>
    <w:rsid w:val="004E1EE2"/>
    <w:rsid w:val="004E2788"/>
    <w:rsid w:val="004E3240"/>
    <w:rsid w:val="004E405C"/>
    <w:rsid w:val="004E484D"/>
    <w:rsid w:val="004E5F5D"/>
    <w:rsid w:val="004E7BBE"/>
    <w:rsid w:val="004F4308"/>
    <w:rsid w:val="004F43CF"/>
    <w:rsid w:val="004F447B"/>
    <w:rsid w:val="004F4C66"/>
    <w:rsid w:val="004F5BC2"/>
    <w:rsid w:val="004F6ECE"/>
    <w:rsid w:val="00500099"/>
    <w:rsid w:val="005003D2"/>
    <w:rsid w:val="005014B7"/>
    <w:rsid w:val="00503EB1"/>
    <w:rsid w:val="0050433B"/>
    <w:rsid w:val="005049BF"/>
    <w:rsid w:val="00505D70"/>
    <w:rsid w:val="005072C5"/>
    <w:rsid w:val="00511BEB"/>
    <w:rsid w:val="00513376"/>
    <w:rsid w:val="0051368A"/>
    <w:rsid w:val="00513851"/>
    <w:rsid w:val="00515FF7"/>
    <w:rsid w:val="00516E5B"/>
    <w:rsid w:val="005202A3"/>
    <w:rsid w:val="00521784"/>
    <w:rsid w:val="00522D44"/>
    <w:rsid w:val="0052339B"/>
    <w:rsid w:val="00523689"/>
    <w:rsid w:val="005237CB"/>
    <w:rsid w:val="00523B8E"/>
    <w:rsid w:val="00523F89"/>
    <w:rsid w:val="00523FCC"/>
    <w:rsid w:val="00526942"/>
    <w:rsid w:val="005269CA"/>
    <w:rsid w:val="00530D52"/>
    <w:rsid w:val="00532299"/>
    <w:rsid w:val="00534300"/>
    <w:rsid w:val="0053557E"/>
    <w:rsid w:val="00536836"/>
    <w:rsid w:val="00536AB9"/>
    <w:rsid w:val="005372F1"/>
    <w:rsid w:val="00541E77"/>
    <w:rsid w:val="00544E95"/>
    <w:rsid w:val="00546501"/>
    <w:rsid w:val="00546BCA"/>
    <w:rsid w:val="005479AA"/>
    <w:rsid w:val="00547CC8"/>
    <w:rsid w:val="00551049"/>
    <w:rsid w:val="005523BE"/>
    <w:rsid w:val="00552EA6"/>
    <w:rsid w:val="0056048B"/>
    <w:rsid w:val="00562E70"/>
    <w:rsid w:val="00564F3B"/>
    <w:rsid w:val="005658D3"/>
    <w:rsid w:val="00566DC1"/>
    <w:rsid w:val="00570C56"/>
    <w:rsid w:val="00570CB4"/>
    <w:rsid w:val="00572AE4"/>
    <w:rsid w:val="00572AE5"/>
    <w:rsid w:val="005746D2"/>
    <w:rsid w:val="00574E08"/>
    <w:rsid w:val="00574EAD"/>
    <w:rsid w:val="00580CB3"/>
    <w:rsid w:val="00582C49"/>
    <w:rsid w:val="00582D01"/>
    <w:rsid w:val="00584084"/>
    <w:rsid w:val="00585236"/>
    <w:rsid w:val="00585416"/>
    <w:rsid w:val="00585DDB"/>
    <w:rsid w:val="0058679B"/>
    <w:rsid w:val="005925CD"/>
    <w:rsid w:val="005A466D"/>
    <w:rsid w:val="005A5914"/>
    <w:rsid w:val="005A5AED"/>
    <w:rsid w:val="005A62F7"/>
    <w:rsid w:val="005A67CB"/>
    <w:rsid w:val="005A79AE"/>
    <w:rsid w:val="005B14AE"/>
    <w:rsid w:val="005B30B5"/>
    <w:rsid w:val="005B41A7"/>
    <w:rsid w:val="005B51B6"/>
    <w:rsid w:val="005C1E0C"/>
    <w:rsid w:val="005C25E0"/>
    <w:rsid w:val="005D04F3"/>
    <w:rsid w:val="005D0A01"/>
    <w:rsid w:val="005D0EF5"/>
    <w:rsid w:val="005D2019"/>
    <w:rsid w:val="005D7AC1"/>
    <w:rsid w:val="005E0980"/>
    <w:rsid w:val="005E5FAC"/>
    <w:rsid w:val="005E6D87"/>
    <w:rsid w:val="005E7874"/>
    <w:rsid w:val="005F00D9"/>
    <w:rsid w:val="005F1FB9"/>
    <w:rsid w:val="005F2FEB"/>
    <w:rsid w:val="005F3186"/>
    <w:rsid w:val="005F34F3"/>
    <w:rsid w:val="005F4A58"/>
    <w:rsid w:val="005F606E"/>
    <w:rsid w:val="006012D2"/>
    <w:rsid w:val="00601AC4"/>
    <w:rsid w:val="00602124"/>
    <w:rsid w:val="00602423"/>
    <w:rsid w:val="0060681B"/>
    <w:rsid w:val="006106F9"/>
    <w:rsid w:val="00610C48"/>
    <w:rsid w:val="00611E16"/>
    <w:rsid w:val="00615C1E"/>
    <w:rsid w:val="006171C4"/>
    <w:rsid w:val="00620F92"/>
    <w:rsid w:val="006224C6"/>
    <w:rsid w:val="00623924"/>
    <w:rsid w:val="006249CF"/>
    <w:rsid w:val="0062585B"/>
    <w:rsid w:val="00626566"/>
    <w:rsid w:val="00626D57"/>
    <w:rsid w:val="00634774"/>
    <w:rsid w:val="00642304"/>
    <w:rsid w:val="00642582"/>
    <w:rsid w:val="00643DF8"/>
    <w:rsid w:val="006447F9"/>
    <w:rsid w:val="00646C0F"/>
    <w:rsid w:val="00650540"/>
    <w:rsid w:val="0065358C"/>
    <w:rsid w:val="0065556A"/>
    <w:rsid w:val="0065728C"/>
    <w:rsid w:val="0065732A"/>
    <w:rsid w:val="0066024C"/>
    <w:rsid w:val="0066561F"/>
    <w:rsid w:val="00665BB5"/>
    <w:rsid w:val="00666603"/>
    <w:rsid w:val="006712D7"/>
    <w:rsid w:val="006724BF"/>
    <w:rsid w:val="00672927"/>
    <w:rsid w:val="00672A48"/>
    <w:rsid w:val="00674FBC"/>
    <w:rsid w:val="00676041"/>
    <w:rsid w:val="00684EAD"/>
    <w:rsid w:val="00685C46"/>
    <w:rsid w:val="00691B40"/>
    <w:rsid w:val="00692B34"/>
    <w:rsid w:val="00693626"/>
    <w:rsid w:val="006966CC"/>
    <w:rsid w:val="006A76C3"/>
    <w:rsid w:val="006A7CD0"/>
    <w:rsid w:val="006A7E31"/>
    <w:rsid w:val="006B168E"/>
    <w:rsid w:val="006B6B9B"/>
    <w:rsid w:val="006B6CE6"/>
    <w:rsid w:val="006B7F21"/>
    <w:rsid w:val="006C0880"/>
    <w:rsid w:val="006C1B3D"/>
    <w:rsid w:val="006C2E62"/>
    <w:rsid w:val="006C353D"/>
    <w:rsid w:val="006C4D3F"/>
    <w:rsid w:val="006D0A68"/>
    <w:rsid w:val="006D160C"/>
    <w:rsid w:val="006D364A"/>
    <w:rsid w:val="006D3BD8"/>
    <w:rsid w:val="006D4521"/>
    <w:rsid w:val="006D4952"/>
    <w:rsid w:val="006D4EBB"/>
    <w:rsid w:val="006D566F"/>
    <w:rsid w:val="006D795A"/>
    <w:rsid w:val="006D7BC6"/>
    <w:rsid w:val="006E036F"/>
    <w:rsid w:val="006E07EB"/>
    <w:rsid w:val="006E1067"/>
    <w:rsid w:val="006E212B"/>
    <w:rsid w:val="006E2B49"/>
    <w:rsid w:val="006E3D7F"/>
    <w:rsid w:val="006E4B6B"/>
    <w:rsid w:val="006E586D"/>
    <w:rsid w:val="006E6F99"/>
    <w:rsid w:val="006E7592"/>
    <w:rsid w:val="006E77A9"/>
    <w:rsid w:val="006F00BD"/>
    <w:rsid w:val="006F11CD"/>
    <w:rsid w:val="00701CFA"/>
    <w:rsid w:val="00703115"/>
    <w:rsid w:val="0070312A"/>
    <w:rsid w:val="00704CE7"/>
    <w:rsid w:val="00705318"/>
    <w:rsid w:val="00705DDA"/>
    <w:rsid w:val="007073F5"/>
    <w:rsid w:val="007108A2"/>
    <w:rsid w:val="007119B7"/>
    <w:rsid w:val="00712A13"/>
    <w:rsid w:val="00713767"/>
    <w:rsid w:val="00717DFE"/>
    <w:rsid w:val="007201EF"/>
    <w:rsid w:val="007203BA"/>
    <w:rsid w:val="0072250C"/>
    <w:rsid w:val="00725BA6"/>
    <w:rsid w:val="00727275"/>
    <w:rsid w:val="00730E7F"/>
    <w:rsid w:val="007331F0"/>
    <w:rsid w:val="007342E8"/>
    <w:rsid w:val="0073442A"/>
    <w:rsid w:val="007353E6"/>
    <w:rsid w:val="00735C67"/>
    <w:rsid w:val="007372B4"/>
    <w:rsid w:val="00740454"/>
    <w:rsid w:val="00742213"/>
    <w:rsid w:val="00743799"/>
    <w:rsid w:val="00746C1C"/>
    <w:rsid w:val="00746F55"/>
    <w:rsid w:val="00753A51"/>
    <w:rsid w:val="00755EDF"/>
    <w:rsid w:val="007562E0"/>
    <w:rsid w:val="0075694C"/>
    <w:rsid w:val="00756DC4"/>
    <w:rsid w:val="007600AB"/>
    <w:rsid w:val="007618BB"/>
    <w:rsid w:val="00762077"/>
    <w:rsid w:val="007634FA"/>
    <w:rsid w:val="00763C05"/>
    <w:rsid w:val="007640C1"/>
    <w:rsid w:val="0076609A"/>
    <w:rsid w:val="00767989"/>
    <w:rsid w:val="00777219"/>
    <w:rsid w:val="007779B8"/>
    <w:rsid w:val="0078027A"/>
    <w:rsid w:val="00780E30"/>
    <w:rsid w:val="00783554"/>
    <w:rsid w:val="00785F05"/>
    <w:rsid w:val="00787233"/>
    <w:rsid w:val="007908AF"/>
    <w:rsid w:val="00790E68"/>
    <w:rsid w:val="00791D2D"/>
    <w:rsid w:val="00792024"/>
    <w:rsid w:val="00794BC0"/>
    <w:rsid w:val="00794DE1"/>
    <w:rsid w:val="007955AF"/>
    <w:rsid w:val="0079605E"/>
    <w:rsid w:val="00797982"/>
    <w:rsid w:val="00797FD9"/>
    <w:rsid w:val="007A0293"/>
    <w:rsid w:val="007A164D"/>
    <w:rsid w:val="007A218D"/>
    <w:rsid w:val="007A337E"/>
    <w:rsid w:val="007A5C32"/>
    <w:rsid w:val="007A73B6"/>
    <w:rsid w:val="007B1EC9"/>
    <w:rsid w:val="007B216E"/>
    <w:rsid w:val="007B54FF"/>
    <w:rsid w:val="007B630A"/>
    <w:rsid w:val="007B63A6"/>
    <w:rsid w:val="007B653C"/>
    <w:rsid w:val="007B6676"/>
    <w:rsid w:val="007B6A59"/>
    <w:rsid w:val="007C1A39"/>
    <w:rsid w:val="007C26E0"/>
    <w:rsid w:val="007C28F5"/>
    <w:rsid w:val="007C2D7E"/>
    <w:rsid w:val="007C3212"/>
    <w:rsid w:val="007C4C5D"/>
    <w:rsid w:val="007C5B14"/>
    <w:rsid w:val="007C5BB9"/>
    <w:rsid w:val="007D1DFF"/>
    <w:rsid w:val="007D49B0"/>
    <w:rsid w:val="007D5227"/>
    <w:rsid w:val="007E15BF"/>
    <w:rsid w:val="007E3BBE"/>
    <w:rsid w:val="007E5393"/>
    <w:rsid w:val="007E5B52"/>
    <w:rsid w:val="007F05A8"/>
    <w:rsid w:val="007F0DEF"/>
    <w:rsid w:val="007F1D17"/>
    <w:rsid w:val="007F3135"/>
    <w:rsid w:val="007F3155"/>
    <w:rsid w:val="007F3527"/>
    <w:rsid w:val="007F3C07"/>
    <w:rsid w:val="007F4069"/>
    <w:rsid w:val="007F595F"/>
    <w:rsid w:val="007F7190"/>
    <w:rsid w:val="00806107"/>
    <w:rsid w:val="008138FD"/>
    <w:rsid w:val="0081707D"/>
    <w:rsid w:val="00821645"/>
    <w:rsid w:val="00821CC0"/>
    <w:rsid w:val="00822BC0"/>
    <w:rsid w:val="00823C1B"/>
    <w:rsid w:val="00825165"/>
    <w:rsid w:val="008276C9"/>
    <w:rsid w:val="00827BFB"/>
    <w:rsid w:val="008309F1"/>
    <w:rsid w:val="00830B7F"/>
    <w:rsid w:val="00832320"/>
    <w:rsid w:val="00833D89"/>
    <w:rsid w:val="00836DA5"/>
    <w:rsid w:val="008379AE"/>
    <w:rsid w:val="00840FCD"/>
    <w:rsid w:val="0084603F"/>
    <w:rsid w:val="00850A05"/>
    <w:rsid w:val="0085636D"/>
    <w:rsid w:val="00856506"/>
    <w:rsid w:val="00857EC1"/>
    <w:rsid w:val="0086021E"/>
    <w:rsid w:val="00862347"/>
    <w:rsid w:val="008631A7"/>
    <w:rsid w:val="00864121"/>
    <w:rsid w:val="00864222"/>
    <w:rsid w:val="00866008"/>
    <w:rsid w:val="00867009"/>
    <w:rsid w:val="00867FF2"/>
    <w:rsid w:val="008711AD"/>
    <w:rsid w:val="0087271F"/>
    <w:rsid w:val="00874CFA"/>
    <w:rsid w:val="00875BAF"/>
    <w:rsid w:val="008771BE"/>
    <w:rsid w:val="008826EB"/>
    <w:rsid w:val="00884146"/>
    <w:rsid w:val="0088550C"/>
    <w:rsid w:val="00890053"/>
    <w:rsid w:val="008925E4"/>
    <w:rsid w:val="00897E67"/>
    <w:rsid w:val="008A0499"/>
    <w:rsid w:val="008A1826"/>
    <w:rsid w:val="008A3D63"/>
    <w:rsid w:val="008A4F21"/>
    <w:rsid w:val="008B0F17"/>
    <w:rsid w:val="008B2356"/>
    <w:rsid w:val="008B595B"/>
    <w:rsid w:val="008B5A14"/>
    <w:rsid w:val="008B5CBE"/>
    <w:rsid w:val="008B60DC"/>
    <w:rsid w:val="008B764D"/>
    <w:rsid w:val="008B7CA2"/>
    <w:rsid w:val="008B7E1E"/>
    <w:rsid w:val="008C265D"/>
    <w:rsid w:val="008C2C10"/>
    <w:rsid w:val="008C3491"/>
    <w:rsid w:val="008C3E4A"/>
    <w:rsid w:val="008C4205"/>
    <w:rsid w:val="008C5299"/>
    <w:rsid w:val="008D19BF"/>
    <w:rsid w:val="008D5704"/>
    <w:rsid w:val="008D67C7"/>
    <w:rsid w:val="008D68BC"/>
    <w:rsid w:val="008D6B0D"/>
    <w:rsid w:val="008D6E69"/>
    <w:rsid w:val="008E21E8"/>
    <w:rsid w:val="008E2254"/>
    <w:rsid w:val="008E22DA"/>
    <w:rsid w:val="008E30D2"/>
    <w:rsid w:val="008E3B35"/>
    <w:rsid w:val="008E5349"/>
    <w:rsid w:val="008E5FCD"/>
    <w:rsid w:val="008E772F"/>
    <w:rsid w:val="008F30AF"/>
    <w:rsid w:val="008F47AA"/>
    <w:rsid w:val="008F685A"/>
    <w:rsid w:val="008F77E0"/>
    <w:rsid w:val="0090089A"/>
    <w:rsid w:val="00902051"/>
    <w:rsid w:val="0090360C"/>
    <w:rsid w:val="00907EFD"/>
    <w:rsid w:val="00907F57"/>
    <w:rsid w:val="00912BE3"/>
    <w:rsid w:val="0091336C"/>
    <w:rsid w:val="00914B1E"/>
    <w:rsid w:val="00917DC0"/>
    <w:rsid w:val="0092122C"/>
    <w:rsid w:val="00922145"/>
    <w:rsid w:val="00922194"/>
    <w:rsid w:val="00922783"/>
    <w:rsid w:val="00924E9A"/>
    <w:rsid w:val="009250A8"/>
    <w:rsid w:val="00930665"/>
    <w:rsid w:val="00930E4F"/>
    <w:rsid w:val="00932E41"/>
    <w:rsid w:val="00934547"/>
    <w:rsid w:val="0093595C"/>
    <w:rsid w:val="00936894"/>
    <w:rsid w:val="009402E3"/>
    <w:rsid w:val="00940305"/>
    <w:rsid w:val="009438FC"/>
    <w:rsid w:val="00945F4C"/>
    <w:rsid w:val="00947ADD"/>
    <w:rsid w:val="00951498"/>
    <w:rsid w:val="00955672"/>
    <w:rsid w:val="009575F0"/>
    <w:rsid w:val="009602A5"/>
    <w:rsid w:val="00960C90"/>
    <w:rsid w:val="00965DD9"/>
    <w:rsid w:val="009664FC"/>
    <w:rsid w:val="00967311"/>
    <w:rsid w:val="00967DF4"/>
    <w:rsid w:val="00967E82"/>
    <w:rsid w:val="00973B21"/>
    <w:rsid w:val="00974352"/>
    <w:rsid w:val="00975BD6"/>
    <w:rsid w:val="009769F5"/>
    <w:rsid w:val="00976DB2"/>
    <w:rsid w:val="00977445"/>
    <w:rsid w:val="00980EE9"/>
    <w:rsid w:val="009825F4"/>
    <w:rsid w:val="00984B5B"/>
    <w:rsid w:val="00985297"/>
    <w:rsid w:val="00987291"/>
    <w:rsid w:val="00991B63"/>
    <w:rsid w:val="0099483B"/>
    <w:rsid w:val="00995708"/>
    <w:rsid w:val="009957AE"/>
    <w:rsid w:val="00997983"/>
    <w:rsid w:val="009A0D01"/>
    <w:rsid w:val="009A178A"/>
    <w:rsid w:val="009A3CB2"/>
    <w:rsid w:val="009A4DCE"/>
    <w:rsid w:val="009A5BBB"/>
    <w:rsid w:val="009A63F4"/>
    <w:rsid w:val="009B0742"/>
    <w:rsid w:val="009B0F53"/>
    <w:rsid w:val="009B25D5"/>
    <w:rsid w:val="009B2C0F"/>
    <w:rsid w:val="009B4050"/>
    <w:rsid w:val="009B58C2"/>
    <w:rsid w:val="009B5B4B"/>
    <w:rsid w:val="009C1FEF"/>
    <w:rsid w:val="009C3E28"/>
    <w:rsid w:val="009C4291"/>
    <w:rsid w:val="009C4485"/>
    <w:rsid w:val="009C577B"/>
    <w:rsid w:val="009C6E96"/>
    <w:rsid w:val="009D0360"/>
    <w:rsid w:val="009D0FA2"/>
    <w:rsid w:val="009D2283"/>
    <w:rsid w:val="009D3477"/>
    <w:rsid w:val="009D3E84"/>
    <w:rsid w:val="009E091E"/>
    <w:rsid w:val="009E3908"/>
    <w:rsid w:val="009E4B99"/>
    <w:rsid w:val="009E50BD"/>
    <w:rsid w:val="009E580D"/>
    <w:rsid w:val="009F0061"/>
    <w:rsid w:val="009F0314"/>
    <w:rsid w:val="009F0F85"/>
    <w:rsid w:val="009F1C00"/>
    <w:rsid w:val="009F24DE"/>
    <w:rsid w:val="009F61BA"/>
    <w:rsid w:val="00A0077E"/>
    <w:rsid w:val="00A04B67"/>
    <w:rsid w:val="00A05966"/>
    <w:rsid w:val="00A10DFE"/>
    <w:rsid w:val="00A119A3"/>
    <w:rsid w:val="00A128F8"/>
    <w:rsid w:val="00A12C2E"/>
    <w:rsid w:val="00A13A22"/>
    <w:rsid w:val="00A141DE"/>
    <w:rsid w:val="00A20273"/>
    <w:rsid w:val="00A204D0"/>
    <w:rsid w:val="00A220F8"/>
    <w:rsid w:val="00A222E6"/>
    <w:rsid w:val="00A25537"/>
    <w:rsid w:val="00A260AB"/>
    <w:rsid w:val="00A278CF"/>
    <w:rsid w:val="00A34747"/>
    <w:rsid w:val="00A354F1"/>
    <w:rsid w:val="00A3755E"/>
    <w:rsid w:val="00A37CA6"/>
    <w:rsid w:val="00A43C5C"/>
    <w:rsid w:val="00A4408D"/>
    <w:rsid w:val="00A458F6"/>
    <w:rsid w:val="00A4647B"/>
    <w:rsid w:val="00A507AE"/>
    <w:rsid w:val="00A50935"/>
    <w:rsid w:val="00A5339B"/>
    <w:rsid w:val="00A55AC3"/>
    <w:rsid w:val="00A55F29"/>
    <w:rsid w:val="00A57135"/>
    <w:rsid w:val="00A57E78"/>
    <w:rsid w:val="00A60148"/>
    <w:rsid w:val="00A6179E"/>
    <w:rsid w:val="00A61E46"/>
    <w:rsid w:val="00A61EA7"/>
    <w:rsid w:val="00A61F77"/>
    <w:rsid w:val="00A62BF7"/>
    <w:rsid w:val="00A65769"/>
    <w:rsid w:val="00A65FE5"/>
    <w:rsid w:val="00A66113"/>
    <w:rsid w:val="00A67F96"/>
    <w:rsid w:val="00A7154F"/>
    <w:rsid w:val="00A72A03"/>
    <w:rsid w:val="00A73082"/>
    <w:rsid w:val="00A732AF"/>
    <w:rsid w:val="00A759FF"/>
    <w:rsid w:val="00A82424"/>
    <w:rsid w:val="00A868DC"/>
    <w:rsid w:val="00A91523"/>
    <w:rsid w:val="00A97784"/>
    <w:rsid w:val="00AA1171"/>
    <w:rsid w:val="00AA1C54"/>
    <w:rsid w:val="00AA27BC"/>
    <w:rsid w:val="00AA2AED"/>
    <w:rsid w:val="00AA567D"/>
    <w:rsid w:val="00AA7AFD"/>
    <w:rsid w:val="00AB035D"/>
    <w:rsid w:val="00AB39AA"/>
    <w:rsid w:val="00AB3D89"/>
    <w:rsid w:val="00AB3F47"/>
    <w:rsid w:val="00AB45A0"/>
    <w:rsid w:val="00AB70DA"/>
    <w:rsid w:val="00AC0D3B"/>
    <w:rsid w:val="00AC2A40"/>
    <w:rsid w:val="00AC2CFE"/>
    <w:rsid w:val="00AC35BB"/>
    <w:rsid w:val="00AC373D"/>
    <w:rsid w:val="00AC3F41"/>
    <w:rsid w:val="00AC4925"/>
    <w:rsid w:val="00AC50E9"/>
    <w:rsid w:val="00AC7124"/>
    <w:rsid w:val="00AC7349"/>
    <w:rsid w:val="00AD0561"/>
    <w:rsid w:val="00AD2C5D"/>
    <w:rsid w:val="00AD2FB7"/>
    <w:rsid w:val="00AD5920"/>
    <w:rsid w:val="00AD651D"/>
    <w:rsid w:val="00AE1177"/>
    <w:rsid w:val="00AE1D79"/>
    <w:rsid w:val="00AE22C7"/>
    <w:rsid w:val="00AF0366"/>
    <w:rsid w:val="00AF350A"/>
    <w:rsid w:val="00B00BE4"/>
    <w:rsid w:val="00B03730"/>
    <w:rsid w:val="00B03CCB"/>
    <w:rsid w:val="00B0749F"/>
    <w:rsid w:val="00B07607"/>
    <w:rsid w:val="00B10332"/>
    <w:rsid w:val="00B124A0"/>
    <w:rsid w:val="00B13E99"/>
    <w:rsid w:val="00B14651"/>
    <w:rsid w:val="00B1782E"/>
    <w:rsid w:val="00B22B2F"/>
    <w:rsid w:val="00B26335"/>
    <w:rsid w:val="00B26827"/>
    <w:rsid w:val="00B26DCE"/>
    <w:rsid w:val="00B27BE9"/>
    <w:rsid w:val="00B30F14"/>
    <w:rsid w:val="00B31C3D"/>
    <w:rsid w:val="00B322A6"/>
    <w:rsid w:val="00B349FD"/>
    <w:rsid w:val="00B416BE"/>
    <w:rsid w:val="00B416E1"/>
    <w:rsid w:val="00B4261E"/>
    <w:rsid w:val="00B443A6"/>
    <w:rsid w:val="00B47556"/>
    <w:rsid w:val="00B503F0"/>
    <w:rsid w:val="00B508AA"/>
    <w:rsid w:val="00B53D58"/>
    <w:rsid w:val="00B540DD"/>
    <w:rsid w:val="00B54BFB"/>
    <w:rsid w:val="00B56FC3"/>
    <w:rsid w:val="00B57409"/>
    <w:rsid w:val="00B60D57"/>
    <w:rsid w:val="00B61595"/>
    <w:rsid w:val="00B65A86"/>
    <w:rsid w:val="00B661F0"/>
    <w:rsid w:val="00B668B6"/>
    <w:rsid w:val="00B66934"/>
    <w:rsid w:val="00B71B72"/>
    <w:rsid w:val="00B73A4B"/>
    <w:rsid w:val="00B74596"/>
    <w:rsid w:val="00B75933"/>
    <w:rsid w:val="00B76CFE"/>
    <w:rsid w:val="00B80E50"/>
    <w:rsid w:val="00B832D2"/>
    <w:rsid w:val="00B84760"/>
    <w:rsid w:val="00B867C6"/>
    <w:rsid w:val="00B86CDF"/>
    <w:rsid w:val="00B8738F"/>
    <w:rsid w:val="00B87558"/>
    <w:rsid w:val="00B87FB6"/>
    <w:rsid w:val="00B90D07"/>
    <w:rsid w:val="00B91736"/>
    <w:rsid w:val="00B967AD"/>
    <w:rsid w:val="00B969F9"/>
    <w:rsid w:val="00B97007"/>
    <w:rsid w:val="00B979F4"/>
    <w:rsid w:val="00B97DB8"/>
    <w:rsid w:val="00BA12D6"/>
    <w:rsid w:val="00BA3A0A"/>
    <w:rsid w:val="00BA3F10"/>
    <w:rsid w:val="00BA5A99"/>
    <w:rsid w:val="00BA5F87"/>
    <w:rsid w:val="00BA6F6C"/>
    <w:rsid w:val="00BA796A"/>
    <w:rsid w:val="00BB0A46"/>
    <w:rsid w:val="00BB2D61"/>
    <w:rsid w:val="00BB59AC"/>
    <w:rsid w:val="00BB5D9F"/>
    <w:rsid w:val="00BB7751"/>
    <w:rsid w:val="00BC008D"/>
    <w:rsid w:val="00BC0C6F"/>
    <w:rsid w:val="00BC1E7D"/>
    <w:rsid w:val="00BC454D"/>
    <w:rsid w:val="00BC5F24"/>
    <w:rsid w:val="00BD1A2E"/>
    <w:rsid w:val="00BD7421"/>
    <w:rsid w:val="00BE1600"/>
    <w:rsid w:val="00BE1F3C"/>
    <w:rsid w:val="00BF5425"/>
    <w:rsid w:val="00BF6444"/>
    <w:rsid w:val="00BF67FB"/>
    <w:rsid w:val="00BF6802"/>
    <w:rsid w:val="00BF7339"/>
    <w:rsid w:val="00BF74E0"/>
    <w:rsid w:val="00C00314"/>
    <w:rsid w:val="00C00B28"/>
    <w:rsid w:val="00C018EC"/>
    <w:rsid w:val="00C02388"/>
    <w:rsid w:val="00C03FFF"/>
    <w:rsid w:val="00C052C5"/>
    <w:rsid w:val="00C05710"/>
    <w:rsid w:val="00C07F22"/>
    <w:rsid w:val="00C11B2D"/>
    <w:rsid w:val="00C126C5"/>
    <w:rsid w:val="00C13088"/>
    <w:rsid w:val="00C1358C"/>
    <w:rsid w:val="00C13D8B"/>
    <w:rsid w:val="00C14C8D"/>
    <w:rsid w:val="00C22C29"/>
    <w:rsid w:val="00C23E0B"/>
    <w:rsid w:val="00C256C7"/>
    <w:rsid w:val="00C25821"/>
    <w:rsid w:val="00C26774"/>
    <w:rsid w:val="00C275CF"/>
    <w:rsid w:val="00C27DCB"/>
    <w:rsid w:val="00C31880"/>
    <w:rsid w:val="00C31F01"/>
    <w:rsid w:val="00C32148"/>
    <w:rsid w:val="00C34313"/>
    <w:rsid w:val="00C34FE5"/>
    <w:rsid w:val="00C3669A"/>
    <w:rsid w:val="00C43CB9"/>
    <w:rsid w:val="00C44ABD"/>
    <w:rsid w:val="00C45426"/>
    <w:rsid w:val="00C45603"/>
    <w:rsid w:val="00C45E0F"/>
    <w:rsid w:val="00C46768"/>
    <w:rsid w:val="00C5162D"/>
    <w:rsid w:val="00C53C3F"/>
    <w:rsid w:val="00C5648E"/>
    <w:rsid w:val="00C57C3A"/>
    <w:rsid w:val="00C6238E"/>
    <w:rsid w:val="00C62C0D"/>
    <w:rsid w:val="00C643D7"/>
    <w:rsid w:val="00C65E28"/>
    <w:rsid w:val="00C663CA"/>
    <w:rsid w:val="00C671E0"/>
    <w:rsid w:val="00C7182D"/>
    <w:rsid w:val="00C71BA1"/>
    <w:rsid w:val="00C72376"/>
    <w:rsid w:val="00C731A1"/>
    <w:rsid w:val="00C732EE"/>
    <w:rsid w:val="00C745FF"/>
    <w:rsid w:val="00C77CCF"/>
    <w:rsid w:val="00C80433"/>
    <w:rsid w:val="00C810E0"/>
    <w:rsid w:val="00C811A4"/>
    <w:rsid w:val="00C8224E"/>
    <w:rsid w:val="00C82774"/>
    <w:rsid w:val="00C84D65"/>
    <w:rsid w:val="00C86A6E"/>
    <w:rsid w:val="00C86BDC"/>
    <w:rsid w:val="00C8750D"/>
    <w:rsid w:val="00C87856"/>
    <w:rsid w:val="00C87C08"/>
    <w:rsid w:val="00C927F3"/>
    <w:rsid w:val="00C93F96"/>
    <w:rsid w:val="00C94842"/>
    <w:rsid w:val="00C963DB"/>
    <w:rsid w:val="00C973E5"/>
    <w:rsid w:val="00C9779A"/>
    <w:rsid w:val="00C97C91"/>
    <w:rsid w:val="00CA00F9"/>
    <w:rsid w:val="00CA3772"/>
    <w:rsid w:val="00CA50BF"/>
    <w:rsid w:val="00CA5FF7"/>
    <w:rsid w:val="00CB0640"/>
    <w:rsid w:val="00CB665D"/>
    <w:rsid w:val="00CB793D"/>
    <w:rsid w:val="00CC1787"/>
    <w:rsid w:val="00CC58EC"/>
    <w:rsid w:val="00CC5DE2"/>
    <w:rsid w:val="00CC799F"/>
    <w:rsid w:val="00CC7AF8"/>
    <w:rsid w:val="00CC7B14"/>
    <w:rsid w:val="00CC7F37"/>
    <w:rsid w:val="00CD01A7"/>
    <w:rsid w:val="00CD02F6"/>
    <w:rsid w:val="00CD2C95"/>
    <w:rsid w:val="00CD4722"/>
    <w:rsid w:val="00CD4ED1"/>
    <w:rsid w:val="00CD5458"/>
    <w:rsid w:val="00CD61D9"/>
    <w:rsid w:val="00CD68CC"/>
    <w:rsid w:val="00CE07F5"/>
    <w:rsid w:val="00CE24FD"/>
    <w:rsid w:val="00CE5B83"/>
    <w:rsid w:val="00CE73DD"/>
    <w:rsid w:val="00CF2067"/>
    <w:rsid w:val="00CF2F85"/>
    <w:rsid w:val="00CF425E"/>
    <w:rsid w:val="00CF5BBF"/>
    <w:rsid w:val="00CF644B"/>
    <w:rsid w:val="00CF7EF1"/>
    <w:rsid w:val="00D002EE"/>
    <w:rsid w:val="00D00C43"/>
    <w:rsid w:val="00D015F4"/>
    <w:rsid w:val="00D01F53"/>
    <w:rsid w:val="00D02706"/>
    <w:rsid w:val="00D04C95"/>
    <w:rsid w:val="00D063AE"/>
    <w:rsid w:val="00D077EB"/>
    <w:rsid w:val="00D10609"/>
    <w:rsid w:val="00D10A50"/>
    <w:rsid w:val="00D138C8"/>
    <w:rsid w:val="00D143EC"/>
    <w:rsid w:val="00D200B8"/>
    <w:rsid w:val="00D21C69"/>
    <w:rsid w:val="00D2327D"/>
    <w:rsid w:val="00D24146"/>
    <w:rsid w:val="00D24BFD"/>
    <w:rsid w:val="00D26F66"/>
    <w:rsid w:val="00D30086"/>
    <w:rsid w:val="00D324C8"/>
    <w:rsid w:val="00D36681"/>
    <w:rsid w:val="00D41681"/>
    <w:rsid w:val="00D426D5"/>
    <w:rsid w:val="00D43353"/>
    <w:rsid w:val="00D4545E"/>
    <w:rsid w:val="00D46290"/>
    <w:rsid w:val="00D4647B"/>
    <w:rsid w:val="00D465DB"/>
    <w:rsid w:val="00D467FC"/>
    <w:rsid w:val="00D503A0"/>
    <w:rsid w:val="00D5058D"/>
    <w:rsid w:val="00D50709"/>
    <w:rsid w:val="00D50FEF"/>
    <w:rsid w:val="00D51B82"/>
    <w:rsid w:val="00D52383"/>
    <w:rsid w:val="00D53AD0"/>
    <w:rsid w:val="00D5557A"/>
    <w:rsid w:val="00D605BC"/>
    <w:rsid w:val="00D60BE7"/>
    <w:rsid w:val="00D61174"/>
    <w:rsid w:val="00D628CE"/>
    <w:rsid w:val="00D66B4C"/>
    <w:rsid w:val="00D701EF"/>
    <w:rsid w:val="00D737AC"/>
    <w:rsid w:val="00D74D89"/>
    <w:rsid w:val="00D7714C"/>
    <w:rsid w:val="00D8515B"/>
    <w:rsid w:val="00D85763"/>
    <w:rsid w:val="00D85C16"/>
    <w:rsid w:val="00D86F84"/>
    <w:rsid w:val="00D9010E"/>
    <w:rsid w:val="00D9081E"/>
    <w:rsid w:val="00D90F85"/>
    <w:rsid w:val="00D91F2E"/>
    <w:rsid w:val="00D92051"/>
    <w:rsid w:val="00D92A8D"/>
    <w:rsid w:val="00D93187"/>
    <w:rsid w:val="00D9721F"/>
    <w:rsid w:val="00DA0E7A"/>
    <w:rsid w:val="00DA201C"/>
    <w:rsid w:val="00DA2B0F"/>
    <w:rsid w:val="00DA2ECC"/>
    <w:rsid w:val="00DA2F07"/>
    <w:rsid w:val="00DA3590"/>
    <w:rsid w:val="00DA6253"/>
    <w:rsid w:val="00DA6F7F"/>
    <w:rsid w:val="00DB2957"/>
    <w:rsid w:val="00DB4CA4"/>
    <w:rsid w:val="00DB5665"/>
    <w:rsid w:val="00DB598B"/>
    <w:rsid w:val="00DB6873"/>
    <w:rsid w:val="00DC135A"/>
    <w:rsid w:val="00DC338C"/>
    <w:rsid w:val="00DC3D7E"/>
    <w:rsid w:val="00DC4103"/>
    <w:rsid w:val="00DC6102"/>
    <w:rsid w:val="00DC6F20"/>
    <w:rsid w:val="00DD05AE"/>
    <w:rsid w:val="00DD0A47"/>
    <w:rsid w:val="00DD297E"/>
    <w:rsid w:val="00DD49D9"/>
    <w:rsid w:val="00DD4D1C"/>
    <w:rsid w:val="00DD5260"/>
    <w:rsid w:val="00DD7693"/>
    <w:rsid w:val="00DD7D49"/>
    <w:rsid w:val="00DE1041"/>
    <w:rsid w:val="00DE1610"/>
    <w:rsid w:val="00DE3213"/>
    <w:rsid w:val="00DE47AF"/>
    <w:rsid w:val="00DF01AE"/>
    <w:rsid w:val="00DF04B4"/>
    <w:rsid w:val="00DF093C"/>
    <w:rsid w:val="00DF0B3C"/>
    <w:rsid w:val="00DF2C78"/>
    <w:rsid w:val="00DF5B5F"/>
    <w:rsid w:val="00DF63AB"/>
    <w:rsid w:val="00E01471"/>
    <w:rsid w:val="00E038B1"/>
    <w:rsid w:val="00E03E42"/>
    <w:rsid w:val="00E136AF"/>
    <w:rsid w:val="00E146D5"/>
    <w:rsid w:val="00E14A5B"/>
    <w:rsid w:val="00E20B4C"/>
    <w:rsid w:val="00E25E28"/>
    <w:rsid w:val="00E31144"/>
    <w:rsid w:val="00E31E58"/>
    <w:rsid w:val="00E33EE2"/>
    <w:rsid w:val="00E341A6"/>
    <w:rsid w:val="00E34425"/>
    <w:rsid w:val="00E34DB3"/>
    <w:rsid w:val="00E36246"/>
    <w:rsid w:val="00E3679A"/>
    <w:rsid w:val="00E407E3"/>
    <w:rsid w:val="00E4375D"/>
    <w:rsid w:val="00E447B4"/>
    <w:rsid w:val="00E44C74"/>
    <w:rsid w:val="00E45712"/>
    <w:rsid w:val="00E458FE"/>
    <w:rsid w:val="00E46022"/>
    <w:rsid w:val="00E47986"/>
    <w:rsid w:val="00E573F7"/>
    <w:rsid w:val="00E57467"/>
    <w:rsid w:val="00E61F97"/>
    <w:rsid w:val="00E62549"/>
    <w:rsid w:val="00E63851"/>
    <w:rsid w:val="00E645CD"/>
    <w:rsid w:val="00E658BC"/>
    <w:rsid w:val="00E6740B"/>
    <w:rsid w:val="00E67ABB"/>
    <w:rsid w:val="00E71658"/>
    <w:rsid w:val="00E73E1F"/>
    <w:rsid w:val="00E75A66"/>
    <w:rsid w:val="00E76B37"/>
    <w:rsid w:val="00E76D2D"/>
    <w:rsid w:val="00E7727F"/>
    <w:rsid w:val="00E80643"/>
    <w:rsid w:val="00E8322F"/>
    <w:rsid w:val="00E84B9D"/>
    <w:rsid w:val="00E85158"/>
    <w:rsid w:val="00E90DE7"/>
    <w:rsid w:val="00E90F54"/>
    <w:rsid w:val="00E957E6"/>
    <w:rsid w:val="00EA0357"/>
    <w:rsid w:val="00EA28AF"/>
    <w:rsid w:val="00EA2C97"/>
    <w:rsid w:val="00EA5D6D"/>
    <w:rsid w:val="00EA60F6"/>
    <w:rsid w:val="00EA6298"/>
    <w:rsid w:val="00EA6669"/>
    <w:rsid w:val="00EB0D85"/>
    <w:rsid w:val="00EB1547"/>
    <w:rsid w:val="00EB172A"/>
    <w:rsid w:val="00EB2104"/>
    <w:rsid w:val="00EB492B"/>
    <w:rsid w:val="00EB50D1"/>
    <w:rsid w:val="00EB6D3C"/>
    <w:rsid w:val="00EB72F9"/>
    <w:rsid w:val="00EC0599"/>
    <w:rsid w:val="00EC077F"/>
    <w:rsid w:val="00EC0793"/>
    <w:rsid w:val="00EC252D"/>
    <w:rsid w:val="00EC31C0"/>
    <w:rsid w:val="00EC51E1"/>
    <w:rsid w:val="00EC5403"/>
    <w:rsid w:val="00EC56FB"/>
    <w:rsid w:val="00EC657F"/>
    <w:rsid w:val="00ED2680"/>
    <w:rsid w:val="00ED3C17"/>
    <w:rsid w:val="00ED451D"/>
    <w:rsid w:val="00ED4558"/>
    <w:rsid w:val="00ED4A0A"/>
    <w:rsid w:val="00ED4D51"/>
    <w:rsid w:val="00ED55DC"/>
    <w:rsid w:val="00ED799F"/>
    <w:rsid w:val="00ED7B71"/>
    <w:rsid w:val="00ED7C1C"/>
    <w:rsid w:val="00EE04A4"/>
    <w:rsid w:val="00EE052B"/>
    <w:rsid w:val="00EE4D85"/>
    <w:rsid w:val="00EF0BD6"/>
    <w:rsid w:val="00EF0FFF"/>
    <w:rsid w:val="00EF106E"/>
    <w:rsid w:val="00EF4B55"/>
    <w:rsid w:val="00EF5EF0"/>
    <w:rsid w:val="00EF7CAC"/>
    <w:rsid w:val="00F008D4"/>
    <w:rsid w:val="00F00C3A"/>
    <w:rsid w:val="00F021A9"/>
    <w:rsid w:val="00F027C8"/>
    <w:rsid w:val="00F04BAF"/>
    <w:rsid w:val="00F076AE"/>
    <w:rsid w:val="00F10D88"/>
    <w:rsid w:val="00F11A77"/>
    <w:rsid w:val="00F1277F"/>
    <w:rsid w:val="00F12D38"/>
    <w:rsid w:val="00F175CC"/>
    <w:rsid w:val="00F21D76"/>
    <w:rsid w:val="00F21DA3"/>
    <w:rsid w:val="00F23E30"/>
    <w:rsid w:val="00F2529F"/>
    <w:rsid w:val="00F3043D"/>
    <w:rsid w:val="00F3103A"/>
    <w:rsid w:val="00F3282B"/>
    <w:rsid w:val="00F371D8"/>
    <w:rsid w:val="00F41991"/>
    <w:rsid w:val="00F41FA7"/>
    <w:rsid w:val="00F4227C"/>
    <w:rsid w:val="00F44242"/>
    <w:rsid w:val="00F44612"/>
    <w:rsid w:val="00F5063C"/>
    <w:rsid w:val="00F50B72"/>
    <w:rsid w:val="00F53CB9"/>
    <w:rsid w:val="00F56B98"/>
    <w:rsid w:val="00F6016F"/>
    <w:rsid w:val="00F605C6"/>
    <w:rsid w:val="00F614CF"/>
    <w:rsid w:val="00F62AC0"/>
    <w:rsid w:val="00F63037"/>
    <w:rsid w:val="00F636AE"/>
    <w:rsid w:val="00F638C1"/>
    <w:rsid w:val="00F64031"/>
    <w:rsid w:val="00F64427"/>
    <w:rsid w:val="00F677C3"/>
    <w:rsid w:val="00F704DE"/>
    <w:rsid w:val="00F71E7C"/>
    <w:rsid w:val="00F76CEC"/>
    <w:rsid w:val="00F776C7"/>
    <w:rsid w:val="00F80529"/>
    <w:rsid w:val="00F8262B"/>
    <w:rsid w:val="00F857DD"/>
    <w:rsid w:val="00F85DB5"/>
    <w:rsid w:val="00F90787"/>
    <w:rsid w:val="00F913AB"/>
    <w:rsid w:val="00F94F16"/>
    <w:rsid w:val="00F96035"/>
    <w:rsid w:val="00FA0CF4"/>
    <w:rsid w:val="00FA30EA"/>
    <w:rsid w:val="00FA3498"/>
    <w:rsid w:val="00FA53FD"/>
    <w:rsid w:val="00FA5BBE"/>
    <w:rsid w:val="00FA6190"/>
    <w:rsid w:val="00FA6893"/>
    <w:rsid w:val="00FA6A45"/>
    <w:rsid w:val="00FA6E34"/>
    <w:rsid w:val="00FA70EF"/>
    <w:rsid w:val="00FB180F"/>
    <w:rsid w:val="00FB3421"/>
    <w:rsid w:val="00FB382B"/>
    <w:rsid w:val="00FB5C59"/>
    <w:rsid w:val="00FB78C2"/>
    <w:rsid w:val="00FC00DB"/>
    <w:rsid w:val="00FC4673"/>
    <w:rsid w:val="00FC74E8"/>
    <w:rsid w:val="00FD07E5"/>
    <w:rsid w:val="00FD283E"/>
    <w:rsid w:val="00FD7C1B"/>
    <w:rsid w:val="00FE003D"/>
    <w:rsid w:val="00FE359B"/>
    <w:rsid w:val="00FF02C4"/>
    <w:rsid w:val="00FF0BC1"/>
    <w:rsid w:val="00FF24F0"/>
    <w:rsid w:val="00FF2F09"/>
    <w:rsid w:val="00FF37BA"/>
    <w:rsid w:val="00FF5793"/>
    <w:rsid w:val="00FF5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b54a,#1869b2"/>
    </o:shapedefaults>
    <o:shapelayout v:ext="edit">
      <o:idmap v:ext="edit" data="2"/>
    </o:shapelayout>
  </w:shapeDefaults>
  <w:decimalSymbol w:val="."/>
  <w:listSeparator w:val=","/>
  <w14:docId w14:val="6B7EBF5B"/>
  <w15:docId w15:val="{87416302-44D2-482D-BF28-0F642F91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5CD"/>
    <w:pPr>
      <w:spacing w:before="120" w:after="120"/>
    </w:pPr>
    <w:rPr>
      <w:rFonts w:ascii="Calibri" w:hAnsi="Calibri"/>
      <w:sz w:val="22"/>
      <w:szCs w:val="24"/>
    </w:rPr>
  </w:style>
  <w:style w:type="paragraph" w:styleId="Heading1">
    <w:name w:val="heading 1"/>
    <w:aliases w:val="Chapter Level 2"/>
    <w:basedOn w:val="Normal"/>
    <w:next w:val="Normal"/>
    <w:link w:val="Heading1Char"/>
    <w:uiPriority w:val="9"/>
    <w:qFormat/>
    <w:rsid w:val="007908AF"/>
    <w:pPr>
      <w:jc w:val="center"/>
      <w:outlineLvl w:val="0"/>
    </w:pPr>
    <w:rPr>
      <w:b/>
      <w:sz w:val="52"/>
      <w:szCs w:val="36"/>
    </w:rPr>
  </w:style>
  <w:style w:type="paragraph" w:styleId="Heading2">
    <w:name w:val="heading 2"/>
    <w:aliases w:val="Chapter Level 3,Chapter Level 1"/>
    <w:basedOn w:val="Normal"/>
    <w:next w:val="Normal"/>
    <w:link w:val="Heading2Char"/>
    <w:uiPriority w:val="9"/>
    <w:qFormat/>
    <w:rsid w:val="00D10A50"/>
    <w:pPr>
      <w:spacing w:before="240" w:after="240"/>
      <w:outlineLvl w:val="1"/>
    </w:pPr>
    <w:rPr>
      <w:b/>
      <w:sz w:val="36"/>
      <w:szCs w:val="36"/>
    </w:rPr>
  </w:style>
  <w:style w:type="paragraph" w:styleId="Heading3">
    <w:name w:val="heading 3"/>
    <w:basedOn w:val="Normal"/>
    <w:next w:val="Normal"/>
    <w:link w:val="Heading3Char"/>
    <w:uiPriority w:val="9"/>
    <w:unhideWhenUsed/>
    <w:qFormat/>
    <w:rsid w:val="00EE4D85"/>
    <w:pPr>
      <w:keepNext/>
      <w:keepLines/>
      <w:spacing w:before="240" w:after="240"/>
      <w:outlineLvl w:val="2"/>
    </w:pPr>
    <w:rPr>
      <w:rFonts w:eastAsiaTheme="majorEastAsia" w:cstheme="majorBidi"/>
      <w:b/>
      <w:bCs/>
      <w:sz w:val="24"/>
    </w:rPr>
  </w:style>
  <w:style w:type="paragraph" w:styleId="Heading4">
    <w:name w:val="heading 4"/>
    <w:basedOn w:val="Normal"/>
    <w:next w:val="Normal"/>
    <w:link w:val="Heading4Char"/>
    <w:semiHidden/>
    <w:unhideWhenUsed/>
    <w:qFormat/>
    <w:rsid w:val="001A6F2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3F5"/>
    <w:pPr>
      <w:tabs>
        <w:tab w:val="center" w:pos="4153"/>
        <w:tab w:val="right" w:pos="8306"/>
      </w:tabs>
    </w:pPr>
  </w:style>
  <w:style w:type="paragraph" w:styleId="Footer">
    <w:name w:val="footer"/>
    <w:basedOn w:val="Normal"/>
    <w:link w:val="FooterChar"/>
    <w:uiPriority w:val="99"/>
    <w:rsid w:val="004100C8"/>
    <w:pPr>
      <w:tabs>
        <w:tab w:val="right" w:pos="8306"/>
      </w:tabs>
      <w:spacing w:before="0" w:after="0"/>
    </w:pPr>
    <w:rPr>
      <w:color w:val="808080" w:themeColor="background1" w:themeShade="80"/>
    </w:rPr>
  </w:style>
  <w:style w:type="table" w:styleId="TableGrid">
    <w:name w:val="Table Grid"/>
    <w:basedOn w:val="TableNormal"/>
    <w:uiPriority w:val="39"/>
    <w:rsid w:val="0070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073F5"/>
    <w:rPr>
      <w:color w:val="0000FF"/>
      <w:u w:val="single"/>
    </w:rPr>
  </w:style>
  <w:style w:type="numbering" w:customStyle="1" w:styleId="List1a1b1c">
    <w:name w:val="List 1a 1b 1c"/>
    <w:basedOn w:val="NoList"/>
    <w:uiPriority w:val="99"/>
    <w:rsid w:val="00D46290"/>
    <w:pPr>
      <w:numPr>
        <w:numId w:val="5"/>
      </w:numPr>
    </w:pPr>
  </w:style>
  <w:style w:type="character" w:customStyle="1" w:styleId="Heading2Char">
    <w:name w:val="Heading 2 Char"/>
    <w:aliases w:val="Chapter Level 3 Char,Chapter Level 1 Char"/>
    <w:basedOn w:val="DefaultParagraphFont"/>
    <w:link w:val="Heading2"/>
    <w:uiPriority w:val="9"/>
    <w:rsid w:val="00D10A50"/>
    <w:rPr>
      <w:rFonts w:ascii="Calibri" w:hAnsi="Calibri"/>
      <w:b/>
      <w:sz w:val="36"/>
      <w:szCs w:val="36"/>
    </w:rPr>
  </w:style>
  <w:style w:type="paragraph" w:styleId="TOC2">
    <w:name w:val="toc 2"/>
    <w:basedOn w:val="Normal"/>
    <w:next w:val="Normal"/>
    <w:autoRedefine/>
    <w:uiPriority w:val="39"/>
    <w:rsid w:val="00C126C5"/>
    <w:pPr>
      <w:spacing w:after="0"/>
      <w:ind w:left="220"/>
    </w:pPr>
    <w:rPr>
      <w:rFonts w:asciiTheme="minorHAnsi" w:hAnsiTheme="minorHAnsi" w:cstheme="minorHAnsi"/>
      <w:b/>
      <w:iCs/>
      <w:sz w:val="20"/>
      <w:szCs w:val="20"/>
    </w:rPr>
  </w:style>
  <w:style w:type="character" w:styleId="PageNumber">
    <w:name w:val="page number"/>
    <w:basedOn w:val="DefaultParagraphFont"/>
    <w:rsid w:val="007073F5"/>
  </w:style>
  <w:style w:type="paragraph" w:styleId="BalloonText">
    <w:name w:val="Balloon Text"/>
    <w:basedOn w:val="Normal"/>
    <w:semiHidden/>
    <w:rsid w:val="007073F5"/>
    <w:rPr>
      <w:rFonts w:ascii="Tahoma" w:hAnsi="Tahoma" w:cs="Tahoma"/>
      <w:sz w:val="16"/>
      <w:szCs w:val="16"/>
    </w:rPr>
  </w:style>
  <w:style w:type="character" w:styleId="CommentReference">
    <w:name w:val="annotation reference"/>
    <w:basedOn w:val="DefaultParagraphFont"/>
    <w:uiPriority w:val="99"/>
    <w:rsid w:val="005E5FAC"/>
    <w:rPr>
      <w:sz w:val="16"/>
      <w:szCs w:val="16"/>
    </w:rPr>
  </w:style>
  <w:style w:type="paragraph" w:styleId="CommentText">
    <w:name w:val="annotation text"/>
    <w:basedOn w:val="Normal"/>
    <w:link w:val="CommentTextChar"/>
    <w:uiPriority w:val="99"/>
    <w:rsid w:val="005E5FAC"/>
    <w:rPr>
      <w:sz w:val="20"/>
      <w:szCs w:val="20"/>
    </w:rPr>
  </w:style>
  <w:style w:type="paragraph" w:styleId="CommentSubject">
    <w:name w:val="annotation subject"/>
    <w:basedOn w:val="CommentText"/>
    <w:next w:val="CommentText"/>
    <w:semiHidden/>
    <w:rsid w:val="005E5FAC"/>
    <w:rPr>
      <w:b/>
      <w:bCs/>
    </w:rPr>
  </w:style>
  <w:style w:type="paragraph" w:styleId="TOC1">
    <w:name w:val="toc 1"/>
    <w:basedOn w:val="Normal"/>
    <w:next w:val="Normal"/>
    <w:autoRedefine/>
    <w:uiPriority w:val="39"/>
    <w:qFormat/>
    <w:rsid w:val="00B124A0"/>
    <w:pPr>
      <w:tabs>
        <w:tab w:val="right" w:leader="dot" w:pos="9016"/>
      </w:tabs>
      <w:spacing w:before="240"/>
    </w:pPr>
    <w:rPr>
      <w:rFonts w:asciiTheme="minorHAnsi" w:hAnsiTheme="minorHAnsi" w:cstheme="minorHAnsi"/>
      <w:b/>
      <w:bCs/>
      <w:sz w:val="20"/>
      <w:szCs w:val="20"/>
    </w:rPr>
  </w:style>
  <w:style w:type="paragraph" w:styleId="Title">
    <w:name w:val="Title"/>
    <w:basedOn w:val="Normal"/>
    <w:next w:val="Normal"/>
    <w:link w:val="TitleChar"/>
    <w:qFormat/>
    <w:rsid w:val="00685C46"/>
    <w:pPr>
      <w:spacing w:before="960"/>
      <w:jc w:val="center"/>
    </w:pPr>
    <w:rPr>
      <w:b/>
      <w:sz w:val="52"/>
      <w:szCs w:val="52"/>
    </w:rPr>
  </w:style>
  <w:style w:type="character" w:customStyle="1" w:styleId="TitleChar">
    <w:name w:val="Title Char"/>
    <w:basedOn w:val="DefaultParagraphFont"/>
    <w:link w:val="Title"/>
    <w:rsid w:val="00685C46"/>
    <w:rPr>
      <w:rFonts w:ascii="Calibri" w:hAnsi="Calibri"/>
      <w:b/>
      <w:sz w:val="52"/>
      <w:szCs w:val="52"/>
    </w:rPr>
  </w:style>
  <w:style w:type="paragraph" w:styleId="Subtitle">
    <w:name w:val="Subtitle"/>
    <w:basedOn w:val="Normal"/>
    <w:next w:val="Normal"/>
    <w:link w:val="SubtitleChar"/>
    <w:qFormat/>
    <w:rsid w:val="004E3240"/>
    <w:pPr>
      <w:spacing w:after="4200"/>
      <w:jc w:val="center"/>
    </w:pPr>
    <w:rPr>
      <w:b/>
      <w:color w:val="1869B2"/>
      <w:sz w:val="32"/>
      <w:szCs w:val="32"/>
    </w:rPr>
  </w:style>
  <w:style w:type="character" w:customStyle="1" w:styleId="SubtitleChar">
    <w:name w:val="Subtitle Char"/>
    <w:basedOn w:val="DefaultParagraphFont"/>
    <w:link w:val="Subtitle"/>
    <w:rsid w:val="004E3240"/>
    <w:rPr>
      <w:rFonts w:ascii="Calibri" w:hAnsi="Calibri"/>
      <w:b/>
      <w:color w:val="1869B2"/>
      <w:sz w:val="32"/>
      <w:szCs w:val="32"/>
    </w:rPr>
  </w:style>
  <w:style w:type="character" w:styleId="Strong">
    <w:name w:val="Strong"/>
    <w:basedOn w:val="DefaultParagraphFont"/>
    <w:qFormat/>
    <w:rsid w:val="00A4647B"/>
    <w:rPr>
      <w:b/>
      <w:bCs/>
    </w:rPr>
  </w:style>
  <w:style w:type="paragraph" w:customStyle="1" w:styleId="Disclaimer">
    <w:name w:val="Disclaimer"/>
    <w:basedOn w:val="Normal"/>
    <w:next w:val="Normal"/>
    <w:link w:val="DisclaimerChar"/>
    <w:rsid w:val="00A4647B"/>
    <w:pPr>
      <w:pBdr>
        <w:top w:val="single" w:sz="4" w:space="1" w:color="auto"/>
        <w:left w:val="single" w:sz="4" w:space="4" w:color="auto"/>
        <w:bottom w:val="single" w:sz="4" w:space="1" w:color="auto"/>
        <w:right w:val="single" w:sz="4" w:space="4" w:color="auto"/>
      </w:pBdr>
    </w:pPr>
    <w:rPr>
      <w:szCs w:val="20"/>
    </w:rPr>
  </w:style>
  <w:style w:type="paragraph" w:customStyle="1" w:styleId="TableHeading">
    <w:name w:val="Table Heading"/>
    <w:basedOn w:val="Normal"/>
    <w:next w:val="Normal"/>
    <w:qFormat/>
    <w:rsid w:val="00A4647B"/>
    <w:pPr>
      <w:jc w:val="center"/>
    </w:pPr>
    <w:rPr>
      <w:rFonts w:cs="Arial"/>
      <w:b/>
      <w:color w:val="FFFFFF"/>
    </w:rPr>
  </w:style>
  <w:style w:type="paragraph" w:styleId="ListBullet">
    <w:name w:val="List Bullet"/>
    <w:basedOn w:val="List"/>
    <w:rsid w:val="00DD49D9"/>
    <w:pPr>
      <w:numPr>
        <w:numId w:val="1"/>
      </w:numPr>
      <w:contextualSpacing w:val="0"/>
    </w:pPr>
  </w:style>
  <w:style w:type="paragraph" w:customStyle="1" w:styleId="Indented">
    <w:name w:val="Indented"/>
    <w:basedOn w:val="Normal"/>
    <w:qFormat/>
    <w:rsid w:val="000E6690"/>
    <w:pPr>
      <w:spacing w:before="0" w:after="0"/>
      <w:ind w:left="720"/>
    </w:pPr>
  </w:style>
  <w:style w:type="paragraph" w:styleId="List">
    <w:name w:val="List"/>
    <w:basedOn w:val="Normal"/>
    <w:rsid w:val="00A4647B"/>
    <w:pPr>
      <w:ind w:left="283" w:hanging="283"/>
      <w:contextualSpacing/>
    </w:pPr>
  </w:style>
  <w:style w:type="character" w:styleId="Emphasis">
    <w:name w:val="Emphasis"/>
    <w:basedOn w:val="DefaultParagraphFont"/>
    <w:qFormat/>
    <w:rsid w:val="000E6690"/>
    <w:rPr>
      <w:i/>
      <w:iCs/>
    </w:rPr>
  </w:style>
  <w:style w:type="paragraph" w:customStyle="1" w:styleId="Listabc">
    <w:name w:val="List abc"/>
    <w:basedOn w:val="ListNumber"/>
    <w:qFormat/>
    <w:rsid w:val="00DD49D9"/>
    <w:pPr>
      <w:numPr>
        <w:ilvl w:val="1"/>
        <w:numId w:val="1"/>
      </w:numPr>
      <w:ind w:left="1361" w:hanging="357"/>
      <w:contextualSpacing w:val="0"/>
    </w:pPr>
    <w:rPr>
      <w:i/>
    </w:rPr>
  </w:style>
  <w:style w:type="paragraph" w:styleId="List2">
    <w:name w:val="List 2"/>
    <w:basedOn w:val="List"/>
    <w:rsid w:val="00521784"/>
    <w:pPr>
      <w:numPr>
        <w:numId w:val="4"/>
      </w:numPr>
    </w:pPr>
  </w:style>
  <w:style w:type="paragraph" w:styleId="ListNumber">
    <w:name w:val="List Number"/>
    <w:basedOn w:val="Normal"/>
    <w:rsid w:val="00F8262B"/>
    <w:pPr>
      <w:numPr>
        <w:numId w:val="3"/>
      </w:numPr>
      <w:ind w:left="714" w:hanging="357"/>
      <w:contextualSpacing/>
    </w:pPr>
  </w:style>
  <w:style w:type="paragraph" w:styleId="ListBullet2">
    <w:name w:val="List Bullet 2"/>
    <w:basedOn w:val="List"/>
    <w:rsid w:val="00F3282B"/>
    <w:pPr>
      <w:numPr>
        <w:numId w:val="2"/>
      </w:numPr>
    </w:pPr>
  </w:style>
  <w:style w:type="paragraph" w:styleId="ListParagraph">
    <w:name w:val="List Paragraph"/>
    <w:aliases w:val="Recommendation,Bullet Point,List Paragraph1,List Paragraph11,L,Bullet points,Content descriptions,Body Bullets 1,Bullet point,Main,CV text,F5 List Paragraph,Dot pt,List Paragraph111,Medium Grid 1 - Accent 21,Numbered Paragraph,Table text"/>
    <w:basedOn w:val="Normal"/>
    <w:link w:val="ListParagraphChar"/>
    <w:uiPriority w:val="34"/>
    <w:qFormat/>
    <w:rsid w:val="00FF24F0"/>
    <w:pPr>
      <w:ind w:left="720"/>
      <w:contextualSpacing/>
    </w:pPr>
  </w:style>
  <w:style w:type="character" w:styleId="BookTitle">
    <w:name w:val="Book Title"/>
    <w:uiPriority w:val="33"/>
    <w:qFormat/>
    <w:rsid w:val="00997983"/>
    <w:rPr>
      <w:i/>
      <w:iCs/>
      <w:smallCaps/>
      <w:spacing w:val="5"/>
    </w:rPr>
  </w:style>
  <w:style w:type="paragraph" w:styleId="TOC3">
    <w:name w:val="toc 3"/>
    <w:basedOn w:val="Normal"/>
    <w:next w:val="Normal"/>
    <w:autoRedefine/>
    <w:uiPriority w:val="39"/>
    <w:rsid w:val="00B124A0"/>
    <w:pPr>
      <w:tabs>
        <w:tab w:val="right" w:leader="dot" w:pos="9016"/>
      </w:tabs>
      <w:spacing w:before="0" w:after="0"/>
      <w:ind w:left="442"/>
    </w:pPr>
    <w:rPr>
      <w:rFonts w:asciiTheme="minorHAnsi" w:hAnsiTheme="minorHAnsi" w:cstheme="minorHAnsi"/>
      <w:sz w:val="20"/>
      <w:szCs w:val="20"/>
    </w:rPr>
  </w:style>
  <w:style w:type="paragraph" w:styleId="TOC4">
    <w:name w:val="toc 4"/>
    <w:basedOn w:val="Normal"/>
    <w:next w:val="Normal"/>
    <w:autoRedefine/>
    <w:rsid w:val="00BF74E0"/>
    <w:pPr>
      <w:spacing w:before="0" w:after="0"/>
      <w:ind w:left="660"/>
    </w:pPr>
    <w:rPr>
      <w:rFonts w:asciiTheme="minorHAnsi" w:hAnsiTheme="minorHAnsi" w:cstheme="minorHAnsi"/>
      <w:sz w:val="20"/>
      <w:szCs w:val="20"/>
    </w:rPr>
  </w:style>
  <w:style w:type="paragraph" w:styleId="TOC5">
    <w:name w:val="toc 5"/>
    <w:basedOn w:val="Normal"/>
    <w:next w:val="Normal"/>
    <w:autoRedefine/>
    <w:rsid w:val="00BF74E0"/>
    <w:pPr>
      <w:spacing w:before="0" w:after="0"/>
      <w:ind w:left="880"/>
    </w:pPr>
    <w:rPr>
      <w:rFonts w:asciiTheme="minorHAnsi" w:hAnsiTheme="minorHAnsi" w:cstheme="minorHAnsi"/>
      <w:sz w:val="20"/>
      <w:szCs w:val="20"/>
    </w:rPr>
  </w:style>
  <w:style w:type="paragraph" w:styleId="TOC6">
    <w:name w:val="toc 6"/>
    <w:basedOn w:val="Normal"/>
    <w:next w:val="Normal"/>
    <w:autoRedefine/>
    <w:rsid w:val="00BF74E0"/>
    <w:pPr>
      <w:spacing w:before="0" w:after="0"/>
      <w:ind w:left="1100"/>
    </w:pPr>
    <w:rPr>
      <w:rFonts w:asciiTheme="minorHAnsi" w:hAnsiTheme="minorHAnsi" w:cstheme="minorHAnsi"/>
      <w:sz w:val="20"/>
      <w:szCs w:val="20"/>
    </w:rPr>
  </w:style>
  <w:style w:type="paragraph" w:styleId="TOC7">
    <w:name w:val="toc 7"/>
    <w:basedOn w:val="Normal"/>
    <w:next w:val="Normal"/>
    <w:autoRedefine/>
    <w:rsid w:val="00BF74E0"/>
    <w:pPr>
      <w:spacing w:before="0" w:after="0"/>
      <w:ind w:left="1320"/>
    </w:pPr>
    <w:rPr>
      <w:rFonts w:asciiTheme="minorHAnsi" w:hAnsiTheme="minorHAnsi" w:cstheme="minorHAnsi"/>
      <w:sz w:val="20"/>
      <w:szCs w:val="20"/>
    </w:rPr>
  </w:style>
  <w:style w:type="paragraph" w:styleId="TOC8">
    <w:name w:val="toc 8"/>
    <w:basedOn w:val="Normal"/>
    <w:next w:val="Normal"/>
    <w:autoRedefine/>
    <w:rsid w:val="00BF74E0"/>
    <w:pPr>
      <w:spacing w:before="0" w:after="0"/>
      <w:ind w:left="1540"/>
    </w:pPr>
    <w:rPr>
      <w:rFonts w:asciiTheme="minorHAnsi" w:hAnsiTheme="minorHAnsi" w:cstheme="minorHAnsi"/>
      <w:sz w:val="20"/>
      <w:szCs w:val="20"/>
    </w:rPr>
  </w:style>
  <w:style w:type="paragraph" w:styleId="TOC9">
    <w:name w:val="toc 9"/>
    <w:basedOn w:val="Normal"/>
    <w:next w:val="Normal"/>
    <w:autoRedefine/>
    <w:rsid w:val="00BF74E0"/>
    <w:pPr>
      <w:spacing w:before="0" w:after="0"/>
      <w:ind w:left="1760"/>
    </w:pPr>
    <w:rPr>
      <w:rFonts w:asciiTheme="minorHAnsi" w:hAnsiTheme="minorHAnsi" w:cstheme="minorHAnsi"/>
      <w:sz w:val="20"/>
      <w:szCs w:val="20"/>
    </w:rPr>
  </w:style>
  <w:style w:type="paragraph" w:customStyle="1" w:styleId="Default">
    <w:name w:val="Default"/>
    <w:rsid w:val="00C8224E"/>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F5 List Paragraph Char,Dot pt Char"/>
    <w:basedOn w:val="DefaultParagraphFont"/>
    <w:link w:val="ListParagraph"/>
    <w:uiPriority w:val="34"/>
    <w:locked/>
    <w:rsid w:val="00F3043D"/>
    <w:rPr>
      <w:rFonts w:ascii="Calibri" w:hAnsi="Calibri"/>
      <w:sz w:val="22"/>
      <w:szCs w:val="24"/>
    </w:rPr>
  </w:style>
  <w:style w:type="character" w:customStyle="1" w:styleId="GDV2">
    <w:name w:val="GDV 2"/>
    <w:basedOn w:val="DefaultParagraphFont"/>
    <w:uiPriority w:val="1"/>
    <w:qFormat/>
    <w:rsid w:val="00F3043D"/>
    <w:rPr>
      <w:rFonts w:ascii="Calibri" w:hAnsi="Calibri" w:cs="Calibri"/>
      <w:color w:val="7030A0"/>
      <w:sz w:val="22"/>
      <w:szCs w:val="22"/>
    </w:rPr>
  </w:style>
  <w:style w:type="character" w:customStyle="1" w:styleId="Heading3Char">
    <w:name w:val="Heading 3 Char"/>
    <w:basedOn w:val="DefaultParagraphFont"/>
    <w:link w:val="Heading3"/>
    <w:rsid w:val="00EE4D85"/>
    <w:rPr>
      <w:rFonts w:ascii="Calibri" w:eastAsiaTheme="majorEastAsia" w:hAnsi="Calibri" w:cstheme="majorBidi"/>
      <w:b/>
      <w:bCs/>
      <w:sz w:val="24"/>
      <w:szCs w:val="24"/>
    </w:rPr>
  </w:style>
  <w:style w:type="paragraph" w:styleId="Revision">
    <w:name w:val="Revision"/>
    <w:hidden/>
    <w:uiPriority w:val="99"/>
    <w:semiHidden/>
    <w:rsid w:val="0014274E"/>
    <w:rPr>
      <w:rFonts w:ascii="Calibri" w:hAnsi="Calibri"/>
      <w:sz w:val="22"/>
      <w:szCs w:val="24"/>
    </w:rPr>
  </w:style>
  <w:style w:type="paragraph" w:styleId="TOCHeading">
    <w:name w:val="TOC Heading"/>
    <w:basedOn w:val="Heading1"/>
    <w:next w:val="Normal"/>
    <w:uiPriority w:val="39"/>
    <w:unhideWhenUsed/>
    <w:qFormat/>
    <w:rsid w:val="003757B3"/>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DisclaimerChar">
    <w:name w:val="Disclaimer Char"/>
    <w:basedOn w:val="DefaultParagraphFont"/>
    <w:link w:val="Disclaimer"/>
    <w:rsid w:val="00427E22"/>
    <w:rPr>
      <w:rFonts w:ascii="Calibri" w:hAnsi="Calibri"/>
      <w:sz w:val="22"/>
    </w:rPr>
  </w:style>
  <w:style w:type="paragraph" w:customStyle="1" w:styleId="guidelinetext">
    <w:name w:val="guideline text"/>
    <w:basedOn w:val="Normal"/>
    <w:link w:val="guidelinetextChar"/>
    <w:qFormat/>
    <w:rsid w:val="007F595F"/>
    <w:pPr>
      <w:spacing w:after="0" w:line="264" w:lineRule="auto"/>
      <w:ind w:left="1440"/>
    </w:pPr>
    <w:rPr>
      <w:rFonts w:asciiTheme="minorHAnsi" w:eastAsiaTheme="minorHAnsi" w:hAnsiTheme="minorHAnsi" w:cstheme="minorBidi"/>
      <w:szCs w:val="22"/>
      <w:lang w:eastAsia="en-US"/>
    </w:rPr>
  </w:style>
  <w:style w:type="paragraph" w:customStyle="1" w:styleId="guidelinebullet">
    <w:name w:val="guideline bullet"/>
    <w:basedOn w:val="ListParagraph"/>
    <w:link w:val="guidelinebulletChar"/>
    <w:qFormat/>
    <w:rsid w:val="007F595F"/>
    <w:pPr>
      <w:spacing w:before="60" w:after="0"/>
      <w:ind w:left="0"/>
      <w:contextualSpacing w:val="0"/>
    </w:pPr>
    <w:rPr>
      <w:rFonts w:asciiTheme="minorHAnsi" w:eastAsiaTheme="minorHAnsi" w:hAnsiTheme="minorHAnsi" w:cstheme="minorBidi"/>
      <w:szCs w:val="22"/>
      <w:lang w:eastAsia="en-US"/>
    </w:rPr>
  </w:style>
  <w:style w:type="character" w:customStyle="1" w:styleId="guidelinetextChar">
    <w:name w:val="guideline text Char"/>
    <w:basedOn w:val="DefaultParagraphFont"/>
    <w:link w:val="guidelinetext"/>
    <w:rsid w:val="007F595F"/>
    <w:rPr>
      <w:rFonts w:asciiTheme="minorHAnsi" w:eastAsiaTheme="minorHAnsi" w:hAnsiTheme="minorHAnsi" w:cstheme="minorBidi"/>
      <w:sz w:val="22"/>
      <w:szCs w:val="22"/>
      <w:lang w:eastAsia="en-US"/>
    </w:rPr>
  </w:style>
  <w:style w:type="character" w:customStyle="1" w:styleId="guidelinebulletChar">
    <w:name w:val="guideline bullet Char"/>
    <w:basedOn w:val="ListParagraphChar"/>
    <w:link w:val="guidelinebullet"/>
    <w:rsid w:val="007F595F"/>
    <w:rPr>
      <w:rFonts w:asciiTheme="minorHAnsi" w:eastAsiaTheme="minorHAnsi" w:hAnsiTheme="minorHAnsi" w:cstheme="minorBidi"/>
      <w:sz w:val="22"/>
      <w:szCs w:val="22"/>
      <w:lang w:eastAsia="en-US"/>
    </w:rPr>
  </w:style>
  <w:style w:type="paragraph" w:customStyle="1" w:styleId="guidelinechanges">
    <w:name w:val="guideline changes"/>
    <w:basedOn w:val="Normal"/>
    <w:link w:val="guidelinechangesChar"/>
    <w:qFormat/>
    <w:rsid w:val="007F595F"/>
    <w:pPr>
      <w:spacing w:before="60" w:after="0"/>
    </w:pPr>
    <w:rPr>
      <w:rFonts w:asciiTheme="minorHAnsi" w:eastAsiaTheme="minorHAnsi" w:hAnsiTheme="minorHAnsi" w:cstheme="minorBidi"/>
      <w:sz w:val="20"/>
      <w:szCs w:val="22"/>
      <w:lang w:eastAsia="en-US"/>
    </w:rPr>
  </w:style>
  <w:style w:type="character" w:customStyle="1" w:styleId="guidelinechangesChar">
    <w:name w:val="guideline changes Char"/>
    <w:basedOn w:val="DefaultParagraphFont"/>
    <w:link w:val="guidelinechanges"/>
    <w:rsid w:val="007F595F"/>
    <w:rPr>
      <w:rFonts w:asciiTheme="minorHAnsi" w:eastAsiaTheme="minorHAnsi" w:hAnsiTheme="minorHAnsi" w:cstheme="minorBidi"/>
      <w:szCs w:val="22"/>
      <w:lang w:eastAsia="en-US"/>
    </w:rPr>
  </w:style>
  <w:style w:type="paragraph" w:customStyle="1" w:styleId="docev">
    <w:name w:val="doc ev"/>
    <w:basedOn w:val="guidelinetext"/>
    <w:link w:val="docevChar"/>
    <w:qFormat/>
    <w:rsid w:val="007F595F"/>
    <w:pPr>
      <w:numPr>
        <w:numId w:val="7"/>
      </w:numPr>
    </w:pPr>
  </w:style>
  <w:style w:type="character" w:customStyle="1" w:styleId="docevChar">
    <w:name w:val="doc ev Char"/>
    <w:basedOn w:val="DefaultParagraphFont"/>
    <w:link w:val="docev"/>
    <w:rsid w:val="007F595F"/>
    <w:rPr>
      <w:rFonts w:asciiTheme="minorHAnsi" w:eastAsiaTheme="minorHAnsi" w:hAnsiTheme="minorHAnsi" w:cstheme="minorBidi"/>
      <w:sz w:val="22"/>
      <w:szCs w:val="22"/>
      <w:lang w:eastAsia="en-US"/>
    </w:rPr>
  </w:style>
  <w:style w:type="paragraph" w:customStyle="1" w:styleId="Dotpoint">
    <w:name w:val="Dot point"/>
    <w:basedOn w:val="ListParagraph"/>
    <w:link w:val="DotpointChar"/>
    <w:qFormat/>
    <w:rsid w:val="007F595F"/>
    <w:pPr>
      <w:numPr>
        <w:numId w:val="8"/>
      </w:numPr>
      <w:spacing w:before="0" w:line="264" w:lineRule="auto"/>
      <w:contextualSpacing w:val="0"/>
      <w:jc w:val="both"/>
    </w:pPr>
    <w:rPr>
      <w:rFonts w:eastAsiaTheme="minorEastAsia" w:cstheme="minorHAnsi"/>
      <w:color w:val="111111"/>
      <w:szCs w:val="22"/>
      <w:lang w:eastAsia="en-US"/>
    </w:rPr>
  </w:style>
  <w:style w:type="character" w:customStyle="1" w:styleId="DotpointChar">
    <w:name w:val="Dot point Char"/>
    <w:basedOn w:val="DefaultParagraphFont"/>
    <w:link w:val="Dotpoint"/>
    <w:rsid w:val="007F595F"/>
    <w:rPr>
      <w:rFonts w:ascii="Calibri" w:eastAsiaTheme="minorEastAsia" w:hAnsi="Calibri" w:cstheme="minorHAnsi"/>
      <w:color w:val="111111"/>
      <w:sz w:val="22"/>
      <w:szCs w:val="22"/>
      <w:lang w:eastAsia="en-US"/>
    </w:rPr>
  </w:style>
  <w:style w:type="character" w:customStyle="1" w:styleId="Heading4Char">
    <w:name w:val="Heading 4 Char"/>
    <w:basedOn w:val="DefaultParagraphFont"/>
    <w:link w:val="Heading4"/>
    <w:semiHidden/>
    <w:rsid w:val="001A6F2D"/>
    <w:rPr>
      <w:rFonts w:asciiTheme="majorHAnsi" w:eastAsiaTheme="majorEastAsia" w:hAnsiTheme="majorHAnsi" w:cstheme="majorBidi"/>
      <w:i/>
      <w:iCs/>
      <w:color w:val="365F91" w:themeColor="accent1" w:themeShade="BF"/>
      <w:sz w:val="22"/>
      <w:szCs w:val="24"/>
    </w:rPr>
  </w:style>
  <w:style w:type="paragraph" w:customStyle="1" w:styleId="guidelinedeedref">
    <w:name w:val="guideline deed ref"/>
    <w:basedOn w:val="Normal"/>
    <w:link w:val="guidelinedeedrefChar"/>
    <w:qFormat/>
    <w:rsid w:val="001A6F2D"/>
    <w:pPr>
      <w:spacing w:after="0"/>
      <w:ind w:left="1440"/>
    </w:pPr>
    <w:rPr>
      <w:rFonts w:ascii="Garamond" w:eastAsiaTheme="minorHAnsi" w:hAnsi="Garamond" w:cstheme="minorBidi"/>
      <w:sz w:val="20"/>
      <w:szCs w:val="22"/>
      <w:lang w:eastAsia="en-US"/>
    </w:rPr>
  </w:style>
  <w:style w:type="character" w:customStyle="1" w:styleId="guidelinedeedrefChar">
    <w:name w:val="guideline deed ref Char"/>
    <w:basedOn w:val="DefaultParagraphFont"/>
    <w:link w:val="guidelinedeedref"/>
    <w:rsid w:val="001A6F2D"/>
    <w:rPr>
      <w:rFonts w:ascii="Garamond" w:eastAsiaTheme="minorHAnsi" w:hAnsi="Garamond" w:cstheme="minorBidi"/>
      <w:szCs w:val="22"/>
      <w:lang w:eastAsia="en-US"/>
    </w:rPr>
  </w:style>
  <w:style w:type="paragraph" w:customStyle="1" w:styleId="2a1Amanual">
    <w:name w:val="2a. 1A manual"/>
    <w:basedOn w:val="Normal"/>
    <w:link w:val="2a1AmanualChar"/>
    <w:rsid w:val="001A6F2D"/>
    <w:pPr>
      <w:keepNext/>
      <w:keepLines/>
      <w:suppressAutoHyphens/>
      <w:spacing w:before="240" w:line="264" w:lineRule="auto"/>
      <w:ind w:left="737" w:hanging="737"/>
      <w:outlineLvl w:val="0"/>
    </w:pPr>
    <w:rPr>
      <w:b/>
      <w:szCs w:val="20"/>
    </w:rPr>
  </w:style>
  <w:style w:type="character" w:customStyle="1" w:styleId="2a1AmanualChar">
    <w:name w:val="2a. 1A manual Char"/>
    <w:basedOn w:val="DefaultParagraphFont"/>
    <w:link w:val="2a1Amanual"/>
    <w:rsid w:val="001A6F2D"/>
    <w:rPr>
      <w:rFonts w:ascii="Calibri" w:hAnsi="Calibri"/>
      <w:b/>
      <w:sz w:val="22"/>
    </w:rPr>
  </w:style>
  <w:style w:type="character" w:customStyle="1" w:styleId="CommentTextChar">
    <w:name w:val="Comment Text Char"/>
    <w:basedOn w:val="DefaultParagraphFont"/>
    <w:link w:val="CommentText"/>
    <w:uiPriority w:val="99"/>
    <w:rsid w:val="00237E1D"/>
    <w:rPr>
      <w:rFonts w:ascii="Calibri" w:hAnsi="Calibri"/>
    </w:rPr>
  </w:style>
  <w:style w:type="table" w:customStyle="1" w:styleId="GridTable2-Accent11">
    <w:name w:val="Grid Table 2 - Accent 11"/>
    <w:basedOn w:val="TableNormal"/>
    <w:uiPriority w:val="47"/>
    <w:rsid w:val="00DA2ECC"/>
    <w:pPr>
      <w:spacing w:before="120"/>
    </w:pPr>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C810E0"/>
    <w:rPr>
      <w:color w:val="800080" w:themeColor="followedHyperlink"/>
      <w:u w:val="single"/>
    </w:rPr>
  </w:style>
  <w:style w:type="character" w:customStyle="1" w:styleId="FooterChar">
    <w:name w:val="Footer Char"/>
    <w:basedOn w:val="DefaultParagraphFont"/>
    <w:link w:val="Footer"/>
    <w:uiPriority w:val="99"/>
    <w:rsid w:val="006A7E31"/>
    <w:rPr>
      <w:rFonts w:ascii="Calibri" w:hAnsi="Calibri"/>
      <w:color w:val="808080" w:themeColor="background1" w:themeShade="80"/>
      <w:sz w:val="22"/>
      <w:szCs w:val="24"/>
    </w:rPr>
  </w:style>
  <w:style w:type="paragraph" w:customStyle="1" w:styleId="WHS">
    <w:name w:val="WHS"/>
    <w:basedOn w:val="guidelinetext"/>
    <w:link w:val="WHSChar"/>
    <w:qFormat/>
    <w:rsid w:val="001C516F"/>
    <w:pPr>
      <w:numPr>
        <w:numId w:val="29"/>
      </w:numPr>
      <w:ind w:left="1418" w:hanging="1418"/>
    </w:pPr>
  </w:style>
  <w:style w:type="character" w:customStyle="1" w:styleId="WHSChar">
    <w:name w:val="WHS Char"/>
    <w:basedOn w:val="DefaultParagraphFont"/>
    <w:link w:val="WHS"/>
    <w:rsid w:val="001C516F"/>
    <w:rPr>
      <w:rFonts w:asciiTheme="minorHAnsi" w:eastAsiaTheme="minorHAnsi" w:hAnsiTheme="minorHAnsi" w:cstheme="minorBidi"/>
      <w:sz w:val="22"/>
      <w:szCs w:val="22"/>
      <w:lang w:eastAsia="en-US"/>
    </w:rPr>
  </w:style>
  <w:style w:type="paragraph" w:customStyle="1" w:styleId="3Cls11">
    <w:name w:val="3. Cls 1.1"/>
    <w:basedOn w:val="Normal"/>
    <w:link w:val="3Cls11Char"/>
    <w:qFormat/>
    <w:rsid w:val="006A7CD0"/>
    <w:pPr>
      <w:keepLines/>
      <w:tabs>
        <w:tab w:val="num" w:pos="1021"/>
      </w:tabs>
      <w:suppressAutoHyphens/>
      <w:spacing w:line="264" w:lineRule="auto"/>
      <w:ind w:left="1021" w:hanging="737"/>
      <w:outlineLvl w:val="1"/>
    </w:pPr>
    <w:rPr>
      <w:color w:val="000000"/>
      <w:szCs w:val="20"/>
    </w:rPr>
  </w:style>
  <w:style w:type="character" w:customStyle="1" w:styleId="3Cls11Char">
    <w:name w:val="3. Cls 1.1 Char"/>
    <w:basedOn w:val="DefaultParagraphFont"/>
    <w:link w:val="3Cls11"/>
    <w:rsid w:val="006A7CD0"/>
    <w:rPr>
      <w:rFonts w:ascii="Calibri" w:hAnsi="Calibri"/>
      <w:color w:val="000000"/>
      <w:sz w:val="22"/>
    </w:rPr>
  </w:style>
  <w:style w:type="table" w:styleId="ListTable2">
    <w:name w:val="List Table 2"/>
    <w:basedOn w:val="TableNormal"/>
    <w:uiPriority w:val="47"/>
    <w:rsid w:val="006A7CD0"/>
    <w:pPr>
      <w:spacing w:before="120"/>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6A7CD0"/>
    <w:pPr>
      <w:spacing w:before="0"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A7C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A7CD0"/>
    <w:rPr>
      <w:vertAlign w:val="superscript"/>
    </w:rPr>
  </w:style>
  <w:style w:type="paragraph" w:customStyle="1" w:styleId="DeedReferences">
    <w:name w:val="Deed References"/>
    <w:basedOn w:val="Normal"/>
    <w:link w:val="DeedReferencesChar"/>
    <w:qFormat/>
    <w:rsid w:val="00D2327D"/>
    <w:pPr>
      <w:spacing w:after="0"/>
    </w:pPr>
    <w:rPr>
      <w:rFonts w:ascii="Calibri Light" w:hAnsi="Calibri Light" w:cs="Calibri Light"/>
      <w:sz w:val="20"/>
    </w:rPr>
  </w:style>
  <w:style w:type="character" w:customStyle="1" w:styleId="DeedReferencesChar">
    <w:name w:val="Deed References Char"/>
    <w:basedOn w:val="DefaultParagraphFont"/>
    <w:link w:val="DeedReferences"/>
    <w:locked/>
    <w:rsid w:val="00D2327D"/>
    <w:rPr>
      <w:rFonts w:ascii="Calibri Light" w:hAnsi="Calibri Light" w:cs="Calibri Light"/>
      <w:szCs w:val="24"/>
    </w:rPr>
  </w:style>
  <w:style w:type="character" w:customStyle="1" w:styleId="Heading1Char">
    <w:name w:val="Heading 1 Char"/>
    <w:aliases w:val="Chapter Level 2 Char"/>
    <w:basedOn w:val="DefaultParagraphFont"/>
    <w:link w:val="Heading1"/>
    <w:uiPriority w:val="9"/>
    <w:rsid w:val="00C126C5"/>
    <w:rPr>
      <w:rFonts w:ascii="Calibri" w:hAnsi="Calibri"/>
      <w:b/>
      <w:sz w:val="5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snaccess.gov.au/sites/SecureSitePortal/jobactive/Guidelines/ParticipationandComplianceFramework/Pages/default.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CSSIncludeInNewsletter xmlns="d4ed92f1-b901-42a9-bcc3-7b24959a6f87">false</ESCSSIncludeInNewsletter>
    <ESCSSKeywords xmlns="d4ed92f1-b901-42a9-bcc3-7b24959a6f87">Capability Interview</ESCSSKeywords>
    <ESCSSReviewDate xmlns="d4ed92f1-b901-42a9-bcc3-7b24959a6f87" xsi:nil="true"/>
    <ESCSSContentAuthor xmlns="d4ed92f1-b901-42a9-bcc3-7b24959a6f87">1293</ESCSSContentAuthor>
    <ESCSSResourceType xmlns="d4ed92f1-b901-42a9-bcc3-7b24959a6f87">7</ESCSSResourceType>
    <ESCSSSubject xmlns="d4ed92f1-b901-42a9-bcc3-7b24959a6f87">20221021-1256451001076</ESCSSSubject>
    <ESCSSEffectiveStartDate xmlns="d4ed92f1-b901-42a9-bcc3-7b24959a6f87">2022-11-30T13:00:00+00:00</ESCSSEffectiveStartDate>
    <ESCSSContentApprover xmlns="d4ed92f1-b901-42a9-bcc3-7b24959a6f87">3711</ESCSSContentApprover>
    <ESCSSTopic xmlns="d4ed92f1-b901-42a9-bcc3-7b24959a6f87">512</ESCSSTopic>
    <ESCSSContentStatus xmlns="d4ed92f1-b901-42a9-bcc3-7b24959a6f87">Current</ESCSSContentStatus>
    <ESCSSIncludeInLatestUpdates xmlns="d4ed92f1-b901-42a9-bcc3-7b24959a6f87">false</ESCSSIncludeInLatestUpdates>
    <ESCSSSummaryOfUpdate xmlns="d4ed92f1-b901-42a9-bcc3-7b24959a6f87">The DES Capability Interview Guidelines v1.3 has been updated as follows:
Amendment: Removal of the reference to PaTH Internships as a result of the cessation of the PaTH and National Work Experience programs, effective 9 September 2022.
</ESCSSSummaryOfUpdate>
    <ESCSSDescription xmlns="d4ed92f1-b901-42a9-bcc3-7b24959a6f87">DES Capability Interview Guidelines v1.3 provides information about a Provider’s responsibilities and required actions in relation to Participant’s Capability Interview component of the Targeted Compliance Framework.</ESCSSDescription>
    <ESCSSContentAuthorBranch xmlns="d4ed92f1-b901-42a9-bcc3-7b24959a6f87">356</ESCSSContentAuthorBranch>
    <ESCSSLocation xmlns="a232d271-55e7-4aa6-9ab7-ccc10e765e65">DES Guidelines and Supporting Documents &gt; Participation and Compliance</ESCSSLocation>
    <ESCSSSiteGroup xmlns="d4ed92f1-b901-42a9-bcc3-7b24959a6f87">
      <Value>8</Value>
    </ESCSSSiteGroup>
    <ESCSSPublishingInstructions xmlns="d4ed92f1-b901-42a9-bcc3-7b24959a6f87">Please publish on DES Provider Portal for this quarterly publishing cycle
</ESCSSPublishingInstructions>
    <ESCSSContentAuthorTeam xmlns="d4ed92f1-b901-42a9-bcc3-7b24959a6f87">724</ESCSSContentAuthorTeam>
    <ESCSSPublishingContentAuthorEmail xmlns="d4ed92f1-b901-42a9-bcc3-7b24959a6f87">narissa.james@dss.gov.au</ESCSSPublishingContentAuthorEmail>
    <ESCSSPublishingAuthorisingBranchHead xmlns="d4ed92f1-b901-42a9-bcc3-7b24959a6f87">3610</ESCSSPublishingAuthorisingBranchHead>
    <ESCSSDocumentId xmlns="d4ed92f1-b901-42a9-bcc3-7b24959a6f87">D22/1467660</ESCSSDocumen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F93D1-3E3A-4F7D-9C0F-FD94A142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14A1A-BC5D-4672-A67A-3D5575A8FC8C}">
  <ds:schemaRefs>
    <ds:schemaRef ds:uri="http://schemas.microsoft.com/sharepoint/v3/contenttype/forms"/>
  </ds:schemaRefs>
</ds:datastoreItem>
</file>

<file path=customXml/itemProps3.xml><?xml version="1.0" encoding="utf-8"?>
<ds:datastoreItem xmlns:ds="http://schemas.openxmlformats.org/officeDocument/2006/customXml" ds:itemID="{846C9605-1F69-41C1-BACF-24FCA0D8BB47}">
  <ds:schemaRefs>
    <ds:schemaRef ds:uri="http://purl.org/dc/elements/1.1/"/>
    <ds:schemaRef ds:uri="http://schemas.openxmlformats.org/package/2006/metadata/core-properties"/>
    <ds:schemaRef ds:uri="http://purl.org/dc/terms/"/>
    <ds:schemaRef ds:uri="http://www.w3.org/XML/1998/namespace"/>
    <ds:schemaRef ds:uri="d4ed92f1-b901-42a9-bcc3-7b24959a6f87"/>
    <ds:schemaRef ds:uri="http://schemas.microsoft.com/office/2006/documentManagement/types"/>
    <ds:schemaRef ds:uri="a232d271-55e7-4aa6-9ab7-ccc10e765e65"/>
    <ds:schemaRef ds:uri="http://schemas.microsoft.com/office/2006/metadata/properties"/>
    <ds:schemaRef ds:uri="http://schemas.microsoft.com/office/infopath/2007/PartnerControls"/>
    <ds:schemaRef ds:uri="cb1825da-90f7-421b-9ea2-df4c5c18c700"/>
    <ds:schemaRef ds:uri="http://purl.org/dc/dcmitype/"/>
  </ds:schemaRefs>
</ds:datastoreItem>
</file>

<file path=customXml/itemProps4.xml><?xml version="1.0" encoding="utf-8"?>
<ds:datastoreItem xmlns:ds="http://schemas.openxmlformats.org/officeDocument/2006/customXml" ds:itemID="{3C5290D9-EF65-4F6D-9AB1-BF679A94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6925</Words>
  <Characters>39614</Characters>
  <Application>Microsoft Office Word</Application>
  <DocSecurity>4</DocSecurity>
  <Lines>776</Lines>
  <Paragraphs>456</Paragraphs>
  <ScaleCrop>false</ScaleCrop>
  <HeadingPairs>
    <vt:vector size="2" baseType="variant">
      <vt:variant>
        <vt:lpstr>Title</vt:lpstr>
      </vt:variant>
      <vt:variant>
        <vt:i4>1</vt:i4>
      </vt:variant>
    </vt:vector>
  </HeadingPairs>
  <TitlesOfParts>
    <vt:vector size="1" baseType="lpstr">
      <vt:lpstr>Upcoming DES Capability Interview Guidelines v1.3</vt:lpstr>
    </vt:vector>
  </TitlesOfParts>
  <Company>Australian Government</Company>
  <LinksUpToDate>false</LinksUpToDate>
  <CharactersWithSpaces>46083</CharactersWithSpaces>
  <SharedDoc>false</SharedDoc>
  <HLinks>
    <vt:vector size="66" baseType="variant">
      <vt:variant>
        <vt:i4>7209065</vt:i4>
      </vt:variant>
      <vt:variant>
        <vt:i4>51</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3473455</vt:i4>
      </vt:variant>
      <vt:variant>
        <vt:i4>48</vt:i4>
      </vt:variant>
      <vt:variant>
        <vt:i4>0</vt:i4>
      </vt:variant>
      <vt:variant>
        <vt:i4>5</vt:i4>
      </vt:variant>
      <vt:variant>
        <vt:lpwstr>https://ecsn.gov.au/sites/SecureSitePortal/Documents/Current/Disability Employment Services Deed 2010 - 2012 Programs A and B.htm</vt:lpwstr>
      </vt:variant>
      <vt:variant>
        <vt:lpwstr>118</vt:lpwstr>
      </vt:variant>
      <vt:variant>
        <vt:i4>3473455</vt:i4>
      </vt:variant>
      <vt:variant>
        <vt:i4>45</vt:i4>
      </vt:variant>
      <vt:variant>
        <vt:i4>0</vt:i4>
      </vt:variant>
      <vt:variant>
        <vt:i4>5</vt:i4>
      </vt:variant>
      <vt:variant>
        <vt:lpwstr>https://ecsn.gov.au/sites/SecureSitePortal/Documents/Current/Disability Employment Services Deed 2010 - 2012 Programs A and B.htm</vt:lpwstr>
      </vt:variant>
      <vt:variant>
        <vt:lpwstr>117</vt:lpwstr>
      </vt:variant>
      <vt:variant>
        <vt:i4>3473455</vt:i4>
      </vt:variant>
      <vt:variant>
        <vt:i4>42</vt:i4>
      </vt:variant>
      <vt:variant>
        <vt:i4>0</vt:i4>
      </vt:variant>
      <vt:variant>
        <vt:i4>5</vt:i4>
      </vt:variant>
      <vt:variant>
        <vt:lpwstr>https://ecsn.gov.au/sites/SecureSitePortal/Documents/Current/Disability Employment Services Deed 2010 - 2012 Programs A and B.htm</vt:lpwstr>
      </vt:variant>
      <vt:variant>
        <vt:lpwstr>116</vt:lpwstr>
      </vt:variant>
      <vt:variant>
        <vt:i4>3473455</vt:i4>
      </vt:variant>
      <vt:variant>
        <vt:i4>39</vt:i4>
      </vt:variant>
      <vt:variant>
        <vt:i4>0</vt:i4>
      </vt:variant>
      <vt:variant>
        <vt:i4>5</vt:i4>
      </vt:variant>
      <vt:variant>
        <vt:lpwstr>https://ecsn.gov.au/sites/SecureSitePortal/Documents/Current/Disability Employment Services Deed 2010 - 2012 Programs A and B.htm</vt:lpwstr>
      </vt:variant>
      <vt:variant>
        <vt:lpwstr>115</vt:lpwstr>
      </vt:variant>
      <vt:variant>
        <vt:i4>3473455</vt:i4>
      </vt:variant>
      <vt:variant>
        <vt:i4>36</vt:i4>
      </vt:variant>
      <vt:variant>
        <vt:i4>0</vt:i4>
      </vt:variant>
      <vt:variant>
        <vt:i4>5</vt:i4>
      </vt:variant>
      <vt:variant>
        <vt:lpwstr>https://ecsn.gov.au/sites/SecureSitePortal/Documents/Current/Disability Employment Services Deed 2010 - 2012 Programs A and B.htm</vt:lpwstr>
      </vt:variant>
      <vt:variant>
        <vt:lpwstr>114</vt:lpwstr>
      </vt:variant>
      <vt:variant>
        <vt:i4>1638450</vt:i4>
      </vt:variant>
      <vt:variant>
        <vt:i4>29</vt:i4>
      </vt:variant>
      <vt:variant>
        <vt:i4>0</vt:i4>
      </vt:variant>
      <vt:variant>
        <vt:i4>5</vt:i4>
      </vt:variant>
      <vt:variant>
        <vt:lpwstr/>
      </vt:variant>
      <vt:variant>
        <vt:lpwstr>_Toc250708041</vt:lpwstr>
      </vt:variant>
      <vt:variant>
        <vt:i4>1638450</vt:i4>
      </vt:variant>
      <vt:variant>
        <vt:i4>23</vt:i4>
      </vt:variant>
      <vt:variant>
        <vt:i4>0</vt:i4>
      </vt:variant>
      <vt:variant>
        <vt:i4>5</vt:i4>
      </vt:variant>
      <vt:variant>
        <vt:lpwstr/>
      </vt:variant>
      <vt:variant>
        <vt:lpwstr>_Toc250708040</vt:lpwstr>
      </vt:variant>
      <vt:variant>
        <vt:i4>1966130</vt:i4>
      </vt:variant>
      <vt:variant>
        <vt:i4>17</vt:i4>
      </vt:variant>
      <vt:variant>
        <vt:i4>0</vt:i4>
      </vt:variant>
      <vt:variant>
        <vt:i4>5</vt:i4>
      </vt:variant>
      <vt:variant>
        <vt:lpwstr/>
      </vt:variant>
      <vt:variant>
        <vt:lpwstr>_Toc250708039</vt:lpwstr>
      </vt:variant>
      <vt:variant>
        <vt:i4>1966130</vt:i4>
      </vt:variant>
      <vt:variant>
        <vt:i4>11</vt:i4>
      </vt:variant>
      <vt:variant>
        <vt:i4>0</vt:i4>
      </vt:variant>
      <vt:variant>
        <vt:i4>5</vt:i4>
      </vt:variant>
      <vt:variant>
        <vt:lpwstr/>
      </vt:variant>
      <vt:variant>
        <vt:lpwstr>_Toc250708038</vt:lpwstr>
      </vt:variant>
      <vt:variant>
        <vt:i4>1966130</vt:i4>
      </vt:variant>
      <vt:variant>
        <vt:i4>5</vt:i4>
      </vt:variant>
      <vt:variant>
        <vt:i4>0</vt:i4>
      </vt:variant>
      <vt:variant>
        <vt:i4>5</vt:i4>
      </vt:variant>
      <vt:variant>
        <vt:lpwstr/>
      </vt:variant>
      <vt:variant>
        <vt:lpwstr>_Toc250708036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Capability Interview Guidelines v1.3</dc:title>
  <dc:creator>GOOLEY, Daniel</dc:creator>
  <cp:keywords>[SEC=OFFICIAL]</cp:keywords>
  <cp:lastModifiedBy>SUTHERLAND, Jackie</cp:lastModifiedBy>
  <cp:revision>2</cp:revision>
  <cp:lastPrinted>2022-11-14T01:12:00Z</cp:lastPrinted>
  <dcterms:created xsi:type="dcterms:W3CDTF">2022-11-30T23:55:00Z</dcterms:created>
  <dcterms:modified xsi:type="dcterms:W3CDTF">2022-11-30T23:55:00Z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369822510</vt:i4>
  </property>
  <property fmtid="{D5CDD505-2E9C-101B-9397-08002B2CF9AE}" pid="3" name="_ReviewCycleID">
    <vt:i4>369822510</vt:i4>
  </property>
  <property fmtid="{D5CDD505-2E9C-101B-9397-08002B2CF9AE}" pid="4" name="_NewReviewCycle">
    <vt:lpwstr/>
  </property>
  <property fmtid="{D5CDD505-2E9C-101B-9397-08002B2CF9AE}" pid="5" name="_EmailEntryID">
    <vt:lpwstr>000000002BAF6B1C282BAC4284C65CBE9273B06C0700D61C3FF5EFB2FB4B91194D7CF8B0F5D40000002FC10F000021E6A08D3764014B9C70B3535B1ADB97006121C219C40000</vt:lpwstr>
  </property>
  <property fmtid="{D5CDD505-2E9C-101B-9397-08002B2CF9AE}" pid="6" name="ContentTypeId">
    <vt:lpwstr>0x0101001FFFC1AF147C4F5C9369E689092D514B00CDBBD3D659EFFD4C82BD4CC74ED24B82</vt:lpwstr>
  </property>
  <property fmtid="{D5CDD505-2E9C-101B-9397-08002B2CF9AE}" pid="7" name="Order">
    <vt:r8>561800</vt:r8>
  </property>
  <property fmtid="{D5CDD505-2E9C-101B-9397-08002B2CF9AE}" pid="8" name="xd_ProgID">
    <vt:lpwstr/>
  </property>
  <property fmtid="{D5CDD505-2E9C-101B-9397-08002B2CF9AE}" pid="9" name="TemplateUrl">
    <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A593E020591E451582ACDBCC881B1ED8</vt:lpwstr>
  </property>
  <property fmtid="{D5CDD505-2E9C-101B-9397-08002B2CF9AE}" pid="17" name="PM_ProtectiveMarkingValue_Footer">
    <vt:lpwstr>OFFICIAL</vt:lpwstr>
  </property>
  <property fmtid="{D5CDD505-2E9C-101B-9397-08002B2CF9AE}" pid="18" name="PM_Originator_Hash_SHA1">
    <vt:lpwstr>6DE9D28A3E41890A4810B0D058DBDC06A9E9EE6B</vt:lpwstr>
  </property>
  <property fmtid="{D5CDD505-2E9C-101B-9397-08002B2CF9AE}" pid="19" name="PM_OriginationTimeStamp">
    <vt:lpwstr>2022-11-30T23:55:29Z</vt:lpwstr>
  </property>
  <property fmtid="{D5CDD505-2E9C-101B-9397-08002B2CF9AE}" pid="20" name="PM_ProtectiveMarkingValue_Header">
    <vt:lpwstr>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Display">
    <vt:lpwstr>OFFICIAL</vt:lpwstr>
  </property>
  <property fmtid="{D5CDD505-2E9C-101B-9397-08002B2CF9AE}" pid="27" name="PM_Hash_Version">
    <vt:lpwstr>2018.0</vt:lpwstr>
  </property>
  <property fmtid="{D5CDD505-2E9C-101B-9397-08002B2CF9AE}" pid="28" name="PM_Hash_Salt_Prev">
    <vt:lpwstr>E93D49BC3E6BDB1C8F0D7969DE05BF74</vt:lpwstr>
  </property>
  <property fmtid="{D5CDD505-2E9C-101B-9397-08002B2CF9AE}" pid="29" name="PM_Hash_Salt">
    <vt:lpwstr>C4ED09D76989942081839028EE753254</vt:lpwstr>
  </property>
  <property fmtid="{D5CDD505-2E9C-101B-9397-08002B2CF9AE}" pid="30" name="PM_Hash_SHA1">
    <vt:lpwstr>9F72F5A663E7C3B64CFECA771E5DFE2F4646ACCF</vt:lpwstr>
  </property>
  <property fmtid="{D5CDD505-2E9C-101B-9397-08002B2CF9AE}" pid="31" name="PM_OriginatorUserAccountName_SHA256">
    <vt:lpwstr>773B773A522757F70813FCD27890791A51D7DF5FFB165C4D9117866901CD95D2</vt:lpwstr>
  </property>
  <property fmtid="{D5CDD505-2E9C-101B-9397-08002B2CF9AE}" pid="32" name="PM_OriginatorDomainName_SHA256">
    <vt:lpwstr>E83A2A66C4061446A7E3732E8D44762184B6B377D962B96C83DC624302585857</vt:lpwstr>
  </property>
  <property fmtid="{D5CDD505-2E9C-101B-9397-08002B2CF9AE}" pid="33" name="PM_MinimumSecurityClassification">
    <vt:lpwstr/>
  </property>
  <property fmtid="{D5CDD505-2E9C-101B-9397-08002B2CF9AE}" pid="34" name="_ReviewingToolsShownOnce">
    <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MSIP_Label_79d889eb-932f-4752-8739-64d25806ef64_Enabled">
    <vt:lpwstr>true</vt:lpwstr>
  </property>
  <property fmtid="{D5CDD505-2E9C-101B-9397-08002B2CF9AE}" pid="38" name="MSIP_Label_79d889eb-932f-4752-8739-64d25806ef64_SetDate">
    <vt:lpwstr>2022-08-04T02:11:10Z</vt:lpwstr>
  </property>
  <property fmtid="{D5CDD505-2E9C-101B-9397-08002B2CF9AE}" pid="39" name="MSIP_Label_79d889eb-932f-4752-8739-64d25806ef64_Method">
    <vt:lpwstr>Privileged</vt:lpwstr>
  </property>
  <property fmtid="{D5CDD505-2E9C-101B-9397-08002B2CF9AE}" pid="40" name="MSIP_Label_79d889eb-932f-4752-8739-64d25806ef64_Name">
    <vt:lpwstr>79d889eb-932f-4752-8739-64d25806ef64</vt:lpwstr>
  </property>
  <property fmtid="{D5CDD505-2E9C-101B-9397-08002B2CF9AE}" pid="41" name="MSIP_Label_79d889eb-932f-4752-8739-64d25806ef64_SiteId">
    <vt:lpwstr>dd0cfd15-4558-4b12-8bad-ea26984fc417</vt:lpwstr>
  </property>
  <property fmtid="{D5CDD505-2E9C-101B-9397-08002B2CF9AE}" pid="42" name="MSIP_Label_79d889eb-932f-4752-8739-64d25806ef64_ActionId">
    <vt:lpwstr>ddf85db0-64fe-4a5d-974b-180cfd6a72c7</vt:lpwstr>
  </property>
  <property fmtid="{D5CDD505-2E9C-101B-9397-08002B2CF9AE}" pid="43" name="MSIP_Label_79d889eb-932f-4752-8739-64d25806ef64_ContentBits">
    <vt:lpwstr>0</vt:lpwstr>
  </property>
</Properties>
</file>