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2AAE8" w14:textId="77777777" w:rsidR="007D2906" w:rsidRDefault="007D2906" w:rsidP="00BC1F91">
      <w:pPr>
        <w:spacing w:before="480"/>
        <w:rPr>
          <w:sz w:val="20"/>
          <w:szCs w:val="20"/>
        </w:rPr>
      </w:pPr>
    </w:p>
    <w:p w14:paraId="070023C7" w14:textId="42594617" w:rsidR="000830AE" w:rsidRPr="00C425BC" w:rsidRDefault="009C27A6" w:rsidP="00AA59AD">
      <w:pPr>
        <w:spacing w:before="840"/>
        <w:jc w:val="center"/>
        <w:rPr>
          <w:sz w:val="20"/>
          <w:szCs w:val="20"/>
        </w:rPr>
      </w:pPr>
      <w:r>
        <w:rPr>
          <w:noProof/>
          <w:lang w:val="en-AU" w:eastAsia="en-AU"/>
        </w:rPr>
        <w:drawing>
          <wp:inline distT="0" distB="0" distL="0" distR="0" wp14:anchorId="01ACA3BD" wp14:editId="5712484D">
            <wp:extent cx="3919855" cy="2719070"/>
            <wp:effectExtent l="0" t="0" r="4445" b="5080"/>
            <wp:docPr id="13" name="Picture 1" descr="Australian Government and Disability Employment Servi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9855" cy="2719070"/>
                    </a:xfrm>
                    <a:prstGeom prst="rect">
                      <a:avLst/>
                    </a:prstGeom>
                    <a:noFill/>
                    <a:ln>
                      <a:noFill/>
                    </a:ln>
                  </pic:spPr>
                </pic:pic>
              </a:graphicData>
            </a:graphic>
          </wp:inline>
        </w:drawing>
      </w:r>
    </w:p>
    <w:p w14:paraId="2B69379A" w14:textId="40E1BD94" w:rsidR="000830AE" w:rsidRPr="005C3030" w:rsidRDefault="00066E63" w:rsidP="00BC1F91">
      <w:pPr>
        <w:pStyle w:val="Title"/>
        <w:spacing w:before="960"/>
      </w:pPr>
      <w:bookmarkStart w:id="0" w:name="_Toc496019677"/>
      <w:bookmarkStart w:id="1" w:name="_Toc496019730"/>
      <w:bookmarkStart w:id="2" w:name="_Toc500342181"/>
      <w:bookmarkStart w:id="3" w:name="_Toc522533057"/>
      <w:bookmarkStart w:id="4" w:name="_Toc524009701"/>
      <w:bookmarkStart w:id="5" w:name="_Toc524011823"/>
      <w:bookmarkStart w:id="6" w:name="_Toc524012167"/>
      <w:bookmarkStart w:id="7" w:name="_Toc524012306"/>
      <w:bookmarkStart w:id="8" w:name="_Toc524509400"/>
      <w:bookmarkStart w:id="9" w:name="_Toc176964313"/>
      <w:r w:rsidRPr="005C3030">
        <w:t xml:space="preserve">Eligibility, </w:t>
      </w:r>
      <w:r w:rsidR="009C27A6" w:rsidRPr="005C3030">
        <w:t>Referral and Commencement Guidelines</w:t>
      </w:r>
      <w:bookmarkEnd w:id="0"/>
      <w:bookmarkEnd w:id="1"/>
      <w:bookmarkEnd w:id="2"/>
      <w:bookmarkEnd w:id="3"/>
      <w:bookmarkEnd w:id="4"/>
      <w:bookmarkEnd w:id="5"/>
      <w:bookmarkEnd w:id="6"/>
      <w:bookmarkEnd w:id="7"/>
      <w:bookmarkEnd w:id="8"/>
      <w:bookmarkEnd w:id="9"/>
    </w:p>
    <w:p w14:paraId="0196CE0B" w14:textId="1BB89858" w:rsidR="005B05F4" w:rsidRPr="005B05F4" w:rsidRDefault="009C27A6" w:rsidP="00AD1678">
      <w:pPr>
        <w:jc w:val="center"/>
        <w:rPr>
          <w:b/>
          <w:color w:val="FF0000"/>
          <w:sz w:val="36"/>
          <w:szCs w:val="36"/>
        </w:rPr>
      </w:pPr>
      <w:r w:rsidRPr="00AD1678">
        <w:rPr>
          <w:b/>
          <w:sz w:val="36"/>
          <w:szCs w:val="36"/>
        </w:rPr>
        <w:t>V</w:t>
      </w:r>
      <w:r w:rsidR="005C244C" w:rsidRPr="00AD1678">
        <w:rPr>
          <w:b/>
          <w:sz w:val="36"/>
          <w:szCs w:val="36"/>
        </w:rPr>
        <w:t xml:space="preserve"> </w:t>
      </w:r>
      <w:r w:rsidRPr="00AD1678">
        <w:rPr>
          <w:b/>
          <w:sz w:val="36"/>
          <w:szCs w:val="36"/>
        </w:rPr>
        <w:t>1.</w:t>
      </w:r>
      <w:r w:rsidR="00690A9F">
        <w:rPr>
          <w:b/>
          <w:sz w:val="36"/>
          <w:szCs w:val="36"/>
        </w:rPr>
        <w:t>10</w:t>
      </w:r>
    </w:p>
    <w:p w14:paraId="14532A19" w14:textId="78A99DBC" w:rsidR="00C323BC" w:rsidRDefault="00C323BC" w:rsidP="0038751B">
      <w:pPr>
        <w:pStyle w:val="Disclaimer"/>
        <w:pBdr>
          <w:top w:val="single" w:sz="4" w:space="1" w:color="auto"/>
          <w:left w:val="single" w:sz="4" w:space="4" w:color="auto"/>
          <w:bottom w:val="single" w:sz="4" w:space="1" w:color="auto"/>
          <w:right w:val="single" w:sz="4" w:space="4" w:color="auto"/>
        </w:pBdr>
        <w:spacing w:before="4200"/>
      </w:pPr>
      <w:r w:rsidRPr="00EB34AA">
        <w:rPr>
          <w:b/>
        </w:rPr>
        <w:t>Disclaimer</w:t>
      </w:r>
      <w:r>
        <w:br/>
      </w:r>
      <w:r w:rsidRPr="00402359">
        <w:t xml:space="preserve">This document is not a stand-alone document and does not contain the entirety of </w:t>
      </w:r>
      <w:r>
        <w:t>Disability Employment Services</w:t>
      </w:r>
      <w:r w:rsidRPr="00402359">
        <w:t xml:space="preserve"> </w:t>
      </w:r>
      <w:r w:rsidR="00EF2D5C">
        <w:t>p</w:t>
      </w:r>
      <w:r w:rsidRPr="00402359">
        <w:t xml:space="preserve">roviders' obligations. It should be read in conjunction with the </w:t>
      </w:r>
      <w:r>
        <w:t>Disability Employment Services Grant Agreement</w:t>
      </w:r>
      <w:r w:rsidR="00882768">
        <w:t xml:space="preserve"> and any relevant G</w:t>
      </w:r>
      <w:r w:rsidRPr="00402359">
        <w:t xml:space="preserve">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5582B575" w14:textId="77777777" w:rsidR="00AA59AD" w:rsidRDefault="00AA59AD" w:rsidP="00B72E6F">
      <w:pPr>
        <w:spacing w:after="120" w:line="276" w:lineRule="auto"/>
      </w:pPr>
      <w:r>
        <w:br w:type="page"/>
      </w:r>
    </w:p>
    <w:p w14:paraId="733FB76F" w14:textId="77777777" w:rsidR="002D5DD9" w:rsidRPr="00213141" w:rsidRDefault="00760CB8" w:rsidP="00213141">
      <w:pPr>
        <w:pStyle w:val="Heading2"/>
        <w:spacing w:before="200" w:line="271" w:lineRule="auto"/>
        <w:ind w:left="-284"/>
        <w:rPr>
          <w:rFonts w:asciiTheme="minorHAnsi" w:hAnsiTheme="minorHAnsi" w:cstheme="minorHAnsi"/>
          <w:bCs/>
          <w:spacing w:val="0"/>
          <w:position w:val="0"/>
          <w:sz w:val="24"/>
        </w:rPr>
      </w:pPr>
      <w:bookmarkStart w:id="10" w:name="_Toc521070365"/>
      <w:bookmarkStart w:id="11" w:name="_Toc176964314"/>
      <w:r w:rsidRPr="00213141">
        <w:rPr>
          <w:rFonts w:asciiTheme="minorHAnsi" w:hAnsiTheme="minorHAnsi" w:cstheme="minorHAnsi"/>
          <w:bCs/>
          <w:color w:val="auto"/>
          <w:spacing w:val="0"/>
          <w:position w:val="0"/>
          <w:sz w:val="24"/>
          <w:szCs w:val="24"/>
        </w:rPr>
        <w:lastRenderedPageBreak/>
        <w:t>Table of Contents</w:t>
      </w:r>
      <w:bookmarkEnd w:id="10"/>
      <w:bookmarkEnd w:id="11"/>
    </w:p>
    <w:p w14:paraId="6758AF07" w14:textId="1289B862" w:rsidR="00FD6C39" w:rsidRDefault="00093316">
      <w:pPr>
        <w:pStyle w:val="TOC1"/>
        <w:rPr>
          <w:rFonts w:asciiTheme="minorHAnsi" w:eastAsiaTheme="minorEastAsia" w:hAnsiTheme="minorHAnsi" w:cstheme="minorBidi"/>
          <w:noProof/>
          <w:spacing w:val="0"/>
          <w:kern w:val="2"/>
          <w:position w:val="0"/>
          <w:sz w:val="24"/>
          <w14:ligatures w14:val="standardContextual"/>
        </w:rPr>
      </w:pPr>
      <w:r>
        <w:rPr>
          <w:sz w:val="32"/>
          <w:szCs w:val="32"/>
        </w:rPr>
        <w:fldChar w:fldCharType="begin"/>
      </w:r>
      <w:r w:rsidRPr="001859AB">
        <w:rPr>
          <w:sz w:val="32"/>
          <w:szCs w:val="32"/>
        </w:rPr>
        <w:instrText xml:space="preserve"> TOC \o "1-3" \h \z \u </w:instrText>
      </w:r>
      <w:r>
        <w:rPr>
          <w:sz w:val="32"/>
          <w:szCs w:val="32"/>
        </w:rPr>
        <w:fldChar w:fldCharType="separate"/>
      </w:r>
      <w:hyperlink w:anchor="_Toc176964313" w:history="1">
        <w:r w:rsidR="00FD6C39" w:rsidRPr="003E1493">
          <w:rPr>
            <w:rStyle w:val="Hyperlink"/>
            <w:noProof/>
          </w:rPr>
          <w:t>Eligibility, Referral and Commencement Guidelines</w:t>
        </w:r>
        <w:r w:rsidR="00FD6C39">
          <w:rPr>
            <w:noProof/>
            <w:webHidden/>
          </w:rPr>
          <w:tab/>
        </w:r>
        <w:r w:rsidR="00FD6C39">
          <w:rPr>
            <w:noProof/>
            <w:webHidden/>
          </w:rPr>
          <w:fldChar w:fldCharType="begin"/>
        </w:r>
        <w:r w:rsidR="00FD6C39">
          <w:rPr>
            <w:noProof/>
            <w:webHidden/>
          </w:rPr>
          <w:instrText xml:space="preserve"> PAGEREF _Toc176964313 \h </w:instrText>
        </w:r>
        <w:r w:rsidR="00FD6C39">
          <w:rPr>
            <w:noProof/>
            <w:webHidden/>
          </w:rPr>
        </w:r>
        <w:r w:rsidR="00FD6C39">
          <w:rPr>
            <w:noProof/>
            <w:webHidden/>
          </w:rPr>
          <w:fldChar w:fldCharType="separate"/>
        </w:r>
        <w:r w:rsidR="00FD6C39">
          <w:rPr>
            <w:noProof/>
            <w:webHidden/>
          </w:rPr>
          <w:t>1</w:t>
        </w:r>
        <w:r w:rsidR="00FD6C39">
          <w:rPr>
            <w:noProof/>
            <w:webHidden/>
          </w:rPr>
          <w:fldChar w:fldCharType="end"/>
        </w:r>
      </w:hyperlink>
    </w:p>
    <w:p w14:paraId="503F9F85" w14:textId="09419797"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4" w:history="1">
        <w:r w:rsidRPr="003E1493">
          <w:rPr>
            <w:rStyle w:val="Hyperlink"/>
            <w:rFonts w:cstheme="minorHAnsi"/>
            <w:bCs/>
            <w:noProof/>
          </w:rPr>
          <w:t>Table of Contents</w:t>
        </w:r>
        <w:r>
          <w:rPr>
            <w:noProof/>
            <w:webHidden/>
          </w:rPr>
          <w:tab/>
        </w:r>
        <w:r>
          <w:rPr>
            <w:noProof/>
            <w:webHidden/>
          </w:rPr>
          <w:fldChar w:fldCharType="begin"/>
        </w:r>
        <w:r>
          <w:rPr>
            <w:noProof/>
            <w:webHidden/>
          </w:rPr>
          <w:instrText xml:space="preserve"> PAGEREF _Toc176964314 \h </w:instrText>
        </w:r>
        <w:r>
          <w:rPr>
            <w:noProof/>
            <w:webHidden/>
          </w:rPr>
        </w:r>
        <w:r>
          <w:rPr>
            <w:noProof/>
            <w:webHidden/>
          </w:rPr>
          <w:fldChar w:fldCharType="separate"/>
        </w:r>
        <w:r>
          <w:rPr>
            <w:noProof/>
            <w:webHidden/>
          </w:rPr>
          <w:t>2</w:t>
        </w:r>
        <w:r>
          <w:rPr>
            <w:noProof/>
            <w:webHidden/>
          </w:rPr>
          <w:fldChar w:fldCharType="end"/>
        </w:r>
      </w:hyperlink>
    </w:p>
    <w:p w14:paraId="33D79473" w14:textId="31473E92"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5" w:history="1">
        <w:r w:rsidRPr="003E1493">
          <w:rPr>
            <w:rStyle w:val="Hyperlink"/>
            <w:rFonts w:cstheme="minorHAnsi"/>
            <w:bCs/>
            <w:noProof/>
          </w:rPr>
          <w:t>Document Change History</w:t>
        </w:r>
        <w:r>
          <w:rPr>
            <w:noProof/>
            <w:webHidden/>
          </w:rPr>
          <w:tab/>
        </w:r>
        <w:r>
          <w:rPr>
            <w:noProof/>
            <w:webHidden/>
          </w:rPr>
          <w:fldChar w:fldCharType="begin"/>
        </w:r>
        <w:r>
          <w:rPr>
            <w:noProof/>
            <w:webHidden/>
          </w:rPr>
          <w:instrText xml:space="preserve"> PAGEREF _Toc176964315 \h </w:instrText>
        </w:r>
        <w:r>
          <w:rPr>
            <w:noProof/>
            <w:webHidden/>
          </w:rPr>
        </w:r>
        <w:r>
          <w:rPr>
            <w:noProof/>
            <w:webHidden/>
          </w:rPr>
          <w:fldChar w:fldCharType="separate"/>
        </w:r>
        <w:r>
          <w:rPr>
            <w:noProof/>
            <w:webHidden/>
          </w:rPr>
          <w:t>3</w:t>
        </w:r>
        <w:r>
          <w:rPr>
            <w:noProof/>
            <w:webHidden/>
          </w:rPr>
          <w:fldChar w:fldCharType="end"/>
        </w:r>
      </w:hyperlink>
    </w:p>
    <w:p w14:paraId="7066BF2A" w14:textId="0B359840"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6" w:history="1">
        <w:r w:rsidRPr="003E1493">
          <w:rPr>
            <w:rStyle w:val="Hyperlink"/>
            <w:rFonts w:cstheme="minorHAnsi"/>
            <w:bCs/>
            <w:noProof/>
          </w:rPr>
          <w:t>Background</w:t>
        </w:r>
        <w:r>
          <w:rPr>
            <w:noProof/>
            <w:webHidden/>
          </w:rPr>
          <w:tab/>
        </w:r>
        <w:r>
          <w:rPr>
            <w:noProof/>
            <w:webHidden/>
          </w:rPr>
          <w:fldChar w:fldCharType="begin"/>
        </w:r>
        <w:r>
          <w:rPr>
            <w:noProof/>
            <w:webHidden/>
          </w:rPr>
          <w:instrText xml:space="preserve"> PAGEREF _Toc176964316 \h </w:instrText>
        </w:r>
        <w:r>
          <w:rPr>
            <w:noProof/>
            <w:webHidden/>
          </w:rPr>
        </w:r>
        <w:r>
          <w:rPr>
            <w:noProof/>
            <w:webHidden/>
          </w:rPr>
          <w:fldChar w:fldCharType="separate"/>
        </w:r>
        <w:r>
          <w:rPr>
            <w:noProof/>
            <w:webHidden/>
          </w:rPr>
          <w:t>3</w:t>
        </w:r>
        <w:r>
          <w:rPr>
            <w:noProof/>
            <w:webHidden/>
          </w:rPr>
          <w:fldChar w:fldCharType="end"/>
        </w:r>
      </w:hyperlink>
    </w:p>
    <w:p w14:paraId="30C0A1B9" w14:textId="3B4CEA76"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7" w:history="1">
        <w:r w:rsidRPr="003E1493">
          <w:rPr>
            <w:rStyle w:val="Hyperlink"/>
            <w:noProof/>
          </w:rPr>
          <w:t>Eligibility</w:t>
        </w:r>
        <w:r>
          <w:rPr>
            <w:noProof/>
            <w:webHidden/>
          </w:rPr>
          <w:tab/>
        </w:r>
        <w:r>
          <w:rPr>
            <w:noProof/>
            <w:webHidden/>
          </w:rPr>
          <w:fldChar w:fldCharType="begin"/>
        </w:r>
        <w:r>
          <w:rPr>
            <w:noProof/>
            <w:webHidden/>
          </w:rPr>
          <w:instrText xml:space="preserve"> PAGEREF _Toc176964317 \h </w:instrText>
        </w:r>
        <w:r>
          <w:rPr>
            <w:noProof/>
            <w:webHidden/>
          </w:rPr>
        </w:r>
        <w:r>
          <w:rPr>
            <w:noProof/>
            <w:webHidden/>
          </w:rPr>
          <w:fldChar w:fldCharType="separate"/>
        </w:r>
        <w:r>
          <w:rPr>
            <w:noProof/>
            <w:webHidden/>
          </w:rPr>
          <w:t>5</w:t>
        </w:r>
        <w:r>
          <w:rPr>
            <w:noProof/>
            <w:webHidden/>
          </w:rPr>
          <w:fldChar w:fldCharType="end"/>
        </w:r>
      </w:hyperlink>
    </w:p>
    <w:p w14:paraId="69090C99" w14:textId="1F98FEAF"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8" w:history="1">
        <w:r w:rsidRPr="003E1493">
          <w:rPr>
            <w:rStyle w:val="Hyperlink"/>
            <w:noProof/>
          </w:rPr>
          <w:t>Referral</w:t>
        </w:r>
        <w:r>
          <w:rPr>
            <w:noProof/>
            <w:webHidden/>
          </w:rPr>
          <w:tab/>
        </w:r>
        <w:r>
          <w:rPr>
            <w:noProof/>
            <w:webHidden/>
          </w:rPr>
          <w:fldChar w:fldCharType="begin"/>
        </w:r>
        <w:r>
          <w:rPr>
            <w:noProof/>
            <w:webHidden/>
          </w:rPr>
          <w:instrText xml:space="preserve"> PAGEREF _Toc176964318 \h </w:instrText>
        </w:r>
        <w:r>
          <w:rPr>
            <w:noProof/>
            <w:webHidden/>
          </w:rPr>
        </w:r>
        <w:r>
          <w:rPr>
            <w:noProof/>
            <w:webHidden/>
          </w:rPr>
          <w:fldChar w:fldCharType="separate"/>
        </w:r>
        <w:r>
          <w:rPr>
            <w:noProof/>
            <w:webHidden/>
          </w:rPr>
          <w:t>13</w:t>
        </w:r>
        <w:r>
          <w:rPr>
            <w:noProof/>
            <w:webHidden/>
          </w:rPr>
          <w:fldChar w:fldCharType="end"/>
        </w:r>
      </w:hyperlink>
    </w:p>
    <w:p w14:paraId="1B3533FC" w14:textId="25E14B5E"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19" w:history="1">
        <w:r w:rsidRPr="003E1493">
          <w:rPr>
            <w:rStyle w:val="Hyperlink"/>
            <w:noProof/>
          </w:rPr>
          <w:t>Commencement</w:t>
        </w:r>
        <w:r>
          <w:rPr>
            <w:noProof/>
            <w:webHidden/>
          </w:rPr>
          <w:tab/>
        </w:r>
        <w:r>
          <w:rPr>
            <w:noProof/>
            <w:webHidden/>
          </w:rPr>
          <w:fldChar w:fldCharType="begin"/>
        </w:r>
        <w:r>
          <w:rPr>
            <w:noProof/>
            <w:webHidden/>
          </w:rPr>
          <w:instrText xml:space="preserve"> PAGEREF _Toc176964319 \h </w:instrText>
        </w:r>
        <w:r>
          <w:rPr>
            <w:noProof/>
            <w:webHidden/>
          </w:rPr>
        </w:r>
        <w:r>
          <w:rPr>
            <w:noProof/>
            <w:webHidden/>
          </w:rPr>
          <w:fldChar w:fldCharType="separate"/>
        </w:r>
        <w:r>
          <w:rPr>
            <w:noProof/>
            <w:webHidden/>
          </w:rPr>
          <w:t>14</w:t>
        </w:r>
        <w:r>
          <w:rPr>
            <w:noProof/>
            <w:webHidden/>
          </w:rPr>
          <w:fldChar w:fldCharType="end"/>
        </w:r>
      </w:hyperlink>
    </w:p>
    <w:p w14:paraId="6317FB53" w14:textId="7A36A6DB"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20" w:history="1">
        <w:r w:rsidRPr="003E1493">
          <w:rPr>
            <w:rStyle w:val="Hyperlink"/>
            <w:noProof/>
          </w:rPr>
          <w:t>Process: Creating Appointments to receive Referrals</w:t>
        </w:r>
        <w:r>
          <w:rPr>
            <w:noProof/>
            <w:webHidden/>
          </w:rPr>
          <w:tab/>
        </w:r>
        <w:r>
          <w:rPr>
            <w:noProof/>
            <w:webHidden/>
          </w:rPr>
          <w:fldChar w:fldCharType="begin"/>
        </w:r>
        <w:r>
          <w:rPr>
            <w:noProof/>
            <w:webHidden/>
          </w:rPr>
          <w:instrText xml:space="preserve"> PAGEREF _Toc176964320 \h </w:instrText>
        </w:r>
        <w:r>
          <w:rPr>
            <w:noProof/>
            <w:webHidden/>
          </w:rPr>
        </w:r>
        <w:r>
          <w:rPr>
            <w:noProof/>
            <w:webHidden/>
          </w:rPr>
          <w:fldChar w:fldCharType="separate"/>
        </w:r>
        <w:r>
          <w:rPr>
            <w:noProof/>
            <w:webHidden/>
          </w:rPr>
          <w:t>16</w:t>
        </w:r>
        <w:r>
          <w:rPr>
            <w:noProof/>
            <w:webHidden/>
          </w:rPr>
          <w:fldChar w:fldCharType="end"/>
        </w:r>
      </w:hyperlink>
    </w:p>
    <w:p w14:paraId="2A118282" w14:textId="40EB3C99"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21" w:history="1">
        <w:r w:rsidRPr="003E1493">
          <w:rPr>
            <w:rStyle w:val="Hyperlink"/>
            <w:noProof/>
          </w:rPr>
          <w:t>Process: Referrals to Program Services and conducting an Initial Interview</w:t>
        </w:r>
        <w:r>
          <w:rPr>
            <w:noProof/>
            <w:webHidden/>
          </w:rPr>
          <w:tab/>
        </w:r>
        <w:r>
          <w:rPr>
            <w:noProof/>
            <w:webHidden/>
          </w:rPr>
          <w:fldChar w:fldCharType="begin"/>
        </w:r>
        <w:r>
          <w:rPr>
            <w:noProof/>
            <w:webHidden/>
          </w:rPr>
          <w:instrText xml:space="preserve"> PAGEREF _Toc176964321 \h </w:instrText>
        </w:r>
        <w:r>
          <w:rPr>
            <w:noProof/>
            <w:webHidden/>
          </w:rPr>
        </w:r>
        <w:r>
          <w:rPr>
            <w:noProof/>
            <w:webHidden/>
          </w:rPr>
          <w:fldChar w:fldCharType="separate"/>
        </w:r>
        <w:r>
          <w:rPr>
            <w:noProof/>
            <w:webHidden/>
          </w:rPr>
          <w:t>17</w:t>
        </w:r>
        <w:r>
          <w:rPr>
            <w:noProof/>
            <w:webHidden/>
          </w:rPr>
          <w:fldChar w:fldCharType="end"/>
        </w:r>
      </w:hyperlink>
    </w:p>
    <w:p w14:paraId="7CC88984" w14:textId="19CB532B" w:rsidR="00FD6C39" w:rsidRDefault="00FD6C39">
      <w:pPr>
        <w:pStyle w:val="TOC2"/>
        <w:rPr>
          <w:rFonts w:asciiTheme="minorHAnsi" w:eastAsiaTheme="minorEastAsia" w:hAnsiTheme="minorHAnsi" w:cstheme="minorBidi"/>
          <w:noProof/>
          <w:spacing w:val="0"/>
          <w:kern w:val="2"/>
          <w:position w:val="0"/>
          <w:sz w:val="24"/>
          <w14:ligatures w14:val="standardContextual"/>
        </w:rPr>
      </w:pPr>
      <w:hyperlink w:anchor="_Toc176964322" w:history="1">
        <w:r w:rsidRPr="003E1493">
          <w:rPr>
            <w:rStyle w:val="Hyperlink"/>
            <w:noProof/>
          </w:rPr>
          <w:t>Attachment A - DES TRWC 0-14 and PCW 0-14 provider Action Matrix</w:t>
        </w:r>
        <w:r>
          <w:rPr>
            <w:noProof/>
            <w:webHidden/>
          </w:rPr>
          <w:tab/>
        </w:r>
        <w:r>
          <w:rPr>
            <w:noProof/>
            <w:webHidden/>
          </w:rPr>
          <w:fldChar w:fldCharType="begin"/>
        </w:r>
        <w:r>
          <w:rPr>
            <w:noProof/>
            <w:webHidden/>
          </w:rPr>
          <w:instrText xml:space="preserve"> PAGEREF _Toc176964322 \h </w:instrText>
        </w:r>
        <w:r>
          <w:rPr>
            <w:noProof/>
            <w:webHidden/>
          </w:rPr>
        </w:r>
        <w:r>
          <w:rPr>
            <w:noProof/>
            <w:webHidden/>
          </w:rPr>
          <w:fldChar w:fldCharType="separate"/>
        </w:r>
        <w:r>
          <w:rPr>
            <w:noProof/>
            <w:webHidden/>
          </w:rPr>
          <w:t>21</w:t>
        </w:r>
        <w:r>
          <w:rPr>
            <w:noProof/>
            <w:webHidden/>
          </w:rPr>
          <w:fldChar w:fldCharType="end"/>
        </w:r>
      </w:hyperlink>
    </w:p>
    <w:p w14:paraId="32E9051E" w14:textId="34509A6B" w:rsidR="00AA59AD" w:rsidRDefault="00093316">
      <w:pPr>
        <w:pStyle w:val="TOC1"/>
      </w:pPr>
      <w:r>
        <w:fldChar w:fldCharType="end"/>
      </w:r>
    </w:p>
    <w:p w14:paraId="307612E3" w14:textId="77777777" w:rsidR="00002CD3" w:rsidRDefault="00002CD3" w:rsidP="00DE7D5F">
      <w:pPr>
        <w:sectPr w:rsidR="00002CD3" w:rsidSect="00AD1678">
          <w:footerReference w:type="default" r:id="rId9"/>
          <w:pgSz w:w="11920" w:h="16840"/>
          <w:pgMar w:top="1400" w:right="1360" w:bottom="1134" w:left="1320" w:header="0" w:footer="125" w:gutter="0"/>
          <w:cols w:space="720"/>
          <w:docGrid w:linePitch="326"/>
        </w:sectPr>
      </w:pPr>
    </w:p>
    <w:p w14:paraId="3CBF50C7" w14:textId="3FE3BBFF" w:rsidR="000830AE" w:rsidRPr="00AD1678" w:rsidRDefault="00073E0C" w:rsidP="004B3ED6">
      <w:pPr>
        <w:rPr>
          <w:b/>
          <w:sz w:val="16"/>
          <w:szCs w:val="16"/>
        </w:rPr>
      </w:pPr>
      <w:bookmarkStart w:id="12" w:name="_Toc459216198"/>
      <w:bookmarkStart w:id="13" w:name="_Toc473637592"/>
      <w:r w:rsidRPr="00AD1678">
        <w:rPr>
          <w:b/>
          <w:sz w:val="16"/>
          <w:szCs w:val="16"/>
        </w:rPr>
        <w:lastRenderedPageBreak/>
        <w:t xml:space="preserve">Eligibility, </w:t>
      </w:r>
      <w:r w:rsidR="009C27A6" w:rsidRPr="00AD1678">
        <w:rPr>
          <w:b/>
          <w:sz w:val="16"/>
          <w:szCs w:val="16"/>
        </w:rPr>
        <w:t>Referral and Commencement Guidelines</w:t>
      </w:r>
      <w:bookmarkEnd w:id="12"/>
      <w:bookmarkEnd w:id="13"/>
    </w:p>
    <w:p w14:paraId="6DF32672" w14:textId="45B53B98" w:rsidR="000830AE" w:rsidRPr="00213141" w:rsidRDefault="009C27A6" w:rsidP="00213141">
      <w:pPr>
        <w:pStyle w:val="Heading2"/>
        <w:spacing w:before="200" w:line="271" w:lineRule="auto"/>
        <w:rPr>
          <w:rFonts w:cstheme="minorHAnsi"/>
          <w:spacing w:val="0"/>
          <w:position w:val="0"/>
          <w:sz w:val="24"/>
          <w:szCs w:val="24"/>
        </w:rPr>
      </w:pPr>
      <w:bookmarkStart w:id="14" w:name="_Toc459216199"/>
      <w:bookmarkStart w:id="15" w:name="_Toc473637593"/>
      <w:bookmarkStart w:id="16" w:name="_Toc496019679"/>
      <w:bookmarkStart w:id="17" w:name="_Toc496019731"/>
      <w:bookmarkStart w:id="18" w:name="_Toc176964315"/>
      <w:r w:rsidRPr="00213141">
        <w:rPr>
          <w:rFonts w:asciiTheme="minorHAnsi" w:hAnsiTheme="minorHAnsi" w:cstheme="minorHAnsi"/>
          <w:bCs/>
          <w:color w:val="auto"/>
          <w:spacing w:val="0"/>
          <w:position w:val="0"/>
          <w:sz w:val="24"/>
          <w:szCs w:val="24"/>
        </w:rPr>
        <w:t>Document Change History</w:t>
      </w:r>
      <w:bookmarkEnd w:id="14"/>
      <w:bookmarkEnd w:id="15"/>
      <w:bookmarkEnd w:id="16"/>
      <w:bookmarkEnd w:id="17"/>
      <w:bookmarkEnd w:id="18"/>
    </w:p>
    <w:tbl>
      <w:tblPr>
        <w:tblW w:w="5099" w:type="pct"/>
        <w:tblCellMar>
          <w:left w:w="0" w:type="dxa"/>
          <w:right w:w="0" w:type="dxa"/>
        </w:tblCellMar>
        <w:tblLook w:val="01E0" w:firstRow="1" w:lastRow="1" w:firstColumn="1" w:lastColumn="1" w:noHBand="0" w:noVBand="0"/>
      </w:tblPr>
      <w:tblGrid>
        <w:gridCol w:w="1138"/>
        <w:gridCol w:w="1149"/>
        <w:gridCol w:w="1147"/>
        <w:gridCol w:w="7203"/>
      </w:tblGrid>
      <w:tr w:rsidR="004B3ED6" w14:paraId="02DAFFB4" w14:textId="77777777" w:rsidTr="00DA2203">
        <w:trPr>
          <w:trHeight w:hRule="exact" w:val="777"/>
        </w:trPr>
        <w:tc>
          <w:tcPr>
            <w:tcW w:w="535" w:type="pct"/>
            <w:tcBorders>
              <w:top w:val="single" w:sz="4" w:space="0" w:color="000000"/>
              <w:left w:val="single" w:sz="4" w:space="0" w:color="000000"/>
              <w:bottom w:val="single" w:sz="4" w:space="0" w:color="000000"/>
              <w:right w:val="single" w:sz="4" w:space="0" w:color="000000"/>
            </w:tcBorders>
            <w:shd w:val="clear" w:color="auto" w:fill="auto"/>
          </w:tcPr>
          <w:p w14:paraId="1B07AEAA" w14:textId="77777777" w:rsidR="004B3ED6" w:rsidRPr="00AA59AD" w:rsidRDefault="004B3ED6" w:rsidP="00B9621A">
            <w:pPr>
              <w:spacing w:before="120" w:after="120"/>
              <w:jc w:val="center"/>
              <w:rPr>
                <w:b/>
              </w:rPr>
            </w:pPr>
            <w:r w:rsidRPr="00AA59AD">
              <w:rPr>
                <w:b/>
              </w:rPr>
              <w:t>Ve</w:t>
            </w:r>
            <w:r w:rsidRPr="00AA59AD">
              <w:rPr>
                <w:b/>
                <w:spacing w:val="1"/>
              </w:rPr>
              <w:t>rsi</w:t>
            </w:r>
            <w:r w:rsidRPr="00AA59AD">
              <w:rPr>
                <w:b/>
              </w:rPr>
              <w:t>on</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10C47C56" w14:textId="77777777" w:rsidR="004B3ED6" w:rsidRPr="00AA59AD" w:rsidRDefault="004B3ED6" w:rsidP="00B9621A">
            <w:pPr>
              <w:spacing w:before="120" w:after="120"/>
              <w:jc w:val="center"/>
              <w:rPr>
                <w:b/>
              </w:rPr>
            </w:pPr>
            <w:r w:rsidRPr="00AA59AD">
              <w:rPr>
                <w:b/>
              </w:rPr>
              <w:t>Effe</w:t>
            </w:r>
            <w:r w:rsidRPr="00AA59AD">
              <w:rPr>
                <w:b/>
                <w:spacing w:val="1"/>
              </w:rPr>
              <w:t>c</w:t>
            </w:r>
            <w:r w:rsidRPr="00AA59AD">
              <w:rPr>
                <w:b/>
              </w:rPr>
              <w:t>ti</w:t>
            </w:r>
            <w:r w:rsidRPr="00AA59AD">
              <w:rPr>
                <w:b/>
                <w:spacing w:val="1"/>
              </w:rPr>
              <w:t>v</w:t>
            </w:r>
            <w:r w:rsidRPr="00AA59AD">
              <w:rPr>
                <w:b/>
              </w:rPr>
              <w:t>e Date</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5CE2BB25" w14:textId="77777777" w:rsidR="004B3ED6" w:rsidRPr="00AA59AD" w:rsidRDefault="004B3ED6" w:rsidP="00B9621A">
            <w:pPr>
              <w:spacing w:before="120" w:after="120"/>
              <w:jc w:val="center"/>
              <w:rPr>
                <w:b/>
              </w:rPr>
            </w:pPr>
            <w:r w:rsidRPr="00AA59AD">
              <w:rPr>
                <w:b/>
              </w:rPr>
              <w:t>End Date</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0132545C" w14:textId="77777777" w:rsidR="004B3ED6" w:rsidRPr="00AA59AD" w:rsidRDefault="004B3ED6" w:rsidP="00B9621A">
            <w:pPr>
              <w:spacing w:before="120" w:after="120"/>
              <w:jc w:val="center"/>
              <w:rPr>
                <w:b/>
              </w:rPr>
            </w:pPr>
            <w:r w:rsidRPr="00AA59AD">
              <w:rPr>
                <w:b/>
                <w:spacing w:val="1"/>
              </w:rPr>
              <w:t>C</w:t>
            </w:r>
            <w:r w:rsidRPr="00AA59AD">
              <w:rPr>
                <w:b/>
              </w:rPr>
              <w:t>han</w:t>
            </w:r>
            <w:r w:rsidRPr="00AA59AD">
              <w:rPr>
                <w:b/>
                <w:spacing w:val="1"/>
              </w:rPr>
              <w:t>g</w:t>
            </w:r>
            <w:r w:rsidRPr="00AA59AD">
              <w:rPr>
                <w:b/>
              </w:rPr>
              <w:t>e &amp;</w:t>
            </w:r>
            <w:r w:rsidRPr="00AA59AD">
              <w:rPr>
                <w:b/>
                <w:spacing w:val="1"/>
              </w:rPr>
              <w:t xml:space="preserve"> </w:t>
            </w:r>
            <w:r w:rsidRPr="00AA59AD">
              <w:rPr>
                <w:b/>
              </w:rPr>
              <w:t>L</w:t>
            </w:r>
            <w:r w:rsidRPr="00AA59AD">
              <w:rPr>
                <w:b/>
                <w:spacing w:val="-3"/>
              </w:rPr>
              <w:t>o</w:t>
            </w:r>
            <w:r w:rsidRPr="00AA59AD">
              <w:rPr>
                <w:b/>
                <w:spacing w:val="1"/>
              </w:rPr>
              <w:t>c</w:t>
            </w:r>
            <w:r w:rsidRPr="00AA59AD">
              <w:rPr>
                <w:b/>
              </w:rPr>
              <w:t>at</w:t>
            </w:r>
            <w:r w:rsidRPr="00AA59AD">
              <w:rPr>
                <w:b/>
                <w:spacing w:val="1"/>
              </w:rPr>
              <w:t>i</w:t>
            </w:r>
            <w:r w:rsidRPr="00AA59AD">
              <w:rPr>
                <w:b/>
              </w:rPr>
              <w:t>on</w:t>
            </w:r>
          </w:p>
        </w:tc>
      </w:tr>
      <w:tr w:rsidR="00462E44" w14:paraId="3C1B04EE" w14:textId="77777777" w:rsidTr="00D8637A">
        <w:trPr>
          <w:trHeight w:val="561"/>
        </w:trPr>
        <w:tc>
          <w:tcPr>
            <w:tcW w:w="535" w:type="pct"/>
            <w:tcBorders>
              <w:top w:val="single" w:sz="4" w:space="0" w:color="000000"/>
              <w:left w:val="single" w:sz="4" w:space="0" w:color="000000"/>
              <w:bottom w:val="single" w:sz="4" w:space="0" w:color="000000"/>
              <w:right w:val="single" w:sz="4" w:space="0" w:color="000000"/>
            </w:tcBorders>
          </w:tcPr>
          <w:p w14:paraId="4119C114" w14:textId="0DA056F3" w:rsidR="00462E44" w:rsidRDefault="00462E44" w:rsidP="000A4141">
            <w:pPr>
              <w:spacing w:before="120" w:after="120"/>
              <w:jc w:val="center"/>
              <w:rPr>
                <w:w w:val="99"/>
              </w:rPr>
            </w:pPr>
            <w:r>
              <w:rPr>
                <w:w w:val="99"/>
              </w:rPr>
              <w:t>1.10</w:t>
            </w:r>
          </w:p>
        </w:tc>
        <w:tc>
          <w:tcPr>
            <w:tcW w:w="540" w:type="pct"/>
            <w:tcBorders>
              <w:top w:val="single" w:sz="4" w:space="0" w:color="000000"/>
              <w:left w:val="single" w:sz="4" w:space="0" w:color="000000"/>
              <w:bottom w:val="single" w:sz="4" w:space="0" w:color="000000"/>
              <w:right w:val="single" w:sz="4" w:space="0" w:color="000000"/>
            </w:tcBorders>
          </w:tcPr>
          <w:p w14:paraId="1410EB51" w14:textId="0739AE63" w:rsidR="00462E44" w:rsidRDefault="00462E44" w:rsidP="000A4141">
            <w:pPr>
              <w:spacing w:before="120" w:after="120"/>
              <w:jc w:val="center"/>
            </w:pPr>
            <w:r>
              <w:t>1 November 2024</w:t>
            </w:r>
          </w:p>
        </w:tc>
        <w:tc>
          <w:tcPr>
            <w:tcW w:w="539" w:type="pct"/>
            <w:tcBorders>
              <w:top w:val="single" w:sz="4" w:space="0" w:color="000000"/>
              <w:left w:val="single" w:sz="4" w:space="0" w:color="000000"/>
              <w:bottom w:val="single" w:sz="4" w:space="0" w:color="000000"/>
              <w:right w:val="single" w:sz="4" w:space="0" w:color="000000"/>
            </w:tcBorders>
          </w:tcPr>
          <w:p w14:paraId="68204E1A" w14:textId="77777777" w:rsidR="00462E44" w:rsidRDefault="00462E44" w:rsidP="000A4141">
            <w:pPr>
              <w:spacing w:before="120" w:after="120"/>
              <w:jc w:val="center"/>
            </w:pPr>
          </w:p>
        </w:tc>
        <w:tc>
          <w:tcPr>
            <w:tcW w:w="3386" w:type="pct"/>
            <w:tcBorders>
              <w:top w:val="single" w:sz="4" w:space="0" w:color="000000"/>
              <w:left w:val="single" w:sz="4" w:space="0" w:color="000000"/>
              <w:bottom w:val="single" w:sz="4" w:space="0" w:color="000000"/>
              <w:right w:val="single" w:sz="4" w:space="0" w:color="000000"/>
            </w:tcBorders>
          </w:tcPr>
          <w:p w14:paraId="3A6126D1" w14:textId="7DBB3D46" w:rsidR="00462E44" w:rsidRPr="00BE43FF" w:rsidRDefault="00462E44">
            <w:pPr>
              <w:spacing w:before="120" w:after="120"/>
              <w:ind w:left="83"/>
              <w:rPr>
                <w:rFonts w:cstheme="minorHAnsi"/>
                <w:b/>
                <w:sz w:val="20"/>
                <w:szCs w:val="20"/>
              </w:rPr>
            </w:pPr>
            <w:r>
              <w:rPr>
                <w:rFonts w:cstheme="minorHAnsi"/>
                <w:b/>
                <w:sz w:val="20"/>
                <w:szCs w:val="20"/>
              </w:rPr>
              <w:t xml:space="preserve">Amendment: </w:t>
            </w:r>
            <w:r w:rsidRPr="00462E44">
              <w:rPr>
                <w:rFonts w:cstheme="minorHAnsi"/>
                <w:bCs/>
                <w:sz w:val="20"/>
                <w:szCs w:val="20"/>
              </w:rPr>
              <w:t xml:space="preserve">Updated to include </w:t>
            </w:r>
            <w:proofErr w:type="gramStart"/>
            <w:r w:rsidRPr="00462E44">
              <w:rPr>
                <w:rFonts w:cstheme="minorHAnsi"/>
                <w:bCs/>
                <w:sz w:val="20"/>
                <w:szCs w:val="20"/>
              </w:rPr>
              <w:t>information  on</w:t>
            </w:r>
            <w:proofErr w:type="gramEnd"/>
            <w:r w:rsidRPr="00462E44">
              <w:rPr>
                <w:rFonts w:cstheme="minorHAnsi"/>
                <w:bCs/>
                <w:sz w:val="20"/>
                <w:szCs w:val="20"/>
              </w:rPr>
              <w:t xml:space="preserve">  a warm handover meeting </w:t>
            </w:r>
            <w:r w:rsidR="004E0184">
              <w:rPr>
                <w:rFonts w:cstheme="minorHAnsi"/>
                <w:bCs/>
                <w:sz w:val="20"/>
                <w:szCs w:val="20"/>
              </w:rPr>
              <w:t xml:space="preserve">at the initial interview </w:t>
            </w:r>
            <w:r w:rsidRPr="00462E44">
              <w:rPr>
                <w:rFonts w:cstheme="minorHAnsi"/>
                <w:bCs/>
                <w:sz w:val="20"/>
                <w:szCs w:val="20"/>
              </w:rPr>
              <w:t>for participants transitioning from Parent Pathways to DES.</w:t>
            </w:r>
          </w:p>
        </w:tc>
      </w:tr>
      <w:tr w:rsidR="0086790D" w14:paraId="29E1AA2B" w14:textId="77777777" w:rsidTr="00D8637A">
        <w:trPr>
          <w:trHeight w:val="561"/>
        </w:trPr>
        <w:tc>
          <w:tcPr>
            <w:tcW w:w="535" w:type="pct"/>
            <w:tcBorders>
              <w:top w:val="single" w:sz="4" w:space="0" w:color="000000"/>
              <w:left w:val="single" w:sz="4" w:space="0" w:color="000000"/>
              <w:bottom w:val="single" w:sz="4" w:space="0" w:color="000000"/>
              <w:right w:val="single" w:sz="4" w:space="0" w:color="000000"/>
            </w:tcBorders>
          </w:tcPr>
          <w:p w14:paraId="62748178" w14:textId="14AD2E34" w:rsidR="0086790D" w:rsidRDefault="0086790D" w:rsidP="000A4141">
            <w:pPr>
              <w:spacing w:before="120" w:after="120"/>
              <w:jc w:val="center"/>
              <w:rPr>
                <w:w w:val="99"/>
              </w:rPr>
            </w:pPr>
            <w:r>
              <w:rPr>
                <w:w w:val="99"/>
              </w:rPr>
              <w:t>1.9</w:t>
            </w:r>
          </w:p>
        </w:tc>
        <w:tc>
          <w:tcPr>
            <w:tcW w:w="540" w:type="pct"/>
            <w:tcBorders>
              <w:top w:val="single" w:sz="4" w:space="0" w:color="000000"/>
              <w:left w:val="single" w:sz="4" w:space="0" w:color="000000"/>
              <w:bottom w:val="single" w:sz="4" w:space="0" w:color="000000"/>
              <w:right w:val="single" w:sz="4" w:space="0" w:color="000000"/>
            </w:tcBorders>
          </w:tcPr>
          <w:p w14:paraId="2A97C804" w14:textId="174BC72A" w:rsidR="0086790D" w:rsidRDefault="0086790D" w:rsidP="000A4141">
            <w:pPr>
              <w:spacing w:before="120" w:after="120"/>
              <w:jc w:val="center"/>
            </w:pPr>
            <w:r>
              <w:t>1 April 2023</w:t>
            </w:r>
          </w:p>
        </w:tc>
        <w:tc>
          <w:tcPr>
            <w:tcW w:w="539" w:type="pct"/>
            <w:tcBorders>
              <w:top w:val="single" w:sz="4" w:space="0" w:color="000000"/>
              <w:left w:val="single" w:sz="4" w:space="0" w:color="000000"/>
              <w:bottom w:val="single" w:sz="4" w:space="0" w:color="000000"/>
              <w:right w:val="single" w:sz="4" w:space="0" w:color="000000"/>
            </w:tcBorders>
          </w:tcPr>
          <w:p w14:paraId="1BE0F8C1" w14:textId="77777777" w:rsidR="0086790D" w:rsidRDefault="0086790D" w:rsidP="000A4141">
            <w:pPr>
              <w:spacing w:before="120" w:after="120"/>
              <w:jc w:val="center"/>
            </w:pPr>
          </w:p>
        </w:tc>
        <w:tc>
          <w:tcPr>
            <w:tcW w:w="3386" w:type="pct"/>
            <w:tcBorders>
              <w:top w:val="single" w:sz="4" w:space="0" w:color="000000"/>
              <w:left w:val="single" w:sz="4" w:space="0" w:color="000000"/>
              <w:bottom w:val="single" w:sz="4" w:space="0" w:color="000000"/>
              <w:right w:val="single" w:sz="4" w:space="0" w:color="000000"/>
            </w:tcBorders>
          </w:tcPr>
          <w:p w14:paraId="20B3B98A" w14:textId="31090FA4" w:rsidR="0086790D" w:rsidRDefault="00774E9F">
            <w:pPr>
              <w:spacing w:before="120" w:after="120"/>
              <w:ind w:left="83"/>
              <w:rPr>
                <w:rFonts w:cstheme="minorHAnsi"/>
                <w:b/>
                <w:sz w:val="20"/>
                <w:szCs w:val="20"/>
              </w:rPr>
            </w:pPr>
            <w:r w:rsidRPr="00BE43FF">
              <w:rPr>
                <w:rFonts w:cstheme="minorHAnsi"/>
                <w:b/>
                <w:sz w:val="20"/>
                <w:szCs w:val="20"/>
              </w:rPr>
              <w:t>Policy:</w:t>
            </w:r>
            <w:r w:rsidRPr="00BE43FF">
              <w:rPr>
                <w:rFonts w:cstheme="minorHAnsi"/>
                <w:sz w:val="20"/>
                <w:szCs w:val="20"/>
              </w:rPr>
              <w:t xml:space="preserve"> </w:t>
            </w:r>
            <w:r>
              <w:rPr>
                <w:rFonts w:cstheme="minorHAnsi"/>
                <w:sz w:val="20"/>
                <w:szCs w:val="20"/>
              </w:rPr>
              <w:t>Clarified how long an ESAt is valid for in r</w:t>
            </w:r>
            <w:r w:rsidR="0043225B">
              <w:rPr>
                <w:rFonts w:cstheme="minorHAnsi"/>
                <w:sz w:val="20"/>
                <w:szCs w:val="20"/>
              </w:rPr>
              <w:t>e</w:t>
            </w:r>
            <w:r>
              <w:rPr>
                <w:rFonts w:cstheme="minorHAnsi"/>
                <w:sz w:val="20"/>
                <w:szCs w:val="20"/>
              </w:rPr>
              <w:t>l</w:t>
            </w:r>
            <w:r w:rsidR="0043225B">
              <w:rPr>
                <w:rFonts w:cstheme="minorHAnsi"/>
                <w:sz w:val="20"/>
                <w:szCs w:val="20"/>
              </w:rPr>
              <w:t>a</w:t>
            </w:r>
            <w:r w:rsidR="00BE43FF">
              <w:rPr>
                <w:rFonts w:cstheme="minorHAnsi"/>
                <w:sz w:val="20"/>
                <w:szCs w:val="20"/>
              </w:rPr>
              <w:t xml:space="preserve">tion to period of service </w:t>
            </w:r>
            <w:r>
              <w:rPr>
                <w:rFonts w:cstheme="minorHAnsi"/>
                <w:sz w:val="20"/>
                <w:szCs w:val="20"/>
              </w:rPr>
              <w:t>(p6)</w:t>
            </w:r>
            <w:r w:rsidR="00BE43FF">
              <w:rPr>
                <w:rFonts w:cstheme="minorHAnsi"/>
                <w:sz w:val="20"/>
                <w:szCs w:val="20"/>
              </w:rPr>
              <w:t>.</w:t>
            </w:r>
          </w:p>
        </w:tc>
      </w:tr>
      <w:tr w:rsidR="0022680C" w14:paraId="0CD8D25F" w14:textId="77777777" w:rsidTr="00D8637A">
        <w:trPr>
          <w:trHeight w:val="561"/>
        </w:trPr>
        <w:tc>
          <w:tcPr>
            <w:tcW w:w="535" w:type="pct"/>
            <w:tcBorders>
              <w:top w:val="single" w:sz="4" w:space="0" w:color="000000"/>
              <w:left w:val="single" w:sz="4" w:space="0" w:color="000000"/>
              <w:bottom w:val="single" w:sz="4" w:space="0" w:color="000000"/>
              <w:right w:val="single" w:sz="4" w:space="0" w:color="000000"/>
            </w:tcBorders>
          </w:tcPr>
          <w:p w14:paraId="65647FE8" w14:textId="16D7224F" w:rsidR="0022680C" w:rsidRDefault="0022680C" w:rsidP="000A4141">
            <w:pPr>
              <w:spacing w:before="120" w:after="120"/>
              <w:jc w:val="center"/>
              <w:rPr>
                <w:w w:val="99"/>
              </w:rPr>
            </w:pPr>
            <w:r>
              <w:rPr>
                <w:w w:val="99"/>
              </w:rPr>
              <w:t>1.8</w:t>
            </w:r>
          </w:p>
        </w:tc>
        <w:tc>
          <w:tcPr>
            <w:tcW w:w="540" w:type="pct"/>
            <w:tcBorders>
              <w:top w:val="single" w:sz="4" w:space="0" w:color="000000"/>
              <w:left w:val="single" w:sz="4" w:space="0" w:color="000000"/>
              <w:bottom w:val="single" w:sz="4" w:space="0" w:color="000000"/>
              <w:right w:val="single" w:sz="4" w:space="0" w:color="000000"/>
            </w:tcBorders>
          </w:tcPr>
          <w:p w14:paraId="5B8BD054" w14:textId="69EF17A7" w:rsidR="0022680C" w:rsidRDefault="0022680C" w:rsidP="000A4141">
            <w:pPr>
              <w:spacing w:before="120" w:after="120"/>
              <w:jc w:val="center"/>
            </w:pPr>
            <w:r>
              <w:t>1 January 2023</w:t>
            </w:r>
          </w:p>
        </w:tc>
        <w:tc>
          <w:tcPr>
            <w:tcW w:w="539" w:type="pct"/>
            <w:tcBorders>
              <w:top w:val="single" w:sz="4" w:space="0" w:color="000000"/>
              <w:left w:val="single" w:sz="4" w:space="0" w:color="000000"/>
              <w:bottom w:val="single" w:sz="4" w:space="0" w:color="000000"/>
              <w:right w:val="single" w:sz="4" w:space="0" w:color="000000"/>
            </w:tcBorders>
          </w:tcPr>
          <w:p w14:paraId="1DC419AF" w14:textId="2350B5E1" w:rsidR="0022680C" w:rsidRPr="00017194" w:rsidRDefault="0086790D" w:rsidP="000A4141">
            <w:pPr>
              <w:spacing w:before="120" w:after="120"/>
              <w:jc w:val="center"/>
            </w:pPr>
            <w:r>
              <w:t>31 March 2023</w:t>
            </w:r>
          </w:p>
        </w:tc>
        <w:tc>
          <w:tcPr>
            <w:tcW w:w="3386" w:type="pct"/>
            <w:tcBorders>
              <w:top w:val="single" w:sz="4" w:space="0" w:color="000000"/>
              <w:left w:val="single" w:sz="4" w:space="0" w:color="000000"/>
              <w:bottom w:val="single" w:sz="4" w:space="0" w:color="000000"/>
              <w:right w:val="single" w:sz="4" w:space="0" w:color="000000"/>
            </w:tcBorders>
          </w:tcPr>
          <w:p w14:paraId="071A0906" w14:textId="6B2B1299" w:rsidR="0022680C" w:rsidRPr="00D8637A" w:rsidRDefault="0022680C" w:rsidP="000A4141">
            <w:pPr>
              <w:spacing w:before="120" w:after="120"/>
              <w:ind w:left="83"/>
              <w:rPr>
                <w:rFonts w:cstheme="minorHAnsi"/>
                <w:b/>
                <w:sz w:val="20"/>
                <w:szCs w:val="20"/>
              </w:rPr>
            </w:pPr>
            <w:r>
              <w:rPr>
                <w:rFonts w:cstheme="minorHAnsi"/>
                <w:b/>
                <w:sz w:val="20"/>
                <w:szCs w:val="20"/>
              </w:rPr>
              <w:t xml:space="preserve">Amendment: </w:t>
            </w:r>
            <w:r w:rsidRPr="0022680C">
              <w:rPr>
                <w:rFonts w:cstheme="minorHAnsi"/>
                <w:sz w:val="20"/>
                <w:szCs w:val="20"/>
              </w:rPr>
              <w:t xml:space="preserve">Updated to include </w:t>
            </w:r>
            <w:r w:rsidR="00F50937">
              <w:rPr>
                <w:rFonts w:cstheme="minorHAnsi"/>
                <w:sz w:val="20"/>
                <w:szCs w:val="20"/>
              </w:rPr>
              <w:t>further information on the</w:t>
            </w:r>
            <w:r w:rsidR="00231F55">
              <w:rPr>
                <w:rFonts w:cstheme="minorHAnsi"/>
                <w:sz w:val="20"/>
                <w:szCs w:val="20"/>
              </w:rPr>
              <w:t xml:space="preserve"> Pre-Release Prisoner initiative and </w:t>
            </w:r>
            <w:r w:rsidRPr="0022680C">
              <w:rPr>
                <w:rFonts w:cstheme="minorHAnsi"/>
                <w:sz w:val="20"/>
                <w:szCs w:val="20"/>
              </w:rPr>
              <w:t xml:space="preserve">information on the </w:t>
            </w:r>
            <w:r w:rsidR="003769DC">
              <w:rPr>
                <w:rFonts w:cstheme="minorHAnsi"/>
                <w:sz w:val="20"/>
                <w:szCs w:val="20"/>
              </w:rPr>
              <w:t>Time to Work Employment Service</w:t>
            </w:r>
            <w:r w:rsidRPr="0022680C">
              <w:rPr>
                <w:rFonts w:cstheme="minorHAnsi"/>
                <w:sz w:val="20"/>
                <w:szCs w:val="20"/>
              </w:rPr>
              <w:t xml:space="preserve"> program</w:t>
            </w:r>
            <w:r>
              <w:rPr>
                <w:rFonts w:cstheme="minorHAnsi"/>
                <w:sz w:val="20"/>
                <w:szCs w:val="20"/>
              </w:rPr>
              <w:t>.</w:t>
            </w:r>
          </w:p>
        </w:tc>
      </w:tr>
      <w:tr w:rsidR="00B36349" w14:paraId="3AC7CE6F" w14:textId="77777777" w:rsidTr="00D8637A">
        <w:trPr>
          <w:trHeight w:val="561"/>
        </w:trPr>
        <w:tc>
          <w:tcPr>
            <w:tcW w:w="535" w:type="pct"/>
            <w:tcBorders>
              <w:top w:val="single" w:sz="4" w:space="0" w:color="000000"/>
              <w:left w:val="single" w:sz="4" w:space="0" w:color="000000"/>
              <w:bottom w:val="single" w:sz="4" w:space="0" w:color="000000"/>
              <w:right w:val="single" w:sz="4" w:space="0" w:color="000000"/>
            </w:tcBorders>
          </w:tcPr>
          <w:p w14:paraId="2D00D730" w14:textId="26BD451B" w:rsidR="00B36349" w:rsidRDefault="00B36349" w:rsidP="000A4141">
            <w:pPr>
              <w:spacing w:before="120" w:after="120"/>
              <w:jc w:val="center"/>
              <w:rPr>
                <w:w w:val="99"/>
              </w:rPr>
            </w:pPr>
            <w:r>
              <w:rPr>
                <w:w w:val="99"/>
              </w:rPr>
              <w:t>1.7</w:t>
            </w:r>
          </w:p>
        </w:tc>
        <w:tc>
          <w:tcPr>
            <w:tcW w:w="540" w:type="pct"/>
            <w:tcBorders>
              <w:top w:val="single" w:sz="4" w:space="0" w:color="000000"/>
              <w:left w:val="single" w:sz="4" w:space="0" w:color="000000"/>
              <w:bottom w:val="single" w:sz="4" w:space="0" w:color="000000"/>
              <w:right w:val="single" w:sz="4" w:space="0" w:color="000000"/>
            </w:tcBorders>
          </w:tcPr>
          <w:p w14:paraId="144C0709" w14:textId="5FE348EE" w:rsidR="00B36349" w:rsidRDefault="00B24DFC" w:rsidP="000A4141">
            <w:pPr>
              <w:spacing w:before="120" w:after="120"/>
              <w:jc w:val="center"/>
            </w:pPr>
            <w:r>
              <w:t>1 July</w:t>
            </w:r>
            <w:r w:rsidR="00B36349">
              <w:t xml:space="preserve"> 22</w:t>
            </w:r>
          </w:p>
        </w:tc>
        <w:tc>
          <w:tcPr>
            <w:tcW w:w="539" w:type="pct"/>
            <w:tcBorders>
              <w:top w:val="single" w:sz="4" w:space="0" w:color="000000"/>
              <w:left w:val="single" w:sz="4" w:space="0" w:color="000000"/>
              <w:bottom w:val="single" w:sz="4" w:space="0" w:color="000000"/>
              <w:right w:val="single" w:sz="4" w:space="0" w:color="000000"/>
            </w:tcBorders>
          </w:tcPr>
          <w:p w14:paraId="43B69965" w14:textId="2D656B59" w:rsidR="00B36349" w:rsidRPr="00017194" w:rsidRDefault="0022680C" w:rsidP="000A4141">
            <w:pPr>
              <w:spacing w:before="120" w:after="120"/>
              <w:jc w:val="center"/>
            </w:pPr>
            <w:r>
              <w:t>31 December 2022</w:t>
            </w:r>
          </w:p>
        </w:tc>
        <w:tc>
          <w:tcPr>
            <w:tcW w:w="3386" w:type="pct"/>
            <w:tcBorders>
              <w:top w:val="single" w:sz="4" w:space="0" w:color="000000"/>
              <w:left w:val="single" w:sz="4" w:space="0" w:color="000000"/>
              <w:bottom w:val="single" w:sz="4" w:space="0" w:color="000000"/>
              <w:right w:val="single" w:sz="4" w:space="0" w:color="000000"/>
            </w:tcBorders>
          </w:tcPr>
          <w:p w14:paraId="676DA262" w14:textId="2D71B5D2" w:rsidR="00B36349" w:rsidRDefault="000A3FD9" w:rsidP="000A4141">
            <w:pPr>
              <w:spacing w:before="120" w:after="120"/>
              <w:ind w:left="83"/>
              <w:rPr>
                <w:rFonts w:cstheme="minorHAnsi"/>
                <w:b/>
                <w:sz w:val="20"/>
                <w:szCs w:val="20"/>
              </w:rPr>
            </w:pPr>
            <w:r w:rsidRPr="00D8637A">
              <w:rPr>
                <w:rFonts w:cstheme="minorHAnsi"/>
                <w:b/>
                <w:sz w:val="20"/>
                <w:szCs w:val="20"/>
              </w:rPr>
              <w:t>Formatting</w:t>
            </w:r>
            <w:r>
              <w:rPr>
                <w:rFonts w:cstheme="minorHAnsi"/>
                <w:sz w:val="20"/>
                <w:szCs w:val="20"/>
              </w:rPr>
              <w:t xml:space="preserve">: </w:t>
            </w:r>
            <w:r w:rsidR="00B36349" w:rsidRPr="00D8637A">
              <w:rPr>
                <w:rFonts w:cstheme="minorHAnsi"/>
                <w:sz w:val="20"/>
                <w:szCs w:val="20"/>
              </w:rPr>
              <w:t xml:space="preserve">Removed Privacy Consent form – </w:t>
            </w:r>
            <w:r>
              <w:rPr>
                <w:rFonts w:cstheme="minorHAnsi"/>
                <w:sz w:val="20"/>
                <w:szCs w:val="20"/>
              </w:rPr>
              <w:t>now a</w:t>
            </w:r>
            <w:r w:rsidR="00B36349" w:rsidRPr="00D8637A">
              <w:rPr>
                <w:rFonts w:cstheme="minorHAnsi"/>
                <w:sz w:val="20"/>
                <w:szCs w:val="20"/>
              </w:rPr>
              <w:t xml:space="preserve"> standalone version</w:t>
            </w:r>
            <w:r w:rsidR="00B36349" w:rsidRPr="00D8637A">
              <w:rPr>
                <w:rFonts w:cstheme="minorHAnsi"/>
                <w:b/>
                <w:sz w:val="20"/>
                <w:szCs w:val="20"/>
              </w:rPr>
              <w:t>.</w:t>
            </w:r>
          </w:p>
          <w:p w14:paraId="4F278936" w14:textId="730D1EC2" w:rsidR="000A3FD9" w:rsidRDefault="000A3FD9" w:rsidP="000A4141">
            <w:pPr>
              <w:spacing w:before="120" w:after="120"/>
              <w:ind w:left="83"/>
              <w:rPr>
                <w:rFonts w:cstheme="minorHAnsi"/>
                <w:b/>
                <w:szCs w:val="20"/>
              </w:rPr>
            </w:pPr>
            <w:r w:rsidRPr="00D8637A">
              <w:rPr>
                <w:rFonts w:cstheme="minorHAnsi"/>
                <w:b/>
                <w:sz w:val="20"/>
                <w:szCs w:val="20"/>
              </w:rPr>
              <w:t>Terminology</w:t>
            </w:r>
            <w:r>
              <w:rPr>
                <w:rFonts w:cstheme="minorHAnsi"/>
                <w:sz w:val="20"/>
                <w:szCs w:val="20"/>
              </w:rPr>
              <w:t>: Updated ‘</w:t>
            </w:r>
            <w:proofErr w:type="spellStart"/>
            <w:r>
              <w:rPr>
                <w:rFonts w:cstheme="minorHAnsi"/>
                <w:sz w:val="20"/>
                <w:szCs w:val="20"/>
              </w:rPr>
              <w:t>jobactive</w:t>
            </w:r>
            <w:proofErr w:type="spellEnd"/>
            <w:r>
              <w:rPr>
                <w:rFonts w:cstheme="minorHAnsi"/>
                <w:sz w:val="20"/>
                <w:szCs w:val="20"/>
              </w:rPr>
              <w:t>’ references to ‘Workforce Australia’.</w:t>
            </w:r>
          </w:p>
        </w:tc>
      </w:tr>
      <w:tr w:rsidR="00061284" w14:paraId="53179A6A" w14:textId="77777777" w:rsidTr="00D8637A">
        <w:tc>
          <w:tcPr>
            <w:tcW w:w="535" w:type="pct"/>
            <w:tcBorders>
              <w:top w:val="single" w:sz="4" w:space="0" w:color="000000"/>
              <w:left w:val="single" w:sz="4" w:space="0" w:color="000000"/>
              <w:bottom w:val="single" w:sz="4" w:space="0" w:color="000000"/>
              <w:right w:val="single" w:sz="4" w:space="0" w:color="000000"/>
            </w:tcBorders>
          </w:tcPr>
          <w:p w14:paraId="02CF884C" w14:textId="08B9C240" w:rsidR="00061284" w:rsidRDefault="00061284" w:rsidP="000A4141">
            <w:pPr>
              <w:spacing w:before="120" w:after="120"/>
              <w:jc w:val="center"/>
              <w:rPr>
                <w:w w:val="99"/>
              </w:rPr>
            </w:pPr>
            <w:r>
              <w:rPr>
                <w:w w:val="99"/>
              </w:rPr>
              <w:t>1.6</w:t>
            </w:r>
          </w:p>
        </w:tc>
        <w:tc>
          <w:tcPr>
            <w:tcW w:w="540" w:type="pct"/>
            <w:tcBorders>
              <w:top w:val="single" w:sz="4" w:space="0" w:color="000000"/>
              <w:left w:val="single" w:sz="4" w:space="0" w:color="000000"/>
              <w:bottom w:val="single" w:sz="4" w:space="0" w:color="000000"/>
              <w:right w:val="single" w:sz="4" w:space="0" w:color="000000"/>
            </w:tcBorders>
          </w:tcPr>
          <w:p w14:paraId="6EAC85C1" w14:textId="101709CC" w:rsidR="00061284" w:rsidRDefault="008764C0" w:rsidP="000A4141">
            <w:pPr>
              <w:spacing w:before="120" w:after="120"/>
              <w:jc w:val="center"/>
            </w:pPr>
            <w:r>
              <w:t>1</w:t>
            </w:r>
            <w:r w:rsidR="000F6E1D">
              <w:t>7</w:t>
            </w:r>
            <w:r>
              <w:t xml:space="preserve"> Dec 21</w:t>
            </w:r>
          </w:p>
        </w:tc>
        <w:tc>
          <w:tcPr>
            <w:tcW w:w="539" w:type="pct"/>
            <w:tcBorders>
              <w:top w:val="single" w:sz="4" w:space="0" w:color="000000"/>
              <w:left w:val="single" w:sz="4" w:space="0" w:color="000000"/>
              <w:bottom w:val="single" w:sz="4" w:space="0" w:color="000000"/>
              <w:right w:val="single" w:sz="4" w:space="0" w:color="000000"/>
            </w:tcBorders>
          </w:tcPr>
          <w:p w14:paraId="6B942387" w14:textId="7E58FE38" w:rsidR="00061284" w:rsidRPr="00017194" w:rsidRDefault="00B24DFC" w:rsidP="000A4141">
            <w:pPr>
              <w:spacing w:before="120" w:after="120"/>
              <w:jc w:val="center"/>
            </w:pPr>
            <w:r>
              <w:t>30 Jun</w:t>
            </w:r>
            <w:r w:rsidR="00B36349">
              <w:t xml:space="preserve"> 22</w:t>
            </w:r>
          </w:p>
        </w:tc>
        <w:tc>
          <w:tcPr>
            <w:tcW w:w="3386" w:type="pct"/>
            <w:tcBorders>
              <w:top w:val="single" w:sz="4" w:space="0" w:color="000000"/>
              <w:left w:val="single" w:sz="4" w:space="0" w:color="000000"/>
              <w:bottom w:val="single" w:sz="4" w:space="0" w:color="000000"/>
              <w:right w:val="single" w:sz="4" w:space="0" w:color="000000"/>
            </w:tcBorders>
          </w:tcPr>
          <w:p w14:paraId="4406736D" w14:textId="50166D20" w:rsidR="00061284" w:rsidRPr="00D8637A" w:rsidRDefault="00061284" w:rsidP="000A4141">
            <w:pPr>
              <w:spacing w:before="120" w:after="120"/>
              <w:ind w:left="83"/>
              <w:rPr>
                <w:rFonts w:cstheme="minorHAnsi"/>
                <w:sz w:val="20"/>
                <w:szCs w:val="20"/>
              </w:rPr>
            </w:pPr>
            <w:r w:rsidRPr="00D8637A">
              <w:rPr>
                <w:rFonts w:cstheme="minorHAnsi"/>
                <w:b/>
                <w:sz w:val="20"/>
                <w:szCs w:val="20"/>
              </w:rPr>
              <w:t>Policy:</w:t>
            </w:r>
            <w:r w:rsidRPr="00D8637A">
              <w:rPr>
                <w:rFonts w:cstheme="minorHAnsi"/>
                <w:sz w:val="20"/>
                <w:szCs w:val="20"/>
              </w:rPr>
              <w:t xml:space="preserve"> Clarified that evidence required by non-</w:t>
            </w:r>
            <w:proofErr w:type="spellStart"/>
            <w:r w:rsidRPr="00D8637A">
              <w:rPr>
                <w:rFonts w:cstheme="minorHAnsi"/>
                <w:sz w:val="20"/>
                <w:szCs w:val="20"/>
              </w:rPr>
              <w:t>allowee</w:t>
            </w:r>
            <w:proofErr w:type="spellEnd"/>
            <w:r w:rsidRPr="00D8637A">
              <w:rPr>
                <w:rFonts w:cstheme="minorHAnsi"/>
                <w:sz w:val="20"/>
                <w:szCs w:val="20"/>
              </w:rPr>
              <w:t xml:space="preserve"> NDIS Participants is their NDIS Letter of Access, and the statement required of non-</w:t>
            </w:r>
            <w:proofErr w:type="spellStart"/>
            <w:r w:rsidRPr="00D8637A">
              <w:rPr>
                <w:rFonts w:cstheme="minorHAnsi"/>
                <w:sz w:val="20"/>
                <w:szCs w:val="20"/>
              </w:rPr>
              <w:t>allowees</w:t>
            </w:r>
            <w:proofErr w:type="spellEnd"/>
            <w:r w:rsidRPr="00D8637A">
              <w:rPr>
                <w:rFonts w:cstheme="minorHAnsi"/>
                <w:sz w:val="20"/>
                <w:szCs w:val="20"/>
              </w:rPr>
              <w:t xml:space="preserve"> undertaking a Program of Support. Included information about how </w:t>
            </w:r>
            <w:proofErr w:type="spellStart"/>
            <w:r w:rsidRPr="00D8637A">
              <w:rPr>
                <w:rFonts w:cstheme="minorHAnsi"/>
                <w:sz w:val="20"/>
                <w:szCs w:val="20"/>
              </w:rPr>
              <w:t>ESAts</w:t>
            </w:r>
            <w:proofErr w:type="spellEnd"/>
            <w:r w:rsidRPr="00D8637A">
              <w:rPr>
                <w:rFonts w:cstheme="minorHAnsi"/>
                <w:sz w:val="20"/>
                <w:szCs w:val="20"/>
              </w:rPr>
              <w:t xml:space="preserve"> for non-</w:t>
            </w:r>
            <w:proofErr w:type="spellStart"/>
            <w:r w:rsidRPr="00D8637A">
              <w:rPr>
                <w:rFonts w:cstheme="minorHAnsi"/>
                <w:sz w:val="20"/>
                <w:szCs w:val="20"/>
              </w:rPr>
              <w:t>allowees</w:t>
            </w:r>
            <w:proofErr w:type="spellEnd"/>
            <w:r w:rsidRPr="00D8637A">
              <w:rPr>
                <w:rFonts w:cstheme="minorHAnsi"/>
                <w:sz w:val="20"/>
                <w:szCs w:val="20"/>
              </w:rPr>
              <w:t xml:space="preserve"> should be requested by email.</w:t>
            </w:r>
          </w:p>
          <w:p w14:paraId="2D23D7B9" w14:textId="7F093559" w:rsidR="001407AE" w:rsidRPr="00D8637A" w:rsidRDefault="001407AE" w:rsidP="000A4141">
            <w:pPr>
              <w:spacing w:before="120" w:after="120"/>
              <w:ind w:left="83"/>
              <w:rPr>
                <w:rFonts w:cstheme="minorHAnsi"/>
                <w:b/>
                <w:sz w:val="20"/>
                <w:szCs w:val="20"/>
              </w:rPr>
            </w:pPr>
            <w:r w:rsidRPr="00D8637A">
              <w:rPr>
                <w:rFonts w:cstheme="minorHAnsi"/>
                <w:b/>
                <w:sz w:val="20"/>
                <w:szCs w:val="20"/>
              </w:rPr>
              <w:t xml:space="preserve">Policy: </w:t>
            </w:r>
            <w:r w:rsidRPr="00D8637A">
              <w:rPr>
                <w:rFonts w:cstheme="minorHAnsi"/>
                <w:sz w:val="20"/>
                <w:szCs w:val="20"/>
              </w:rPr>
              <w:t>Noted that from 1 January 2022, some job seekers who are eligible for DES may be offered a digital online service before they are referred to DES.</w:t>
            </w:r>
          </w:p>
        </w:tc>
      </w:tr>
      <w:tr w:rsidR="007D6214" w:rsidRPr="00EC2F7A" w14:paraId="764C01F7" w14:textId="77777777" w:rsidTr="00D8637A">
        <w:trPr>
          <w:trHeight w:val="1361"/>
        </w:trPr>
        <w:tc>
          <w:tcPr>
            <w:tcW w:w="535" w:type="pct"/>
            <w:tcBorders>
              <w:top w:val="single" w:sz="4" w:space="0" w:color="000000"/>
              <w:left w:val="single" w:sz="4" w:space="0" w:color="000000"/>
              <w:bottom w:val="single" w:sz="4" w:space="0" w:color="000000"/>
              <w:right w:val="single" w:sz="4" w:space="0" w:color="000000"/>
            </w:tcBorders>
          </w:tcPr>
          <w:p w14:paraId="7F679387" w14:textId="5875C521" w:rsidR="007D6214" w:rsidRPr="00DA2203" w:rsidRDefault="007D6214" w:rsidP="007D6214">
            <w:pPr>
              <w:spacing w:before="120" w:after="120"/>
              <w:jc w:val="center"/>
              <w:rPr>
                <w:w w:val="99"/>
                <w:sz w:val="20"/>
              </w:rPr>
            </w:pPr>
            <w:r w:rsidRPr="00DA2203">
              <w:rPr>
                <w:w w:val="99"/>
                <w:sz w:val="20"/>
              </w:rPr>
              <w:t>1.5</w:t>
            </w:r>
          </w:p>
        </w:tc>
        <w:tc>
          <w:tcPr>
            <w:tcW w:w="540" w:type="pct"/>
            <w:tcBorders>
              <w:top w:val="single" w:sz="4" w:space="0" w:color="000000"/>
              <w:left w:val="single" w:sz="4" w:space="0" w:color="000000"/>
              <w:bottom w:val="single" w:sz="4" w:space="0" w:color="000000"/>
              <w:right w:val="single" w:sz="4" w:space="0" w:color="000000"/>
            </w:tcBorders>
          </w:tcPr>
          <w:p w14:paraId="4393962F" w14:textId="64AE6999" w:rsidR="007D6214" w:rsidRPr="00DA2203" w:rsidRDefault="007D6214" w:rsidP="001407AE">
            <w:pPr>
              <w:spacing w:before="120" w:after="120"/>
              <w:jc w:val="center"/>
              <w:rPr>
                <w:sz w:val="20"/>
              </w:rPr>
            </w:pPr>
            <w:r w:rsidRPr="00DA2203">
              <w:rPr>
                <w:sz w:val="20"/>
              </w:rPr>
              <w:t>1 Jul 21</w:t>
            </w:r>
          </w:p>
        </w:tc>
        <w:tc>
          <w:tcPr>
            <w:tcW w:w="539" w:type="pct"/>
            <w:tcBorders>
              <w:top w:val="single" w:sz="4" w:space="0" w:color="000000"/>
              <w:left w:val="single" w:sz="4" w:space="0" w:color="000000"/>
              <w:bottom w:val="single" w:sz="4" w:space="0" w:color="000000"/>
              <w:right w:val="single" w:sz="4" w:space="0" w:color="000000"/>
            </w:tcBorders>
          </w:tcPr>
          <w:p w14:paraId="0FF55188" w14:textId="75EBFDBE" w:rsidR="007D6214" w:rsidRPr="00DA2203" w:rsidRDefault="008764C0" w:rsidP="007D6214">
            <w:pPr>
              <w:spacing w:before="120" w:after="120"/>
              <w:jc w:val="center"/>
              <w:rPr>
                <w:sz w:val="20"/>
              </w:rPr>
            </w:pPr>
            <w:r>
              <w:rPr>
                <w:sz w:val="20"/>
              </w:rPr>
              <w:t>1</w:t>
            </w:r>
            <w:r w:rsidR="000F6E1D">
              <w:rPr>
                <w:sz w:val="20"/>
              </w:rPr>
              <w:t xml:space="preserve">6 </w:t>
            </w:r>
            <w:r>
              <w:rPr>
                <w:sz w:val="20"/>
              </w:rPr>
              <w:t>Dec</w:t>
            </w:r>
            <w:r w:rsidR="00DA2203">
              <w:rPr>
                <w:sz w:val="20"/>
              </w:rPr>
              <w:t xml:space="preserve"> 21</w:t>
            </w:r>
          </w:p>
        </w:tc>
        <w:tc>
          <w:tcPr>
            <w:tcW w:w="3386" w:type="pct"/>
            <w:tcBorders>
              <w:top w:val="single" w:sz="4" w:space="0" w:color="000000"/>
              <w:left w:val="single" w:sz="4" w:space="0" w:color="000000"/>
              <w:bottom w:val="single" w:sz="4" w:space="0" w:color="000000"/>
              <w:right w:val="single" w:sz="4" w:space="0" w:color="000000"/>
            </w:tcBorders>
          </w:tcPr>
          <w:p w14:paraId="46751F72" w14:textId="49B7BC3E" w:rsidR="007D6214" w:rsidRPr="00DA2203" w:rsidRDefault="007D6214" w:rsidP="007D6214">
            <w:pPr>
              <w:spacing w:before="120" w:after="120"/>
              <w:ind w:left="83"/>
              <w:rPr>
                <w:rFonts w:cstheme="minorHAnsi"/>
                <w:sz w:val="20"/>
                <w:szCs w:val="20"/>
              </w:rPr>
            </w:pPr>
            <w:r w:rsidRPr="00DA2203">
              <w:rPr>
                <w:rFonts w:cstheme="minorHAnsi"/>
                <w:b/>
                <w:sz w:val="20"/>
                <w:szCs w:val="20"/>
              </w:rPr>
              <w:t xml:space="preserve">Policy: </w:t>
            </w:r>
            <w:r w:rsidRPr="00DA2203">
              <w:rPr>
                <w:rFonts w:cstheme="minorHAnsi"/>
                <w:sz w:val="20"/>
                <w:szCs w:val="20"/>
              </w:rPr>
              <w:t xml:space="preserve"> Revised eligibility criteria precluding commencement </w:t>
            </w:r>
            <w:r w:rsidR="009D1F3B" w:rsidRPr="00DA2203">
              <w:rPr>
                <w:rFonts w:cstheme="minorHAnsi"/>
                <w:sz w:val="20"/>
                <w:szCs w:val="20"/>
              </w:rPr>
              <w:t>in the</w:t>
            </w:r>
            <w:r w:rsidRPr="00DA2203">
              <w:rPr>
                <w:rFonts w:cstheme="minorHAnsi"/>
                <w:sz w:val="20"/>
                <w:szCs w:val="20"/>
              </w:rPr>
              <w:t xml:space="preserve"> DES program </w:t>
            </w:r>
            <w:r w:rsidR="009D1F3B" w:rsidRPr="00DA2203">
              <w:rPr>
                <w:rFonts w:cstheme="minorHAnsi"/>
                <w:sz w:val="20"/>
                <w:szCs w:val="20"/>
              </w:rPr>
              <w:t>of</w:t>
            </w:r>
            <w:r w:rsidRPr="00DA2203">
              <w:rPr>
                <w:rFonts w:cstheme="minorHAnsi"/>
                <w:sz w:val="20"/>
                <w:szCs w:val="20"/>
              </w:rPr>
              <w:t xml:space="preserve"> people who are non-</w:t>
            </w:r>
            <w:proofErr w:type="spellStart"/>
            <w:r w:rsidRPr="00DA2203">
              <w:rPr>
                <w:rFonts w:cstheme="minorHAnsi"/>
                <w:sz w:val="20"/>
                <w:szCs w:val="20"/>
              </w:rPr>
              <w:t>allowees</w:t>
            </w:r>
            <w:proofErr w:type="spellEnd"/>
            <w:r w:rsidRPr="00DA2203">
              <w:rPr>
                <w:rFonts w:cstheme="minorHAnsi"/>
                <w:sz w:val="20"/>
                <w:szCs w:val="20"/>
              </w:rPr>
              <w:t xml:space="preserve"> (except for defined cohorts) or assessed as able to work 30+ hours per week.</w:t>
            </w:r>
          </w:p>
          <w:p w14:paraId="51459AAF" w14:textId="59FF070B" w:rsidR="002D5DD9" w:rsidRPr="00DA2203" w:rsidRDefault="002D5DD9" w:rsidP="007D6214">
            <w:pPr>
              <w:spacing w:before="120" w:after="120"/>
              <w:ind w:left="83"/>
              <w:rPr>
                <w:rFonts w:cstheme="minorHAnsi"/>
                <w:sz w:val="20"/>
                <w:szCs w:val="20"/>
              </w:rPr>
            </w:pPr>
            <w:r w:rsidRPr="00DA2203">
              <w:rPr>
                <w:rFonts w:cstheme="minorHAnsi"/>
                <w:b/>
                <w:sz w:val="20"/>
                <w:szCs w:val="20"/>
              </w:rPr>
              <w:t>Narrative:</w:t>
            </w:r>
            <w:r w:rsidRPr="00DA2203">
              <w:rPr>
                <w:rFonts w:cstheme="minorHAnsi"/>
                <w:sz w:val="20"/>
                <w:szCs w:val="20"/>
              </w:rPr>
              <w:t xml:space="preserve"> Revised structure of eligibility, referral and commencement information.</w:t>
            </w:r>
          </w:p>
        </w:tc>
      </w:tr>
      <w:tr w:rsidR="00C65466" w:rsidRPr="00EC2F7A" w14:paraId="3D162675" w14:textId="77777777" w:rsidTr="00DA2203">
        <w:trPr>
          <w:trHeight w:hRule="exact" w:val="966"/>
        </w:trPr>
        <w:tc>
          <w:tcPr>
            <w:tcW w:w="535" w:type="pct"/>
            <w:tcBorders>
              <w:top w:val="single" w:sz="4" w:space="0" w:color="000000"/>
              <w:left w:val="single" w:sz="4" w:space="0" w:color="000000"/>
              <w:bottom w:val="single" w:sz="4" w:space="0" w:color="000000"/>
              <w:right w:val="single" w:sz="4" w:space="0" w:color="000000"/>
            </w:tcBorders>
          </w:tcPr>
          <w:p w14:paraId="1FA4AE22" w14:textId="63917277" w:rsidR="00C65466" w:rsidRPr="00DA2203" w:rsidRDefault="00C65466" w:rsidP="00E54D52">
            <w:pPr>
              <w:spacing w:before="120" w:after="120"/>
              <w:jc w:val="center"/>
              <w:rPr>
                <w:w w:val="99"/>
                <w:sz w:val="20"/>
              </w:rPr>
            </w:pPr>
            <w:r w:rsidRPr="00DA2203">
              <w:rPr>
                <w:w w:val="99"/>
                <w:sz w:val="20"/>
              </w:rPr>
              <w:t>1.4</w:t>
            </w:r>
          </w:p>
        </w:tc>
        <w:tc>
          <w:tcPr>
            <w:tcW w:w="540" w:type="pct"/>
            <w:tcBorders>
              <w:top w:val="single" w:sz="4" w:space="0" w:color="000000"/>
              <w:left w:val="single" w:sz="4" w:space="0" w:color="000000"/>
              <w:bottom w:val="single" w:sz="4" w:space="0" w:color="000000"/>
              <w:right w:val="single" w:sz="4" w:space="0" w:color="000000"/>
            </w:tcBorders>
          </w:tcPr>
          <w:p w14:paraId="0BB92007" w14:textId="2E66CF5F" w:rsidR="00C65466" w:rsidRPr="00DA2203" w:rsidRDefault="00AF37E9" w:rsidP="001407AE">
            <w:pPr>
              <w:spacing w:before="120" w:after="120"/>
              <w:jc w:val="center"/>
              <w:rPr>
                <w:sz w:val="20"/>
              </w:rPr>
            </w:pPr>
            <w:r w:rsidRPr="00DA2203">
              <w:rPr>
                <w:sz w:val="20"/>
              </w:rPr>
              <w:t>14 Sep 20</w:t>
            </w:r>
          </w:p>
        </w:tc>
        <w:tc>
          <w:tcPr>
            <w:tcW w:w="539" w:type="pct"/>
            <w:tcBorders>
              <w:top w:val="single" w:sz="4" w:space="0" w:color="000000"/>
              <w:left w:val="single" w:sz="4" w:space="0" w:color="000000"/>
              <w:bottom w:val="single" w:sz="4" w:space="0" w:color="000000"/>
              <w:right w:val="single" w:sz="4" w:space="0" w:color="000000"/>
            </w:tcBorders>
          </w:tcPr>
          <w:p w14:paraId="580E5F91" w14:textId="3E062749" w:rsidR="00C65466" w:rsidRPr="00DA2203" w:rsidRDefault="007D6214" w:rsidP="001407AE">
            <w:pPr>
              <w:spacing w:before="120" w:after="120"/>
              <w:jc w:val="center"/>
              <w:rPr>
                <w:sz w:val="20"/>
              </w:rPr>
            </w:pPr>
            <w:r w:rsidRPr="00DA2203">
              <w:rPr>
                <w:sz w:val="20"/>
              </w:rPr>
              <w:t>30 Jun 21</w:t>
            </w:r>
          </w:p>
        </w:tc>
        <w:tc>
          <w:tcPr>
            <w:tcW w:w="3386" w:type="pct"/>
            <w:tcBorders>
              <w:top w:val="single" w:sz="4" w:space="0" w:color="000000"/>
              <w:left w:val="single" w:sz="4" w:space="0" w:color="000000"/>
              <w:bottom w:val="single" w:sz="4" w:space="0" w:color="000000"/>
              <w:right w:val="single" w:sz="4" w:space="0" w:color="000000"/>
            </w:tcBorders>
          </w:tcPr>
          <w:p w14:paraId="3A753244" w14:textId="3CE98725" w:rsidR="00C65466" w:rsidRPr="00DA2203" w:rsidRDefault="00AF37E9" w:rsidP="000C299C">
            <w:pPr>
              <w:spacing w:before="120" w:after="120"/>
              <w:ind w:left="83"/>
              <w:rPr>
                <w:rFonts w:cstheme="minorHAnsi"/>
                <w:sz w:val="20"/>
                <w:szCs w:val="20"/>
              </w:rPr>
            </w:pPr>
            <w:r w:rsidRPr="00DA2203">
              <w:rPr>
                <w:rFonts w:cstheme="minorHAnsi"/>
                <w:b/>
                <w:sz w:val="20"/>
                <w:szCs w:val="20"/>
              </w:rPr>
              <w:t xml:space="preserve">Clarification: </w:t>
            </w:r>
            <w:r w:rsidRPr="00DA2203">
              <w:rPr>
                <w:rFonts w:cstheme="minorHAnsi"/>
                <w:sz w:val="20"/>
                <w:szCs w:val="20"/>
              </w:rPr>
              <w:t xml:space="preserve"> Amended to clarify that auto commencement can also be triggered if the</w:t>
            </w:r>
            <w:r w:rsidR="000C299C" w:rsidRPr="00DA2203">
              <w:rPr>
                <w:rFonts w:cstheme="minorHAnsi"/>
                <w:sz w:val="20"/>
                <w:szCs w:val="20"/>
              </w:rPr>
              <w:t xml:space="preserve"> Job Plan is agreed to </w:t>
            </w:r>
            <w:r w:rsidRPr="00DA2203">
              <w:rPr>
                <w:rFonts w:cstheme="minorHAnsi"/>
                <w:sz w:val="20"/>
                <w:szCs w:val="20"/>
              </w:rPr>
              <w:t>online</w:t>
            </w:r>
            <w:r w:rsidR="000C299C" w:rsidRPr="00DA2203">
              <w:rPr>
                <w:rFonts w:cstheme="minorHAnsi"/>
                <w:sz w:val="20"/>
                <w:szCs w:val="20"/>
              </w:rPr>
              <w:t xml:space="preserve"> by the </w:t>
            </w:r>
            <w:r w:rsidR="008C37C4">
              <w:rPr>
                <w:rFonts w:cstheme="minorHAnsi"/>
                <w:sz w:val="20"/>
                <w:szCs w:val="20"/>
              </w:rPr>
              <w:t>participant</w:t>
            </w:r>
            <w:r w:rsidRPr="00DA2203">
              <w:rPr>
                <w:rFonts w:cstheme="minorHAnsi"/>
                <w:sz w:val="20"/>
                <w:szCs w:val="20"/>
              </w:rPr>
              <w:t xml:space="preserve"> </w:t>
            </w:r>
            <w:r w:rsidR="00024842" w:rsidRPr="00DA2203">
              <w:rPr>
                <w:rFonts w:cstheme="minorHAnsi"/>
                <w:sz w:val="20"/>
                <w:szCs w:val="20"/>
              </w:rPr>
              <w:t>if</w:t>
            </w:r>
            <w:r w:rsidRPr="00DA2203">
              <w:rPr>
                <w:rFonts w:cstheme="minorHAnsi"/>
                <w:sz w:val="20"/>
                <w:szCs w:val="20"/>
              </w:rPr>
              <w:t xml:space="preserve"> other conditions required for commencement are met.</w:t>
            </w:r>
          </w:p>
        </w:tc>
      </w:tr>
      <w:tr w:rsidR="00E54D52" w:rsidRPr="00EC2F7A" w14:paraId="1BB8AD40" w14:textId="77777777" w:rsidTr="00DA2203">
        <w:trPr>
          <w:trHeight w:hRule="exact" w:val="446"/>
        </w:trPr>
        <w:tc>
          <w:tcPr>
            <w:tcW w:w="535" w:type="pct"/>
            <w:tcBorders>
              <w:top w:val="single" w:sz="4" w:space="0" w:color="000000"/>
              <w:left w:val="single" w:sz="4" w:space="0" w:color="000000"/>
              <w:bottom w:val="single" w:sz="4" w:space="0" w:color="000000"/>
              <w:right w:val="single" w:sz="4" w:space="0" w:color="000000"/>
            </w:tcBorders>
          </w:tcPr>
          <w:p w14:paraId="4D608742" w14:textId="34CB55BA" w:rsidR="00E54D52" w:rsidRPr="00DA2203" w:rsidRDefault="00E54D52" w:rsidP="00E54D52">
            <w:pPr>
              <w:spacing w:before="120" w:after="120"/>
              <w:jc w:val="center"/>
              <w:rPr>
                <w:w w:val="99"/>
                <w:sz w:val="20"/>
              </w:rPr>
            </w:pPr>
            <w:r w:rsidRPr="00DA2203">
              <w:rPr>
                <w:w w:val="99"/>
                <w:sz w:val="20"/>
              </w:rPr>
              <w:t>1.3</w:t>
            </w:r>
          </w:p>
        </w:tc>
        <w:tc>
          <w:tcPr>
            <w:tcW w:w="540" w:type="pct"/>
            <w:tcBorders>
              <w:top w:val="single" w:sz="4" w:space="0" w:color="000000"/>
              <w:left w:val="single" w:sz="4" w:space="0" w:color="000000"/>
              <w:bottom w:val="single" w:sz="4" w:space="0" w:color="000000"/>
              <w:right w:val="single" w:sz="4" w:space="0" w:color="000000"/>
            </w:tcBorders>
          </w:tcPr>
          <w:p w14:paraId="0B31C7EC" w14:textId="4EA8BB22" w:rsidR="00E54D52" w:rsidRPr="00DA2203" w:rsidRDefault="00E54D52" w:rsidP="001407AE">
            <w:pPr>
              <w:spacing w:before="120" w:after="120"/>
              <w:jc w:val="center"/>
              <w:rPr>
                <w:sz w:val="20"/>
              </w:rPr>
            </w:pPr>
            <w:r w:rsidRPr="00DA2203">
              <w:rPr>
                <w:sz w:val="20"/>
              </w:rPr>
              <w:t>9 Mar 20</w:t>
            </w:r>
          </w:p>
        </w:tc>
        <w:tc>
          <w:tcPr>
            <w:tcW w:w="539" w:type="pct"/>
            <w:tcBorders>
              <w:top w:val="single" w:sz="4" w:space="0" w:color="000000"/>
              <w:left w:val="single" w:sz="4" w:space="0" w:color="000000"/>
              <w:bottom w:val="single" w:sz="4" w:space="0" w:color="000000"/>
              <w:right w:val="single" w:sz="4" w:space="0" w:color="000000"/>
            </w:tcBorders>
          </w:tcPr>
          <w:p w14:paraId="0FCF4D27" w14:textId="72BBB5BB" w:rsidR="00E54D52" w:rsidRPr="00DA2203" w:rsidRDefault="00C65466" w:rsidP="001407AE">
            <w:pPr>
              <w:spacing w:before="120" w:after="120"/>
              <w:jc w:val="center"/>
              <w:rPr>
                <w:sz w:val="20"/>
              </w:rPr>
            </w:pPr>
            <w:r w:rsidRPr="00DA2203">
              <w:rPr>
                <w:sz w:val="20"/>
              </w:rPr>
              <w:t>13 Sep 20</w:t>
            </w:r>
          </w:p>
        </w:tc>
        <w:tc>
          <w:tcPr>
            <w:tcW w:w="3386" w:type="pct"/>
            <w:tcBorders>
              <w:top w:val="single" w:sz="4" w:space="0" w:color="000000"/>
              <w:left w:val="single" w:sz="4" w:space="0" w:color="000000"/>
              <w:bottom w:val="single" w:sz="4" w:space="0" w:color="000000"/>
              <w:right w:val="single" w:sz="4" w:space="0" w:color="000000"/>
            </w:tcBorders>
          </w:tcPr>
          <w:p w14:paraId="1ECF8F49" w14:textId="07BD3CCB" w:rsidR="00E54D52" w:rsidRPr="00DA2203" w:rsidRDefault="00E54D52" w:rsidP="00E54D52">
            <w:pPr>
              <w:spacing w:before="120" w:after="120"/>
              <w:ind w:left="83"/>
              <w:rPr>
                <w:b/>
                <w:sz w:val="20"/>
              </w:rPr>
            </w:pPr>
            <w:r w:rsidRPr="00DA2203">
              <w:rPr>
                <w:rFonts w:cstheme="minorHAnsi"/>
                <w:b/>
                <w:sz w:val="20"/>
                <w:szCs w:val="20"/>
              </w:rPr>
              <w:t xml:space="preserve">Narrative: </w:t>
            </w:r>
            <w:r w:rsidRPr="00DA2203">
              <w:rPr>
                <w:rFonts w:cstheme="minorHAnsi"/>
                <w:sz w:val="20"/>
                <w:szCs w:val="20"/>
              </w:rPr>
              <w:t>Various Department name changes</w:t>
            </w:r>
          </w:p>
        </w:tc>
      </w:tr>
      <w:tr w:rsidR="00630EC7" w:rsidRPr="00EC2F7A" w14:paraId="5A5D849D" w14:textId="77777777" w:rsidTr="00D8637A">
        <w:tc>
          <w:tcPr>
            <w:tcW w:w="535" w:type="pct"/>
            <w:tcBorders>
              <w:top w:val="single" w:sz="4" w:space="0" w:color="000000"/>
              <w:left w:val="single" w:sz="4" w:space="0" w:color="000000"/>
              <w:bottom w:val="single" w:sz="4" w:space="0" w:color="000000"/>
              <w:right w:val="single" w:sz="4" w:space="0" w:color="000000"/>
            </w:tcBorders>
          </w:tcPr>
          <w:p w14:paraId="645D912B" w14:textId="745772FE" w:rsidR="00630EC7" w:rsidRPr="00DA2203" w:rsidRDefault="00630EC7" w:rsidP="00630EC7">
            <w:pPr>
              <w:spacing w:before="120" w:after="120"/>
              <w:jc w:val="center"/>
              <w:rPr>
                <w:w w:val="99"/>
                <w:sz w:val="20"/>
              </w:rPr>
            </w:pPr>
            <w:r w:rsidRPr="00DA2203">
              <w:rPr>
                <w:w w:val="99"/>
                <w:sz w:val="20"/>
              </w:rPr>
              <w:t>1.2</w:t>
            </w:r>
          </w:p>
        </w:tc>
        <w:tc>
          <w:tcPr>
            <w:tcW w:w="540" w:type="pct"/>
            <w:tcBorders>
              <w:top w:val="single" w:sz="4" w:space="0" w:color="000000"/>
              <w:left w:val="single" w:sz="4" w:space="0" w:color="000000"/>
              <w:bottom w:val="single" w:sz="4" w:space="0" w:color="000000"/>
              <w:right w:val="single" w:sz="4" w:space="0" w:color="000000"/>
            </w:tcBorders>
          </w:tcPr>
          <w:p w14:paraId="749709C4" w14:textId="2637BA40" w:rsidR="00630EC7" w:rsidRPr="00DA2203" w:rsidRDefault="00630EC7" w:rsidP="001407AE">
            <w:pPr>
              <w:spacing w:before="120" w:after="120"/>
              <w:jc w:val="center"/>
              <w:rPr>
                <w:sz w:val="20"/>
              </w:rPr>
            </w:pPr>
            <w:r w:rsidRPr="00DA2203">
              <w:rPr>
                <w:sz w:val="20"/>
              </w:rPr>
              <w:t>3 Dec 18</w:t>
            </w:r>
          </w:p>
        </w:tc>
        <w:tc>
          <w:tcPr>
            <w:tcW w:w="539" w:type="pct"/>
            <w:tcBorders>
              <w:top w:val="single" w:sz="4" w:space="0" w:color="000000"/>
              <w:left w:val="single" w:sz="4" w:space="0" w:color="000000"/>
              <w:bottom w:val="single" w:sz="4" w:space="0" w:color="000000"/>
              <w:right w:val="single" w:sz="4" w:space="0" w:color="000000"/>
            </w:tcBorders>
          </w:tcPr>
          <w:p w14:paraId="615E9AAA" w14:textId="30757908" w:rsidR="00630EC7" w:rsidRPr="00DA2203" w:rsidRDefault="00E54D52" w:rsidP="001407AE">
            <w:pPr>
              <w:spacing w:before="120" w:after="120"/>
              <w:jc w:val="center"/>
              <w:rPr>
                <w:sz w:val="20"/>
              </w:rPr>
            </w:pPr>
            <w:r w:rsidRPr="00DA2203">
              <w:rPr>
                <w:sz w:val="20"/>
              </w:rPr>
              <w:t>8 Mar 20</w:t>
            </w:r>
          </w:p>
        </w:tc>
        <w:tc>
          <w:tcPr>
            <w:tcW w:w="3386" w:type="pct"/>
            <w:tcBorders>
              <w:top w:val="single" w:sz="4" w:space="0" w:color="000000"/>
              <w:left w:val="single" w:sz="4" w:space="0" w:color="000000"/>
              <w:bottom w:val="single" w:sz="4" w:space="0" w:color="000000"/>
              <w:right w:val="single" w:sz="4" w:space="0" w:color="000000"/>
            </w:tcBorders>
          </w:tcPr>
          <w:p w14:paraId="73B28CDA" w14:textId="5F5AE594" w:rsidR="00630EC7" w:rsidRPr="00DA2203" w:rsidRDefault="00630EC7" w:rsidP="00630EC7">
            <w:pPr>
              <w:spacing w:before="120" w:after="120"/>
              <w:ind w:left="83"/>
              <w:rPr>
                <w:sz w:val="20"/>
              </w:rPr>
            </w:pPr>
            <w:r w:rsidRPr="00DA2203">
              <w:rPr>
                <w:b/>
                <w:sz w:val="20"/>
              </w:rPr>
              <w:t>Policy:</w:t>
            </w:r>
            <w:r w:rsidRPr="00DA2203">
              <w:rPr>
                <w:sz w:val="20"/>
              </w:rPr>
              <w:t xml:space="preserve"> Updated Privacy Consent Form </w:t>
            </w:r>
            <w:r w:rsidR="00A84108">
              <w:rPr>
                <w:sz w:val="20"/>
              </w:rPr>
              <w:t>(now</w:t>
            </w:r>
            <w:r w:rsidR="00B36349">
              <w:rPr>
                <w:sz w:val="20"/>
              </w:rPr>
              <w:t xml:space="preserve"> located on the Provider Portal</w:t>
            </w:r>
            <w:r w:rsidR="00A84108">
              <w:rPr>
                <w:sz w:val="20"/>
              </w:rPr>
              <w:t>)</w:t>
            </w:r>
            <w:r w:rsidRPr="00DA2203">
              <w:rPr>
                <w:sz w:val="20"/>
              </w:rPr>
              <w:t xml:space="preserve"> in line with amendments to the DES 2018 Grant Agreement under Direction No. 2.</w:t>
            </w:r>
          </w:p>
          <w:p w14:paraId="23D26B87" w14:textId="77777777" w:rsidR="00630EC7" w:rsidRPr="00DA2203" w:rsidRDefault="00630EC7" w:rsidP="00630EC7">
            <w:pPr>
              <w:spacing w:before="120" w:after="120"/>
              <w:ind w:left="83"/>
              <w:rPr>
                <w:sz w:val="20"/>
              </w:rPr>
            </w:pPr>
            <w:r w:rsidRPr="00DA2203">
              <w:rPr>
                <w:b/>
                <w:sz w:val="20"/>
              </w:rPr>
              <w:t>Terminology:</w:t>
            </w:r>
            <w:r w:rsidRPr="00DA2203">
              <w:rPr>
                <w:sz w:val="20"/>
              </w:rPr>
              <w:t xml:space="preserve"> Amendments made to reflect changes in the DES Grant Agreement - Direction 2 Terminology: ‘Electronic Calendar’ replaces ‘Electronic Diary’.</w:t>
            </w:r>
          </w:p>
          <w:p w14:paraId="5A73D5E9" w14:textId="77777777" w:rsidR="00630EC7" w:rsidRPr="00DA2203" w:rsidRDefault="00630EC7" w:rsidP="00630EC7">
            <w:pPr>
              <w:spacing w:before="120" w:after="120"/>
              <w:ind w:left="83"/>
              <w:rPr>
                <w:sz w:val="20"/>
              </w:rPr>
            </w:pPr>
            <w:r w:rsidRPr="00DA2203">
              <w:rPr>
                <w:sz w:val="20"/>
              </w:rPr>
              <w:t xml:space="preserve">Added information on Pre-release Prisoners. </w:t>
            </w:r>
          </w:p>
          <w:p w14:paraId="05604C58" w14:textId="28E22A81" w:rsidR="00630EC7" w:rsidRPr="00DA2203" w:rsidRDefault="00630EC7" w:rsidP="00630EC7">
            <w:pPr>
              <w:spacing w:before="120" w:after="120"/>
              <w:ind w:left="83"/>
              <w:rPr>
                <w:sz w:val="20"/>
              </w:rPr>
            </w:pPr>
            <w:r w:rsidRPr="00DA2203">
              <w:rPr>
                <w:rStyle w:val="Strong"/>
                <w:color w:val="auto"/>
                <w:sz w:val="20"/>
              </w:rPr>
              <w:t>Formatting:</w:t>
            </w:r>
            <w:r w:rsidRPr="00DA2203">
              <w:rPr>
                <w:rStyle w:val="Strong"/>
                <w:b w:val="0"/>
                <w:color w:val="auto"/>
                <w:sz w:val="20"/>
              </w:rPr>
              <w:t xml:space="preserve"> Throughout guideline</w:t>
            </w:r>
          </w:p>
        </w:tc>
      </w:tr>
      <w:tr w:rsidR="00630EC7" w:rsidRPr="00EC2F7A" w14:paraId="547DC791" w14:textId="77777777" w:rsidTr="00D8637A">
        <w:trPr>
          <w:trHeight w:val="1134"/>
        </w:trPr>
        <w:tc>
          <w:tcPr>
            <w:tcW w:w="535" w:type="pct"/>
            <w:tcBorders>
              <w:top w:val="single" w:sz="4" w:space="0" w:color="000000"/>
              <w:left w:val="single" w:sz="4" w:space="0" w:color="000000"/>
              <w:bottom w:val="single" w:sz="4" w:space="0" w:color="000000"/>
              <w:right w:val="single" w:sz="4" w:space="0" w:color="000000"/>
            </w:tcBorders>
          </w:tcPr>
          <w:p w14:paraId="4B565483" w14:textId="217126DD" w:rsidR="00630EC7" w:rsidRPr="00DA2203" w:rsidRDefault="00630EC7" w:rsidP="00630EC7">
            <w:pPr>
              <w:spacing w:before="120" w:after="120"/>
              <w:jc w:val="center"/>
              <w:rPr>
                <w:w w:val="99"/>
                <w:sz w:val="20"/>
              </w:rPr>
            </w:pPr>
            <w:r w:rsidRPr="00DA2203">
              <w:rPr>
                <w:w w:val="99"/>
                <w:sz w:val="20"/>
              </w:rPr>
              <w:t>1.1</w:t>
            </w:r>
          </w:p>
        </w:tc>
        <w:tc>
          <w:tcPr>
            <w:tcW w:w="540" w:type="pct"/>
            <w:tcBorders>
              <w:top w:val="single" w:sz="4" w:space="0" w:color="000000"/>
              <w:left w:val="single" w:sz="4" w:space="0" w:color="000000"/>
              <w:bottom w:val="single" w:sz="4" w:space="0" w:color="000000"/>
              <w:right w:val="single" w:sz="4" w:space="0" w:color="000000"/>
            </w:tcBorders>
          </w:tcPr>
          <w:p w14:paraId="49F50AD1" w14:textId="25B0FE4D" w:rsidR="00630EC7" w:rsidRPr="00DA2203" w:rsidRDefault="00630EC7" w:rsidP="001407AE">
            <w:pPr>
              <w:spacing w:before="120" w:after="120"/>
              <w:jc w:val="center"/>
              <w:rPr>
                <w:sz w:val="20"/>
              </w:rPr>
            </w:pPr>
            <w:r w:rsidRPr="00DA2203">
              <w:rPr>
                <w:sz w:val="20"/>
              </w:rPr>
              <w:t>10 Sep 18</w:t>
            </w:r>
          </w:p>
        </w:tc>
        <w:tc>
          <w:tcPr>
            <w:tcW w:w="539" w:type="pct"/>
            <w:tcBorders>
              <w:top w:val="single" w:sz="4" w:space="0" w:color="000000"/>
              <w:left w:val="single" w:sz="4" w:space="0" w:color="000000"/>
              <w:bottom w:val="single" w:sz="4" w:space="0" w:color="000000"/>
              <w:right w:val="single" w:sz="4" w:space="0" w:color="000000"/>
            </w:tcBorders>
          </w:tcPr>
          <w:p w14:paraId="58ACDCF9" w14:textId="12189403" w:rsidR="00630EC7" w:rsidRPr="00DA2203" w:rsidRDefault="00630EC7" w:rsidP="001407AE">
            <w:pPr>
              <w:spacing w:before="120" w:after="120"/>
              <w:jc w:val="center"/>
              <w:rPr>
                <w:sz w:val="20"/>
              </w:rPr>
            </w:pPr>
            <w:r w:rsidRPr="00DA2203">
              <w:rPr>
                <w:sz w:val="20"/>
              </w:rPr>
              <w:t>2 Dec 18</w:t>
            </w:r>
          </w:p>
        </w:tc>
        <w:tc>
          <w:tcPr>
            <w:tcW w:w="3386" w:type="pct"/>
            <w:tcBorders>
              <w:top w:val="single" w:sz="4" w:space="0" w:color="000000"/>
              <w:left w:val="single" w:sz="4" w:space="0" w:color="000000"/>
              <w:bottom w:val="single" w:sz="4" w:space="0" w:color="000000"/>
              <w:right w:val="single" w:sz="4" w:space="0" w:color="000000"/>
            </w:tcBorders>
          </w:tcPr>
          <w:p w14:paraId="7AA62F9E" w14:textId="6C15D2C6" w:rsidR="00630EC7" w:rsidRPr="00DA2203" w:rsidRDefault="00630EC7" w:rsidP="00D8637A">
            <w:pPr>
              <w:pStyle w:val="Default"/>
              <w:ind w:left="83"/>
            </w:pPr>
            <w:r w:rsidRPr="00DA2203">
              <w:rPr>
                <w:sz w:val="20"/>
              </w:rPr>
              <w:t xml:space="preserve">Revised and updated the Disability Employment Services Privacy Consent Form, </w:t>
            </w:r>
            <w:r w:rsidR="008C37C4">
              <w:rPr>
                <w:rFonts w:cstheme="minorHAnsi"/>
                <w:sz w:val="20"/>
                <w:szCs w:val="20"/>
              </w:rPr>
              <w:t>participant</w:t>
            </w:r>
            <w:r w:rsidRPr="00DA2203">
              <w:rPr>
                <w:sz w:val="20"/>
              </w:rPr>
              <w:t xml:space="preserve"> Declaration and Disability Employment Services </w:t>
            </w:r>
            <w:r w:rsidR="008E3734">
              <w:rPr>
                <w:sz w:val="20"/>
              </w:rPr>
              <w:t>provider</w:t>
            </w:r>
            <w:r w:rsidRPr="00DA2203">
              <w:rPr>
                <w:sz w:val="20"/>
              </w:rPr>
              <w:t xml:space="preserve"> Declaration; updated terminology in line with amendments to the Grant Agreement under Direction No. 2 and corrected some formatting and grammatical issues. </w:t>
            </w:r>
          </w:p>
        </w:tc>
      </w:tr>
      <w:tr w:rsidR="00630EC7" w:rsidRPr="00EC2F7A" w14:paraId="4E859E16" w14:textId="77777777" w:rsidTr="00DA2203">
        <w:trPr>
          <w:trHeight w:hRule="exact" w:val="465"/>
        </w:trPr>
        <w:tc>
          <w:tcPr>
            <w:tcW w:w="535" w:type="pct"/>
            <w:tcBorders>
              <w:top w:val="single" w:sz="4" w:space="0" w:color="000000"/>
              <w:left w:val="single" w:sz="4" w:space="0" w:color="000000"/>
              <w:bottom w:val="single" w:sz="4" w:space="0" w:color="000000"/>
              <w:right w:val="single" w:sz="4" w:space="0" w:color="000000"/>
            </w:tcBorders>
          </w:tcPr>
          <w:p w14:paraId="26904B4C" w14:textId="77777777" w:rsidR="00630EC7" w:rsidRPr="00DA2203" w:rsidRDefault="00630EC7" w:rsidP="00630EC7">
            <w:pPr>
              <w:spacing w:before="120" w:after="120"/>
              <w:jc w:val="center"/>
              <w:rPr>
                <w:sz w:val="20"/>
              </w:rPr>
            </w:pPr>
            <w:r w:rsidRPr="00DA2203">
              <w:rPr>
                <w:w w:val="99"/>
                <w:sz w:val="20"/>
              </w:rPr>
              <w:t>1.0</w:t>
            </w:r>
          </w:p>
        </w:tc>
        <w:tc>
          <w:tcPr>
            <w:tcW w:w="540" w:type="pct"/>
            <w:tcBorders>
              <w:top w:val="single" w:sz="4" w:space="0" w:color="000000"/>
              <w:left w:val="single" w:sz="4" w:space="0" w:color="000000"/>
              <w:bottom w:val="single" w:sz="4" w:space="0" w:color="000000"/>
              <w:right w:val="single" w:sz="4" w:space="0" w:color="000000"/>
            </w:tcBorders>
          </w:tcPr>
          <w:p w14:paraId="08A57CB6" w14:textId="53F2E7DE" w:rsidR="00630EC7" w:rsidRPr="00DA2203" w:rsidRDefault="00630EC7" w:rsidP="001407AE">
            <w:pPr>
              <w:spacing w:before="120" w:after="120"/>
              <w:jc w:val="center"/>
              <w:rPr>
                <w:sz w:val="20"/>
              </w:rPr>
            </w:pPr>
            <w:r w:rsidRPr="00DA2203">
              <w:rPr>
                <w:sz w:val="20"/>
              </w:rPr>
              <w:t>1 July 18</w:t>
            </w:r>
          </w:p>
        </w:tc>
        <w:tc>
          <w:tcPr>
            <w:tcW w:w="539" w:type="pct"/>
            <w:tcBorders>
              <w:top w:val="single" w:sz="4" w:space="0" w:color="000000"/>
              <w:left w:val="single" w:sz="4" w:space="0" w:color="000000"/>
              <w:bottom w:val="single" w:sz="4" w:space="0" w:color="000000"/>
              <w:right w:val="single" w:sz="4" w:space="0" w:color="000000"/>
            </w:tcBorders>
          </w:tcPr>
          <w:p w14:paraId="4FAE11FE" w14:textId="28B61301" w:rsidR="00630EC7" w:rsidRPr="00DA2203" w:rsidRDefault="00630EC7" w:rsidP="001407AE">
            <w:pPr>
              <w:spacing w:before="120" w:after="120"/>
              <w:jc w:val="center"/>
              <w:rPr>
                <w:sz w:val="20"/>
              </w:rPr>
            </w:pPr>
            <w:r w:rsidRPr="00DA2203">
              <w:rPr>
                <w:sz w:val="20"/>
              </w:rPr>
              <w:t>9 Sep 18</w:t>
            </w:r>
          </w:p>
        </w:tc>
        <w:tc>
          <w:tcPr>
            <w:tcW w:w="3386" w:type="pct"/>
            <w:tcBorders>
              <w:top w:val="single" w:sz="4" w:space="0" w:color="000000"/>
              <w:left w:val="single" w:sz="4" w:space="0" w:color="000000"/>
              <w:bottom w:val="single" w:sz="4" w:space="0" w:color="000000"/>
              <w:right w:val="single" w:sz="4" w:space="0" w:color="000000"/>
            </w:tcBorders>
          </w:tcPr>
          <w:p w14:paraId="63F5247C" w14:textId="1CCD2922" w:rsidR="00630EC7" w:rsidRPr="00DA2203" w:rsidRDefault="00630EC7" w:rsidP="00630EC7">
            <w:pPr>
              <w:spacing w:before="120" w:after="120"/>
              <w:ind w:left="83"/>
              <w:rPr>
                <w:sz w:val="20"/>
              </w:rPr>
            </w:pPr>
            <w:r w:rsidRPr="00DA2203">
              <w:rPr>
                <w:sz w:val="20"/>
              </w:rPr>
              <w:t>Original version.</w:t>
            </w:r>
          </w:p>
        </w:tc>
      </w:tr>
    </w:tbl>
    <w:p w14:paraId="013070F1" w14:textId="77777777" w:rsidR="005C7EAA" w:rsidRDefault="005C7EAA" w:rsidP="00213141">
      <w:pPr>
        <w:spacing w:before="240"/>
      </w:pPr>
      <w:bookmarkStart w:id="19" w:name="_Toc496019680"/>
      <w:bookmarkStart w:id="20" w:name="_Toc496019732"/>
    </w:p>
    <w:p w14:paraId="027F0E6B" w14:textId="66CDD34F" w:rsidR="004B3ED6" w:rsidRPr="00213141" w:rsidRDefault="004B3ED6" w:rsidP="00213141">
      <w:pPr>
        <w:pStyle w:val="Heading2"/>
        <w:spacing w:after="240" w:line="271" w:lineRule="auto"/>
        <w:rPr>
          <w:rFonts w:cstheme="minorHAnsi"/>
          <w:spacing w:val="0"/>
          <w:position w:val="0"/>
          <w:sz w:val="24"/>
          <w:szCs w:val="24"/>
        </w:rPr>
      </w:pPr>
      <w:bookmarkStart w:id="21" w:name="_Toc176964316"/>
      <w:r w:rsidRPr="00213141">
        <w:rPr>
          <w:rFonts w:asciiTheme="minorHAnsi" w:hAnsiTheme="minorHAnsi" w:cstheme="minorHAnsi"/>
          <w:bCs/>
          <w:color w:val="auto"/>
          <w:spacing w:val="0"/>
          <w:position w:val="0"/>
          <w:sz w:val="24"/>
          <w:szCs w:val="24"/>
        </w:rPr>
        <w:t>Background</w:t>
      </w:r>
      <w:bookmarkEnd w:id="19"/>
      <w:bookmarkEnd w:id="20"/>
      <w:bookmarkEnd w:id="21"/>
    </w:p>
    <w:p w14:paraId="5F58DBA3" w14:textId="446281C7" w:rsidR="000830AE" w:rsidRDefault="009C27A6" w:rsidP="00213141">
      <w:r w:rsidRPr="004B3ED6">
        <w:t>Th</w:t>
      </w:r>
      <w:r w:rsidRPr="004B3ED6">
        <w:rPr>
          <w:spacing w:val="1"/>
        </w:rPr>
        <w:t>e</w:t>
      </w:r>
      <w:r w:rsidRPr="004B3ED6">
        <w:t>se Guid</w:t>
      </w:r>
      <w:r w:rsidRPr="004B3ED6">
        <w:rPr>
          <w:spacing w:val="1"/>
        </w:rPr>
        <w:t>e</w:t>
      </w:r>
      <w:r w:rsidRPr="004B3ED6">
        <w:t>lin</w:t>
      </w:r>
      <w:r w:rsidRPr="004B3ED6">
        <w:rPr>
          <w:spacing w:val="1"/>
        </w:rPr>
        <w:t>e</w:t>
      </w:r>
      <w:r w:rsidRPr="004B3ED6">
        <w:t>s</w:t>
      </w:r>
      <w:r w:rsidRPr="004B3ED6">
        <w:rPr>
          <w:spacing w:val="1"/>
        </w:rPr>
        <w:t xml:space="preserve"> </w:t>
      </w:r>
      <w:r w:rsidRPr="004B3ED6">
        <w:t xml:space="preserve">specify </w:t>
      </w:r>
      <w:r w:rsidRPr="004B3ED6">
        <w:rPr>
          <w:spacing w:val="1"/>
        </w:rPr>
        <w:t>D</w:t>
      </w:r>
      <w:r w:rsidRPr="004B3ED6">
        <w:t xml:space="preserve">isability </w:t>
      </w:r>
      <w:r w:rsidRPr="004B3ED6">
        <w:rPr>
          <w:spacing w:val="-2"/>
        </w:rPr>
        <w:t>E</w:t>
      </w:r>
      <w:r w:rsidRPr="004B3ED6">
        <w:rPr>
          <w:spacing w:val="1"/>
        </w:rPr>
        <w:t>m</w:t>
      </w:r>
      <w:r w:rsidRPr="004B3ED6">
        <w:t>plo</w:t>
      </w:r>
      <w:r w:rsidRPr="004B3ED6">
        <w:rPr>
          <w:spacing w:val="1"/>
        </w:rPr>
        <w:t>y</w:t>
      </w:r>
      <w:r w:rsidRPr="004B3ED6">
        <w:t>m</w:t>
      </w:r>
      <w:r w:rsidRPr="004B3ED6">
        <w:rPr>
          <w:spacing w:val="1"/>
        </w:rPr>
        <w:t>e</w:t>
      </w:r>
      <w:r w:rsidRPr="004B3ED6">
        <w:t>nt</w:t>
      </w:r>
      <w:r w:rsidRPr="004B3ED6">
        <w:rPr>
          <w:spacing w:val="1"/>
        </w:rPr>
        <w:t xml:space="preserve"> </w:t>
      </w:r>
      <w:r w:rsidRPr="004B3ED6">
        <w:t>S</w:t>
      </w:r>
      <w:r w:rsidRPr="004B3ED6">
        <w:rPr>
          <w:spacing w:val="1"/>
        </w:rPr>
        <w:t>e</w:t>
      </w:r>
      <w:r w:rsidRPr="004B3ED6">
        <w:rPr>
          <w:spacing w:val="-3"/>
        </w:rPr>
        <w:t>r</w:t>
      </w:r>
      <w:r w:rsidRPr="004B3ED6">
        <w:t>vic</w:t>
      </w:r>
      <w:r w:rsidRPr="004B3ED6">
        <w:rPr>
          <w:spacing w:val="1"/>
        </w:rPr>
        <w:t>e</w:t>
      </w:r>
      <w:r w:rsidRPr="004B3ED6">
        <w:t>s</w:t>
      </w:r>
      <w:r w:rsidRPr="004B3ED6">
        <w:rPr>
          <w:spacing w:val="1"/>
        </w:rPr>
        <w:t xml:space="preserve"> </w:t>
      </w:r>
      <w:r w:rsidRPr="004B3ED6">
        <w:rPr>
          <w:spacing w:val="-2"/>
        </w:rPr>
        <w:t>(</w:t>
      </w:r>
      <w:r w:rsidRPr="004B3ED6">
        <w:rPr>
          <w:spacing w:val="1"/>
        </w:rPr>
        <w:t>D</w:t>
      </w:r>
      <w:r w:rsidRPr="004B3ED6">
        <w:t xml:space="preserve">ES) </w:t>
      </w:r>
      <w:r w:rsidRPr="004B3ED6">
        <w:rPr>
          <w:spacing w:val="1"/>
        </w:rPr>
        <w:t>P</w:t>
      </w:r>
      <w:r w:rsidRPr="004B3ED6">
        <w:rPr>
          <w:spacing w:val="-3"/>
        </w:rPr>
        <w:t>r</w:t>
      </w:r>
      <w:r w:rsidRPr="004B3ED6">
        <w:rPr>
          <w:spacing w:val="1"/>
        </w:rPr>
        <w:t>o</w:t>
      </w:r>
      <w:r w:rsidRPr="004B3ED6">
        <w:t xml:space="preserve">gram </w:t>
      </w:r>
      <w:r w:rsidR="00592821">
        <w:t>p</w:t>
      </w:r>
      <w:r w:rsidR="00606223" w:rsidRPr="004B3ED6">
        <w:t>rovider</w:t>
      </w:r>
      <w:r w:rsidRPr="004B3ED6">
        <w:t>s</w:t>
      </w:r>
      <w:r w:rsidR="00CF5420">
        <w:t>’</w:t>
      </w:r>
      <w:r w:rsidRPr="004B3ED6">
        <w:rPr>
          <w:spacing w:val="1"/>
        </w:rPr>
        <w:t xml:space="preserve"> </w:t>
      </w:r>
      <w:r w:rsidRPr="004B3ED6">
        <w:t>(her</w:t>
      </w:r>
      <w:r w:rsidRPr="004B3ED6">
        <w:rPr>
          <w:spacing w:val="-2"/>
        </w:rPr>
        <w:t>e</w:t>
      </w:r>
      <w:r w:rsidRPr="004B3ED6">
        <w:rPr>
          <w:spacing w:val="1"/>
        </w:rPr>
        <w:t>o</w:t>
      </w:r>
      <w:r w:rsidRPr="004B3ED6">
        <w:t xml:space="preserve">n </w:t>
      </w:r>
      <w:r w:rsidRPr="004B3ED6">
        <w:rPr>
          <w:spacing w:val="-3"/>
        </w:rPr>
        <w:t>r</w:t>
      </w:r>
      <w:r w:rsidRPr="004B3ED6">
        <w:t>efer</w:t>
      </w:r>
      <w:r w:rsidRPr="004B3ED6">
        <w:rPr>
          <w:spacing w:val="-3"/>
        </w:rPr>
        <w:t>r</w:t>
      </w:r>
      <w:r w:rsidRPr="004B3ED6">
        <w:t>ed</w:t>
      </w:r>
      <w:r w:rsidR="0045124F" w:rsidRPr="004B3ED6">
        <w:t xml:space="preserve"> </w:t>
      </w:r>
      <w:r w:rsidRPr="004B3ED6">
        <w:t>to</w:t>
      </w:r>
      <w:r w:rsidRPr="004B3ED6">
        <w:rPr>
          <w:spacing w:val="2"/>
        </w:rPr>
        <w:t xml:space="preserve"> </w:t>
      </w:r>
      <w:r w:rsidRPr="004B3ED6">
        <w:t>as</w:t>
      </w:r>
      <w:r w:rsidRPr="004B3ED6">
        <w:rPr>
          <w:spacing w:val="-2"/>
        </w:rPr>
        <w:t xml:space="preserve"> </w:t>
      </w:r>
      <w:r w:rsidRPr="004B3ED6">
        <w:t>‘</w:t>
      </w:r>
      <w:r w:rsidR="00592821">
        <w:t>p</w:t>
      </w:r>
      <w:r w:rsidR="00606223" w:rsidRPr="004B3ED6">
        <w:t>rovider</w:t>
      </w:r>
      <w:r w:rsidRPr="004B3ED6">
        <w:rPr>
          <w:spacing w:val="-2"/>
        </w:rPr>
        <w:t>’</w:t>
      </w:r>
      <w:r w:rsidRPr="004B3ED6">
        <w:t>)</w:t>
      </w:r>
      <w:r w:rsidRPr="004B3ED6">
        <w:rPr>
          <w:spacing w:val="1"/>
        </w:rPr>
        <w:t xml:space="preserve"> </w:t>
      </w:r>
      <w:r w:rsidRPr="004B3ED6">
        <w:t>r</w:t>
      </w:r>
      <w:r w:rsidRPr="004B3ED6">
        <w:rPr>
          <w:spacing w:val="1"/>
        </w:rPr>
        <w:t>e</w:t>
      </w:r>
      <w:r w:rsidRPr="004B3ED6">
        <w:t>s</w:t>
      </w:r>
      <w:r w:rsidRPr="004B3ED6">
        <w:rPr>
          <w:spacing w:val="-3"/>
        </w:rPr>
        <w:t>p</w:t>
      </w:r>
      <w:r w:rsidRPr="004B3ED6">
        <w:t>onsibilities</w:t>
      </w:r>
      <w:r w:rsidRPr="004B3ED6">
        <w:rPr>
          <w:spacing w:val="1"/>
        </w:rPr>
        <w:t xml:space="preserve"> </w:t>
      </w:r>
      <w:r w:rsidRPr="004B3ED6">
        <w:t>and r</w:t>
      </w:r>
      <w:r w:rsidRPr="004B3ED6">
        <w:rPr>
          <w:spacing w:val="1"/>
        </w:rPr>
        <w:t>e</w:t>
      </w:r>
      <w:r w:rsidRPr="004B3ED6">
        <w:t>quir</w:t>
      </w:r>
      <w:r w:rsidRPr="004B3ED6">
        <w:rPr>
          <w:spacing w:val="1"/>
        </w:rPr>
        <w:t>e</w:t>
      </w:r>
      <w:r w:rsidRPr="004B3ED6">
        <w:t xml:space="preserve">d </w:t>
      </w:r>
      <w:r w:rsidRPr="004B3ED6">
        <w:rPr>
          <w:spacing w:val="-3"/>
        </w:rPr>
        <w:t>a</w:t>
      </w:r>
      <w:r w:rsidRPr="004B3ED6">
        <w:t>ct</w:t>
      </w:r>
      <w:r w:rsidRPr="004B3ED6">
        <w:rPr>
          <w:spacing w:val="-3"/>
        </w:rPr>
        <w:t>i</w:t>
      </w:r>
      <w:r w:rsidRPr="004B3ED6">
        <w:rPr>
          <w:spacing w:val="1"/>
        </w:rPr>
        <w:t>o</w:t>
      </w:r>
      <w:r w:rsidRPr="004B3ED6">
        <w:t>ns</w:t>
      </w:r>
      <w:r w:rsidRPr="004B3ED6">
        <w:rPr>
          <w:spacing w:val="1"/>
        </w:rPr>
        <w:t xml:space="preserve"> </w:t>
      </w:r>
      <w:r w:rsidRPr="004B3ED6">
        <w:rPr>
          <w:spacing w:val="-3"/>
        </w:rPr>
        <w:t>f</w:t>
      </w:r>
      <w:r w:rsidRPr="004B3ED6">
        <w:rPr>
          <w:spacing w:val="1"/>
        </w:rPr>
        <w:t>o</w:t>
      </w:r>
      <w:r w:rsidRPr="004B3ED6">
        <w:t xml:space="preserve">r </w:t>
      </w:r>
      <w:r w:rsidR="00A755EB" w:rsidRPr="004B3ED6">
        <w:t>confirming eligibility</w:t>
      </w:r>
      <w:r w:rsidR="00CF5083" w:rsidRPr="004B3ED6">
        <w:t xml:space="preserve">, </w:t>
      </w:r>
      <w:r w:rsidRPr="004B3ED6">
        <w:t>r</w:t>
      </w:r>
      <w:r w:rsidRPr="004B3ED6">
        <w:rPr>
          <w:spacing w:val="-2"/>
        </w:rPr>
        <w:t>e</w:t>
      </w:r>
      <w:r w:rsidRPr="004B3ED6">
        <w:t>c</w:t>
      </w:r>
      <w:r w:rsidRPr="004B3ED6">
        <w:rPr>
          <w:spacing w:val="1"/>
        </w:rPr>
        <w:t>e</w:t>
      </w:r>
      <w:r w:rsidRPr="004B3ED6">
        <w:rPr>
          <w:spacing w:val="-3"/>
        </w:rPr>
        <w:t>i</w:t>
      </w:r>
      <w:r w:rsidRPr="004B3ED6">
        <w:rPr>
          <w:spacing w:val="1"/>
        </w:rPr>
        <w:t>v</w:t>
      </w:r>
      <w:r w:rsidRPr="004B3ED6">
        <w:t>in</w:t>
      </w:r>
      <w:r w:rsidR="00066E63" w:rsidRPr="004B3ED6">
        <w:t xml:space="preserve">g </w:t>
      </w:r>
      <w:r w:rsidR="00073E0C" w:rsidRPr="004B3ED6">
        <w:t>R</w:t>
      </w:r>
      <w:r w:rsidRPr="004B3ED6">
        <w:rPr>
          <w:spacing w:val="1"/>
        </w:rPr>
        <w:t>e</w:t>
      </w:r>
      <w:r w:rsidRPr="004B3ED6">
        <w:t>f</w:t>
      </w:r>
      <w:r w:rsidRPr="004B3ED6">
        <w:rPr>
          <w:spacing w:val="1"/>
        </w:rPr>
        <w:t>e</w:t>
      </w:r>
      <w:r w:rsidRPr="004B3ED6">
        <w:rPr>
          <w:spacing w:val="-3"/>
        </w:rPr>
        <w:t>r</w:t>
      </w:r>
      <w:r w:rsidRPr="004B3ED6">
        <w:t>rals</w:t>
      </w:r>
      <w:r w:rsidR="00CF5083" w:rsidRPr="004B3ED6">
        <w:t xml:space="preserve"> and Commencing a job seeker in DES</w:t>
      </w:r>
      <w:r w:rsidR="00A755EB" w:rsidRPr="004B3ED6">
        <w:t>.</w:t>
      </w:r>
    </w:p>
    <w:p w14:paraId="5E45506F" w14:textId="77777777" w:rsidR="005C7EAA" w:rsidRPr="004B3ED6" w:rsidRDefault="005C7EAA" w:rsidP="00213141"/>
    <w:p w14:paraId="5D5FCB32" w14:textId="41B7C48E" w:rsidR="00A755EB" w:rsidRPr="007D6214" w:rsidRDefault="00CF5420" w:rsidP="00213141">
      <w:pPr>
        <w:keepNext/>
        <w:keepLines/>
        <w:spacing w:after="240"/>
      </w:pPr>
      <w:bookmarkStart w:id="22" w:name="_Toc459216200"/>
      <w:bookmarkStart w:id="23" w:name="_Toc473637594"/>
      <w:bookmarkStart w:id="24" w:name="_Toc496019681"/>
      <w:bookmarkStart w:id="25" w:name="_Toc496019733"/>
      <w:r w:rsidRPr="00213141">
        <w:rPr>
          <w:b/>
        </w:rPr>
        <w:t xml:space="preserve">Relevant </w:t>
      </w:r>
      <w:r w:rsidR="00A755EB" w:rsidRPr="00213141">
        <w:rPr>
          <w:b/>
        </w:rPr>
        <w:t xml:space="preserve">Disability Employment Services </w:t>
      </w:r>
      <w:r w:rsidR="007F598A" w:rsidRPr="00213141">
        <w:rPr>
          <w:b/>
        </w:rPr>
        <w:t xml:space="preserve">Grant Agreement </w:t>
      </w:r>
      <w:r w:rsidRPr="00213141">
        <w:rPr>
          <w:b/>
        </w:rPr>
        <w:t>c</w:t>
      </w:r>
      <w:r w:rsidR="00A755EB" w:rsidRPr="00213141">
        <w:rPr>
          <w:b/>
        </w:rPr>
        <w:t>lauses</w:t>
      </w:r>
      <w:bookmarkEnd w:id="22"/>
      <w:bookmarkEnd w:id="23"/>
      <w:bookmarkEnd w:id="24"/>
      <w:bookmarkEnd w:id="25"/>
    </w:p>
    <w:p w14:paraId="3F0330C7" w14:textId="7142AFCF" w:rsidR="004C5040" w:rsidRPr="005358F8" w:rsidRDefault="004C5040" w:rsidP="00213141">
      <w:pPr>
        <w:keepNext/>
        <w:keepLines/>
        <w:rPr>
          <w:rFonts w:ascii="Calibri" w:eastAsia="Calibri" w:hAnsi="Calibri" w:cs="Calibri"/>
        </w:rPr>
      </w:pPr>
      <w:r>
        <w:rPr>
          <w:rFonts w:ascii="Calibri" w:eastAsia="Calibri" w:hAnsi="Calibri" w:cs="Calibri"/>
        </w:rPr>
        <w:t>Clause 81</w:t>
      </w:r>
      <w:r w:rsidRPr="005358F8">
        <w:rPr>
          <w:rFonts w:ascii="Calibri" w:eastAsia="Calibri" w:hAnsi="Calibri" w:cs="Calibri"/>
        </w:rPr>
        <w:t xml:space="preserve"> –</w:t>
      </w:r>
      <w:r>
        <w:rPr>
          <w:rFonts w:ascii="Calibri" w:eastAsia="Calibri" w:hAnsi="Calibri" w:cs="Calibri"/>
        </w:rPr>
        <w:t xml:space="preserve"> Specialist </w:t>
      </w:r>
      <w:r w:rsidR="00882768">
        <w:rPr>
          <w:rFonts w:ascii="Calibri" w:eastAsia="Calibri" w:hAnsi="Calibri" w:cs="Calibri"/>
        </w:rPr>
        <w:t xml:space="preserve">Service </w:t>
      </w:r>
      <w:r>
        <w:rPr>
          <w:rFonts w:ascii="Calibri" w:eastAsia="Calibri" w:hAnsi="Calibri" w:cs="Calibri"/>
        </w:rPr>
        <w:t>Providers</w:t>
      </w:r>
    </w:p>
    <w:p w14:paraId="7873268B" w14:textId="77777777" w:rsidR="00A755EB" w:rsidRDefault="00A755EB" w:rsidP="00213141">
      <w:pPr>
        <w:keepNext/>
        <w:keepLines/>
        <w:rPr>
          <w:rFonts w:ascii="Calibri" w:eastAsia="Calibri" w:hAnsi="Calibri" w:cs="Calibri"/>
        </w:rPr>
      </w:pPr>
      <w:hyperlink r:id="rId10" w:anchor="081">
        <w:r w:rsidRPr="004B3ED6">
          <w:rPr>
            <w:rFonts w:ascii="Calibri" w:eastAsia="Calibri" w:hAnsi="Calibri" w:cs="Calibri"/>
          </w:rPr>
          <w:t>Clause</w:t>
        </w:r>
        <w:r w:rsidRPr="004B3ED6">
          <w:rPr>
            <w:rFonts w:ascii="Calibri" w:eastAsia="Calibri" w:hAnsi="Calibri" w:cs="Calibri"/>
            <w:spacing w:val="1"/>
          </w:rPr>
          <w:t xml:space="preserve"> </w:t>
        </w:r>
        <w:r w:rsidR="00E752B6">
          <w:rPr>
            <w:rFonts w:ascii="Calibri" w:eastAsia="Calibri" w:hAnsi="Calibri" w:cs="Calibri"/>
            <w:spacing w:val="-2"/>
          </w:rPr>
          <w:t>85</w:t>
        </w:r>
        <w:r w:rsidR="00E752B6" w:rsidRPr="004B3ED6">
          <w:rPr>
            <w:rFonts w:ascii="Calibri" w:eastAsia="Calibri" w:hAnsi="Calibri" w:cs="Calibri"/>
          </w:rPr>
          <w:t xml:space="preserve"> </w:t>
        </w:r>
        <w:r w:rsidRPr="004B3ED6">
          <w:rPr>
            <w:rFonts w:ascii="Calibri" w:eastAsia="Calibri" w:hAnsi="Calibri" w:cs="Calibri"/>
          </w:rPr>
          <w:t>–</w:t>
        </w:r>
        <w:r w:rsidRPr="004B3ED6">
          <w:rPr>
            <w:rFonts w:ascii="Calibri" w:eastAsia="Calibri" w:hAnsi="Calibri" w:cs="Calibri"/>
            <w:spacing w:val="1"/>
          </w:rPr>
          <w:t xml:space="preserve"> </w:t>
        </w:r>
        <w:r w:rsidRPr="004B3ED6">
          <w:rPr>
            <w:rFonts w:ascii="Calibri" w:eastAsia="Calibri" w:hAnsi="Calibri" w:cs="Calibri"/>
          </w:rPr>
          <w:t>Re</w:t>
        </w:r>
        <w:r w:rsidRPr="004B3ED6">
          <w:rPr>
            <w:rFonts w:ascii="Calibri" w:eastAsia="Calibri" w:hAnsi="Calibri" w:cs="Calibri"/>
            <w:spacing w:val="-3"/>
          </w:rPr>
          <w:t>f</w:t>
        </w:r>
        <w:r w:rsidRPr="004B3ED6">
          <w:rPr>
            <w:rFonts w:ascii="Calibri" w:eastAsia="Calibri" w:hAnsi="Calibri" w:cs="Calibri"/>
          </w:rPr>
          <w:t xml:space="preserve">errals </w:t>
        </w:r>
      </w:hyperlink>
    </w:p>
    <w:p w14:paraId="749AA40B" w14:textId="0F2129C9" w:rsidR="001923BF" w:rsidRPr="004B3ED6" w:rsidRDefault="001923BF" w:rsidP="00213141">
      <w:pPr>
        <w:keepNext/>
        <w:keepLines/>
        <w:rPr>
          <w:rFonts w:ascii="Calibri" w:eastAsia="Calibri" w:hAnsi="Calibri" w:cs="Calibri"/>
        </w:rPr>
      </w:pPr>
      <w:r>
        <w:rPr>
          <w:rFonts w:ascii="Calibri" w:eastAsia="Calibri" w:hAnsi="Calibri" w:cs="Calibri"/>
        </w:rPr>
        <w:t>Clause 87</w:t>
      </w:r>
      <w:r w:rsidRPr="001923BF">
        <w:rPr>
          <w:rFonts w:ascii="Calibri" w:eastAsia="Calibri" w:hAnsi="Calibri" w:cs="Calibri"/>
        </w:rPr>
        <w:t xml:space="preserve"> – </w:t>
      </w:r>
      <w:r>
        <w:rPr>
          <w:rFonts w:ascii="Calibri" w:eastAsia="Calibri" w:hAnsi="Calibri" w:cs="Calibri"/>
        </w:rPr>
        <w:t>Direct Registration</w:t>
      </w:r>
      <w:r w:rsidR="00882768">
        <w:rPr>
          <w:rFonts w:ascii="Calibri" w:eastAsia="Calibri" w:hAnsi="Calibri" w:cs="Calibri"/>
        </w:rPr>
        <w:t xml:space="preserve"> of Participants without a Referral</w:t>
      </w:r>
    </w:p>
    <w:p w14:paraId="6B943C72" w14:textId="77777777" w:rsidR="00A755EB" w:rsidRPr="004B3ED6" w:rsidRDefault="00A755EB" w:rsidP="00213141">
      <w:pPr>
        <w:keepNext/>
        <w:keepLines/>
        <w:rPr>
          <w:rFonts w:ascii="Calibri" w:eastAsia="Calibri" w:hAnsi="Calibri" w:cs="Calibri"/>
        </w:rPr>
      </w:pPr>
      <w:hyperlink r:id="rId11" w:anchor="087">
        <w:r w:rsidRPr="004B3ED6">
          <w:rPr>
            <w:rFonts w:ascii="Calibri" w:eastAsia="Calibri" w:hAnsi="Calibri" w:cs="Calibri"/>
          </w:rPr>
          <w:t>Clause</w:t>
        </w:r>
        <w:r w:rsidRPr="004B3ED6">
          <w:rPr>
            <w:rFonts w:ascii="Calibri" w:eastAsia="Calibri" w:hAnsi="Calibri" w:cs="Calibri"/>
            <w:spacing w:val="1"/>
          </w:rPr>
          <w:t xml:space="preserve"> </w:t>
        </w:r>
        <w:r w:rsidR="00E752B6">
          <w:rPr>
            <w:rFonts w:ascii="Calibri" w:eastAsia="Calibri" w:hAnsi="Calibri" w:cs="Calibri"/>
            <w:spacing w:val="-2"/>
          </w:rPr>
          <w:t>91</w:t>
        </w:r>
        <w:r w:rsidR="00E752B6" w:rsidRPr="004B3ED6">
          <w:rPr>
            <w:rFonts w:ascii="Calibri" w:eastAsia="Calibri" w:hAnsi="Calibri" w:cs="Calibri"/>
          </w:rPr>
          <w:t xml:space="preserve"> </w:t>
        </w:r>
        <w:r w:rsidRPr="004B3ED6">
          <w:rPr>
            <w:rFonts w:ascii="Calibri" w:eastAsia="Calibri" w:hAnsi="Calibri" w:cs="Calibri"/>
          </w:rPr>
          <w:t>–</w:t>
        </w:r>
        <w:r w:rsidRPr="004B3ED6">
          <w:rPr>
            <w:rFonts w:ascii="Calibri" w:eastAsia="Calibri" w:hAnsi="Calibri" w:cs="Calibri"/>
            <w:spacing w:val="1"/>
          </w:rPr>
          <w:t xml:space="preserve"> </w:t>
        </w:r>
        <w:r w:rsidRPr="004B3ED6">
          <w:rPr>
            <w:rFonts w:ascii="Calibri" w:eastAsia="Calibri" w:hAnsi="Calibri" w:cs="Calibri"/>
          </w:rPr>
          <w:t>App</w:t>
        </w:r>
        <w:r w:rsidRPr="004B3ED6">
          <w:rPr>
            <w:rFonts w:ascii="Calibri" w:eastAsia="Calibri" w:hAnsi="Calibri" w:cs="Calibri"/>
            <w:spacing w:val="1"/>
          </w:rPr>
          <w:t>o</w:t>
        </w:r>
        <w:r w:rsidRPr="004B3ED6">
          <w:rPr>
            <w:rFonts w:ascii="Calibri" w:eastAsia="Calibri" w:hAnsi="Calibri" w:cs="Calibri"/>
          </w:rPr>
          <w:t>in</w:t>
        </w:r>
        <w:r w:rsidRPr="004B3ED6">
          <w:rPr>
            <w:rFonts w:ascii="Calibri" w:eastAsia="Calibri" w:hAnsi="Calibri" w:cs="Calibri"/>
            <w:spacing w:val="-2"/>
          </w:rPr>
          <w:t>t</w:t>
        </w:r>
        <w:r w:rsidRPr="004B3ED6">
          <w:rPr>
            <w:rFonts w:ascii="Calibri" w:eastAsia="Calibri" w:hAnsi="Calibri" w:cs="Calibri"/>
            <w:spacing w:val="1"/>
          </w:rPr>
          <w:t>m</w:t>
        </w:r>
        <w:r w:rsidRPr="004B3ED6">
          <w:rPr>
            <w:rFonts w:ascii="Calibri" w:eastAsia="Calibri" w:hAnsi="Calibri" w:cs="Calibri"/>
          </w:rPr>
          <w:t>en</w:t>
        </w:r>
        <w:r w:rsidRPr="004B3ED6">
          <w:rPr>
            <w:rFonts w:ascii="Calibri" w:eastAsia="Calibri" w:hAnsi="Calibri" w:cs="Calibri"/>
            <w:spacing w:val="-2"/>
          </w:rPr>
          <w:t>t</w:t>
        </w:r>
        <w:r w:rsidRPr="004B3ED6">
          <w:rPr>
            <w:rFonts w:ascii="Calibri" w:eastAsia="Calibri" w:hAnsi="Calibri" w:cs="Calibri"/>
          </w:rPr>
          <w:t>s</w:t>
        </w:r>
        <w:r w:rsidRPr="004B3ED6">
          <w:rPr>
            <w:rFonts w:ascii="Calibri" w:eastAsia="Calibri" w:hAnsi="Calibri" w:cs="Calibri"/>
            <w:spacing w:val="-2"/>
          </w:rPr>
          <w:t xml:space="preserve"> </w:t>
        </w:r>
        <w:r w:rsidRPr="004B3ED6">
          <w:rPr>
            <w:rFonts w:ascii="Calibri" w:eastAsia="Calibri" w:hAnsi="Calibri" w:cs="Calibri"/>
          </w:rPr>
          <w:t>with Participants</w:t>
        </w:r>
      </w:hyperlink>
    </w:p>
    <w:p w14:paraId="30DFC465" w14:textId="77777777" w:rsidR="00A755EB" w:rsidRPr="004B3ED6" w:rsidRDefault="00A755EB" w:rsidP="00213141">
      <w:pPr>
        <w:keepNext/>
        <w:keepLines/>
        <w:rPr>
          <w:rFonts w:ascii="Calibri" w:eastAsia="Calibri" w:hAnsi="Calibri" w:cs="Calibri"/>
        </w:rPr>
      </w:pPr>
      <w:hyperlink r:id="rId12" w:anchor="088">
        <w:r w:rsidRPr="004B3ED6">
          <w:rPr>
            <w:rFonts w:ascii="Calibri" w:eastAsia="Calibri" w:hAnsi="Calibri" w:cs="Calibri"/>
          </w:rPr>
          <w:t>Clause</w:t>
        </w:r>
        <w:r w:rsidRPr="004B3ED6">
          <w:rPr>
            <w:rFonts w:ascii="Calibri" w:eastAsia="Calibri" w:hAnsi="Calibri" w:cs="Calibri"/>
            <w:spacing w:val="1"/>
          </w:rPr>
          <w:t xml:space="preserve"> </w:t>
        </w:r>
        <w:r w:rsidR="00E752B6">
          <w:rPr>
            <w:rFonts w:ascii="Calibri" w:eastAsia="Calibri" w:hAnsi="Calibri" w:cs="Calibri"/>
            <w:spacing w:val="-2"/>
          </w:rPr>
          <w:t>92</w:t>
        </w:r>
        <w:r w:rsidR="00E752B6" w:rsidRPr="004B3ED6">
          <w:rPr>
            <w:rFonts w:ascii="Calibri" w:eastAsia="Calibri" w:hAnsi="Calibri" w:cs="Calibri"/>
          </w:rPr>
          <w:t xml:space="preserve"> </w:t>
        </w:r>
        <w:r w:rsidRPr="004B3ED6">
          <w:rPr>
            <w:rFonts w:ascii="Calibri" w:eastAsia="Calibri" w:hAnsi="Calibri" w:cs="Calibri"/>
          </w:rPr>
          <w:t>–</w:t>
        </w:r>
        <w:r w:rsidRPr="004B3ED6">
          <w:rPr>
            <w:rFonts w:ascii="Calibri" w:eastAsia="Calibri" w:hAnsi="Calibri" w:cs="Calibri"/>
            <w:spacing w:val="1"/>
          </w:rPr>
          <w:t xml:space="preserve"> </w:t>
        </w:r>
        <w:r w:rsidRPr="004B3ED6">
          <w:rPr>
            <w:rFonts w:ascii="Calibri" w:eastAsia="Calibri" w:hAnsi="Calibri" w:cs="Calibri"/>
          </w:rPr>
          <w:t xml:space="preserve">Initial </w:t>
        </w:r>
        <w:r w:rsidR="00E752B6">
          <w:rPr>
            <w:rFonts w:ascii="Calibri" w:eastAsia="Calibri" w:hAnsi="Calibri" w:cs="Calibri"/>
            <w:spacing w:val="-2"/>
          </w:rPr>
          <w:t>Interview</w:t>
        </w:r>
      </w:hyperlink>
    </w:p>
    <w:p w14:paraId="137E2E96" w14:textId="686730C3" w:rsidR="00A755EB" w:rsidRDefault="00A755EB" w:rsidP="00213141">
      <w:pPr>
        <w:keepNext/>
        <w:keepLines/>
        <w:rPr>
          <w:rFonts w:ascii="Calibri" w:eastAsia="Calibri" w:hAnsi="Calibri" w:cs="Calibri"/>
        </w:rPr>
      </w:pPr>
      <w:hyperlink r:id="rId13" w:anchor="089">
        <w:r w:rsidRPr="004B3ED6">
          <w:rPr>
            <w:rFonts w:ascii="Calibri" w:eastAsia="Calibri" w:hAnsi="Calibri" w:cs="Calibri"/>
          </w:rPr>
          <w:t>Clause</w:t>
        </w:r>
        <w:r w:rsidRPr="004B3ED6">
          <w:rPr>
            <w:rFonts w:ascii="Calibri" w:eastAsia="Calibri" w:hAnsi="Calibri" w:cs="Calibri"/>
            <w:spacing w:val="1"/>
          </w:rPr>
          <w:t xml:space="preserve"> </w:t>
        </w:r>
        <w:r w:rsidR="00E752B6">
          <w:rPr>
            <w:rFonts w:ascii="Calibri" w:eastAsia="Calibri" w:hAnsi="Calibri" w:cs="Calibri"/>
            <w:spacing w:val="-2"/>
          </w:rPr>
          <w:t>93</w:t>
        </w:r>
        <w:r w:rsidR="00E752B6" w:rsidRPr="004B3ED6">
          <w:rPr>
            <w:rFonts w:ascii="Calibri" w:eastAsia="Calibri" w:hAnsi="Calibri" w:cs="Calibri"/>
          </w:rPr>
          <w:t xml:space="preserve"> </w:t>
        </w:r>
        <w:r w:rsidRPr="004B3ED6">
          <w:rPr>
            <w:rFonts w:ascii="Calibri" w:eastAsia="Calibri" w:hAnsi="Calibri" w:cs="Calibri"/>
          </w:rPr>
          <w:t>–</w:t>
        </w:r>
        <w:r w:rsidRPr="004B3ED6">
          <w:rPr>
            <w:rFonts w:ascii="Calibri" w:eastAsia="Calibri" w:hAnsi="Calibri" w:cs="Calibri"/>
            <w:spacing w:val="1"/>
          </w:rPr>
          <w:t xml:space="preserve"> </w:t>
        </w:r>
        <w:r w:rsidRPr="004B3ED6">
          <w:rPr>
            <w:rFonts w:ascii="Calibri" w:eastAsia="Calibri" w:hAnsi="Calibri" w:cs="Calibri"/>
            <w:spacing w:val="-2"/>
          </w:rPr>
          <w:t>C</w:t>
        </w:r>
        <w:r w:rsidRPr="004B3ED6">
          <w:rPr>
            <w:rFonts w:ascii="Calibri" w:eastAsia="Calibri" w:hAnsi="Calibri" w:cs="Calibri"/>
            <w:spacing w:val="1"/>
          </w:rPr>
          <w:t>o</w:t>
        </w:r>
        <w:r w:rsidRPr="004B3ED6">
          <w:rPr>
            <w:rFonts w:ascii="Calibri" w:eastAsia="Calibri" w:hAnsi="Calibri" w:cs="Calibri"/>
          </w:rPr>
          <w:t>ntact</w:t>
        </w:r>
        <w:r w:rsidRPr="004B3ED6">
          <w:rPr>
            <w:rFonts w:ascii="Calibri" w:eastAsia="Calibri" w:hAnsi="Calibri" w:cs="Calibri"/>
            <w:spacing w:val="-2"/>
          </w:rPr>
          <w:t xml:space="preserve"> </w:t>
        </w:r>
        <w:r w:rsidRPr="004B3ED6">
          <w:rPr>
            <w:rFonts w:ascii="Calibri" w:eastAsia="Calibri" w:hAnsi="Calibri" w:cs="Calibri"/>
          </w:rPr>
          <w:t>se</w:t>
        </w:r>
        <w:r w:rsidRPr="004B3ED6">
          <w:rPr>
            <w:rFonts w:ascii="Calibri" w:eastAsia="Calibri" w:hAnsi="Calibri" w:cs="Calibri"/>
            <w:spacing w:val="-3"/>
          </w:rPr>
          <w:t>r</w:t>
        </w:r>
        <w:r w:rsidRPr="004B3ED6">
          <w:rPr>
            <w:rFonts w:ascii="Calibri" w:eastAsia="Calibri" w:hAnsi="Calibri" w:cs="Calibri"/>
            <w:spacing w:val="1"/>
          </w:rPr>
          <w:t>v</w:t>
        </w:r>
        <w:r w:rsidRPr="004B3ED6">
          <w:rPr>
            <w:rFonts w:ascii="Calibri" w:eastAsia="Calibri" w:hAnsi="Calibri" w:cs="Calibri"/>
          </w:rPr>
          <w:t>ic</w:t>
        </w:r>
        <w:r w:rsidRPr="004B3ED6">
          <w:rPr>
            <w:rFonts w:ascii="Calibri" w:eastAsia="Calibri" w:hAnsi="Calibri" w:cs="Calibri"/>
            <w:spacing w:val="-2"/>
          </w:rPr>
          <w:t>e</w:t>
        </w:r>
        <w:r w:rsidRPr="004B3ED6">
          <w:rPr>
            <w:rFonts w:ascii="Calibri" w:eastAsia="Calibri" w:hAnsi="Calibri" w:cs="Calibri"/>
          </w:rPr>
          <w:t>s</w:t>
        </w:r>
      </w:hyperlink>
    </w:p>
    <w:p w14:paraId="59C6A991" w14:textId="7EA6B536" w:rsidR="008A1094" w:rsidRDefault="008A1094" w:rsidP="00213141">
      <w:pPr>
        <w:rPr>
          <w:rFonts w:ascii="Calibri" w:eastAsia="Calibri" w:hAnsi="Calibri" w:cs="Calibri"/>
        </w:rPr>
      </w:pPr>
      <w:r>
        <w:rPr>
          <w:rFonts w:ascii="Calibri" w:eastAsia="Calibri" w:hAnsi="Calibri" w:cs="Calibri"/>
        </w:rPr>
        <w:t xml:space="preserve">Annexure A </w:t>
      </w:r>
      <w:r w:rsidRPr="008A1094">
        <w:rPr>
          <w:rFonts w:ascii="Calibri" w:eastAsia="Calibri" w:hAnsi="Calibri" w:cs="Calibri"/>
        </w:rPr>
        <w:t>–</w:t>
      </w:r>
      <w:r>
        <w:rPr>
          <w:rFonts w:ascii="Calibri" w:eastAsia="Calibri" w:hAnsi="Calibri" w:cs="Calibri"/>
        </w:rPr>
        <w:t xml:space="preserve"> Definitions</w:t>
      </w:r>
    </w:p>
    <w:p w14:paraId="5C82CBA1" w14:textId="77777777" w:rsidR="005C7EAA" w:rsidRDefault="005C7EAA" w:rsidP="00213141">
      <w:pPr>
        <w:rPr>
          <w:rFonts w:ascii="Calibri" w:eastAsia="Calibri" w:hAnsi="Calibri" w:cs="Calibri"/>
        </w:rPr>
      </w:pPr>
    </w:p>
    <w:p w14:paraId="42ED609D" w14:textId="77777777" w:rsidR="00BA4E28" w:rsidRPr="007D6214" w:rsidRDefault="00BA4E28" w:rsidP="00213141">
      <w:pPr>
        <w:spacing w:after="240"/>
      </w:pPr>
      <w:r w:rsidRPr="00213141">
        <w:rPr>
          <w:b/>
        </w:rPr>
        <w:t>Reference documents relevant to this guideline</w:t>
      </w:r>
    </w:p>
    <w:p w14:paraId="27A04AC4" w14:textId="77777777" w:rsidR="00BA4E28" w:rsidRPr="00D96AA3" w:rsidRDefault="00BA4E28" w:rsidP="00BE43FF">
      <w:pPr>
        <w:pStyle w:val="ListParagraph"/>
        <w:numPr>
          <w:ilvl w:val="0"/>
          <w:numId w:val="10"/>
        </w:numPr>
        <w:ind w:left="714" w:hanging="357"/>
      </w:pPr>
      <w:r w:rsidRPr="00D96AA3">
        <w:t>Direct Registration Guidelines</w:t>
      </w:r>
    </w:p>
    <w:p w14:paraId="09FAA4F6" w14:textId="4B3CCDD9" w:rsidR="00BA4E28" w:rsidRDefault="00BA4E28" w:rsidP="00BE43FF">
      <w:pPr>
        <w:pStyle w:val="ListParagraph"/>
        <w:numPr>
          <w:ilvl w:val="0"/>
          <w:numId w:val="10"/>
        </w:numPr>
        <w:ind w:left="714" w:hanging="357"/>
      </w:pPr>
      <w:r w:rsidRPr="00D96AA3">
        <w:t>Job Plan and Setting Mutual Obligation Requirements Guidelines</w:t>
      </w:r>
    </w:p>
    <w:p w14:paraId="76B1CB28" w14:textId="77777777" w:rsidR="004E4B44" w:rsidRPr="00BA4E28" w:rsidRDefault="004E4B44" w:rsidP="00213141"/>
    <w:p w14:paraId="22B37B9B" w14:textId="79ED7E57" w:rsidR="00F63C25" w:rsidRPr="007D6214" w:rsidRDefault="00F63C25" w:rsidP="00213141">
      <w:pPr>
        <w:spacing w:after="240"/>
      </w:pPr>
      <w:bookmarkStart w:id="26" w:name="_Toc358732709"/>
      <w:bookmarkStart w:id="27" w:name="_Toc459216203"/>
      <w:bookmarkStart w:id="28" w:name="_Toc473637597"/>
      <w:bookmarkStart w:id="29" w:name="_Toc496019683"/>
      <w:bookmarkStart w:id="30" w:name="_Toc496019735"/>
      <w:r w:rsidRPr="00213141">
        <w:rPr>
          <w:b/>
        </w:rPr>
        <w:t xml:space="preserve">Explanatory </w:t>
      </w:r>
      <w:r w:rsidR="00CF5420" w:rsidRPr="00213141">
        <w:rPr>
          <w:b/>
        </w:rPr>
        <w:t>n</w:t>
      </w:r>
      <w:r w:rsidRPr="00213141">
        <w:rPr>
          <w:b/>
        </w:rPr>
        <w:t>ote</w:t>
      </w:r>
      <w:bookmarkEnd w:id="26"/>
      <w:bookmarkEnd w:id="27"/>
      <w:bookmarkEnd w:id="28"/>
      <w:r w:rsidR="00CF5420" w:rsidRPr="00213141">
        <w:rPr>
          <w:b/>
        </w:rPr>
        <w:t>s</w:t>
      </w:r>
      <w:bookmarkEnd w:id="29"/>
      <w:bookmarkEnd w:id="30"/>
    </w:p>
    <w:p w14:paraId="5A99B822" w14:textId="77777777" w:rsidR="00F63C25" w:rsidRPr="00EE736C" w:rsidRDefault="00F63C25" w:rsidP="00BE43FF">
      <w:pPr>
        <w:pStyle w:val="ListParagraph"/>
        <w:numPr>
          <w:ilvl w:val="0"/>
          <w:numId w:val="10"/>
        </w:numPr>
        <w:ind w:left="714" w:hanging="357"/>
        <w:rPr>
          <w:lang w:val="en-AU" w:eastAsia="en-AU"/>
        </w:rPr>
      </w:pPr>
      <w:r w:rsidRPr="00EE736C">
        <w:rPr>
          <w:lang w:val="en-AU" w:eastAsia="en-AU"/>
        </w:rPr>
        <w:t>All capitalised terms have the same meaning as in the</w:t>
      </w:r>
      <w:r w:rsidRPr="00EE736C">
        <w:rPr>
          <w:bCs/>
          <w:i/>
          <w:color w:val="000000"/>
          <w:lang w:val="en-AU" w:eastAsia="en-AU"/>
        </w:rPr>
        <w:t xml:space="preserve"> Disa</w:t>
      </w:r>
      <w:r w:rsidR="0045124F">
        <w:rPr>
          <w:bCs/>
          <w:i/>
          <w:color w:val="000000"/>
          <w:lang w:val="en-AU" w:eastAsia="en-AU"/>
        </w:rPr>
        <w:t xml:space="preserve">bility Employment Services </w:t>
      </w:r>
      <w:r w:rsidR="007859E0">
        <w:rPr>
          <w:bCs/>
          <w:i/>
          <w:color w:val="000000"/>
          <w:lang w:val="en-AU" w:eastAsia="en-AU"/>
        </w:rPr>
        <w:t>Grant Agreement</w:t>
      </w:r>
      <w:r w:rsidRPr="00EE736C">
        <w:rPr>
          <w:bCs/>
          <w:i/>
          <w:color w:val="000000"/>
          <w:lang w:val="en-AU" w:eastAsia="en-AU"/>
        </w:rPr>
        <w:t>.</w:t>
      </w:r>
    </w:p>
    <w:p w14:paraId="3A9464A8" w14:textId="779F29AE" w:rsidR="00BA4E28" w:rsidRPr="00BA4E28" w:rsidRDefault="00F63C25" w:rsidP="00BE43FF">
      <w:pPr>
        <w:pStyle w:val="ListParagraph"/>
        <w:numPr>
          <w:ilvl w:val="0"/>
          <w:numId w:val="10"/>
        </w:numPr>
        <w:rPr>
          <w:lang w:val="en-AU" w:eastAsia="en-AU"/>
        </w:rPr>
      </w:pPr>
      <w:r w:rsidRPr="00EE736C">
        <w:rPr>
          <w:lang w:val="en-AU" w:eastAsia="en-AU"/>
        </w:rPr>
        <w:t>In this document, ‘must’ means that compliance is mandatory and ‘should’ means that compliance represents best practice.</w:t>
      </w:r>
    </w:p>
    <w:p w14:paraId="028D05C9" w14:textId="77777777" w:rsidR="00F63C25" w:rsidRDefault="00F63C25" w:rsidP="004B3ED6">
      <w:r>
        <w:br w:type="page"/>
      </w:r>
    </w:p>
    <w:p w14:paraId="7723AD88" w14:textId="6868DA6C" w:rsidR="00A755EB" w:rsidRPr="00213141" w:rsidRDefault="00E74628" w:rsidP="00213141">
      <w:pPr>
        <w:pStyle w:val="Heading2"/>
        <w:spacing w:before="120" w:after="120"/>
        <w:rPr>
          <w:sz w:val="28"/>
          <w:szCs w:val="28"/>
          <w:lang w:val="en-US" w:eastAsia="en-US"/>
        </w:rPr>
      </w:pPr>
      <w:bookmarkStart w:id="31" w:name="_Toc459216204"/>
      <w:bookmarkStart w:id="32" w:name="_Toc473637598"/>
      <w:bookmarkStart w:id="33" w:name="_Toc496019684"/>
      <w:bookmarkStart w:id="34" w:name="_Toc496019736"/>
      <w:bookmarkStart w:id="35" w:name="_Toc176964317"/>
      <w:r w:rsidRPr="00213141">
        <w:rPr>
          <w:color w:val="auto"/>
          <w:sz w:val="28"/>
          <w:szCs w:val="28"/>
        </w:rPr>
        <w:lastRenderedPageBreak/>
        <w:t>Eligibility</w:t>
      </w:r>
      <w:bookmarkEnd w:id="31"/>
      <w:bookmarkEnd w:id="32"/>
      <w:bookmarkEnd w:id="33"/>
      <w:bookmarkEnd w:id="34"/>
      <w:bookmarkEnd w:id="35"/>
    </w:p>
    <w:p w14:paraId="2EC53F7C" w14:textId="058ADD69" w:rsidR="00BE7BD2" w:rsidRPr="00BD528F" w:rsidRDefault="00BE7BD2" w:rsidP="00213141">
      <w:pPr>
        <w:pStyle w:val="Heading4"/>
        <w:spacing w:before="0" w:after="240"/>
      </w:pPr>
      <w:bookmarkStart w:id="36" w:name="_Toc459216205"/>
      <w:bookmarkStart w:id="37" w:name="_Toc473637599"/>
      <w:r w:rsidRPr="00BD528F">
        <w:t>Overview</w:t>
      </w:r>
      <w:bookmarkEnd w:id="36"/>
      <w:bookmarkEnd w:id="37"/>
    </w:p>
    <w:p w14:paraId="1CBE396C" w14:textId="010C5D75" w:rsidR="00AD7C81" w:rsidRDefault="00AD7C81" w:rsidP="00213141">
      <w:pPr>
        <w:rPr>
          <w:lang w:val="en-AU" w:eastAsia="en-AU"/>
        </w:rPr>
      </w:pPr>
      <w:r w:rsidRPr="00073E0C">
        <w:rPr>
          <w:lang w:val="en-AU" w:eastAsia="en-AU"/>
        </w:rPr>
        <w:t>Th</w:t>
      </w:r>
      <w:r>
        <w:rPr>
          <w:lang w:val="en-AU" w:eastAsia="en-AU"/>
        </w:rPr>
        <w:t xml:space="preserve">is section of the </w:t>
      </w:r>
      <w:r w:rsidRPr="009C3E80">
        <w:rPr>
          <w:i/>
          <w:lang w:val="en-AU" w:eastAsia="en-AU"/>
        </w:rPr>
        <w:t>Eligibility, Referral and Commencement Guidelines</w:t>
      </w:r>
      <w:r>
        <w:rPr>
          <w:lang w:val="en-AU" w:eastAsia="en-AU"/>
        </w:rPr>
        <w:t xml:space="preserve"> provides an </w:t>
      </w:r>
      <w:r w:rsidRPr="00073E0C">
        <w:rPr>
          <w:lang w:val="en-AU" w:eastAsia="en-AU"/>
        </w:rPr>
        <w:t>overview of eligibility criteria for DES</w:t>
      </w:r>
      <w:r>
        <w:rPr>
          <w:lang w:val="en-AU" w:eastAsia="en-AU"/>
        </w:rPr>
        <w:t>.</w:t>
      </w:r>
      <w:r w:rsidRPr="00073E0C">
        <w:rPr>
          <w:lang w:val="en-AU" w:eastAsia="en-AU"/>
        </w:rPr>
        <w:t xml:space="preserve"> It explains general eligibility criteria, as well as eligibility criteria for specific job seeker groups. It also outlines the role of the Employment Services Assessment (ESAt) or Job Capacity Assessment (JCA) in determining job seeker eligibility and provides eligibility criteria for ESAt/JCA exempt groups.</w:t>
      </w:r>
    </w:p>
    <w:p w14:paraId="443D7DC8" w14:textId="56D39094" w:rsidR="009D1F3B" w:rsidRDefault="009D1F3B" w:rsidP="00213141">
      <w:pPr>
        <w:rPr>
          <w:lang w:val="en-AU" w:eastAsia="en-AU"/>
        </w:rPr>
      </w:pPr>
    </w:p>
    <w:p w14:paraId="0D5E4FAA" w14:textId="685D76F4" w:rsidR="009D1F3B" w:rsidRDefault="009D1F3B" w:rsidP="00213141">
      <w:pPr>
        <w:rPr>
          <w:lang w:val="en-AU" w:eastAsia="en-AU"/>
        </w:rPr>
      </w:pPr>
      <w:r>
        <w:rPr>
          <w:lang w:val="en-AU" w:eastAsia="en-AU"/>
        </w:rPr>
        <w:t xml:space="preserve">Providers must confirm a job seeker’s </w:t>
      </w:r>
      <w:r w:rsidRPr="009D1F3B">
        <w:rPr>
          <w:lang w:val="en-AU" w:eastAsia="en-AU"/>
        </w:rPr>
        <w:t xml:space="preserve">eligibility for DES Program Services before Commencement, regardless of how the job seeker presents at the </w:t>
      </w:r>
      <w:r w:rsidR="00592821">
        <w:rPr>
          <w:lang w:val="en-AU" w:eastAsia="en-AU"/>
        </w:rPr>
        <w:t>p</w:t>
      </w:r>
      <w:r w:rsidRPr="009D1F3B">
        <w:rPr>
          <w:lang w:val="en-AU" w:eastAsia="en-AU"/>
        </w:rPr>
        <w:t>rovider’</w:t>
      </w:r>
      <w:r>
        <w:rPr>
          <w:lang w:val="en-AU" w:eastAsia="en-AU"/>
        </w:rPr>
        <w:t>s site.</w:t>
      </w:r>
    </w:p>
    <w:p w14:paraId="48E08B05" w14:textId="163B5A84" w:rsidR="000A4141" w:rsidRDefault="000A4141" w:rsidP="00213141">
      <w:pPr>
        <w:rPr>
          <w:lang w:val="en-AU" w:eastAsia="en-AU"/>
        </w:rPr>
      </w:pPr>
    </w:p>
    <w:p w14:paraId="7E0C300C" w14:textId="1554149F" w:rsidR="000A4141" w:rsidRDefault="000A4141" w:rsidP="00213141">
      <w:pPr>
        <w:rPr>
          <w:lang w:val="en-AU" w:eastAsia="en-AU"/>
        </w:rPr>
      </w:pPr>
      <w:r w:rsidRPr="008764C0">
        <w:rPr>
          <w:b/>
          <w:lang w:val="en-AU" w:eastAsia="en-AU"/>
        </w:rPr>
        <w:t>Note</w:t>
      </w:r>
      <w:r>
        <w:rPr>
          <w:lang w:val="en-AU" w:eastAsia="en-AU"/>
        </w:rPr>
        <w:t xml:space="preserve">: From 1 January 2022, </w:t>
      </w:r>
      <w:r w:rsidR="000437A8">
        <w:rPr>
          <w:lang w:val="en-AU" w:eastAsia="en-AU"/>
        </w:rPr>
        <w:t>Services Australia may offer some job seekers who are eligible for DES the option to undertake up to twelve months of online services,</w:t>
      </w:r>
      <w:r>
        <w:rPr>
          <w:lang w:val="en-AU" w:eastAsia="en-AU"/>
        </w:rPr>
        <w:t xml:space="preserve"> before commencing their DES service.</w:t>
      </w:r>
    </w:p>
    <w:p w14:paraId="1F222441" w14:textId="77777777" w:rsidR="00E9679E" w:rsidRDefault="00E9679E" w:rsidP="00213141">
      <w:pPr>
        <w:rPr>
          <w:lang w:val="en-AU" w:eastAsia="en-AU"/>
        </w:rPr>
      </w:pPr>
    </w:p>
    <w:p w14:paraId="0454314F" w14:textId="77777777" w:rsidR="002D5DD9" w:rsidRPr="00B53427" w:rsidRDefault="002D5DD9" w:rsidP="00213141">
      <w:pPr>
        <w:pStyle w:val="Heading4"/>
        <w:spacing w:before="0" w:after="0"/>
        <w:rPr>
          <w:u w:val="single"/>
        </w:rPr>
      </w:pPr>
      <w:r w:rsidRPr="00B53427">
        <w:rPr>
          <w:b w:val="0"/>
          <w:sz w:val="22"/>
          <w:u w:val="single"/>
        </w:rPr>
        <w:t>Eligibility for DES</w:t>
      </w:r>
    </w:p>
    <w:p w14:paraId="1BA1FF61" w14:textId="2D78B972" w:rsidR="000B4363" w:rsidRDefault="009D1F3B" w:rsidP="00213141">
      <w:pPr>
        <w:rPr>
          <w:lang w:val="en-AU" w:eastAsia="en-AU"/>
        </w:rPr>
      </w:pPr>
      <w:r>
        <w:rPr>
          <w:lang w:val="en-AU" w:eastAsia="en-AU"/>
        </w:rPr>
        <w:t>DES e</w:t>
      </w:r>
      <w:r w:rsidR="004E4B44">
        <w:rPr>
          <w:lang w:val="en-AU" w:eastAsia="en-AU"/>
        </w:rPr>
        <w:t xml:space="preserve">ligibility requirements apply </w:t>
      </w:r>
      <w:r w:rsidR="000B4363">
        <w:rPr>
          <w:lang w:val="en-AU" w:eastAsia="en-AU"/>
        </w:rPr>
        <w:t xml:space="preserve">at the time </w:t>
      </w:r>
      <w:r w:rsidR="004E4B44">
        <w:rPr>
          <w:lang w:val="en-AU" w:eastAsia="en-AU"/>
        </w:rPr>
        <w:t xml:space="preserve">of a job seeker’s </w:t>
      </w:r>
      <w:r w:rsidR="00583808">
        <w:rPr>
          <w:lang w:val="en-AU" w:eastAsia="en-AU"/>
        </w:rPr>
        <w:t>R</w:t>
      </w:r>
      <w:r w:rsidR="000B4363">
        <w:rPr>
          <w:lang w:val="en-AU" w:eastAsia="en-AU"/>
        </w:rPr>
        <w:t xml:space="preserve">eferral </w:t>
      </w:r>
      <w:r w:rsidR="002F6EFF">
        <w:rPr>
          <w:lang w:val="en-AU" w:eastAsia="en-AU"/>
        </w:rPr>
        <w:t xml:space="preserve">and must be checked by the </w:t>
      </w:r>
      <w:r w:rsidR="008E3734">
        <w:rPr>
          <w:lang w:val="en-AU" w:eastAsia="en-AU"/>
        </w:rPr>
        <w:t>provider</w:t>
      </w:r>
      <w:r w:rsidR="002F6EFF">
        <w:rPr>
          <w:lang w:val="en-AU" w:eastAsia="en-AU"/>
        </w:rPr>
        <w:t xml:space="preserve"> before the job seeker is </w:t>
      </w:r>
      <w:r w:rsidR="00583808">
        <w:rPr>
          <w:lang w:val="en-AU" w:eastAsia="en-AU"/>
        </w:rPr>
        <w:t>C</w:t>
      </w:r>
      <w:r w:rsidR="002F6EFF">
        <w:rPr>
          <w:lang w:val="en-AU" w:eastAsia="en-AU"/>
        </w:rPr>
        <w:t>om</w:t>
      </w:r>
      <w:r w:rsidR="000B4363">
        <w:rPr>
          <w:lang w:val="en-AU" w:eastAsia="en-AU"/>
        </w:rPr>
        <w:t>mence</w:t>
      </w:r>
      <w:r w:rsidR="002F6EFF">
        <w:rPr>
          <w:lang w:val="en-AU" w:eastAsia="en-AU"/>
        </w:rPr>
        <w:t xml:space="preserve">d </w:t>
      </w:r>
      <w:r w:rsidR="000B4363">
        <w:rPr>
          <w:lang w:val="en-AU" w:eastAsia="en-AU"/>
        </w:rPr>
        <w:t xml:space="preserve">in </w:t>
      </w:r>
      <w:r w:rsidR="002F6EFF">
        <w:rPr>
          <w:lang w:val="en-AU" w:eastAsia="en-AU"/>
        </w:rPr>
        <w:t>the program</w:t>
      </w:r>
      <w:r w:rsidR="000B4363">
        <w:rPr>
          <w:lang w:val="en-AU" w:eastAsia="en-AU"/>
        </w:rPr>
        <w:t xml:space="preserve">. </w:t>
      </w:r>
      <w:r w:rsidR="004E4B44">
        <w:rPr>
          <w:lang w:val="en-AU" w:eastAsia="en-AU"/>
        </w:rPr>
        <w:t xml:space="preserve">Once a </w:t>
      </w:r>
      <w:r w:rsidR="002F6EFF">
        <w:rPr>
          <w:lang w:val="en-AU" w:eastAsia="en-AU"/>
        </w:rPr>
        <w:t>job seeker</w:t>
      </w:r>
      <w:r w:rsidR="004E4B44">
        <w:rPr>
          <w:lang w:val="en-AU" w:eastAsia="en-AU"/>
        </w:rPr>
        <w:t xml:space="preserve"> </w:t>
      </w:r>
      <w:r w:rsidR="002D0778">
        <w:rPr>
          <w:lang w:val="en-AU" w:eastAsia="en-AU"/>
        </w:rPr>
        <w:t xml:space="preserve">has </w:t>
      </w:r>
      <w:r w:rsidR="00583808">
        <w:rPr>
          <w:lang w:val="en-AU" w:eastAsia="en-AU"/>
        </w:rPr>
        <w:t>C</w:t>
      </w:r>
      <w:r w:rsidR="002D0778">
        <w:rPr>
          <w:lang w:val="en-AU" w:eastAsia="en-AU"/>
        </w:rPr>
        <w:t>ommenced a</w:t>
      </w:r>
      <w:r w:rsidR="004E4B44">
        <w:rPr>
          <w:lang w:val="en-AU" w:eastAsia="en-AU"/>
        </w:rPr>
        <w:t>s a</w:t>
      </w:r>
      <w:r w:rsidR="000B4363">
        <w:rPr>
          <w:lang w:val="en-AU" w:eastAsia="en-AU"/>
        </w:rPr>
        <w:t xml:space="preserve"> </w:t>
      </w:r>
      <w:r w:rsidR="004E4B44">
        <w:rPr>
          <w:lang w:val="en-AU" w:eastAsia="en-AU"/>
        </w:rPr>
        <w:t xml:space="preserve">DES </w:t>
      </w:r>
      <w:r w:rsidR="008C37C4">
        <w:rPr>
          <w:lang w:val="en-AU" w:eastAsia="en-AU"/>
        </w:rPr>
        <w:t>participant</w:t>
      </w:r>
      <w:r w:rsidR="004E4B44">
        <w:rPr>
          <w:lang w:val="en-AU" w:eastAsia="en-AU"/>
        </w:rPr>
        <w:t xml:space="preserve">, </w:t>
      </w:r>
      <w:r w:rsidR="002F6EFF">
        <w:rPr>
          <w:lang w:val="en-AU" w:eastAsia="en-AU"/>
        </w:rPr>
        <w:t xml:space="preserve">their </w:t>
      </w:r>
      <w:r w:rsidR="000B4363">
        <w:rPr>
          <w:lang w:val="en-AU" w:eastAsia="en-AU"/>
        </w:rPr>
        <w:t xml:space="preserve">eligibility is not tested and </w:t>
      </w:r>
      <w:r w:rsidR="002F6EFF">
        <w:rPr>
          <w:lang w:val="en-AU" w:eastAsia="en-AU"/>
        </w:rPr>
        <w:t xml:space="preserve">in most instances </w:t>
      </w:r>
      <w:r w:rsidR="008C37C4">
        <w:rPr>
          <w:lang w:val="en-AU" w:eastAsia="en-AU"/>
        </w:rPr>
        <w:t>participant</w:t>
      </w:r>
      <w:r w:rsidR="002D0778">
        <w:rPr>
          <w:lang w:val="en-AU" w:eastAsia="en-AU"/>
        </w:rPr>
        <w:t>s who</w:t>
      </w:r>
      <w:r w:rsidR="000B4363">
        <w:rPr>
          <w:lang w:val="en-AU" w:eastAsia="en-AU"/>
        </w:rPr>
        <w:t xml:space="preserve"> </w:t>
      </w:r>
      <w:r w:rsidR="004E4B44">
        <w:rPr>
          <w:lang w:val="en-AU" w:eastAsia="en-AU"/>
        </w:rPr>
        <w:t>cease to</w:t>
      </w:r>
      <w:r w:rsidR="000B4363">
        <w:rPr>
          <w:lang w:val="en-AU" w:eastAsia="en-AU"/>
        </w:rPr>
        <w:t xml:space="preserve"> meet eligibility requirements</w:t>
      </w:r>
      <w:r w:rsidR="002D0778">
        <w:rPr>
          <w:lang w:val="en-AU" w:eastAsia="en-AU"/>
        </w:rPr>
        <w:t xml:space="preserve"> are not exited</w:t>
      </w:r>
      <w:r w:rsidR="002D5DD9">
        <w:rPr>
          <w:lang w:val="en-AU" w:eastAsia="en-AU"/>
        </w:rPr>
        <w:t xml:space="preserve"> </w:t>
      </w:r>
      <w:r w:rsidR="002F6EFF">
        <w:rPr>
          <w:lang w:val="en-AU" w:eastAsia="en-AU"/>
        </w:rPr>
        <w:t>from DES</w:t>
      </w:r>
      <w:r w:rsidR="000B4363">
        <w:rPr>
          <w:lang w:val="en-AU" w:eastAsia="en-AU"/>
        </w:rPr>
        <w:t xml:space="preserve">. A </w:t>
      </w:r>
      <w:r w:rsidR="00583808">
        <w:rPr>
          <w:lang w:val="en-AU" w:eastAsia="en-AU"/>
        </w:rPr>
        <w:t>C</w:t>
      </w:r>
      <w:r w:rsidR="002F6EFF">
        <w:rPr>
          <w:lang w:val="en-AU" w:eastAsia="en-AU"/>
        </w:rPr>
        <w:t xml:space="preserve">ommenced </w:t>
      </w:r>
      <w:r w:rsidR="008C37C4">
        <w:rPr>
          <w:lang w:val="en-AU" w:eastAsia="en-AU"/>
        </w:rPr>
        <w:t>participant</w:t>
      </w:r>
      <w:r w:rsidR="000B4363">
        <w:rPr>
          <w:lang w:val="en-AU" w:eastAsia="en-AU"/>
        </w:rPr>
        <w:t xml:space="preserve"> </w:t>
      </w:r>
      <w:r w:rsidR="002F6EFF">
        <w:rPr>
          <w:lang w:val="en-AU" w:eastAsia="en-AU"/>
        </w:rPr>
        <w:t xml:space="preserve">can </w:t>
      </w:r>
      <w:r w:rsidR="000B4363">
        <w:rPr>
          <w:lang w:val="en-AU" w:eastAsia="en-AU"/>
        </w:rPr>
        <w:t xml:space="preserve">usually </w:t>
      </w:r>
      <w:r w:rsidR="002F6EFF">
        <w:rPr>
          <w:lang w:val="en-AU" w:eastAsia="en-AU"/>
        </w:rPr>
        <w:t xml:space="preserve">receive DES services </w:t>
      </w:r>
      <w:r w:rsidR="000B4363">
        <w:rPr>
          <w:lang w:val="en-AU" w:eastAsia="en-AU"/>
        </w:rPr>
        <w:t>for the duration of their current Period of Service</w:t>
      </w:r>
      <w:r w:rsidR="004E4B44">
        <w:rPr>
          <w:lang w:val="en-AU" w:eastAsia="en-AU"/>
        </w:rPr>
        <w:t xml:space="preserve"> (see the </w:t>
      </w:r>
      <w:r w:rsidR="002D0778" w:rsidRPr="00B53427">
        <w:rPr>
          <w:i/>
          <w:lang w:val="en-AU" w:eastAsia="en-AU"/>
        </w:rPr>
        <w:t xml:space="preserve">DES </w:t>
      </w:r>
      <w:r w:rsidR="004E4B44" w:rsidRPr="00B53427">
        <w:rPr>
          <w:i/>
          <w:lang w:val="en-AU" w:eastAsia="en-AU"/>
        </w:rPr>
        <w:t>Period of Service Guidelines</w:t>
      </w:r>
      <w:r w:rsidR="004E4B44">
        <w:rPr>
          <w:lang w:val="en-AU" w:eastAsia="en-AU"/>
        </w:rPr>
        <w:t>)</w:t>
      </w:r>
      <w:r w:rsidR="000B4363">
        <w:rPr>
          <w:lang w:val="en-AU" w:eastAsia="en-AU"/>
        </w:rPr>
        <w:t>.</w:t>
      </w:r>
    </w:p>
    <w:p w14:paraId="66B25B89" w14:textId="77777777" w:rsidR="00E9679E" w:rsidRDefault="00E9679E" w:rsidP="00213141">
      <w:pPr>
        <w:rPr>
          <w:lang w:val="en-AU" w:eastAsia="en-AU"/>
        </w:rPr>
      </w:pPr>
    </w:p>
    <w:p w14:paraId="091C9717" w14:textId="2CAA01D1" w:rsidR="002D0778" w:rsidRDefault="002D0778" w:rsidP="00213141">
      <w:pPr>
        <w:rPr>
          <w:lang w:val="en-AU" w:eastAsia="en-AU"/>
        </w:rPr>
      </w:pPr>
      <w:r w:rsidRPr="00B53427">
        <w:rPr>
          <w:b/>
          <w:lang w:val="en-AU" w:eastAsia="en-AU"/>
        </w:rPr>
        <w:t>Note</w:t>
      </w:r>
      <w:r>
        <w:rPr>
          <w:lang w:val="en-AU" w:eastAsia="en-AU"/>
        </w:rPr>
        <w:t xml:space="preserve">: </w:t>
      </w:r>
      <w:r w:rsidR="002F6EFF">
        <w:rPr>
          <w:lang w:val="en-AU" w:eastAsia="en-AU"/>
        </w:rPr>
        <w:t xml:space="preserve">Providers should not exit, or refer for a new ESAt, a </w:t>
      </w:r>
      <w:r w:rsidR="00583808">
        <w:rPr>
          <w:lang w:val="en-AU" w:eastAsia="en-AU"/>
        </w:rPr>
        <w:t>C</w:t>
      </w:r>
      <w:r w:rsidR="002F6EFF">
        <w:rPr>
          <w:lang w:val="en-AU" w:eastAsia="en-AU"/>
        </w:rPr>
        <w:t xml:space="preserve">ommenced </w:t>
      </w:r>
      <w:r w:rsidR="008C37C4">
        <w:rPr>
          <w:lang w:val="en-AU" w:eastAsia="en-AU"/>
        </w:rPr>
        <w:t>participant</w:t>
      </w:r>
      <w:r w:rsidR="002F6EFF">
        <w:rPr>
          <w:lang w:val="en-AU" w:eastAsia="en-AU"/>
        </w:rPr>
        <w:t xml:space="preserve"> </w:t>
      </w:r>
      <w:r w:rsidR="00FC0295">
        <w:rPr>
          <w:lang w:val="en-AU" w:eastAsia="en-AU"/>
        </w:rPr>
        <w:t>because they are</w:t>
      </w:r>
      <w:r w:rsidR="002F6EFF">
        <w:rPr>
          <w:lang w:val="en-AU" w:eastAsia="en-AU"/>
        </w:rPr>
        <w:t xml:space="preserve"> listed </w:t>
      </w:r>
      <w:r w:rsidR="00FC0295">
        <w:rPr>
          <w:lang w:val="en-AU" w:eastAsia="en-AU"/>
        </w:rPr>
        <w:t xml:space="preserve">on the Department’s IT Systems </w:t>
      </w:r>
      <w:r w:rsidR="002F6EFF">
        <w:rPr>
          <w:lang w:val="en-AU" w:eastAsia="en-AU"/>
        </w:rPr>
        <w:t xml:space="preserve">as ineligible for DES. </w:t>
      </w:r>
      <w:r w:rsidR="00FC0295">
        <w:rPr>
          <w:lang w:val="en-AU" w:eastAsia="en-AU"/>
        </w:rPr>
        <w:t xml:space="preserve">Changing circumstances may result in a </w:t>
      </w:r>
      <w:r w:rsidR="008C37C4">
        <w:rPr>
          <w:lang w:val="en-AU" w:eastAsia="en-AU"/>
        </w:rPr>
        <w:t>participant</w:t>
      </w:r>
      <w:r w:rsidR="00FC0295">
        <w:rPr>
          <w:lang w:val="en-AU" w:eastAsia="en-AU"/>
        </w:rPr>
        <w:t xml:space="preserve"> becoming ineligible for a new DES referral</w:t>
      </w:r>
      <w:r w:rsidR="00CA4DCA" w:rsidRPr="00CA4DCA">
        <w:rPr>
          <w:lang w:val="en-AU" w:eastAsia="en-AU"/>
        </w:rPr>
        <w:t xml:space="preserve"> </w:t>
      </w:r>
      <w:r w:rsidR="00CA4DCA">
        <w:rPr>
          <w:lang w:val="en-AU" w:eastAsia="en-AU"/>
        </w:rPr>
        <w:t>after commencing their DES program</w:t>
      </w:r>
      <w:r w:rsidR="00FC0295">
        <w:rPr>
          <w:lang w:val="en-AU" w:eastAsia="en-AU"/>
        </w:rPr>
        <w:t>, but this does not make them ineligible to continue receiving support in their current DES Period of Service</w:t>
      </w:r>
      <w:r>
        <w:rPr>
          <w:lang w:val="en-AU" w:eastAsia="en-AU"/>
        </w:rPr>
        <w:t xml:space="preserve">. </w:t>
      </w:r>
    </w:p>
    <w:p w14:paraId="74B84811" w14:textId="46435DFA" w:rsidR="00E9679E" w:rsidRDefault="00E9679E" w:rsidP="00213141">
      <w:bookmarkStart w:id="38" w:name="_Toc459215439"/>
      <w:bookmarkStart w:id="39" w:name="_Toc459216206"/>
    </w:p>
    <w:p w14:paraId="552A41B5" w14:textId="44191AC3" w:rsidR="00AD7C81" w:rsidRPr="00B53427" w:rsidRDefault="00AD7C81" w:rsidP="00213141">
      <w:pPr>
        <w:pStyle w:val="Heading4"/>
        <w:spacing w:before="0" w:after="0"/>
        <w:rPr>
          <w:b w:val="0"/>
          <w:sz w:val="22"/>
          <w:u w:val="single"/>
        </w:rPr>
      </w:pPr>
      <w:r w:rsidRPr="00B53427">
        <w:rPr>
          <w:b w:val="0"/>
          <w:sz w:val="22"/>
          <w:u w:val="single"/>
        </w:rPr>
        <w:t>Role of the ESAt/JCA in determining eligibility</w:t>
      </w:r>
      <w:bookmarkEnd w:id="38"/>
      <w:bookmarkEnd w:id="39"/>
    </w:p>
    <w:p w14:paraId="5465D0A8" w14:textId="0F19ED5C" w:rsidR="00C405F5" w:rsidRDefault="00261C68" w:rsidP="00213141">
      <w:pPr>
        <w:rPr>
          <w:lang w:val="en-AU" w:eastAsia="en-AU"/>
        </w:rPr>
      </w:pPr>
      <w:r>
        <w:rPr>
          <w:lang w:val="en-AU" w:eastAsia="en-AU"/>
        </w:rPr>
        <w:t>U</w:t>
      </w:r>
      <w:r w:rsidR="00D453C9">
        <w:rPr>
          <w:lang w:val="en-AU" w:eastAsia="en-AU"/>
        </w:rPr>
        <w:t>nless exempt (see below)</w:t>
      </w:r>
      <w:r w:rsidR="00AD7C81">
        <w:rPr>
          <w:lang w:val="en-AU" w:eastAsia="en-AU"/>
        </w:rPr>
        <w:t xml:space="preserve">, a job seeker </w:t>
      </w:r>
      <w:r w:rsidR="00D453C9">
        <w:rPr>
          <w:lang w:val="en-AU" w:eastAsia="en-AU"/>
        </w:rPr>
        <w:t xml:space="preserve">must have a Valid </w:t>
      </w:r>
      <w:r w:rsidR="00AD7C81">
        <w:rPr>
          <w:lang w:val="en-AU" w:eastAsia="en-AU"/>
        </w:rPr>
        <w:t>ESAt or JCA</w:t>
      </w:r>
      <w:r w:rsidR="00D453C9">
        <w:rPr>
          <w:lang w:val="en-AU" w:eastAsia="en-AU"/>
        </w:rPr>
        <w:t xml:space="preserve"> recommending DES</w:t>
      </w:r>
      <w:r w:rsidR="00CA4DCA">
        <w:rPr>
          <w:lang w:val="en-AU" w:eastAsia="en-AU"/>
        </w:rPr>
        <w:t xml:space="preserve"> before they can be </w:t>
      </w:r>
      <w:r w:rsidR="00583808">
        <w:rPr>
          <w:lang w:val="en-AU" w:eastAsia="en-AU"/>
        </w:rPr>
        <w:t>C</w:t>
      </w:r>
      <w:r w:rsidR="00CA4DCA">
        <w:rPr>
          <w:lang w:val="en-AU" w:eastAsia="en-AU"/>
        </w:rPr>
        <w:t>ommenced in the program</w:t>
      </w:r>
      <w:r w:rsidR="00AD7C81" w:rsidRPr="00733697">
        <w:rPr>
          <w:lang w:val="en-AU" w:eastAsia="en-AU"/>
        </w:rPr>
        <w:t xml:space="preserve">. </w:t>
      </w:r>
      <w:r w:rsidR="00AD7C81" w:rsidRPr="00B53BFD">
        <w:rPr>
          <w:lang w:val="en-AU" w:eastAsia="en-AU"/>
        </w:rPr>
        <w:t>An</w:t>
      </w:r>
      <w:r w:rsidR="00AD7C81">
        <w:rPr>
          <w:lang w:val="en-AU" w:eastAsia="en-AU"/>
        </w:rPr>
        <w:t xml:space="preserve"> ESAt </w:t>
      </w:r>
      <w:r w:rsidR="00AD7C81" w:rsidRPr="00B53BFD">
        <w:rPr>
          <w:lang w:val="en-AU" w:eastAsia="en-AU"/>
        </w:rPr>
        <w:t>is an assessmen</w:t>
      </w:r>
      <w:r w:rsidR="00AD7C81">
        <w:rPr>
          <w:lang w:val="en-AU" w:eastAsia="en-AU"/>
        </w:rPr>
        <w:t xml:space="preserve">t </w:t>
      </w:r>
      <w:r w:rsidR="005A5EEE">
        <w:rPr>
          <w:lang w:val="en-AU" w:eastAsia="en-AU"/>
        </w:rPr>
        <w:t xml:space="preserve">conducted by Services Australia </w:t>
      </w:r>
      <w:r w:rsidR="00AD7C81">
        <w:rPr>
          <w:lang w:val="en-AU" w:eastAsia="en-AU"/>
        </w:rPr>
        <w:t>to</w:t>
      </w:r>
      <w:r w:rsidR="005A5EEE">
        <w:rPr>
          <w:lang w:val="en-AU" w:eastAsia="en-AU"/>
        </w:rPr>
        <w:t xml:space="preserve">: </w:t>
      </w:r>
    </w:p>
    <w:p w14:paraId="7B3E02B6" w14:textId="77777777" w:rsidR="00C405F5" w:rsidRDefault="005A5EEE" w:rsidP="00BE43FF">
      <w:pPr>
        <w:pStyle w:val="ListParagraph"/>
        <w:numPr>
          <w:ilvl w:val="0"/>
          <w:numId w:val="29"/>
        </w:numPr>
        <w:rPr>
          <w:lang w:val="en-AU" w:eastAsia="en-AU"/>
        </w:rPr>
      </w:pPr>
      <w:r w:rsidRPr="00CB042A">
        <w:rPr>
          <w:lang w:val="en-AU" w:eastAsia="en-AU"/>
        </w:rPr>
        <w:t xml:space="preserve">confirm a person’s disability, injury or health </w:t>
      </w:r>
      <w:proofErr w:type="gramStart"/>
      <w:r w:rsidRPr="00CB042A">
        <w:rPr>
          <w:lang w:val="en-AU" w:eastAsia="en-AU"/>
        </w:rPr>
        <w:t>condition;</w:t>
      </w:r>
      <w:proofErr w:type="gramEnd"/>
      <w:r w:rsidR="00AD7C81" w:rsidRPr="00CB042A">
        <w:rPr>
          <w:lang w:val="en-AU" w:eastAsia="en-AU"/>
        </w:rPr>
        <w:t xml:space="preserve"> </w:t>
      </w:r>
    </w:p>
    <w:p w14:paraId="0EEE71BD" w14:textId="77777777" w:rsidR="00C405F5" w:rsidRDefault="00AD7C81" w:rsidP="00BE43FF">
      <w:pPr>
        <w:pStyle w:val="ListParagraph"/>
        <w:numPr>
          <w:ilvl w:val="0"/>
          <w:numId w:val="29"/>
        </w:numPr>
        <w:rPr>
          <w:lang w:val="en-AU" w:eastAsia="en-AU"/>
        </w:rPr>
      </w:pPr>
      <w:r w:rsidRPr="00CB042A">
        <w:rPr>
          <w:lang w:val="en-AU" w:eastAsia="en-AU"/>
        </w:rPr>
        <w:t xml:space="preserve">identify a person’s vocational and non-vocational barriers to finding and maintaining employment, </w:t>
      </w:r>
      <w:r w:rsidR="005A5EEE" w:rsidRPr="00CB042A">
        <w:rPr>
          <w:lang w:val="en-AU" w:eastAsia="en-AU"/>
        </w:rPr>
        <w:t xml:space="preserve">and relevant interventions to overcome these </w:t>
      </w:r>
      <w:proofErr w:type="gramStart"/>
      <w:r w:rsidR="005A5EEE" w:rsidRPr="00CB042A">
        <w:rPr>
          <w:lang w:val="en-AU" w:eastAsia="en-AU"/>
        </w:rPr>
        <w:t>barriers;</w:t>
      </w:r>
      <w:proofErr w:type="gramEnd"/>
      <w:r w:rsidR="005A5EEE" w:rsidRPr="00CB042A">
        <w:rPr>
          <w:lang w:val="en-AU" w:eastAsia="en-AU"/>
        </w:rPr>
        <w:t xml:space="preserve"> </w:t>
      </w:r>
    </w:p>
    <w:p w14:paraId="529D46CE" w14:textId="77777777" w:rsidR="00D51744" w:rsidRDefault="00C405F5" w:rsidP="00BE43FF">
      <w:pPr>
        <w:pStyle w:val="ListParagraph"/>
        <w:numPr>
          <w:ilvl w:val="0"/>
          <w:numId w:val="29"/>
        </w:numPr>
        <w:rPr>
          <w:lang w:val="en-AU" w:eastAsia="en-AU"/>
        </w:rPr>
      </w:pPr>
      <w:r>
        <w:rPr>
          <w:lang w:val="en-AU" w:eastAsia="en-AU"/>
        </w:rPr>
        <w:t>determine the person’s</w:t>
      </w:r>
      <w:r w:rsidR="00AD7C81" w:rsidRPr="00CB042A">
        <w:rPr>
          <w:lang w:val="en-AU" w:eastAsia="en-AU"/>
        </w:rPr>
        <w:t xml:space="preserve"> work capacity and ongoing support </w:t>
      </w:r>
      <w:proofErr w:type="gramStart"/>
      <w:r w:rsidR="00AD7C81" w:rsidRPr="00CB042A">
        <w:rPr>
          <w:lang w:val="en-AU" w:eastAsia="en-AU"/>
        </w:rPr>
        <w:t>needs</w:t>
      </w:r>
      <w:r>
        <w:rPr>
          <w:lang w:val="en-AU" w:eastAsia="en-AU"/>
        </w:rPr>
        <w:t>;</w:t>
      </w:r>
      <w:proofErr w:type="gramEnd"/>
      <w:r>
        <w:rPr>
          <w:lang w:val="en-AU" w:eastAsia="en-AU"/>
        </w:rPr>
        <w:t xml:space="preserve"> </w:t>
      </w:r>
    </w:p>
    <w:p w14:paraId="65FB9117" w14:textId="71D3E396" w:rsidR="00C405F5" w:rsidRDefault="00D51744" w:rsidP="00BE43FF">
      <w:pPr>
        <w:pStyle w:val="ListParagraph"/>
        <w:numPr>
          <w:ilvl w:val="0"/>
          <w:numId w:val="29"/>
        </w:numPr>
        <w:rPr>
          <w:lang w:val="en-AU" w:eastAsia="en-AU"/>
        </w:rPr>
      </w:pPr>
      <w:r>
        <w:rPr>
          <w:lang w:val="en-AU" w:eastAsia="en-AU"/>
        </w:rPr>
        <w:t xml:space="preserve">make a </w:t>
      </w:r>
      <w:r w:rsidR="00237D58">
        <w:rPr>
          <w:lang w:val="en-AU" w:eastAsia="en-AU"/>
        </w:rPr>
        <w:t>r</w:t>
      </w:r>
      <w:r>
        <w:rPr>
          <w:lang w:val="en-AU" w:eastAsia="en-AU"/>
        </w:rPr>
        <w:t xml:space="preserve">ecommendation to an appropriate service; </w:t>
      </w:r>
      <w:r w:rsidR="00C405F5">
        <w:rPr>
          <w:lang w:val="en-AU" w:eastAsia="en-AU"/>
        </w:rPr>
        <w:t>and</w:t>
      </w:r>
    </w:p>
    <w:p w14:paraId="422543AE" w14:textId="1F82F2BE" w:rsidR="00C405F5" w:rsidRDefault="00D51744" w:rsidP="00BE43FF">
      <w:pPr>
        <w:pStyle w:val="ListParagraph"/>
        <w:numPr>
          <w:ilvl w:val="0"/>
          <w:numId w:val="29"/>
        </w:numPr>
        <w:rPr>
          <w:lang w:val="en-AU" w:eastAsia="en-AU"/>
        </w:rPr>
      </w:pPr>
      <w:r>
        <w:rPr>
          <w:lang w:val="en-AU" w:eastAsia="en-AU"/>
        </w:rPr>
        <w:t>make a R</w:t>
      </w:r>
      <w:r w:rsidR="00C405F5">
        <w:rPr>
          <w:lang w:val="en-AU" w:eastAsia="en-AU"/>
        </w:rPr>
        <w:t>efer</w:t>
      </w:r>
      <w:r>
        <w:rPr>
          <w:lang w:val="en-AU" w:eastAsia="en-AU"/>
        </w:rPr>
        <w:t>ral of</w:t>
      </w:r>
      <w:r w:rsidR="00C405F5">
        <w:rPr>
          <w:lang w:val="en-AU" w:eastAsia="en-AU"/>
        </w:rPr>
        <w:t xml:space="preserve"> the person to a</w:t>
      </w:r>
      <w:r>
        <w:rPr>
          <w:lang w:val="en-AU" w:eastAsia="en-AU"/>
        </w:rPr>
        <w:t xml:space="preserve"> provider of the</w:t>
      </w:r>
      <w:r w:rsidR="00C405F5">
        <w:rPr>
          <w:lang w:val="en-AU" w:eastAsia="en-AU"/>
        </w:rPr>
        <w:t xml:space="preserve"> appropriate service.</w:t>
      </w:r>
    </w:p>
    <w:p w14:paraId="6E9E9621" w14:textId="77777777" w:rsidR="00C405F5" w:rsidRPr="00CB042A" w:rsidRDefault="00C405F5" w:rsidP="00B53427">
      <w:pPr>
        <w:rPr>
          <w:lang w:val="en-AU" w:eastAsia="en-AU"/>
        </w:rPr>
      </w:pPr>
    </w:p>
    <w:p w14:paraId="512796E4" w14:textId="2FD9AC48" w:rsidR="00AD7C81" w:rsidRPr="00CB042A" w:rsidRDefault="005B05F4" w:rsidP="00B53427">
      <w:pPr>
        <w:rPr>
          <w:lang w:val="en-AU" w:eastAsia="en-AU"/>
        </w:rPr>
      </w:pPr>
      <w:r w:rsidRPr="00CB042A">
        <w:rPr>
          <w:lang w:val="en-AU" w:eastAsia="en-AU"/>
        </w:rPr>
        <w:t xml:space="preserve">A JCA provides the same assessment but also considers a person’s eligibility for the Disability Support Pension (DSP). </w:t>
      </w:r>
      <w:r w:rsidR="005A5EEE" w:rsidRPr="00CB042A">
        <w:rPr>
          <w:lang w:val="en-AU" w:eastAsia="en-AU"/>
        </w:rPr>
        <w:t xml:space="preserve">In these Guidelines, reference to an ESAt includes a JCA, unless otherwise specified. </w:t>
      </w:r>
    </w:p>
    <w:p w14:paraId="6C7106E5" w14:textId="77777777" w:rsidR="00E9679E" w:rsidRPr="00B53BFD" w:rsidRDefault="00E9679E" w:rsidP="00B53427">
      <w:pPr>
        <w:rPr>
          <w:lang w:val="en-AU" w:eastAsia="en-AU"/>
        </w:rPr>
      </w:pPr>
    </w:p>
    <w:p w14:paraId="74A96EF9" w14:textId="2949FFDF" w:rsidR="005B05F4" w:rsidRDefault="00E9679E" w:rsidP="00B53427">
      <w:pPr>
        <w:rPr>
          <w:rFonts w:ascii="Calibri" w:eastAsia="Calibri" w:hAnsi="Calibri" w:cs="Calibri"/>
          <w:spacing w:val="1"/>
        </w:rPr>
      </w:pPr>
      <w:r>
        <w:t xml:space="preserve">A Valid ESAt is one that has been </w:t>
      </w:r>
      <w:proofErr w:type="spellStart"/>
      <w:r>
        <w:t>finali</w:t>
      </w:r>
      <w:r w:rsidR="009159F8">
        <w:t>s</w:t>
      </w:r>
      <w:r>
        <w:t>ed</w:t>
      </w:r>
      <w:proofErr w:type="spellEnd"/>
      <w:r>
        <w:t xml:space="preserve"> within the </w:t>
      </w:r>
      <w:r w:rsidR="00772858">
        <w:t>previous</w:t>
      </w:r>
      <w:r>
        <w:t xml:space="preserve"> two years and contains </w:t>
      </w:r>
      <w:r w:rsidR="00AD7C81">
        <w:t xml:space="preserve">a recommended Referral </w:t>
      </w:r>
      <w:r>
        <w:t xml:space="preserve">to </w:t>
      </w:r>
      <w:r w:rsidR="00AD7C81">
        <w:t xml:space="preserve">either </w:t>
      </w:r>
      <w:r>
        <w:t xml:space="preserve">the </w:t>
      </w:r>
      <w:r w:rsidR="00AD7C81">
        <w:t>DES-Employment Support Service (DES</w:t>
      </w:r>
      <w:r w:rsidR="005B05F4">
        <w:noBreakHyphen/>
      </w:r>
      <w:r w:rsidR="00AD7C81">
        <w:t xml:space="preserve">ESS) or </w:t>
      </w:r>
      <w:r>
        <w:t xml:space="preserve">the </w:t>
      </w:r>
      <w:r w:rsidR="00AD7C81">
        <w:t xml:space="preserve">DES-Disability Management Service (DES-DMS). </w:t>
      </w:r>
      <w:r w:rsidR="00AD7C81" w:rsidRPr="00942C6E">
        <w:rPr>
          <w:rFonts w:ascii="Calibri" w:eastAsia="Times New Roman" w:hAnsi="Calibri" w:cs="Times New Roman"/>
          <w:szCs w:val="24"/>
          <w:lang w:val="en-AU" w:eastAsia="en-AU"/>
        </w:rPr>
        <w:t xml:space="preserve">A DES </w:t>
      </w:r>
      <w:r w:rsidR="008E3734">
        <w:rPr>
          <w:rFonts w:ascii="Calibri" w:eastAsia="Times New Roman" w:hAnsi="Calibri" w:cs="Times New Roman"/>
          <w:szCs w:val="24"/>
          <w:lang w:val="en-AU" w:eastAsia="en-AU"/>
        </w:rPr>
        <w:t>provider</w:t>
      </w:r>
      <w:r w:rsidR="00AD7C81" w:rsidRPr="00942C6E">
        <w:rPr>
          <w:rFonts w:ascii="Calibri" w:eastAsia="Times New Roman" w:hAnsi="Calibri" w:cs="Times New Roman"/>
          <w:szCs w:val="24"/>
          <w:lang w:val="en-AU" w:eastAsia="en-AU"/>
        </w:rPr>
        <w:t xml:space="preserve"> can only Commence a</w:t>
      </w:r>
      <w:r w:rsidR="00261C68">
        <w:rPr>
          <w:rFonts w:ascii="Calibri" w:eastAsia="Times New Roman" w:hAnsi="Calibri" w:cs="Times New Roman"/>
          <w:szCs w:val="24"/>
          <w:lang w:val="en-AU" w:eastAsia="en-AU"/>
        </w:rPr>
        <w:t>n eligible</w:t>
      </w:r>
      <w:r w:rsidR="00AD7C81" w:rsidRPr="00942C6E">
        <w:rPr>
          <w:rFonts w:ascii="Calibri" w:eastAsia="Times New Roman" w:hAnsi="Calibri" w:cs="Times New Roman"/>
          <w:szCs w:val="24"/>
          <w:lang w:val="en-AU" w:eastAsia="en-AU"/>
        </w:rPr>
        <w:t xml:space="preserve"> job seeker </w:t>
      </w:r>
      <w:r w:rsidR="00D51744">
        <w:rPr>
          <w:rFonts w:ascii="Calibri" w:eastAsia="Times New Roman" w:hAnsi="Calibri" w:cs="Times New Roman"/>
          <w:szCs w:val="24"/>
          <w:lang w:val="en-AU" w:eastAsia="en-AU"/>
        </w:rPr>
        <w:t>if they have</w:t>
      </w:r>
      <w:r w:rsidR="00D51744" w:rsidRPr="00CA7FAA">
        <w:rPr>
          <w:rFonts w:ascii="Calibri" w:eastAsia="Calibri" w:hAnsi="Calibri" w:cs="Calibri"/>
          <w:spacing w:val="1"/>
        </w:rPr>
        <w:t xml:space="preserve"> </w:t>
      </w:r>
      <w:r w:rsidR="00AD7C81" w:rsidRPr="00CA7FAA">
        <w:rPr>
          <w:rFonts w:ascii="Calibri" w:eastAsia="Calibri" w:hAnsi="Calibri" w:cs="Calibri"/>
          <w:spacing w:val="1"/>
        </w:rPr>
        <w:t xml:space="preserve">a Valid ESAt </w:t>
      </w:r>
      <w:r w:rsidR="00D51744">
        <w:rPr>
          <w:rFonts w:ascii="Calibri" w:eastAsia="Calibri" w:hAnsi="Calibri" w:cs="Calibri"/>
          <w:spacing w:val="1"/>
        </w:rPr>
        <w:t xml:space="preserve">with a </w:t>
      </w:r>
      <w:r w:rsidR="00AD7C81" w:rsidRPr="00CA7FAA">
        <w:rPr>
          <w:rFonts w:ascii="Calibri" w:eastAsia="Calibri" w:hAnsi="Calibri" w:cs="Calibri"/>
          <w:spacing w:val="1"/>
        </w:rPr>
        <w:t>recommend</w:t>
      </w:r>
      <w:r w:rsidR="00D51744">
        <w:rPr>
          <w:rFonts w:ascii="Calibri" w:eastAsia="Calibri" w:hAnsi="Calibri" w:cs="Calibri"/>
          <w:spacing w:val="1"/>
        </w:rPr>
        <w:t>ed</w:t>
      </w:r>
      <w:r w:rsidR="00AD7C81" w:rsidRPr="00CA7FAA">
        <w:rPr>
          <w:rFonts w:ascii="Calibri" w:eastAsia="Calibri" w:hAnsi="Calibri" w:cs="Calibri"/>
          <w:spacing w:val="1"/>
        </w:rPr>
        <w:t xml:space="preserve"> </w:t>
      </w:r>
      <w:r w:rsidR="000A3FD9">
        <w:rPr>
          <w:rFonts w:ascii="Calibri" w:eastAsia="Calibri" w:hAnsi="Calibri" w:cs="Calibri"/>
          <w:spacing w:val="1"/>
        </w:rPr>
        <w:t>r</w:t>
      </w:r>
      <w:r w:rsidR="000A3FD9" w:rsidRPr="00CA7FAA">
        <w:rPr>
          <w:rFonts w:ascii="Calibri" w:eastAsia="Calibri" w:hAnsi="Calibri" w:cs="Calibri"/>
          <w:spacing w:val="1"/>
        </w:rPr>
        <w:t xml:space="preserve">eferral </w:t>
      </w:r>
      <w:r w:rsidR="00261C68">
        <w:rPr>
          <w:rFonts w:ascii="Calibri" w:eastAsia="Calibri" w:hAnsi="Calibri" w:cs="Calibri"/>
          <w:spacing w:val="1"/>
        </w:rPr>
        <w:t>to</w:t>
      </w:r>
      <w:r w:rsidR="00261C68" w:rsidRPr="00CA7FAA">
        <w:rPr>
          <w:rFonts w:ascii="Calibri" w:eastAsia="Calibri" w:hAnsi="Calibri" w:cs="Calibri"/>
          <w:spacing w:val="1"/>
        </w:rPr>
        <w:t xml:space="preserve"> </w:t>
      </w:r>
      <w:r w:rsidR="00AD7C81" w:rsidRPr="00CA7FAA">
        <w:rPr>
          <w:rFonts w:ascii="Calibri" w:eastAsia="Calibri" w:hAnsi="Calibri" w:cs="Calibri"/>
          <w:spacing w:val="1"/>
        </w:rPr>
        <w:t xml:space="preserve">the </w:t>
      </w:r>
      <w:r w:rsidR="007B76A3" w:rsidRPr="00CA7FAA">
        <w:rPr>
          <w:rFonts w:ascii="Calibri" w:eastAsia="Calibri" w:hAnsi="Calibri" w:cs="Calibri"/>
          <w:spacing w:val="1"/>
        </w:rPr>
        <w:t>service</w:t>
      </w:r>
      <w:r w:rsidR="00AD7C81" w:rsidRPr="00CA7FAA">
        <w:rPr>
          <w:rFonts w:ascii="Calibri" w:eastAsia="Calibri" w:hAnsi="Calibri" w:cs="Calibri"/>
          <w:spacing w:val="1"/>
        </w:rPr>
        <w:t xml:space="preserve"> the DES </w:t>
      </w:r>
      <w:r w:rsidR="00592821">
        <w:rPr>
          <w:rFonts w:ascii="Calibri" w:eastAsia="Calibri" w:hAnsi="Calibri" w:cs="Calibri"/>
          <w:spacing w:val="1"/>
        </w:rPr>
        <w:t>p</w:t>
      </w:r>
      <w:r w:rsidR="00AD7C81" w:rsidRPr="00CA7FAA">
        <w:rPr>
          <w:rFonts w:ascii="Calibri" w:eastAsia="Calibri" w:hAnsi="Calibri" w:cs="Calibri"/>
          <w:spacing w:val="1"/>
        </w:rPr>
        <w:t>rovider is contracted to deliver.</w:t>
      </w:r>
      <w:r w:rsidR="005B05F4">
        <w:rPr>
          <w:rFonts w:ascii="Calibri" w:eastAsia="Calibri" w:hAnsi="Calibri" w:cs="Calibri"/>
          <w:spacing w:val="1"/>
        </w:rPr>
        <w:t xml:space="preserve"> </w:t>
      </w:r>
      <w:r w:rsidR="000912F7">
        <w:rPr>
          <w:rFonts w:ascii="Calibri" w:eastAsia="Calibri" w:hAnsi="Calibri" w:cs="Calibri"/>
          <w:spacing w:val="1"/>
        </w:rPr>
        <w:t xml:space="preserve"> </w:t>
      </w:r>
    </w:p>
    <w:p w14:paraId="72E28177" w14:textId="77777777" w:rsidR="00E9679E" w:rsidRDefault="00E9679E" w:rsidP="00B53427">
      <w:pPr>
        <w:rPr>
          <w:rFonts w:ascii="Calibri" w:eastAsia="Calibri" w:hAnsi="Calibri" w:cs="Calibri"/>
          <w:spacing w:val="1"/>
        </w:rPr>
      </w:pPr>
    </w:p>
    <w:p w14:paraId="2350F490" w14:textId="742397C8" w:rsidR="00173A1D" w:rsidRDefault="00AD7C81" w:rsidP="00173A1D">
      <w:pPr>
        <w:rPr>
          <w:b/>
          <w:bCs/>
          <w:spacing w:val="0"/>
          <w:position w:val="0"/>
        </w:rPr>
      </w:pPr>
      <w:r w:rsidRPr="00CA7FAA">
        <w:rPr>
          <w:b/>
          <w:color w:val="000000"/>
          <w:szCs w:val="24"/>
          <w:lang w:val="en-AU"/>
        </w:rPr>
        <w:t>Note:</w:t>
      </w:r>
      <w:r w:rsidRPr="0053495B">
        <w:rPr>
          <w:b/>
        </w:rPr>
        <w:t xml:space="preserve"> </w:t>
      </w:r>
    </w:p>
    <w:p w14:paraId="73C2F7EC" w14:textId="682E7F34" w:rsidR="00173A1D" w:rsidRDefault="00173A1D" w:rsidP="00173A1D">
      <w:pPr>
        <w:rPr>
          <w:color w:val="000000"/>
        </w:rPr>
      </w:pPr>
      <w:r>
        <w:rPr>
          <w:color w:val="000000"/>
        </w:rPr>
        <w:t xml:space="preserve">An ESAt is Valid for only one complete Period of Service. A Period of Service starts when a </w:t>
      </w:r>
      <w:r w:rsidR="007106AB">
        <w:rPr>
          <w:color w:val="000000"/>
        </w:rPr>
        <w:t>p</w:t>
      </w:r>
      <w:r>
        <w:rPr>
          <w:color w:val="000000"/>
        </w:rPr>
        <w:t xml:space="preserve">articipant </w:t>
      </w:r>
      <w:r w:rsidR="007106AB">
        <w:rPr>
          <w:color w:val="000000"/>
        </w:rPr>
        <w:t>c</w:t>
      </w:r>
      <w:r>
        <w:rPr>
          <w:color w:val="000000"/>
        </w:rPr>
        <w:t>ommences DES and:</w:t>
      </w:r>
    </w:p>
    <w:p w14:paraId="19AE211B" w14:textId="18B8801C" w:rsidR="00173A1D" w:rsidRDefault="00173A1D" w:rsidP="00BE43FF">
      <w:pPr>
        <w:pStyle w:val="ListParagraph"/>
        <w:widowControl/>
        <w:numPr>
          <w:ilvl w:val="0"/>
          <w:numId w:val="31"/>
        </w:numPr>
        <w:contextualSpacing w:val="0"/>
      </w:pPr>
      <w:r>
        <w:t xml:space="preserve">is </w:t>
      </w:r>
      <w:r>
        <w:rPr>
          <w:i/>
          <w:iCs/>
        </w:rPr>
        <w:t>completed</w:t>
      </w:r>
      <w:r>
        <w:t xml:space="preserve"> when the </w:t>
      </w:r>
      <w:r w:rsidR="007106AB">
        <w:t>p</w:t>
      </w:r>
      <w:r>
        <w:t xml:space="preserve">articipant exits after completing at least a </w:t>
      </w:r>
      <w:proofErr w:type="gramStart"/>
      <w:r>
        <w:t>26 week</w:t>
      </w:r>
      <w:proofErr w:type="gramEnd"/>
      <w:r>
        <w:t xml:space="preserve"> Employment or Education outcome or after completing at least 18 months (78 weeks) of Employment Assistance; or</w:t>
      </w:r>
    </w:p>
    <w:p w14:paraId="4838D2C3" w14:textId="10EF0E1A" w:rsidR="00173A1D" w:rsidRDefault="00173A1D" w:rsidP="00BE43FF">
      <w:pPr>
        <w:pStyle w:val="ListParagraph"/>
        <w:widowControl/>
        <w:numPr>
          <w:ilvl w:val="0"/>
          <w:numId w:val="31"/>
        </w:numPr>
        <w:contextualSpacing w:val="0"/>
      </w:pPr>
      <w:r>
        <w:t xml:space="preserve">is </w:t>
      </w:r>
      <w:r>
        <w:rPr>
          <w:i/>
          <w:iCs/>
        </w:rPr>
        <w:t>ended</w:t>
      </w:r>
      <w:r>
        <w:t xml:space="preserve"> 13 weeks after the </w:t>
      </w:r>
      <w:r w:rsidR="007106AB">
        <w:t>p</w:t>
      </w:r>
      <w:r>
        <w:t>articipant exits prior to completing their Period of Service.</w:t>
      </w:r>
    </w:p>
    <w:p w14:paraId="46FA6765" w14:textId="77777777" w:rsidR="00173A1D" w:rsidRDefault="00173A1D" w:rsidP="00173A1D"/>
    <w:p w14:paraId="0F5D5E64" w14:textId="77777777" w:rsidR="00173A1D" w:rsidRDefault="00173A1D" w:rsidP="00173A1D">
      <w:pPr>
        <w:rPr>
          <w:i/>
          <w:iCs/>
        </w:rPr>
      </w:pPr>
      <w:r>
        <w:rPr>
          <w:i/>
          <w:iCs/>
        </w:rPr>
        <w:t>Ended Period of Service</w:t>
      </w:r>
    </w:p>
    <w:p w14:paraId="0BFAEDDC" w14:textId="43FA7E54" w:rsidR="00173A1D" w:rsidRDefault="00173A1D" w:rsidP="00173A1D">
      <w:r>
        <w:t xml:space="preserve">If a non-Work Assist </w:t>
      </w:r>
      <w:r w:rsidR="007106AB">
        <w:t>p</w:t>
      </w:r>
      <w:r>
        <w:t xml:space="preserve">articipant Exits DES before completing their Period of Service, they can resume their current Period of Service within 13 weeks. If the </w:t>
      </w:r>
      <w:r w:rsidR="007106AB">
        <w:t>p</w:t>
      </w:r>
      <w:r>
        <w:t xml:space="preserve">articipant wishes to return to DES more than 13 weeks after exiting an incomplete Period of Service, their existing ESAt referral can be used to </w:t>
      </w:r>
      <w:r w:rsidR="007106AB">
        <w:t>c</w:t>
      </w:r>
      <w:r>
        <w:t xml:space="preserve">ommence a new Period of Service, while the </w:t>
      </w:r>
      <w:r>
        <w:lastRenderedPageBreak/>
        <w:t xml:space="preserve">ESAt remains Valid. </w:t>
      </w:r>
    </w:p>
    <w:p w14:paraId="3483C7FF" w14:textId="77777777" w:rsidR="00173A1D" w:rsidRDefault="00173A1D" w:rsidP="00173A1D">
      <w:pPr>
        <w:rPr>
          <w:color w:val="1F497D"/>
        </w:rPr>
      </w:pPr>
    </w:p>
    <w:p w14:paraId="3E9C4885" w14:textId="77777777" w:rsidR="00173A1D" w:rsidRDefault="00173A1D" w:rsidP="00173A1D">
      <w:pPr>
        <w:rPr>
          <w:i/>
          <w:iCs/>
        </w:rPr>
      </w:pPr>
      <w:r>
        <w:rPr>
          <w:i/>
          <w:iCs/>
        </w:rPr>
        <w:t>Completed Period of Service</w:t>
      </w:r>
    </w:p>
    <w:p w14:paraId="0C96E9B7" w14:textId="1FDD1EF6" w:rsidR="00173A1D" w:rsidRDefault="00173A1D" w:rsidP="00173A1D">
      <w:pPr>
        <w:rPr>
          <w:color w:val="000000"/>
        </w:rPr>
      </w:pPr>
      <w:r>
        <w:rPr>
          <w:color w:val="000000"/>
        </w:rPr>
        <w:t xml:space="preserve">If a </w:t>
      </w:r>
      <w:r>
        <w:t>non-Work Assist</w:t>
      </w:r>
      <w:r>
        <w:rPr>
          <w:color w:val="7030A0"/>
        </w:rPr>
        <w:t xml:space="preserve"> </w:t>
      </w:r>
      <w:r w:rsidR="007106AB">
        <w:rPr>
          <w:color w:val="7030A0"/>
        </w:rPr>
        <w:t>p</w:t>
      </w:r>
      <w:r>
        <w:rPr>
          <w:color w:val="000000"/>
        </w:rPr>
        <w:t xml:space="preserve">articipant completes </w:t>
      </w:r>
      <w:r>
        <w:t xml:space="preserve">their </w:t>
      </w:r>
      <w:r>
        <w:rPr>
          <w:color w:val="000000"/>
        </w:rPr>
        <w:t xml:space="preserve">DES Period of Service, the initial ESAt cannot be used to </w:t>
      </w:r>
      <w:r w:rsidR="007106AB">
        <w:rPr>
          <w:color w:val="000000"/>
        </w:rPr>
        <w:t>c</w:t>
      </w:r>
      <w:r>
        <w:rPr>
          <w:color w:val="000000"/>
        </w:rPr>
        <w:t xml:space="preserve">ommence the </w:t>
      </w:r>
      <w:r w:rsidR="007106AB">
        <w:rPr>
          <w:color w:val="000000"/>
        </w:rPr>
        <w:t>p</w:t>
      </w:r>
      <w:r>
        <w:rPr>
          <w:color w:val="000000"/>
        </w:rPr>
        <w:t xml:space="preserve">articipant in a new DES Period of Service. A </w:t>
      </w:r>
      <w:r>
        <w:t>New E</w:t>
      </w:r>
      <w:r>
        <w:rPr>
          <w:color w:val="000000"/>
        </w:rPr>
        <w:t xml:space="preserve">SAt/JCA </w:t>
      </w:r>
      <w:r>
        <w:t xml:space="preserve">is required </w:t>
      </w:r>
      <w:r>
        <w:rPr>
          <w:color w:val="000000"/>
        </w:rPr>
        <w:t xml:space="preserve">to determine whether the person still requires support from a non-Work Assist DES program, following the significant assistance provided during the </w:t>
      </w:r>
      <w:r w:rsidR="007106AB">
        <w:rPr>
          <w:color w:val="000000"/>
        </w:rPr>
        <w:t>p</w:t>
      </w:r>
      <w:r>
        <w:rPr>
          <w:color w:val="000000"/>
        </w:rPr>
        <w:t xml:space="preserve">articipant’s completed Period of Service. </w:t>
      </w:r>
    </w:p>
    <w:p w14:paraId="1490CB54" w14:textId="77777777" w:rsidR="00173A1D" w:rsidRDefault="00173A1D" w:rsidP="00173A1D">
      <w:pPr>
        <w:rPr>
          <w:color w:val="1F497D"/>
        </w:rPr>
      </w:pPr>
    </w:p>
    <w:p w14:paraId="11D511B0" w14:textId="6FC20A9C" w:rsidR="00173A1D" w:rsidRDefault="00173A1D" w:rsidP="00173A1D">
      <w:pPr>
        <w:rPr>
          <w:i/>
          <w:iCs/>
        </w:rPr>
      </w:pPr>
      <w:r>
        <w:t xml:space="preserve">As defined in the DES Grant Agreement, a New ESAt is an ESAt conducted as a Program Review, a subsequent ESAt during the </w:t>
      </w:r>
      <w:r w:rsidR="007106AB">
        <w:t>p</w:t>
      </w:r>
      <w:r>
        <w:t xml:space="preserve">articipant’s Extended Employment Assistance, or an ESAt conducted after the job seeker’s exit from DES. For more information, refer to Clause 139.4 of the DES Grant Agreement and Attachment A of the </w:t>
      </w:r>
      <w:r>
        <w:rPr>
          <w:i/>
          <w:iCs/>
        </w:rPr>
        <w:t>Program Review, Program Summary and Exits Guidelines.</w:t>
      </w:r>
    </w:p>
    <w:p w14:paraId="36143AF2" w14:textId="77777777" w:rsidR="00173A1D" w:rsidRDefault="00173A1D" w:rsidP="00173A1D">
      <w:pPr>
        <w:rPr>
          <w:color w:val="000000"/>
        </w:rPr>
      </w:pPr>
    </w:p>
    <w:p w14:paraId="41261D9F" w14:textId="6319EA2D" w:rsidR="00173A1D" w:rsidRDefault="00173A1D" w:rsidP="00173A1D">
      <w:r>
        <w:t xml:space="preserve">Where a New ESAt has been conducted as a Program Review after a non-Work Assist </w:t>
      </w:r>
      <w:r w:rsidR="007106AB">
        <w:t>p</w:t>
      </w:r>
      <w:r>
        <w:t xml:space="preserve">articipant completed 78 weeks of Employment Assistance, and the Program Review recommended referral to DES, the </w:t>
      </w:r>
      <w:r w:rsidR="007106AB">
        <w:t>p</w:t>
      </w:r>
      <w:r>
        <w:t>rovider may:</w:t>
      </w:r>
    </w:p>
    <w:p w14:paraId="6E4B3014" w14:textId="1789FCF9" w:rsidR="00173A1D" w:rsidRDefault="00173A1D" w:rsidP="00BE43FF">
      <w:pPr>
        <w:pStyle w:val="ListParagraph"/>
        <w:widowControl/>
        <w:numPr>
          <w:ilvl w:val="0"/>
          <w:numId w:val="31"/>
        </w:numPr>
        <w:contextualSpacing w:val="0"/>
      </w:pPr>
      <w:r>
        <w:t xml:space="preserve">supply the </w:t>
      </w:r>
      <w:r w:rsidR="007106AB">
        <w:t>p</w:t>
      </w:r>
      <w:r>
        <w:t>articipant with Extended Employment Assistance for a further 26 weeks; and</w:t>
      </w:r>
    </w:p>
    <w:p w14:paraId="55806EDE" w14:textId="3A5702C1" w:rsidR="00173A1D" w:rsidRDefault="00173A1D" w:rsidP="00BE43FF">
      <w:pPr>
        <w:pStyle w:val="ListParagraph"/>
        <w:widowControl/>
        <w:numPr>
          <w:ilvl w:val="0"/>
          <w:numId w:val="31"/>
        </w:numPr>
        <w:contextualSpacing w:val="0"/>
      </w:pPr>
      <w:r>
        <w:t xml:space="preserve">where required, Commence the </w:t>
      </w:r>
      <w:r w:rsidR="007106AB">
        <w:t>p</w:t>
      </w:r>
      <w:r>
        <w:t xml:space="preserve">articipant in a new non-Work Assist Period of Service if the </w:t>
      </w:r>
      <w:r w:rsidR="007106AB">
        <w:t>p</w:t>
      </w:r>
      <w:r>
        <w:t>articipant subsequently exits DES (while the New ESAt remains Valid).</w:t>
      </w:r>
    </w:p>
    <w:p w14:paraId="3B2A2160" w14:textId="77777777" w:rsidR="00173A1D" w:rsidRDefault="00173A1D" w:rsidP="00173A1D">
      <w:pPr>
        <w:rPr>
          <w:color w:val="1F497D"/>
        </w:rPr>
      </w:pPr>
    </w:p>
    <w:p w14:paraId="14C9753E" w14:textId="68ACFCF6" w:rsidR="00AD7C81" w:rsidRPr="00AE1C92" w:rsidRDefault="00AD7C81" w:rsidP="00B53427">
      <w:pPr>
        <w:pStyle w:val="Heading4"/>
        <w:spacing w:before="0" w:after="0"/>
        <w:rPr>
          <w:b w:val="0"/>
          <w:sz w:val="22"/>
          <w:u w:val="single"/>
        </w:rPr>
      </w:pPr>
      <w:bookmarkStart w:id="40" w:name="_Toc459215440"/>
      <w:bookmarkStart w:id="41" w:name="_Toc459216207"/>
      <w:r w:rsidRPr="00AE1C92">
        <w:rPr>
          <w:b w:val="0"/>
          <w:sz w:val="22"/>
          <w:u w:val="single"/>
        </w:rPr>
        <w:t>ESAt Exempt Job Seekers</w:t>
      </w:r>
      <w:bookmarkEnd w:id="40"/>
      <w:bookmarkEnd w:id="41"/>
      <w:r w:rsidRPr="00AE1C92">
        <w:rPr>
          <w:b w:val="0"/>
          <w:sz w:val="22"/>
          <w:u w:val="single"/>
        </w:rPr>
        <w:t xml:space="preserve"> </w:t>
      </w:r>
    </w:p>
    <w:p w14:paraId="0FA38DEA" w14:textId="2C14DD62" w:rsidR="00AD7C81" w:rsidRPr="00CC6EA4" w:rsidRDefault="007A3BA6" w:rsidP="00B53427">
      <w:pPr>
        <w:rPr>
          <w:rFonts w:eastAsia="Calibri"/>
          <w:spacing w:val="1"/>
        </w:rPr>
      </w:pPr>
      <w:r>
        <w:rPr>
          <w:lang w:val="en-AU" w:eastAsia="en-AU"/>
        </w:rPr>
        <w:t>The following s</w:t>
      </w:r>
      <w:r w:rsidR="00AD7C81">
        <w:rPr>
          <w:lang w:val="en-AU" w:eastAsia="en-AU"/>
        </w:rPr>
        <w:t xml:space="preserve">pecific job seeker groups </w:t>
      </w:r>
      <w:r>
        <w:rPr>
          <w:lang w:val="en-AU" w:eastAsia="en-AU"/>
        </w:rPr>
        <w:t>do not require</w:t>
      </w:r>
      <w:r w:rsidR="00AD7C81" w:rsidRPr="00B312B4">
        <w:rPr>
          <w:lang w:val="en-AU" w:eastAsia="en-AU"/>
        </w:rPr>
        <w:t xml:space="preserve"> an ESAt or JCA</w:t>
      </w:r>
      <w:r>
        <w:rPr>
          <w:lang w:val="en-AU" w:eastAsia="en-AU"/>
        </w:rPr>
        <w:t xml:space="preserve"> referral</w:t>
      </w:r>
      <w:r w:rsidR="00D453C9">
        <w:rPr>
          <w:lang w:val="en-AU" w:eastAsia="en-AU"/>
        </w:rPr>
        <w:t xml:space="preserve">, and can be Commenced if they meet general </w:t>
      </w:r>
      <w:r w:rsidR="00D453C9">
        <w:t>DES eligibility requirements and the specific eligibility requirements set out in the relevant Guidelines</w:t>
      </w:r>
      <w:r w:rsidR="00AD7C81" w:rsidRPr="00CC6EA4">
        <w:rPr>
          <w:rFonts w:eastAsia="Calibri"/>
          <w:spacing w:val="1"/>
        </w:rPr>
        <w:t>:</w:t>
      </w:r>
    </w:p>
    <w:p w14:paraId="1087FAF0" w14:textId="77777777" w:rsidR="00AD7C81" w:rsidRDefault="00AD7C81" w:rsidP="00B53427">
      <w:pPr>
        <w:pStyle w:val="ListParagraph"/>
        <w:numPr>
          <w:ilvl w:val="0"/>
          <w:numId w:val="3"/>
        </w:numPr>
        <w:rPr>
          <w:lang w:val="en-AU" w:eastAsia="en-AU"/>
        </w:rPr>
      </w:pPr>
      <w:r w:rsidRPr="00733697">
        <w:rPr>
          <w:lang w:val="en-AU" w:eastAsia="en-AU"/>
        </w:rPr>
        <w:t xml:space="preserve">Eligible School Leavers </w:t>
      </w:r>
      <w:r>
        <w:rPr>
          <w:lang w:val="en-AU" w:eastAsia="en-AU"/>
        </w:rPr>
        <w:t xml:space="preserve">(ESL) – refer to the </w:t>
      </w:r>
      <w:r w:rsidRPr="007C0388">
        <w:rPr>
          <w:i/>
          <w:lang w:val="en-AU" w:eastAsia="en-AU"/>
        </w:rPr>
        <w:t xml:space="preserve">Eligible School Leaver </w:t>
      </w:r>
      <w:proofErr w:type="gramStart"/>
      <w:r w:rsidRPr="007C0388">
        <w:rPr>
          <w:i/>
          <w:lang w:val="en-AU" w:eastAsia="en-AU"/>
        </w:rPr>
        <w:t>Guidelines</w:t>
      </w:r>
      <w:r w:rsidRPr="00733697">
        <w:rPr>
          <w:lang w:val="en-AU" w:eastAsia="en-AU"/>
        </w:rPr>
        <w:t>;</w:t>
      </w:r>
      <w:proofErr w:type="gramEnd"/>
    </w:p>
    <w:p w14:paraId="1CE90EF4" w14:textId="24526413" w:rsidR="00AD7C81" w:rsidRPr="00733697" w:rsidRDefault="00AD7C81" w:rsidP="00B53427">
      <w:pPr>
        <w:pStyle w:val="ListParagraph"/>
        <w:numPr>
          <w:ilvl w:val="0"/>
          <w:numId w:val="3"/>
        </w:numPr>
        <w:rPr>
          <w:lang w:val="en-AU" w:eastAsia="en-AU"/>
        </w:rPr>
      </w:pPr>
      <w:r w:rsidRPr="00733697">
        <w:rPr>
          <w:lang w:val="en-AU" w:eastAsia="en-AU"/>
        </w:rPr>
        <w:t>Special Class Clients (</w:t>
      </w:r>
      <w:r>
        <w:rPr>
          <w:lang w:val="en-AU" w:eastAsia="en-AU"/>
        </w:rPr>
        <w:t xml:space="preserve">SCC) </w:t>
      </w:r>
      <w:r w:rsidR="00D453C9">
        <w:rPr>
          <w:lang w:val="en-AU" w:eastAsia="en-AU"/>
        </w:rPr>
        <w:t>[</w:t>
      </w:r>
      <w:r w:rsidR="00D453C9" w:rsidRPr="00AE1C92">
        <w:rPr>
          <w:i/>
          <w:lang w:val="en-AU" w:eastAsia="en-AU"/>
        </w:rPr>
        <w:t>DES-DMS only</w:t>
      </w:r>
      <w:r w:rsidR="00D453C9">
        <w:rPr>
          <w:lang w:val="en-AU" w:eastAsia="en-AU"/>
        </w:rPr>
        <w:t xml:space="preserve">] </w:t>
      </w:r>
      <w:r>
        <w:rPr>
          <w:lang w:val="en-AU" w:eastAsia="en-AU"/>
        </w:rPr>
        <w:t>–</w:t>
      </w:r>
      <w:r w:rsidR="00D453C9">
        <w:rPr>
          <w:lang w:val="en-AU" w:eastAsia="en-AU"/>
        </w:rPr>
        <w:t xml:space="preserve"> </w:t>
      </w:r>
      <w:r>
        <w:rPr>
          <w:lang w:val="en-AU" w:eastAsia="en-AU"/>
        </w:rPr>
        <w:t xml:space="preserve">refer to the </w:t>
      </w:r>
      <w:r w:rsidR="005B05F4">
        <w:rPr>
          <w:i/>
          <w:lang w:val="en-AU" w:eastAsia="en-AU"/>
        </w:rPr>
        <w:t>Direct Registration</w:t>
      </w:r>
      <w:r w:rsidRPr="007C0388">
        <w:rPr>
          <w:i/>
          <w:lang w:val="en-AU" w:eastAsia="en-AU"/>
        </w:rPr>
        <w:t xml:space="preserve"> Guidelines</w:t>
      </w:r>
      <w:r w:rsidRPr="00733697">
        <w:rPr>
          <w:lang w:val="en-AU" w:eastAsia="en-AU"/>
        </w:rPr>
        <w:t>; and</w:t>
      </w:r>
    </w:p>
    <w:p w14:paraId="33EF6821" w14:textId="60084855" w:rsidR="00AD7C81" w:rsidRPr="00733697" w:rsidRDefault="00AD7C81" w:rsidP="00B53427">
      <w:pPr>
        <w:pStyle w:val="ListParagraph"/>
        <w:numPr>
          <w:ilvl w:val="0"/>
          <w:numId w:val="3"/>
        </w:numPr>
        <w:rPr>
          <w:lang w:val="en-AU" w:eastAsia="en-AU"/>
        </w:rPr>
      </w:pPr>
      <w:r>
        <w:rPr>
          <w:lang w:val="en-AU" w:eastAsia="en-AU"/>
        </w:rPr>
        <w:t xml:space="preserve">Work Assist </w:t>
      </w:r>
      <w:r w:rsidR="008C37C4">
        <w:rPr>
          <w:lang w:val="en-AU" w:eastAsia="en-AU"/>
        </w:rPr>
        <w:t>participant</w:t>
      </w:r>
      <w:r>
        <w:rPr>
          <w:lang w:val="en-AU" w:eastAsia="en-AU"/>
        </w:rPr>
        <w:t xml:space="preserve">s - refer to the </w:t>
      </w:r>
      <w:r>
        <w:rPr>
          <w:i/>
          <w:lang w:val="en-AU" w:eastAsia="en-AU"/>
        </w:rPr>
        <w:t xml:space="preserve">Work Assist </w:t>
      </w:r>
      <w:r w:rsidRPr="007C0388">
        <w:rPr>
          <w:i/>
          <w:lang w:val="en-AU" w:eastAsia="en-AU"/>
        </w:rPr>
        <w:t>Guidelines</w:t>
      </w:r>
      <w:r w:rsidRPr="00733697">
        <w:rPr>
          <w:lang w:val="en-AU" w:eastAsia="en-AU"/>
        </w:rPr>
        <w:t>.</w:t>
      </w:r>
    </w:p>
    <w:p w14:paraId="558B4A19" w14:textId="44D0C1FB" w:rsidR="00256399" w:rsidRPr="00213141" w:rsidRDefault="00256399" w:rsidP="00B53427">
      <w:pPr>
        <w:rPr>
          <w:sz w:val="20"/>
        </w:rPr>
      </w:pPr>
    </w:p>
    <w:p w14:paraId="5D383440" w14:textId="17AE8FAE" w:rsidR="00134AB6" w:rsidRPr="00213141" w:rsidRDefault="00134AB6" w:rsidP="004B3ED6">
      <w:pPr>
        <w:rPr>
          <w:sz w:val="20"/>
        </w:rPr>
      </w:pPr>
      <w:bookmarkStart w:id="42" w:name="_Toc459216209"/>
    </w:p>
    <w:p w14:paraId="440353B3" w14:textId="0EEA3557" w:rsidR="00D22806" w:rsidRPr="0041097F" w:rsidRDefault="00D22806" w:rsidP="00AE1C92">
      <w:pPr>
        <w:pStyle w:val="Heading4"/>
        <w:spacing w:before="0" w:after="240"/>
      </w:pPr>
      <w:bookmarkStart w:id="43" w:name="_Toc459215443"/>
      <w:bookmarkStart w:id="44" w:name="_Toc459216210"/>
      <w:bookmarkEnd w:id="42"/>
      <w:r w:rsidRPr="0041097F">
        <w:t xml:space="preserve">General </w:t>
      </w:r>
      <w:bookmarkEnd w:id="43"/>
      <w:bookmarkEnd w:id="44"/>
      <w:r w:rsidR="00850BC9">
        <w:t>e</w:t>
      </w:r>
      <w:r w:rsidR="00850BC9" w:rsidRPr="0041097F">
        <w:t>ligibility</w:t>
      </w:r>
      <w:r w:rsidR="00256399">
        <w:t xml:space="preserve"> requirements</w:t>
      </w:r>
    </w:p>
    <w:p w14:paraId="427F7E66" w14:textId="77777777" w:rsidR="00E24FC8" w:rsidRPr="003C2736" w:rsidRDefault="00E24FC8" w:rsidP="00AE1C92">
      <w:pPr>
        <w:rPr>
          <w:lang w:val="en-AU" w:eastAsia="en-AU"/>
        </w:rPr>
      </w:pPr>
      <w:r w:rsidRPr="003C2736">
        <w:rPr>
          <w:lang w:val="en-AU" w:eastAsia="en-AU"/>
        </w:rPr>
        <w:t>A job seeker is eligible for D</w:t>
      </w:r>
      <w:r>
        <w:rPr>
          <w:lang w:val="en-AU" w:eastAsia="en-AU"/>
        </w:rPr>
        <w:t>ES</w:t>
      </w:r>
      <w:r w:rsidRPr="003C2736">
        <w:rPr>
          <w:lang w:val="en-AU" w:eastAsia="en-AU"/>
        </w:rPr>
        <w:t xml:space="preserve"> if they:</w:t>
      </w:r>
    </w:p>
    <w:p w14:paraId="3020DA36" w14:textId="77777777" w:rsidR="00E24FC8" w:rsidRPr="004B3ED6" w:rsidRDefault="00E24FC8" w:rsidP="00AE1C92">
      <w:pPr>
        <w:pStyle w:val="ListParagraph"/>
        <w:numPr>
          <w:ilvl w:val="0"/>
          <w:numId w:val="1"/>
        </w:numPr>
        <w:ind w:left="714" w:hanging="357"/>
        <w:rPr>
          <w:color w:val="000000"/>
          <w:lang w:val="en-AU" w:eastAsia="en-AU"/>
        </w:rPr>
      </w:pPr>
      <w:r w:rsidRPr="004B3ED6">
        <w:rPr>
          <w:lang w:val="en-AU" w:eastAsia="en-AU"/>
        </w:rPr>
        <w:t xml:space="preserve">have a disability, injury or health </w:t>
      </w:r>
      <w:proofErr w:type="gramStart"/>
      <w:r w:rsidRPr="004B3ED6">
        <w:rPr>
          <w:lang w:val="en-AU" w:eastAsia="en-AU"/>
        </w:rPr>
        <w:t>condition;</w:t>
      </w:r>
      <w:proofErr w:type="gramEnd"/>
    </w:p>
    <w:p w14:paraId="77600435" w14:textId="77777777" w:rsidR="00E24FC8" w:rsidRPr="004B3ED6" w:rsidRDefault="00E24FC8" w:rsidP="00AE1C92">
      <w:pPr>
        <w:pStyle w:val="ListParagraph"/>
        <w:numPr>
          <w:ilvl w:val="0"/>
          <w:numId w:val="1"/>
        </w:numPr>
        <w:rPr>
          <w:lang w:val="en-AU" w:eastAsia="en-AU"/>
        </w:rPr>
      </w:pPr>
      <w:r w:rsidRPr="004B3ED6">
        <w:rPr>
          <w:lang w:val="en-AU" w:eastAsia="en-AU"/>
        </w:rPr>
        <w:t xml:space="preserve">are aged at least 14 </w:t>
      </w:r>
      <w:r>
        <w:rPr>
          <w:lang w:val="en-AU" w:eastAsia="en-AU"/>
        </w:rPr>
        <w:t xml:space="preserve">years </w:t>
      </w:r>
      <w:r w:rsidRPr="004B3ED6">
        <w:rPr>
          <w:lang w:val="en-AU" w:eastAsia="en-AU"/>
        </w:rPr>
        <w:t xml:space="preserve">but have not yet attained </w:t>
      </w:r>
      <w:r>
        <w:t xml:space="preserve">the Age Pension qualifying </w:t>
      </w:r>
      <w:proofErr w:type="gramStart"/>
      <w:r>
        <w:t>age</w:t>
      </w:r>
      <w:r w:rsidRPr="004B3ED6">
        <w:rPr>
          <w:lang w:val="en-AU" w:eastAsia="en-AU"/>
        </w:rPr>
        <w:t>;</w:t>
      </w:r>
      <w:proofErr w:type="gramEnd"/>
    </w:p>
    <w:p w14:paraId="398E671B" w14:textId="77777777" w:rsidR="00E24FC8" w:rsidRPr="004B3ED6" w:rsidRDefault="00E24FC8" w:rsidP="00AE1C92">
      <w:pPr>
        <w:pStyle w:val="ListParagraph"/>
        <w:numPr>
          <w:ilvl w:val="0"/>
          <w:numId w:val="1"/>
        </w:numPr>
        <w:rPr>
          <w:lang w:val="en-AU" w:eastAsia="en-AU"/>
        </w:rPr>
      </w:pPr>
      <w:r w:rsidRPr="004B3ED6">
        <w:rPr>
          <w:lang w:val="en-AU" w:eastAsia="en-AU"/>
        </w:rPr>
        <w:t xml:space="preserve">are at or above the minimum legal working age in their state or </w:t>
      </w:r>
      <w:proofErr w:type="gramStart"/>
      <w:r w:rsidRPr="004B3ED6">
        <w:rPr>
          <w:lang w:val="en-AU" w:eastAsia="en-AU"/>
        </w:rPr>
        <w:t>territory;</w:t>
      </w:r>
      <w:proofErr w:type="gramEnd"/>
    </w:p>
    <w:p w14:paraId="27164868" w14:textId="77777777" w:rsidR="00E24FC8" w:rsidRPr="004B3ED6" w:rsidRDefault="00E24FC8" w:rsidP="00AE1C92">
      <w:pPr>
        <w:pStyle w:val="ListParagraph"/>
        <w:numPr>
          <w:ilvl w:val="0"/>
          <w:numId w:val="1"/>
        </w:numPr>
        <w:rPr>
          <w:lang w:val="en-AU" w:eastAsia="en-AU"/>
        </w:rPr>
      </w:pPr>
      <w:r w:rsidRPr="004B3ED6">
        <w:rPr>
          <w:lang w:val="en-AU" w:eastAsia="en-AU"/>
        </w:rPr>
        <w:t xml:space="preserve">have a future work capacity with intervention of at least eight hours per </w:t>
      </w:r>
      <w:proofErr w:type="gramStart"/>
      <w:r w:rsidRPr="004B3ED6">
        <w:rPr>
          <w:lang w:val="en-AU" w:eastAsia="en-AU"/>
        </w:rPr>
        <w:t>week;</w:t>
      </w:r>
      <w:proofErr w:type="gramEnd"/>
    </w:p>
    <w:p w14:paraId="1CE49034" w14:textId="724D97F5" w:rsidR="00E24FC8" w:rsidRPr="004B3ED6" w:rsidRDefault="00E24FC8" w:rsidP="00AE1C92">
      <w:pPr>
        <w:pStyle w:val="ListParagraph"/>
        <w:numPr>
          <w:ilvl w:val="0"/>
          <w:numId w:val="1"/>
        </w:numPr>
        <w:rPr>
          <w:lang w:val="en-AU" w:eastAsia="en-AU"/>
        </w:rPr>
      </w:pPr>
      <w:r w:rsidRPr="004B3ED6">
        <w:rPr>
          <w:lang w:val="en-AU" w:eastAsia="en-AU"/>
        </w:rPr>
        <w:t xml:space="preserve">are an Australian </w:t>
      </w:r>
      <w:proofErr w:type="gramStart"/>
      <w:r w:rsidRPr="004B3ED6">
        <w:rPr>
          <w:lang w:val="en-AU" w:eastAsia="en-AU"/>
        </w:rPr>
        <w:t>resident;</w:t>
      </w:r>
      <w:proofErr w:type="gramEnd"/>
    </w:p>
    <w:p w14:paraId="077CED3E" w14:textId="113C7692" w:rsidR="00E24FC8" w:rsidRPr="004B3ED6" w:rsidRDefault="00E24FC8" w:rsidP="00AE1C92">
      <w:pPr>
        <w:pStyle w:val="ListParagraph"/>
        <w:numPr>
          <w:ilvl w:val="0"/>
          <w:numId w:val="1"/>
        </w:numPr>
        <w:rPr>
          <w:lang w:val="en-AU" w:eastAsia="en-AU"/>
        </w:rPr>
      </w:pPr>
      <w:r w:rsidRPr="004B3ED6">
        <w:rPr>
          <w:lang w:val="en-AU" w:eastAsia="en-AU"/>
        </w:rPr>
        <w:t>are not studying full time</w:t>
      </w:r>
      <w:r w:rsidR="00732D2E">
        <w:rPr>
          <w:lang w:val="en-AU" w:eastAsia="en-AU"/>
        </w:rPr>
        <w:t>,</w:t>
      </w:r>
      <w:r w:rsidRPr="004B3ED6">
        <w:rPr>
          <w:lang w:val="en-AU" w:eastAsia="en-AU"/>
        </w:rPr>
        <w:t xml:space="preserve"> unless the job seeker is an ESL; and </w:t>
      </w:r>
    </w:p>
    <w:p w14:paraId="5EA60889" w14:textId="12DE5FCF" w:rsidR="00E24FC8" w:rsidRDefault="00E24FC8" w:rsidP="00AE1C92">
      <w:pPr>
        <w:pStyle w:val="ListParagraph"/>
        <w:numPr>
          <w:ilvl w:val="0"/>
          <w:numId w:val="1"/>
        </w:numPr>
        <w:rPr>
          <w:lang w:val="en-AU" w:eastAsia="en-AU"/>
        </w:rPr>
      </w:pPr>
      <w:r w:rsidRPr="004B3ED6">
        <w:rPr>
          <w:lang w:val="en-AU" w:eastAsia="en-AU"/>
        </w:rPr>
        <w:t xml:space="preserve">are not working at or above their Employment Benchmark hours (not applicable for Work Assist </w:t>
      </w:r>
      <w:r w:rsidR="008C37C4">
        <w:rPr>
          <w:lang w:val="en-AU" w:eastAsia="en-AU"/>
        </w:rPr>
        <w:t>participant</w:t>
      </w:r>
      <w:r w:rsidRPr="004B3ED6">
        <w:rPr>
          <w:lang w:val="en-AU" w:eastAsia="en-AU"/>
        </w:rPr>
        <w:t>s</w:t>
      </w:r>
      <w:r w:rsidR="00F20BF8">
        <w:rPr>
          <w:lang w:val="en-AU" w:eastAsia="en-AU"/>
        </w:rPr>
        <w:t>,</w:t>
      </w:r>
      <w:r w:rsidRPr="004B3ED6">
        <w:rPr>
          <w:lang w:val="en-AU" w:eastAsia="en-AU"/>
        </w:rPr>
        <w:t xml:space="preserve"> </w:t>
      </w:r>
      <w:r w:rsidR="009C2009">
        <w:rPr>
          <w:lang w:val="en-AU" w:eastAsia="en-AU"/>
        </w:rPr>
        <w:t xml:space="preserve">supported employment undertaken by </w:t>
      </w:r>
      <w:r>
        <w:rPr>
          <w:lang w:val="en-AU" w:eastAsia="en-AU"/>
        </w:rPr>
        <w:t xml:space="preserve">National Disability Insurance Scheme (NDIS) </w:t>
      </w:r>
      <w:r w:rsidR="00F20BF8">
        <w:rPr>
          <w:lang w:val="en-AU" w:eastAsia="en-AU"/>
        </w:rPr>
        <w:t>participants</w:t>
      </w:r>
      <w:r>
        <w:rPr>
          <w:lang w:val="en-AU" w:eastAsia="en-AU"/>
        </w:rPr>
        <w:t xml:space="preserve">, </w:t>
      </w:r>
      <w:r>
        <w:t xml:space="preserve">and/or </w:t>
      </w:r>
      <w:r w:rsidR="00F20BF8">
        <w:rPr>
          <w:lang w:val="en-AU" w:eastAsia="en-AU"/>
        </w:rPr>
        <w:t>participants in the Disability Employment Continuity of Support program</w:t>
      </w:r>
      <w:r w:rsidRPr="004B3ED6">
        <w:rPr>
          <w:lang w:val="en-AU" w:eastAsia="en-AU"/>
        </w:rPr>
        <w:t xml:space="preserve">). </w:t>
      </w:r>
    </w:p>
    <w:p w14:paraId="436ACA89" w14:textId="77777777" w:rsidR="00732D2E" w:rsidRDefault="00732D2E" w:rsidP="00AE1C92">
      <w:pPr>
        <w:rPr>
          <w:lang w:val="en-AU" w:eastAsia="en-AU"/>
        </w:rPr>
      </w:pPr>
    </w:p>
    <w:p w14:paraId="3FB0AA64" w14:textId="0BDC8030" w:rsidR="0010374F" w:rsidRDefault="000545DB" w:rsidP="00AE1C92">
      <w:pPr>
        <w:rPr>
          <w:lang w:val="en-AU" w:eastAsia="en-AU"/>
        </w:rPr>
      </w:pPr>
      <w:r>
        <w:rPr>
          <w:lang w:val="en-AU" w:eastAsia="en-AU"/>
        </w:rPr>
        <w:t>Additionally, f</w:t>
      </w:r>
      <w:r w:rsidR="0010374F">
        <w:rPr>
          <w:lang w:val="en-AU" w:eastAsia="en-AU"/>
        </w:rPr>
        <w:t>rom 1 July 2021</w:t>
      </w:r>
      <w:r>
        <w:rPr>
          <w:lang w:val="en-AU" w:eastAsia="en-AU"/>
        </w:rPr>
        <w:t xml:space="preserve"> a job seeker must</w:t>
      </w:r>
      <w:r w:rsidR="0010374F">
        <w:rPr>
          <w:lang w:val="en-AU" w:eastAsia="en-AU"/>
        </w:rPr>
        <w:t>:</w:t>
      </w:r>
    </w:p>
    <w:p w14:paraId="5CEAEC42" w14:textId="605B3A14" w:rsidR="0010374F" w:rsidRDefault="0010374F" w:rsidP="00BE43FF">
      <w:pPr>
        <w:pStyle w:val="ListParagraph"/>
        <w:numPr>
          <w:ilvl w:val="0"/>
          <w:numId w:val="20"/>
        </w:numPr>
        <w:rPr>
          <w:lang w:val="en-AU" w:eastAsia="en-AU"/>
        </w:rPr>
      </w:pPr>
      <w:r>
        <w:rPr>
          <w:lang w:val="en-AU" w:eastAsia="en-AU"/>
        </w:rPr>
        <w:t>have a future work capacity with intervention of less than 30 hours per week; and</w:t>
      </w:r>
    </w:p>
    <w:p w14:paraId="26CFEA82" w14:textId="507CC5BE" w:rsidR="0010374F" w:rsidRDefault="004B28CE" w:rsidP="00BE43FF">
      <w:pPr>
        <w:pStyle w:val="ListParagraph"/>
        <w:numPr>
          <w:ilvl w:val="0"/>
          <w:numId w:val="20"/>
        </w:numPr>
        <w:rPr>
          <w:lang w:val="en-AU" w:eastAsia="en-AU"/>
        </w:rPr>
      </w:pPr>
      <w:r>
        <w:rPr>
          <w:lang w:val="en-AU" w:eastAsia="en-AU"/>
        </w:rPr>
        <w:t>be</w:t>
      </w:r>
      <w:r w:rsidR="0010374F">
        <w:rPr>
          <w:lang w:val="en-AU" w:eastAsia="en-AU"/>
        </w:rPr>
        <w:t xml:space="preserve"> in receipt of an income support payment, except where the job seeker is:</w:t>
      </w:r>
    </w:p>
    <w:p w14:paraId="3EAFAEED" w14:textId="77777777" w:rsidR="00AC0697" w:rsidRDefault="0010374F" w:rsidP="00BE43FF">
      <w:pPr>
        <w:pStyle w:val="ListParagraph"/>
        <w:numPr>
          <w:ilvl w:val="1"/>
          <w:numId w:val="20"/>
        </w:numPr>
        <w:rPr>
          <w:lang w:val="en-AU" w:eastAsia="en-AU"/>
        </w:rPr>
      </w:pPr>
      <w:r>
        <w:rPr>
          <w:lang w:val="en-AU" w:eastAsia="en-AU"/>
        </w:rPr>
        <w:t>ESAt/JCA exempt (Eligible School Leaver, Special Class Client or Work Assist</w:t>
      </w:r>
      <w:proofErr w:type="gramStart"/>
      <w:r>
        <w:rPr>
          <w:lang w:val="en-AU" w:eastAsia="en-AU"/>
        </w:rPr>
        <w:t>);</w:t>
      </w:r>
      <w:proofErr w:type="gramEnd"/>
      <w:r>
        <w:rPr>
          <w:lang w:val="en-AU" w:eastAsia="en-AU"/>
        </w:rPr>
        <w:t xml:space="preserve"> </w:t>
      </w:r>
    </w:p>
    <w:p w14:paraId="2DA9DCC7" w14:textId="77777777" w:rsidR="00DB305E" w:rsidRDefault="00C405F5" w:rsidP="00BE43FF">
      <w:pPr>
        <w:pStyle w:val="ListParagraph"/>
        <w:numPr>
          <w:ilvl w:val="1"/>
          <w:numId w:val="20"/>
        </w:numPr>
        <w:rPr>
          <w:lang w:val="en-AU" w:eastAsia="en-AU"/>
        </w:rPr>
      </w:pPr>
      <w:r>
        <w:rPr>
          <w:lang w:val="en-AU" w:eastAsia="en-AU"/>
        </w:rPr>
        <w:t>a current</w:t>
      </w:r>
      <w:r w:rsidR="00AC0697">
        <w:rPr>
          <w:lang w:val="en-AU" w:eastAsia="en-AU"/>
        </w:rPr>
        <w:t xml:space="preserve"> NDIS </w:t>
      </w:r>
      <w:proofErr w:type="gramStart"/>
      <w:r w:rsidR="00AC0697">
        <w:rPr>
          <w:lang w:val="en-AU" w:eastAsia="en-AU"/>
        </w:rPr>
        <w:t>participant;</w:t>
      </w:r>
      <w:proofErr w:type="gramEnd"/>
    </w:p>
    <w:p w14:paraId="4261B9B3" w14:textId="2C4AC2EE" w:rsidR="0010374F" w:rsidRDefault="00DB305E" w:rsidP="00BE43FF">
      <w:pPr>
        <w:pStyle w:val="ListParagraph"/>
        <w:numPr>
          <w:ilvl w:val="1"/>
          <w:numId w:val="20"/>
        </w:numPr>
        <w:rPr>
          <w:lang w:val="en-AU" w:eastAsia="en-AU"/>
        </w:rPr>
      </w:pPr>
      <w:r>
        <w:rPr>
          <w:lang w:val="en-AU" w:eastAsia="en-AU"/>
        </w:rPr>
        <w:t>a Pre-Release Prisoner;</w:t>
      </w:r>
      <w:r w:rsidR="00AC0697">
        <w:rPr>
          <w:lang w:val="en-AU" w:eastAsia="en-AU"/>
        </w:rPr>
        <w:t xml:space="preserve"> </w:t>
      </w:r>
      <w:r w:rsidR="0010374F">
        <w:rPr>
          <w:lang w:val="en-AU" w:eastAsia="en-AU"/>
        </w:rPr>
        <w:t>or</w:t>
      </w:r>
    </w:p>
    <w:p w14:paraId="1B9BAF12" w14:textId="221FEFE0" w:rsidR="0010374F" w:rsidRDefault="00457287" w:rsidP="00BE43FF">
      <w:pPr>
        <w:pStyle w:val="ListParagraph"/>
        <w:numPr>
          <w:ilvl w:val="1"/>
          <w:numId w:val="20"/>
        </w:numPr>
        <w:rPr>
          <w:lang w:val="en-AU" w:eastAsia="en-AU"/>
        </w:rPr>
      </w:pPr>
      <w:r>
        <w:rPr>
          <w:lang w:val="en-AU" w:eastAsia="en-AU"/>
        </w:rPr>
        <w:t>undertaking a DES program to satisfy Program of Support requirements.</w:t>
      </w:r>
    </w:p>
    <w:p w14:paraId="472000CE" w14:textId="77777777" w:rsidR="00732D2E" w:rsidRPr="00732D2E" w:rsidRDefault="00732D2E" w:rsidP="00AE1C92">
      <w:pPr>
        <w:rPr>
          <w:lang w:val="en-AU" w:eastAsia="en-AU"/>
        </w:rPr>
      </w:pPr>
    </w:p>
    <w:p w14:paraId="31CBCAA9" w14:textId="77777777" w:rsidR="00732D2E" w:rsidRPr="00732D2E" w:rsidRDefault="00732D2E" w:rsidP="00AE1C92">
      <w:pPr>
        <w:rPr>
          <w:lang w:val="en-AU" w:eastAsia="en-AU"/>
        </w:rPr>
      </w:pPr>
      <w:r w:rsidRPr="00732D2E">
        <w:rPr>
          <w:lang w:val="en-AU" w:eastAsia="en-AU"/>
        </w:rPr>
        <w:t xml:space="preserve">Information about how these eligibility requirements </w:t>
      </w:r>
      <w:proofErr w:type="gramStart"/>
      <w:r w:rsidRPr="00732D2E">
        <w:rPr>
          <w:lang w:val="en-AU" w:eastAsia="en-AU"/>
        </w:rPr>
        <w:t>are</w:t>
      </w:r>
      <w:proofErr w:type="gramEnd"/>
      <w:r w:rsidRPr="00732D2E">
        <w:rPr>
          <w:lang w:val="en-AU" w:eastAsia="en-AU"/>
        </w:rPr>
        <w:t xml:space="preserve"> checked is set out below.</w:t>
      </w:r>
    </w:p>
    <w:p w14:paraId="2761ADD5" w14:textId="09239FB8" w:rsidR="000545DB" w:rsidRDefault="000545DB" w:rsidP="00AE1C92">
      <w:pPr>
        <w:rPr>
          <w:lang w:val="en-AU" w:eastAsia="en-AU"/>
        </w:rPr>
      </w:pPr>
    </w:p>
    <w:p w14:paraId="36B30BA5" w14:textId="435309B1" w:rsidR="00256399" w:rsidRPr="00AE1C92" w:rsidRDefault="00256399" w:rsidP="00AE1C92">
      <w:pPr>
        <w:pStyle w:val="Heading4"/>
        <w:spacing w:before="0" w:after="0"/>
        <w:rPr>
          <w:u w:val="single"/>
        </w:rPr>
      </w:pPr>
      <w:r w:rsidRPr="00AE1C92">
        <w:rPr>
          <w:b w:val="0"/>
          <w:sz w:val="22"/>
          <w:u w:val="single"/>
        </w:rPr>
        <w:t>Disability, injury or health condition</w:t>
      </w:r>
    </w:p>
    <w:p w14:paraId="63A7B16D" w14:textId="719E691D" w:rsidR="00256399" w:rsidRDefault="00256399" w:rsidP="00AE1C92">
      <w:pPr>
        <w:rPr>
          <w:lang w:val="en-AU" w:eastAsia="en-AU"/>
        </w:rPr>
      </w:pPr>
      <w:r>
        <w:rPr>
          <w:lang w:val="en-AU" w:eastAsia="en-AU"/>
        </w:rPr>
        <w:t xml:space="preserve">A job seeker’s eligibility </w:t>
      </w:r>
      <w:r w:rsidR="007F44C5">
        <w:rPr>
          <w:lang w:val="en-AU" w:eastAsia="en-AU"/>
        </w:rPr>
        <w:t xml:space="preserve">for DES </w:t>
      </w:r>
      <w:r>
        <w:rPr>
          <w:lang w:val="en-AU" w:eastAsia="en-AU"/>
        </w:rPr>
        <w:t>due to disability, injury or health condition is normally determined by an ESAt based on available certified medical evidence. For job seekers who are ESAt/JCA exempt</w:t>
      </w:r>
      <w:r w:rsidR="00C03704">
        <w:rPr>
          <w:lang w:val="en-AU" w:eastAsia="en-AU"/>
        </w:rPr>
        <w:t xml:space="preserve">, </w:t>
      </w:r>
      <w:r w:rsidR="007C1B39">
        <w:rPr>
          <w:lang w:val="en-AU" w:eastAsia="en-AU"/>
        </w:rPr>
        <w:t>p</w:t>
      </w:r>
      <w:r w:rsidR="00DF494D">
        <w:rPr>
          <w:lang w:val="en-AU" w:eastAsia="en-AU"/>
        </w:rPr>
        <w:t>roviders must confirm the job seeker’s disability, injury or health condition as described in the Guidelines for the relevant cohort as set out above.</w:t>
      </w:r>
    </w:p>
    <w:p w14:paraId="7BCA77F6" w14:textId="070FCE17" w:rsidR="00BA3C5C" w:rsidRDefault="00BA3C5C" w:rsidP="00AE1C92">
      <w:pPr>
        <w:rPr>
          <w:lang w:val="en-AU" w:eastAsia="en-AU"/>
        </w:rPr>
      </w:pPr>
    </w:p>
    <w:p w14:paraId="0461F7F0" w14:textId="08B5834B" w:rsidR="00BA3C5C" w:rsidRDefault="00BA3C5C" w:rsidP="00AE1C92">
      <w:pPr>
        <w:rPr>
          <w:lang w:val="en-AU" w:eastAsia="en-AU"/>
        </w:rPr>
      </w:pPr>
      <w:r>
        <w:rPr>
          <w:lang w:val="en-AU" w:eastAsia="en-AU"/>
        </w:rPr>
        <w:lastRenderedPageBreak/>
        <w:t xml:space="preserve">DES helps people to overcome barriers related to disability, injury or a health condition and to remediate those conditions where possible. If a </w:t>
      </w:r>
      <w:r w:rsidR="008C37C4">
        <w:rPr>
          <w:lang w:val="en-AU" w:eastAsia="en-AU"/>
        </w:rPr>
        <w:t>participant</w:t>
      </w:r>
      <w:r>
        <w:rPr>
          <w:lang w:val="en-AU" w:eastAsia="en-AU"/>
        </w:rPr>
        <w:t xml:space="preserve">’s </w:t>
      </w:r>
      <w:r w:rsidR="00C405F5">
        <w:rPr>
          <w:lang w:val="en-AU" w:eastAsia="en-AU"/>
        </w:rPr>
        <w:t xml:space="preserve">circumstances are sufficiently improved that their </w:t>
      </w:r>
      <w:r>
        <w:rPr>
          <w:lang w:val="en-AU" w:eastAsia="en-AU"/>
        </w:rPr>
        <w:t xml:space="preserve">recommended </w:t>
      </w:r>
      <w:r w:rsidR="00C405F5">
        <w:rPr>
          <w:lang w:val="en-AU" w:eastAsia="en-AU"/>
        </w:rPr>
        <w:t>service</w:t>
      </w:r>
      <w:r>
        <w:rPr>
          <w:lang w:val="en-AU" w:eastAsia="en-AU"/>
        </w:rPr>
        <w:t xml:space="preserve"> is updated to another employment service in a ‘change of circumstances’ ESAt, the </w:t>
      </w:r>
      <w:r w:rsidR="008C37C4">
        <w:rPr>
          <w:lang w:val="en-AU" w:eastAsia="en-AU"/>
        </w:rPr>
        <w:t>participant</w:t>
      </w:r>
      <w:r>
        <w:rPr>
          <w:lang w:val="en-AU" w:eastAsia="en-AU"/>
        </w:rPr>
        <w:t xml:space="preserve"> can choose to transfer to the alternative </w:t>
      </w:r>
      <w:proofErr w:type="gramStart"/>
      <w:r>
        <w:rPr>
          <w:lang w:val="en-AU" w:eastAsia="en-AU"/>
        </w:rPr>
        <w:t xml:space="preserve">service, </w:t>
      </w:r>
      <w:r w:rsidR="000912F7">
        <w:rPr>
          <w:lang w:val="en-AU" w:eastAsia="en-AU"/>
        </w:rPr>
        <w:t>but</w:t>
      </w:r>
      <w:proofErr w:type="gramEnd"/>
      <w:r w:rsidR="000912F7">
        <w:rPr>
          <w:lang w:val="en-AU" w:eastAsia="en-AU"/>
        </w:rPr>
        <w:t xml:space="preserve"> </w:t>
      </w:r>
      <w:r>
        <w:rPr>
          <w:lang w:val="en-AU" w:eastAsia="en-AU"/>
        </w:rPr>
        <w:t>can also choose to remain in DES until the end of their current Period of Service.</w:t>
      </w:r>
    </w:p>
    <w:p w14:paraId="6ECB02E9" w14:textId="08052A8D" w:rsidR="00256399" w:rsidRDefault="00256399" w:rsidP="00AE1C92">
      <w:pPr>
        <w:rPr>
          <w:lang w:val="en-AU" w:eastAsia="en-AU"/>
        </w:rPr>
      </w:pPr>
    </w:p>
    <w:p w14:paraId="493E1C9E" w14:textId="2F090E2F" w:rsidR="00DF494D" w:rsidRPr="00213141" w:rsidRDefault="00DF494D" w:rsidP="00AE1C92">
      <w:pPr>
        <w:pStyle w:val="Heading4"/>
        <w:spacing w:before="0" w:after="0"/>
        <w:rPr>
          <w:u w:val="single"/>
        </w:rPr>
      </w:pPr>
      <w:r w:rsidRPr="00213141">
        <w:rPr>
          <w:b w:val="0"/>
          <w:sz w:val="22"/>
          <w:u w:val="single"/>
        </w:rPr>
        <w:t>Age</w:t>
      </w:r>
    </w:p>
    <w:p w14:paraId="0971ED6E" w14:textId="0331DA3B" w:rsidR="00DF494D" w:rsidRDefault="00DF494D" w:rsidP="00AE1C92">
      <w:pPr>
        <w:rPr>
          <w:lang w:val="en-AU" w:eastAsia="en-AU"/>
        </w:rPr>
      </w:pPr>
      <w:r>
        <w:rPr>
          <w:lang w:val="en-AU" w:eastAsia="en-AU"/>
        </w:rPr>
        <w:t>The Department’s IT Systems will confirm that a job seeker is of working age at the time of the job seeker’s Referral or Commencement in DES.</w:t>
      </w:r>
    </w:p>
    <w:p w14:paraId="72C590D7" w14:textId="77777777" w:rsidR="00DF494D" w:rsidRDefault="00DF494D" w:rsidP="00DF494D">
      <w:pPr>
        <w:rPr>
          <w:lang w:val="en-AU" w:eastAsia="en-AU"/>
        </w:rPr>
      </w:pPr>
    </w:p>
    <w:p w14:paraId="316C550A" w14:textId="13527F0C" w:rsidR="007F44C5" w:rsidRPr="00AE1C92" w:rsidRDefault="00DF494D" w:rsidP="00DA2203">
      <w:pPr>
        <w:keepLines/>
      </w:pPr>
      <w:r>
        <w:rPr>
          <w:lang w:val="en-AU" w:eastAsia="en-AU"/>
        </w:rPr>
        <w:t xml:space="preserve">Participants who reach Age Pension qualifying age while </w:t>
      </w:r>
      <w:proofErr w:type="gramStart"/>
      <w:r>
        <w:rPr>
          <w:lang w:val="en-AU" w:eastAsia="en-AU"/>
        </w:rPr>
        <w:t>Commenced</w:t>
      </w:r>
      <w:proofErr w:type="gramEnd"/>
      <w:r>
        <w:rPr>
          <w:lang w:val="en-AU" w:eastAsia="en-AU"/>
        </w:rPr>
        <w:t xml:space="preserve"> in DES</w:t>
      </w:r>
      <w:r w:rsidR="007F44C5">
        <w:rPr>
          <w:lang w:val="en-AU" w:eastAsia="en-AU"/>
        </w:rPr>
        <w:t xml:space="preserve"> can complete</w:t>
      </w:r>
      <w:r>
        <w:rPr>
          <w:lang w:val="en-AU" w:eastAsia="en-AU"/>
        </w:rPr>
        <w:t xml:space="preserve"> their </w:t>
      </w:r>
      <w:r w:rsidR="007F44C5">
        <w:rPr>
          <w:lang w:val="en-AU" w:eastAsia="en-AU"/>
        </w:rPr>
        <w:t xml:space="preserve">current </w:t>
      </w:r>
      <w:r>
        <w:rPr>
          <w:lang w:val="en-AU" w:eastAsia="en-AU"/>
        </w:rPr>
        <w:t>Period of Service (including Extended Employment Assistance</w:t>
      </w:r>
      <w:r w:rsidR="00381626">
        <w:rPr>
          <w:lang w:val="en-AU" w:eastAsia="en-AU"/>
        </w:rPr>
        <w:t xml:space="preserve"> </w:t>
      </w:r>
      <w:r w:rsidR="007F44C5">
        <w:rPr>
          <w:lang w:val="en-AU" w:eastAsia="en-AU"/>
        </w:rPr>
        <w:t>if required. They can complete</w:t>
      </w:r>
      <w:r w:rsidRPr="00D234A8">
        <w:rPr>
          <w:lang w:val="en-AU" w:eastAsia="en-AU"/>
        </w:rPr>
        <w:t xml:space="preserve"> </w:t>
      </w:r>
      <w:r>
        <w:rPr>
          <w:lang w:val="en-AU" w:eastAsia="en-AU"/>
        </w:rPr>
        <w:t>O</w:t>
      </w:r>
      <w:r w:rsidRPr="00D234A8">
        <w:rPr>
          <w:lang w:val="en-AU" w:eastAsia="en-AU"/>
        </w:rPr>
        <w:t>utcome</w:t>
      </w:r>
      <w:r w:rsidR="007F44C5">
        <w:rPr>
          <w:lang w:val="en-AU" w:eastAsia="en-AU"/>
        </w:rPr>
        <w:t>s</w:t>
      </w:r>
      <w:r w:rsidRPr="00D234A8">
        <w:rPr>
          <w:lang w:val="en-AU" w:eastAsia="en-AU"/>
        </w:rPr>
        <w:t xml:space="preserve">, </w:t>
      </w:r>
      <w:r w:rsidR="007F44C5">
        <w:rPr>
          <w:lang w:val="en-AU" w:eastAsia="en-AU"/>
        </w:rPr>
        <w:t xml:space="preserve">and </w:t>
      </w:r>
      <w:r w:rsidRPr="00D234A8">
        <w:rPr>
          <w:lang w:val="en-AU" w:eastAsia="en-AU"/>
        </w:rPr>
        <w:t xml:space="preserve">the </w:t>
      </w:r>
      <w:r w:rsidR="007C1B39">
        <w:rPr>
          <w:lang w:val="en-AU" w:eastAsia="en-AU"/>
        </w:rPr>
        <w:t>p</w:t>
      </w:r>
      <w:r>
        <w:rPr>
          <w:lang w:val="en-AU" w:eastAsia="en-AU"/>
        </w:rPr>
        <w:t>rovider</w:t>
      </w:r>
      <w:r w:rsidRPr="00D234A8">
        <w:rPr>
          <w:lang w:val="en-AU" w:eastAsia="en-AU"/>
        </w:rPr>
        <w:t xml:space="preserve"> </w:t>
      </w:r>
      <w:r w:rsidR="007F44C5">
        <w:rPr>
          <w:lang w:val="en-AU" w:eastAsia="en-AU"/>
        </w:rPr>
        <w:t>can claim associated</w:t>
      </w:r>
      <w:r w:rsidRPr="00D234A8">
        <w:rPr>
          <w:lang w:val="en-AU" w:eastAsia="en-AU"/>
        </w:rPr>
        <w:t xml:space="preserve"> </w:t>
      </w:r>
      <w:r>
        <w:rPr>
          <w:lang w:val="en-AU" w:eastAsia="en-AU"/>
        </w:rPr>
        <w:t>O</w:t>
      </w:r>
      <w:r w:rsidRPr="00D234A8">
        <w:rPr>
          <w:lang w:val="en-AU" w:eastAsia="en-AU"/>
        </w:rPr>
        <w:t>utcome fees</w:t>
      </w:r>
      <w:r w:rsidR="007F44C5">
        <w:rPr>
          <w:lang w:val="en-AU" w:eastAsia="en-AU"/>
        </w:rPr>
        <w:t>. They can also receive Ongoing Support, if required, for as long as needed.</w:t>
      </w:r>
    </w:p>
    <w:p w14:paraId="4AC1B0C7" w14:textId="7AB8820E" w:rsidR="00DF494D" w:rsidRPr="00213141" w:rsidRDefault="00DF494D" w:rsidP="00213141"/>
    <w:p w14:paraId="13625517" w14:textId="12E9F277" w:rsidR="00DF494D" w:rsidRPr="00213141" w:rsidRDefault="00DF494D" w:rsidP="00213141">
      <w:pPr>
        <w:pStyle w:val="Heading4"/>
        <w:spacing w:before="0" w:after="0"/>
        <w:rPr>
          <w:u w:val="single"/>
        </w:rPr>
      </w:pPr>
      <w:r w:rsidRPr="00213141">
        <w:rPr>
          <w:b w:val="0"/>
          <w:sz w:val="22"/>
          <w:u w:val="single"/>
        </w:rPr>
        <w:t>Work Capacity</w:t>
      </w:r>
    </w:p>
    <w:p w14:paraId="2AD3EF8B" w14:textId="0921AFB6" w:rsidR="00381626" w:rsidRDefault="00381626" w:rsidP="00213141">
      <w:pPr>
        <w:rPr>
          <w:lang w:val="en-AU" w:eastAsia="en-AU"/>
        </w:rPr>
      </w:pPr>
      <w:r>
        <w:rPr>
          <w:lang w:val="en-AU" w:eastAsia="en-AU"/>
        </w:rPr>
        <w:t xml:space="preserve">A job seeker’s capacity for </w:t>
      </w:r>
      <w:r w:rsidR="00376161">
        <w:rPr>
          <w:lang w:val="en-AU" w:eastAsia="en-AU"/>
        </w:rPr>
        <w:t xml:space="preserve">work </w:t>
      </w:r>
      <w:r>
        <w:rPr>
          <w:lang w:val="en-AU" w:eastAsia="en-AU"/>
        </w:rPr>
        <w:t>is normally determined by an ESAt or JCA based on available certified medical evidence. The assessed work capacity also determine</w:t>
      </w:r>
      <w:r w:rsidR="00DB305E">
        <w:rPr>
          <w:lang w:val="en-AU" w:eastAsia="en-AU"/>
        </w:rPr>
        <w:t>s</w:t>
      </w:r>
      <w:r>
        <w:rPr>
          <w:lang w:val="en-AU" w:eastAsia="en-AU"/>
        </w:rPr>
        <w:t xml:space="preserve"> their Employment Benchmark.</w:t>
      </w:r>
    </w:p>
    <w:p w14:paraId="29FA4AE2" w14:textId="77777777" w:rsidR="00732D2E" w:rsidRDefault="00732D2E" w:rsidP="00732D2E">
      <w:pPr>
        <w:pStyle w:val="Heading4"/>
        <w:spacing w:before="0" w:after="0"/>
        <w:rPr>
          <w:b w:val="0"/>
          <w:sz w:val="22"/>
          <w:u w:val="single"/>
        </w:rPr>
      </w:pPr>
    </w:p>
    <w:p w14:paraId="76657D56" w14:textId="647AE3F4" w:rsidR="00732D2E" w:rsidRDefault="00732D2E" w:rsidP="00213141">
      <w:pPr>
        <w:keepNext/>
        <w:keepLines/>
        <w:rPr>
          <w:lang w:val="en-AU" w:eastAsia="en-AU"/>
        </w:rPr>
      </w:pPr>
      <w:r w:rsidRPr="00160A1B">
        <w:rPr>
          <w:lang w:val="en-AU" w:eastAsia="en-AU"/>
        </w:rPr>
        <w:t xml:space="preserve">Job seekers with a </w:t>
      </w:r>
      <w:r>
        <w:rPr>
          <w:lang w:val="en-AU" w:eastAsia="en-AU"/>
        </w:rPr>
        <w:t>“C</w:t>
      </w:r>
      <w:r w:rsidRPr="00160A1B">
        <w:rPr>
          <w:lang w:val="en-AU" w:eastAsia="en-AU"/>
        </w:rPr>
        <w:t>apacity for work within 2 years with Intervention</w:t>
      </w:r>
      <w:r>
        <w:rPr>
          <w:lang w:val="en-AU" w:eastAsia="en-AU"/>
        </w:rPr>
        <w:t xml:space="preserve">: </w:t>
      </w:r>
      <w:r w:rsidRPr="00160A1B">
        <w:rPr>
          <w:lang w:val="en-AU" w:eastAsia="en-AU"/>
        </w:rPr>
        <w:t>0-7 hours</w:t>
      </w:r>
      <w:r>
        <w:rPr>
          <w:lang w:val="en-AU" w:eastAsia="en-AU"/>
        </w:rPr>
        <w:t xml:space="preserve"> per week” in the ‘Work Capacity’ field of the ESAt/JCA</w:t>
      </w:r>
      <w:r w:rsidRPr="00160A1B">
        <w:rPr>
          <w:lang w:val="en-AU" w:eastAsia="en-AU"/>
        </w:rPr>
        <w:t xml:space="preserve"> are generally ineligible for </w:t>
      </w:r>
      <w:r>
        <w:rPr>
          <w:lang w:val="en-AU" w:eastAsia="en-AU"/>
        </w:rPr>
        <w:t>DES</w:t>
      </w:r>
      <w:r w:rsidRPr="00160A1B">
        <w:rPr>
          <w:lang w:val="en-AU" w:eastAsia="en-AU"/>
        </w:rPr>
        <w:t xml:space="preserve">. However, </w:t>
      </w:r>
      <w:r>
        <w:rPr>
          <w:lang w:val="en-AU" w:eastAsia="en-AU"/>
        </w:rPr>
        <w:t xml:space="preserve">a job seeker with 0-7 hours work capacity is eligible for DES </w:t>
      </w:r>
      <w:r w:rsidRPr="00160A1B">
        <w:rPr>
          <w:lang w:val="en-AU" w:eastAsia="en-AU"/>
        </w:rPr>
        <w:t>if</w:t>
      </w:r>
      <w:r>
        <w:rPr>
          <w:lang w:val="en-AU" w:eastAsia="en-AU"/>
        </w:rPr>
        <w:t xml:space="preserve"> they:</w:t>
      </w:r>
      <w:r w:rsidRPr="00160A1B">
        <w:rPr>
          <w:lang w:val="en-AU" w:eastAsia="en-AU"/>
        </w:rPr>
        <w:t xml:space="preserve"> </w:t>
      </w:r>
    </w:p>
    <w:p w14:paraId="2E8648C6" w14:textId="46DC5B9C" w:rsidR="00732D2E" w:rsidRDefault="00732D2E" w:rsidP="00BE43FF">
      <w:pPr>
        <w:pStyle w:val="ListParagraph"/>
        <w:keepNext/>
        <w:keepLines/>
        <w:numPr>
          <w:ilvl w:val="0"/>
          <w:numId w:val="17"/>
        </w:numPr>
        <w:ind w:left="714" w:hanging="357"/>
        <w:rPr>
          <w:lang w:val="en-AU" w:eastAsia="en-AU"/>
        </w:rPr>
      </w:pPr>
      <w:r w:rsidRPr="001C6585">
        <w:rPr>
          <w:lang w:val="en-AU" w:eastAsia="en-AU"/>
        </w:rPr>
        <w:t>are assessed as being able to work more than eight</w:t>
      </w:r>
      <w:r w:rsidRPr="001A36E7">
        <w:rPr>
          <w:lang w:val="en-AU" w:eastAsia="en-AU"/>
        </w:rPr>
        <w:t xml:space="preserve"> hours</w:t>
      </w:r>
      <w:r>
        <w:rPr>
          <w:lang w:val="en-AU" w:eastAsia="en-AU"/>
        </w:rPr>
        <w:t xml:space="preserve">, and </w:t>
      </w:r>
    </w:p>
    <w:p w14:paraId="70A2A992" w14:textId="77777777" w:rsidR="00732D2E" w:rsidRDefault="00732D2E" w:rsidP="00BE43FF">
      <w:pPr>
        <w:pStyle w:val="ListParagraph"/>
        <w:keepLines/>
        <w:numPr>
          <w:ilvl w:val="0"/>
          <w:numId w:val="17"/>
        </w:numPr>
        <w:rPr>
          <w:lang w:val="en-AU" w:eastAsia="en-AU"/>
        </w:rPr>
      </w:pPr>
      <w:r>
        <w:rPr>
          <w:lang w:val="en-AU" w:eastAsia="en-AU"/>
        </w:rPr>
        <w:t xml:space="preserve">are suitable to be placed in </w:t>
      </w:r>
      <w:r w:rsidRPr="001A36E7">
        <w:rPr>
          <w:lang w:val="en-AU" w:eastAsia="en-AU"/>
        </w:rPr>
        <w:t>Ongoing Support</w:t>
      </w:r>
      <w:r>
        <w:rPr>
          <w:lang w:val="en-AU" w:eastAsia="en-AU"/>
        </w:rPr>
        <w:t>,</w:t>
      </w:r>
      <w:r w:rsidRPr="001A36E7">
        <w:rPr>
          <w:lang w:val="en-AU" w:eastAsia="en-AU"/>
        </w:rPr>
        <w:t xml:space="preserve"> </w:t>
      </w:r>
      <w:r w:rsidRPr="001C6585">
        <w:rPr>
          <w:lang w:val="en-AU" w:eastAsia="en-AU"/>
        </w:rPr>
        <w:t xml:space="preserve">and </w:t>
      </w:r>
    </w:p>
    <w:p w14:paraId="2B50377B" w14:textId="110F1005" w:rsidR="00732D2E" w:rsidRDefault="00732D2E" w:rsidP="00BE43FF">
      <w:pPr>
        <w:pStyle w:val="ListParagraph"/>
        <w:keepLines/>
        <w:numPr>
          <w:ilvl w:val="0"/>
          <w:numId w:val="17"/>
        </w:numPr>
        <w:rPr>
          <w:lang w:val="en-AU" w:eastAsia="en-AU"/>
        </w:rPr>
      </w:pPr>
      <w:r w:rsidRPr="00390B8A">
        <w:rPr>
          <w:lang w:val="en-AU" w:eastAsia="en-AU"/>
        </w:rPr>
        <w:t>have an accompanying note in the ‘Recommendation’ field o</w:t>
      </w:r>
      <w:r w:rsidRPr="005811CD">
        <w:rPr>
          <w:lang w:val="en-AU" w:eastAsia="en-AU"/>
        </w:rPr>
        <w:t xml:space="preserve">f the ESAt/JCA Report </w:t>
      </w:r>
      <w:proofErr w:type="gramStart"/>
      <w:r w:rsidRPr="005811CD">
        <w:rPr>
          <w:lang w:val="en-AU" w:eastAsia="en-AU"/>
        </w:rPr>
        <w:t>stating</w:t>
      </w:r>
      <w:proofErr w:type="gramEnd"/>
      <w:r w:rsidRPr="005811CD">
        <w:rPr>
          <w:lang w:val="en-AU" w:eastAsia="en-AU"/>
        </w:rPr>
        <w:t xml:space="preserve"> “The client can achieve 8+ hours per week with DES Ongoing Support”</w:t>
      </w:r>
      <w:r w:rsidRPr="00390B8A">
        <w:rPr>
          <w:lang w:val="en-AU" w:eastAsia="en-AU"/>
        </w:rPr>
        <w:t>.</w:t>
      </w:r>
    </w:p>
    <w:p w14:paraId="3F6D43D3" w14:textId="77777777" w:rsidR="00732D2E" w:rsidRPr="001465D1" w:rsidRDefault="00732D2E" w:rsidP="00732D2E">
      <w:pPr>
        <w:rPr>
          <w:lang w:val="en-AU" w:eastAsia="en-AU"/>
        </w:rPr>
      </w:pPr>
    </w:p>
    <w:p w14:paraId="5DCFBCD5" w14:textId="55026CCB" w:rsidR="00732D2E" w:rsidRDefault="00732D2E" w:rsidP="00732D2E">
      <w:pPr>
        <w:ind w:right="-34"/>
        <w:rPr>
          <w:lang w:val="en-AU" w:eastAsia="en-AU"/>
        </w:rPr>
      </w:pPr>
      <w:r w:rsidRPr="00160A1B">
        <w:rPr>
          <w:b/>
          <w:lang w:val="en-AU" w:eastAsia="en-AU"/>
        </w:rPr>
        <w:t>Note:</w:t>
      </w:r>
      <w:r>
        <w:rPr>
          <w:lang w:val="en-AU" w:eastAsia="en-AU"/>
        </w:rPr>
        <w:t xml:space="preserve"> See </w:t>
      </w:r>
      <w:r w:rsidRPr="00A116A5">
        <w:rPr>
          <w:b/>
          <w:lang w:val="en-AU" w:eastAsia="en-AU"/>
        </w:rPr>
        <w:t>Attachment A</w:t>
      </w:r>
      <w:r>
        <w:rPr>
          <w:lang w:val="en-AU" w:eastAsia="en-AU"/>
        </w:rPr>
        <w:t xml:space="preserve"> - </w:t>
      </w:r>
      <w:r w:rsidRPr="00DA398F">
        <w:rPr>
          <w:lang w:val="en-AU" w:eastAsia="en-AU"/>
        </w:rPr>
        <w:t xml:space="preserve">DES TRWC 0-14 </w:t>
      </w:r>
      <w:r>
        <w:rPr>
          <w:lang w:val="en-AU" w:eastAsia="en-AU"/>
        </w:rPr>
        <w:t>and</w:t>
      </w:r>
      <w:r w:rsidRPr="00DA398F">
        <w:rPr>
          <w:lang w:val="en-AU" w:eastAsia="en-AU"/>
        </w:rPr>
        <w:t xml:space="preserve"> PCW 0-14 </w:t>
      </w:r>
      <w:r w:rsidR="008E3734">
        <w:rPr>
          <w:lang w:val="en-AU" w:eastAsia="en-AU"/>
        </w:rPr>
        <w:t>provider</w:t>
      </w:r>
      <w:r w:rsidRPr="00DA398F">
        <w:rPr>
          <w:lang w:val="en-AU" w:eastAsia="en-AU"/>
        </w:rPr>
        <w:t xml:space="preserve"> Action Matrix</w:t>
      </w:r>
      <w:r>
        <w:rPr>
          <w:lang w:val="en-AU" w:eastAsia="en-AU"/>
        </w:rPr>
        <w:t xml:space="preserve"> for more information.</w:t>
      </w:r>
    </w:p>
    <w:p w14:paraId="20E88801" w14:textId="47127104" w:rsidR="00381626" w:rsidRDefault="00381626" w:rsidP="00213141">
      <w:pPr>
        <w:rPr>
          <w:lang w:val="en-AU" w:eastAsia="en-AU"/>
        </w:rPr>
      </w:pPr>
    </w:p>
    <w:p w14:paraId="298693A0" w14:textId="1FE36230" w:rsidR="00BA3C5C" w:rsidRDefault="00BA3C5C" w:rsidP="00213141">
      <w:pPr>
        <w:rPr>
          <w:lang w:val="en-AU" w:eastAsia="en-AU"/>
        </w:rPr>
      </w:pPr>
      <w:r>
        <w:rPr>
          <w:lang w:val="en-AU" w:eastAsia="en-AU"/>
        </w:rPr>
        <w:t>If a new ESAt</w:t>
      </w:r>
      <w:r w:rsidR="00376161">
        <w:rPr>
          <w:lang w:val="en-AU" w:eastAsia="en-AU"/>
        </w:rPr>
        <w:t xml:space="preserve"> determines that a current DES </w:t>
      </w:r>
      <w:r w:rsidR="008C37C4">
        <w:rPr>
          <w:lang w:val="en-AU" w:eastAsia="en-AU"/>
        </w:rPr>
        <w:t>participant</w:t>
      </w:r>
      <w:r>
        <w:rPr>
          <w:lang w:val="en-AU" w:eastAsia="en-AU"/>
        </w:rPr>
        <w:t xml:space="preserve"> is no longer capable of working eight hours per week, even with the ongoing support of their </w:t>
      </w:r>
      <w:r w:rsidR="007C1B39">
        <w:rPr>
          <w:lang w:val="en-AU" w:eastAsia="en-AU"/>
        </w:rPr>
        <w:t>p</w:t>
      </w:r>
      <w:r>
        <w:rPr>
          <w:lang w:val="en-AU" w:eastAsia="en-AU"/>
        </w:rPr>
        <w:t xml:space="preserve">rovider, the </w:t>
      </w:r>
      <w:r w:rsidR="008C37C4">
        <w:rPr>
          <w:lang w:val="en-AU" w:eastAsia="en-AU"/>
        </w:rPr>
        <w:t>participant</w:t>
      </w:r>
      <w:r>
        <w:rPr>
          <w:lang w:val="en-AU" w:eastAsia="en-AU"/>
        </w:rPr>
        <w:t xml:space="preserve"> </w:t>
      </w:r>
      <w:r w:rsidR="00376161">
        <w:rPr>
          <w:lang w:val="en-AU" w:eastAsia="en-AU"/>
        </w:rPr>
        <w:t>must</w:t>
      </w:r>
      <w:r>
        <w:rPr>
          <w:lang w:val="en-AU" w:eastAsia="en-AU"/>
        </w:rPr>
        <w:t xml:space="preserve"> be </w:t>
      </w:r>
      <w:proofErr w:type="gramStart"/>
      <w:r>
        <w:rPr>
          <w:lang w:val="en-AU" w:eastAsia="en-AU"/>
        </w:rPr>
        <w:t>exited</w:t>
      </w:r>
      <w:proofErr w:type="gramEnd"/>
      <w:r>
        <w:rPr>
          <w:lang w:val="en-AU" w:eastAsia="en-AU"/>
        </w:rPr>
        <w:t xml:space="preserve"> from DES. This is one instance where updated circumstances can end a </w:t>
      </w:r>
      <w:r w:rsidR="008C37C4">
        <w:rPr>
          <w:lang w:val="en-AU" w:eastAsia="en-AU"/>
        </w:rPr>
        <w:t>participant</w:t>
      </w:r>
      <w:r w:rsidR="00376691">
        <w:rPr>
          <w:lang w:val="en-AU" w:eastAsia="en-AU"/>
        </w:rPr>
        <w:t>’s Period of Service early.</w:t>
      </w:r>
    </w:p>
    <w:p w14:paraId="28D988E0" w14:textId="77777777" w:rsidR="00BA3C5C" w:rsidRDefault="00BA3C5C" w:rsidP="00213141">
      <w:pPr>
        <w:rPr>
          <w:lang w:val="en-AU" w:eastAsia="en-AU"/>
        </w:rPr>
      </w:pPr>
    </w:p>
    <w:p w14:paraId="72753C89" w14:textId="3DCF75D7" w:rsidR="00384AE7" w:rsidRDefault="00384AE7" w:rsidP="00213141">
      <w:pPr>
        <w:rPr>
          <w:lang w:val="en-AU" w:eastAsia="en-AU"/>
        </w:rPr>
      </w:pPr>
      <w:r>
        <w:rPr>
          <w:lang w:val="en-AU" w:eastAsia="en-AU"/>
        </w:rPr>
        <w:t xml:space="preserve">For Eligible School Leavers and Special Class Clients, who are ESAt/JCA exempt, </w:t>
      </w:r>
      <w:r w:rsidR="007640C3">
        <w:rPr>
          <w:lang w:val="en-AU" w:eastAsia="en-AU"/>
        </w:rPr>
        <w:t>p</w:t>
      </w:r>
      <w:r w:rsidRPr="00381626">
        <w:rPr>
          <w:lang w:val="en-AU" w:eastAsia="en-AU"/>
        </w:rPr>
        <w:t>roviders are responsible for assessing whether the job seeker has the capacity to work at least eight hours a week within two years of Commencing in DES with the</w:t>
      </w:r>
      <w:r>
        <w:rPr>
          <w:lang w:val="en-AU" w:eastAsia="en-AU"/>
        </w:rPr>
        <w:t xml:space="preserve"> </w:t>
      </w:r>
      <w:r w:rsidRPr="00381626">
        <w:rPr>
          <w:lang w:val="en-AU" w:eastAsia="en-AU"/>
        </w:rPr>
        <w:t xml:space="preserve">assistance of the DES </w:t>
      </w:r>
      <w:r w:rsidR="007640C3">
        <w:rPr>
          <w:lang w:val="en-AU" w:eastAsia="en-AU"/>
        </w:rPr>
        <w:t>p</w:t>
      </w:r>
      <w:r w:rsidRPr="00381626">
        <w:rPr>
          <w:lang w:val="en-AU" w:eastAsia="en-AU"/>
        </w:rPr>
        <w:t>rovider</w:t>
      </w:r>
      <w:r>
        <w:rPr>
          <w:lang w:val="en-AU" w:eastAsia="en-AU"/>
        </w:rPr>
        <w:t>. Refer to the relevant Guidelines for further information.</w:t>
      </w:r>
    </w:p>
    <w:p w14:paraId="028597CF" w14:textId="77777777" w:rsidR="00384AE7" w:rsidRDefault="00384AE7" w:rsidP="00213141">
      <w:pPr>
        <w:rPr>
          <w:lang w:val="en-AU" w:eastAsia="en-AU"/>
        </w:rPr>
      </w:pPr>
    </w:p>
    <w:p w14:paraId="0719A307" w14:textId="77777777" w:rsidR="00732D2E" w:rsidRDefault="00384AE7" w:rsidP="00213141">
      <w:pPr>
        <w:rPr>
          <w:lang w:val="en-AU" w:eastAsia="en-AU"/>
        </w:rPr>
      </w:pPr>
      <w:r>
        <w:rPr>
          <w:lang w:val="en-AU" w:eastAsia="en-AU"/>
        </w:rPr>
        <w:t>Job seekers are eligible for Work Assist only if they have been working for at least eight hours per week and require assistance to c</w:t>
      </w:r>
      <w:r w:rsidR="00732D2E">
        <w:rPr>
          <w:lang w:val="en-AU" w:eastAsia="en-AU"/>
        </w:rPr>
        <w:t>ontinue working at their normal hours of employment.</w:t>
      </w:r>
    </w:p>
    <w:p w14:paraId="1DE025BC" w14:textId="5FF494FE" w:rsidR="00DF494D" w:rsidRDefault="00DF494D" w:rsidP="00213141">
      <w:pPr>
        <w:rPr>
          <w:lang w:val="en-AU" w:eastAsia="en-AU"/>
        </w:rPr>
      </w:pPr>
    </w:p>
    <w:p w14:paraId="4504B6A8" w14:textId="28A471F2" w:rsidR="00772858" w:rsidRDefault="00271E89" w:rsidP="00213141">
      <w:pPr>
        <w:rPr>
          <w:lang w:val="en-AU" w:eastAsia="en-AU"/>
        </w:rPr>
      </w:pPr>
      <w:r>
        <w:rPr>
          <w:lang w:val="en-AU" w:eastAsia="en-AU"/>
        </w:rPr>
        <w:t>J</w:t>
      </w:r>
      <w:r w:rsidR="00772858">
        <w:rPr>
          <w:lang w:val="en-AU" w:eastAsia="en-AU"/>
        </w:rPr>
        <w:t xml:space="preserve">ob seekers with an assessed work capacity of </w:t>
      </w:r>
      <w:r w:rsidR="00135608">
        <w:rPr>
          <w:lang w:val="en-AU" w:eastAsia="en-AU"/>
        </w:rPr>
        <w:t xml:space="preserve">30 or more hours per week are ineligible to commence a DES period of service from 1 July 2021, but </w:t>
      </w:r>
      <w:r>
        <w:rPr>
          <w:lang w:val="en-AU" w:eastAsia="en-AU"/>
        </w:rPr>
        <w:t xml:space="preserve">current </w:t>
      </w:r>
      <w:r w:rsidR="008C37C4">
        <w:rPr>
          <w:lang w:val="en-AU" w:eastAsia="en-AU"/>
        </w:rPr>
        <w:t>participant</w:t>
      </w:r>
      <w:r>
        <w:rPr>
          <w:lang w:val="en-AU" w:eastAsia="en-AU"/>
        </w:rPr>
        <w:t xml:space="preserve">s with this work capacity </w:t>
      </w:r>
      <w:r w:rsidR="00135608">
        <w:rPr>
          <w:lang w:val="en-AU" w:eastAsia="en-AU"/>
        </w:rPr>
        <w:t xml:space="preserve">can complete </w:t>
      </w:r>
      <w:r>
        <w:rPr>
          <w:lang w:val="en-AU" w:eastAsia="en-AU"/>
        </w:rPr>
        <w:t>their</w:t>
      </w:r>
      <w:r w:rsidR="00135608">
        <w:rPr>
          <w:lang w:val="en-AU" w:eastAsia="en-AU"/>
        </w:rPr>
        <w:t xml:space="preserve"> existing </w:t>
      </w:r>
      <w:r>
        <w:rPr>
          <w:lang w:val="en-AU" w:eastAsia="en-AU"/>
        </w:rPr>
        <w:t>P</w:t>
      </w:r>
      <w:r w:rsidR="00135608">
        <w:rPr>
          <w:lang w:val="en-AU" w:eastAsia="en-AU"/>
        </w:rPr>
        <w:t xml:space="preserve">eriod of </w:t>
      </w:r>
      <w:r>
        <w:rPr>
          <w:lang w:val="en-AU" w:eastAsia="en-AU"/>
        </w:rPr>
        <w:t>S</w:t>
      </w:r>
      <w:r w:rsidR="00135608">
        <w:rPr>
          <w:lang w:val="en-AU" w:eastAsia="en-AU"/>
        </w:rPr>
        <w:t xml:space="preserve">ervice </w:t>
      </w:r>
      <w:r>
        <w:rPr>
          <w:lang w:val="en-AU" w:eastAsia="en-AU"/>
        </w:rPr>
        <w:t>and can</w:t>
      </w:r>
      <w:r w:rsidR="00135608">
        <w:rPr>
          <w:lang w:val="en-AU" w:eastAsia="en-AU"/>
        </w:rPr>
        <w:t xml:space="preserve"> continue to receive existing Ongoing Support.</w:t>
      </w:r>
    </w:p>
    <w:p w14:paraId="51477550" w14:textId="77777777" w:rsidR="00772858" w:rsidRPr="005B4640" w:rsidRDefault="00772858" w:rsidP="00213141">
      <w:pPr>
        <w:rPr>
          <w:lang w:val="en-AU" w:eastAsia="en-AU"/>
        </w:rPr>
      </w:pPr>
    </w:p>
    <w:p w14:paraId="33BB7531" w14:textId="09E645C5" w:rsidR="00073E0C" w:rsidRPr="00213141" w:rsidRDefault="00733697" w:rsidP="00213141">
      <w:pPr>
        <w:pStyle w:val="Heading4"/>
        <w:spacing w:before="0" w:after="0"/>
        <w:rPr>
          <w:b w:val="0"/>
          <w:sz w:val="22"/>
          <w:u w:val="single"/>
        </w:rPr>
      </w:pPr>
      <w:bookmarkStart w:id="45" w:name="_Toc459215444"/>
      <w:bookmarkStart w:id="46" w:name="_Toc459216211"/>
      <w:r w:rsidRPr="00213141">
        <w:rPr>
          <w:b w:val="0"/>
          <w:sz w:val="22"/>
          <w:u w:val="single"/>
        </w:rPr>
        <w:t>Australian R</w:t>
      </w:r>
      <w:r w:rsidR="00073E0C" w:rsidRPr="00213141">
        <w:rPr>
          <w:b w:val="0"/>
          <w:sz w:val="22"/>
          <w:u w:val="single"/>
        </w:rPr>
        <w:t>esiden</w:t>
      </w:r>
      <w:r w:rsidR="00256399">
        <w:rPr>
          <w:b w:val="0"/>
          <w:sz w:val="22"/>
          <w:u w:val="single"/>
        </w:rPr>
        <w:t>cy</w:t>
      </w:r>
      <w:bookmarkEnd w:id="45"/>
      <w:bookmarkEnd w:id="46"/>
    </w:p>
    <w:p w14:paraId="2EB48A21" w14:textId="154FD54B" w:rsidR="00E24FC8" w:rsidRPr="00073E0C" w:rsidRDefault="00E24FC8" w:rsidP="00213141">
      <w:pPr>
        <w:rPr>
          <w:lang w:val="en-AU"/>
        </w:rPr>
      </w:pPr>
      <w:r w:rsidRPr="003C2736">
        <w:t xml:space="preserve">To be eligible for DES a job seeker must be an Australian resident. </w:t>
      </w:r>
      <w:r w:rsidRPr="00073E0C">
        <w:rPr>
          <w:lang w:val="en-AU"/>
        </w:rPr>
        <w:t>An Australian resident is a person who resides in Australia and is one of the following:</w:t>
      </w:r>
    </w:p>
    <w:p w14:paraId="5F23D074" w14:textId="77777777" w:rsidR="00E24FC8" w:rsidRPr="004B3ED6" w:rsidRDefault="00E24FC8" w:rsidP="00213141">
      <w:pPr>
        <w:pStyle w:val="ListParagraph"/>
        <w:numPr>
          <w:ilvl w:val="0"/>
          <w:numId w:val="2"/>
        </w:numPr>
        <w:rPr>
          <w:lang w:val="en-AU"/>
        </w:rPr>
      </w:pPr>
      <w:r w:rsidRPr="004B3ED6">
        <w:rPr>
          <w:lang w:val="en-AU"/>
        </w:rPr>
        <w:t>an Australian citizen; or</w:t>
      </w:r>
    </w:p>
    <w:p w14:paraId="7C00E261" w14:textId="77777777" w:rsidR="00E24FC8" w:rsidRPr="004B3ED6" w:rsidRDefault="00E24FC8" w:rsidP="00213141">
      <w:pPr>
        <w:pStyle w:val="ListParagraph"/>
        <w:numPr>
          <w:ilvl w:val="0"/>
          <w:numId w:val="2"/>
        </w:numPr>
        <w:rPr>
          <w:lang w:val="en-AU"/>
        </w:rPr>
      </w:pPr>
      <w:r w:rsidRPr="004B3ED6">
        <w:rPr>
          <w:lang w:val="en-AU"/>
        </w:rPr>
        <w:t xml:space="preserve">the holder of a permanent resident visa; or </w:t>
      </w:r>
    </w:p>
    <w:p w14:paraId="30E82558" w14:textId="32B656E5" w:rsidR="00073E0C" w:rsidRPr="004B3ED6" w:rsidRDefault="00E24FC8" w:rsidP="00213141">
      <w:pPr>
        <w:pStyle w:val="ListParagraph"/>
        <w:numPr>
          <w:ilvl w:val="0"/>
          <w:numId w:val="2"/>
        </w:numPr>
        <w:rPr>
          <w:lang w:val="en-AU" w:eastAsia="en-AU"/>
        </w:rPr>
      </w:pPr>
      <w:r w:rsidRPr="004B3ED6">
        <w:rPr>
          <w:lang w:val="en-AU" w:eastAsia="en-AU"/>
        </w:rPr>
        <w:t>a Special Category Visa holder (SCV) who is a protected SCV holder.</w:t>
      </w:r>
      <w:r w:rsidR="00073E0C" w:rsidRPr="004B3ED6">
        <w:rPr>
          <w:lang w:val="en-AU" w:eastAsia="en-AU"/>
        </w:rPr>
        <w:t xml:space="preserve"> </w:t>
      </w:r>
    </w:p>
    <w:p w14:paraId="306BDE27" w14:textId="77777777" w:rsidR="000545DB" w:rsidRDefault="000545DB" w:rsidP="00213141">
      <w:pPr>
        <w:rPr>
          <w:b/>
          <w:lang w:val="en-AU" w:eastAsia="en-AU"/>
        </w:rPr>
      </w:pPr>
    </w:p>
    <w:p w14:paraId="6F281B8E" w14:textId="4FBC1DF8" w:rsidR="00E24FC8" w:rsidRPr="00733697" w:rsidRDefault="00E24FC8" w:rsidP="00213141">
      <w:pPr>
        <w:rPr>
          <w:lang w:val="en-AU" w:eastAsia="en-AU"/>
        </w:rPr>
      </w:pPr>
      <w:r w:rsidRPr="00733697">
        <w:rPr>
          <w:lang w:val="en-AU" w:eastAsia="en-AU"/>
        </w:rPr>
        <w:t>New Zealand citizens living in Australia who have not been granted permanent residency are generally holders of protected or non-protected SCVs. A New Zealand citizen is a protected SCV holder</w:t>
      </w:r>
      <w:r w:rsidR="0027562A">
        <w:rPr>
          <w:lang w:val="en-AU" w:eastAsia="en-AU"/>
        </w:rPr>
        <w:t>, and therefore eligible for DES, if</w:t>
      </w:r>
      <w:r w:rsidR="00374AE5">
        <w:rPr>
          <w:lang w:val="en-AU" w:eastAsia="en-AU"/>
        </w:rPr>
        <w:t xml:space="preserve"> he or she</w:t>
      </w:r>
      <w:r w:rsidRPr="00733697">
        <w:rPr>
          <w:lang w:val="en-AU" w:eastAsia="en-AU"/>
        </w:rPr>
        <w:t>:</w:t>
      </w:r>
    </w:p>
    <w:p w14:paraId="70B5FD9C" w14:textId="77777777" w:rsidR="00E24FC8" w:rsidRPr="004B3ED6" w:rsidRDefault="00E24FC8" w:rsidP="00213141">
      <w:pPr>
        <w:pStyle w:val="ListParagraph"/>
        <w:numPr>
          <w:ilvl w:val="0"/>
          <w:numId w:val="2"/>
        </w:numPr>
        <w:ind w:left="714" w:hanging="357"/>
        <w:rPr>
          <w:lang w:val="en-AU" w:eastAsia="en-AU"/>
        </w:rPr>
      </w:pPr>
      <w:r w:rsidRPr="004B3ED6">
        <w:rPr>
          <w:lang w:val="en-AU" w:eastAsia="en-AU"/>
        </w:rPr>
        <w:t>was in Australia on 26 February 2001 as a SCV holder; or</w:t>
      </w:r>
    </w:p>
    <w:p w14:paraId="10CF4096" w14:textId="77777777" w:rsidR="00E24FC8" w:rsidRPr="004B3ED6" w:rsidRDefault="00E24FC8" w:rsidP="00213141">
      <w:pPr>
        <w:pStyle w:val="ListParagraph"/>
        <w:numPr>
          <w:ilvl w:val="0"/>
          <w:numId w:val="2"/>
        </w:numPr>
        <w:rPr>
          <w:lang w:val="en-AU" w:eastAsia="en-AU"/>
        </w:rPr>
      </w:pPr>
      <w:r w:rsidRPr="004B3ED6">
        <w:rPr>
          <w:lang w:val="en-AU" w:eastAsia="en-AU"/>
        </w:rPr>
        <w:t>was outside Australia on 26 February 2001, but was in Australia as a SCV holder for a total of 12 months in the two years prior to that date, and subsequently returned to Australia; and</w:t>
      </w:r>
    </w:p>
    <w:p w14:paraId="79ED7828" w14:textId="77777777" w:rsidR="00E24FC8" w:rsidRPr="004B3ED6" w:rsidRDefault="00E24FC8" w:rsidP="00213141">
      <w:pPr>
        <w:pStyle w:val="ListParagraph"/>
        <w:numPr>
          <w:ilvl w:val="0"/>
          <w:numId w:val="2"/>
        </w:numPr>
        <w:rPr>
          <w:lang w:val="en-AU" w:eastAsia="en-AU"/>
        </w:rPr>
      </w:pPr>
      <w:r w:rsidRPr="004B3ED6">
        <w:rPr>
          <w:lang w:val="en-AU" w:eastAsia="en-AU"/>
        </w:rPr>
        <w:lastRenderedPageBreak/>
        <w:t xml:space="preserve">has a certificate issued under the </w:t>
      </w:r>
      <w:r w:rsidRPr="004B3ED6">
        <w:rPr>
          <w:i/>
          <w:lang w:val="en-AU" w:eastAsia="en-AU"/>
        </w:rPr>
        <w:t>Social Security Act 1991</w:t>
      </w:r>
      <w:r w:rsidRPr="004B3ED6">
        <w:rPr>
          <w:lang w:val="en-AU" w:eastAsia="en-AU"/>
        </w:rPr>
        <w:t xml:space="preserve"> stating that they were residing in A</w:t>
      </w:r>
      <w:r>
        <w:rPr>
          <w:lang w:val="en-AU" w:eastAsia="en-AU"/>
        </w:rPr>
        <w:t>ustralia on a particular date (t</w:t>
      </w:r>
      <w:r w:rsidRPr="004B3ED6">
        <w:rPr>
          <w:lang w:val="en-AU" w:eastAsia="en-AU"/>
        </w:rPr>
        <w:t>hese certificates are no longer issued).</w:t>
      </w:r>
    </w:p>
    <w:p w14:paraId="5F4EBBBB" w14:textId="77777777" w:rsidR="000545DB" w:rsidRDefault="000545DB" w:rsidP="00213141">
      <w:pPr>
        <w:rPr>
          <w:lang w:val="en-AU" w:eastAsia="en-AU"/>
        </w:rPr>
      </w:pPr>
    </w:p>
    <w:p w14:paraId="2627832E" w14:textId="675C69AB" w:rsidR="00E24FC8" w:rsidRPr="00733697" w:rsidRDefault="00E24FC8" w:rsidP="00213141">
      <w:pPr>
        <w:rPr>
          <w:lang w:val="en-AU" w:eastAsia="en-AU"/>
        </w:rPr>
      </w:pPr>
      <w:r w:rsidRPr="00733697">
        <w:rPr>
          <w:lang w:val="en-AU" w:eastAsia="en-AU"/>
        </w:rPr>
        <w:t xml:space="preserve">New Zealand citizens who do not meet these requirements </w:t>
      </w:r>
      <w:r>
        <w:rPr>
          <w:lang w:val="en-AU" w:eastAsia="en-AU"/>
        </w:rPr>
        <w:t>(</w:t>
      </w:r>
      <w:r w:rsidRPr="00733697">
        <w:rPr>
          <w:lang w:val="en-AU" w:eastAsia="en-AU"/>
        </w:rPr>
        <w:t>e.g. they arrived in Australia after 26</w:t>
      </w:r>
      <w:r>
        <w:rPr>
          <w:lang w:val="en-AU" w:eastAsia="en-AU"/>
        </w:rPr>
        <w:t> </w:t>
      </w:r>
      <w:r w:rsidRPr="00733697">
        <w:rPr>
          <w:lang w:val="en-AU" w:eastAsia="en-AU"/>
        </w:rPr>
        <w:t>February</w:t>
      </w:r>
      <w:r>
        <w:rPr>
          <w:lang w:val="en-AU" w:eastAsia="en-AU"/>
        </w:rPr>
        <w:t> </w:t>
      </w:r>
      <w:r w:rsidRPr="00733697">
        <w:rPr>
          <w:lang w:val="en-AU" w:eastAsia="en-AU"/>
        </w:rPr>
        <w:t>2001</w:t>
      </w:r>
      <w:r>
        <w:rPr>
          <w:lang w:val="en-AU" w:eastAsia="en-AU"/>
        </w:rPr>
        <w:t>)</w:t>
      </w:r>
      <w:r w:rsidRPr="00733697">
        <w:rPr>
          <w:lang w:val="en-AU" w:eastAsia="en-AU"/>
        </w:rPr>
        <w:t xml:space="preserve"> are non-protected visa holders and</w:t>
      </w:r>
      <w:r>
        <w:rPr>
          <w:lang w:val="en-AU" w:eastAsia="en-AU"/>
        </w:rPr>
        <w:t xml:space="preserve"> therefore</w:t>
      </w:r>
      <w:r w:rsidRPr="00733697">
        <w:rPr>
          <w:lang w:val="en-AU" w:eastAsia="en-AU"/>
        </w:rPr>
        <w:t xml:space="preserve"> are ineligible for DES.</w:t>
      </w:r>
    </w:p>
    <w:p w14:paraId="0C20005F" w14:textId="77777777" w:rsidR="000545DB" w:rsidRDefault="000545DB" w:rsidP="00213141">
      <w:pPr>
        <w:rPr>
          <w:lang w:val="en-AU" w:eastAsia="en-AU"/>
        </w:rPr>
      </w:pPr>
    </w:p>
    <w:p w14:paraId="4EFE3EE9" w14:textId="0723F8FC" w:rsidR="0027562A" w:rsidRDefault="0027562A" w:rsidP="00213141">
      <w:pPr>
        <w:rPr>
          <w:lang w:val="en-AU" w:eastAsia="en-AU"/>
        </w:rPr>
      </w:pPr>
      <w:r w:rsidRPr="00213141">
        <w:rPr>
          <w:lang w:val="en-AU" w:eastAsia="en-AU"/>
        </w:rPr>
        <w:t xml:space="preserve">Additionally, </w:t>
      </w:r>
      <w:r>
        <w:rPr>
          <w:lang w:val="en-AU" w:eastAsia="en-AU"/>
        </w:rPr>
        <w:t>f</w:t>
      </w:r>
      <w:r w:rsidR="00E24FC8" w:rsidRPr="00733697">
        <w:rPr>
          <w:lang w:val="en-AU" w:eastAsia="en-AU"/>
        </w:rPr>
        <w:t xml:space="preserve">rom 1 July 2014 eligible job seekers who are not permanent residents </w:t>
      </w:r>
      <w:r w:rsidR="00E24FC8">
        <w:rPr>
          <w:lang w:val="en-AU" w:eastAsia="en-AU"/>
        </w:rPr>
        <w:t>can access DES</w:t>
      </w:r>
      <w:r>
        <w:rPr>
          <w:lang w:val="en-AU" w:eastAsia="en-AU"/>
        </w:rPr>
        <w:noBreakHyphen/>
      </w:r>
      <w:r w:rsidR="00E24FC8">
        <w:rPr>
          <w:lang w:val="en-AU" w:eastAsia="en-AU"/>
        </w:rPr>
        <w:t>ESS</w:t>
      </w:r>
      <w:r>
        <w:rPr>
          <w:lang w:val="en-AU" w:eastAsia="en-AU"/>
        </w:rPr>
        <w:t xml:space="preserve"> (but not DES-DMS) if they hold either:</w:t>
      </w:r>
    </w:p>
    <w:p w14:paraId="34E2EC0A" w14:textId="4D1E4A53" w:rsidR="0027562A" w:rsidRDefault="0027562A" w:rsidP="00BE43FF">
      <w:pPr>
        <w:pStyle w:val="ListParagraph"/>
        <w:numPr>
          <w:ilvl w:val="0"/>
          <w:numId w:val="21"/>
        </w:numPr>
        <w:rPr>
          <w:lang w:val="en-AU" w:eastAsia="en-AU"/>
        </w:rPr>
      </w:pPr>
      <w:r>
        <w:rPr>
          <w:lang w:val="en-AU" w:eastAsia="en-AU"/>
        </w:rPr>
        <w:t>a Temporary Protection Visa (TPV); or</w:t>
      </w:r>
    </w:p>
    <w:p w14:paraId="2A36657C" w14:textId="7988789A" w:rsidR="0027562A" w:rsidRDefault="0027562A" w:rsidP="00BE43FF">
      <w:pPr>
        <w:pStyle w:val="ListParagraph"/>
        <w:numPr>
          <w:ilvl w:val="0"/>
          <w:numId w:val="21"/>
        </w:numPr>
        <w:rPr>
          <w:lang w:val="en-AU" w:eastAsia="en-AU"/>
        </w:rPr>
      </w:pPr>
      <w:proofErr w:type="gramStart"/>
      <w:r>
        <w:rPr>
          <w:lang w:val="en-AU" w:eastAsia="en-AU"/>
        </w:rPr>
        <w:t>a Safe Haven</w:t>
      </w:r>
      <w:proofErr w:type="gramEnd"/>
      <w:r>
        <w:rPr>
          <w:lang w:val="en-AU" w:eastAsia="en-AU"/>
        </w:rPr>
        <w:t xml:space="preserve"> Enterprise Visa (SHEV).</w:t>
      </w:r>
    </w:p>
    <w:p w14:paraId="0387AA81" w14:textId="77777777" w:rsidR="00376691" w:rsidRPr="00376691" w:rsidRDefault="00376691" w:rsidP="00213141">
      <w:pPr>
        <w:rPr>
          <w:lang w:val="en-AU" w:eastAsia="en-AU"/>
        </w:rPr>
      </w:pPr>
    </w:p>
    <w:p w14:paraId="61059EE2" w14:textId="7187B079" w:rsidR="00376691" w:rsidRPr="008A305F" w:rsidRDefault="00376691" w:rsidP="00213141">
      <w:pPr>
        <w:pStyle w:val="Heading4"/>
        <w:keepLines/>
        <w:spacing w:before="0" w:after="0"/>
        <w:rPr>
          <w:b w:val="0"/>
          <w:sz w:val="22"/>
          <w:u w:val="single"/>
        </w:rPr>
      </w:pPr>
      <w:r w:rsidRPr="008A305F">
        <w:rPr>
          <w:b w:val="0"/>
          <w:sz w:val="22"/>
          <w:u w:val="single"/>
        </w:rPr>
        <w:t>Job seekers who are studying</w:t>
      </w:r>
    </w:p>
    <w:p w14:paraId="3D54935D" w14:textId="11EB2B9E" w:rsidR="00376691" w:rsidRDefault="00376691" w:rsidP="00213141">
      <w:pPr>
        <w:keepNext/>
        <w:keepLines/>
        <w:rPr>
          <w:lang w:val="en-AU" w:eastAsia="en-AU"/>
        </w:rPr>
      </w:pPr>
      <w:r>
        <w:rPr>
          <w:lang w:val="en-AU" w:eastAsia="en-AU"/>
        </w:rPr>
        <w:t xml:space="preserve">Providers are responsible for checking whether a job seeker is a studying on a full-time basis. </w:t>
      </w:r>
    </w:p>
    <w:p w14:paraId="32E316EF" w14:textId="77777777" w:rsidR="00376691" w:rsidRDefault="00376691" w:rsidP="00213141">
      <w:pPr>
        <w:keepLines/>
        <w:rPr>
          <w:lang w:val="en-AU" w:eastAsia="en-AU"/>
        </w:rPr>
      </w:pPr>
      <w:r>
        <w:rPr>
          <w:lang w:val="en-AU" w:eastAsia="en-AU"/>
        </w:rPr>
        <w:t>Full</w:t>
      </w:r>
      <w:r w:rsidRPr="00D234A8">
        <w:rPr>
          <w:lang w:val="en-AU" w:eastAsia="en-AU"/>
        </w:rPr>
        <w:t xml:space="preserve">-time students are </w:t>
      </w:r>
      <w:r>
        <w:rPr>
          <w:lang w:val="en-AU" w:eastAsia="en-AU"/>
        </w:rPr>
        <w:t xml:space="preserve">generally </w:t>
      </w:r>
      <w:r w:rsidRPr="00D234A8">
        <w:rPr>
          <w:lang w:val="en-AU" w:eastAsia="en-AU"/>
        </w:rPr>
        <w:t>ineligible to Commence in DES</w:t>
      </w:r>
      <w:r>
        <w:rPr>
          <w:lang w:val="en-AU" w:eastAsia="en-AU"/>
        </w:rPr>
        <w:t>, except as Eligible School Leavers</w:t>
      </w:r>
      <w:r w:rsidRPr="00D234A8">
        <w:rPr>
          <w:lang w:val="en-AU" w:eastAsia="en-AU"/>
        </w:rPr>
        <w:t xml:space="preserve">. </w:t>
      </w:r>
    </w:p>
    <w:p w14:paraId="4D723B05" w14:textId="77777777" w:rsidR="00376691" w:rsidRDefault="00376691" w:rsidP="00376691">
      <w:pPr>
        <w:rPr>
          <w:lang w:val="en-AU" w:eastAsia="en-AU"/>
        </w:rPr>
      </w:pPr>
    </w:p>
    <w:p w14:paraId="2FAD2F8D" w14:textId="358244FA" w:rsidR="00376691" w:rsidRDefault="00376691" w:rsidP="00376691">
      <w:pPr>
        <w:rPr>
          <w:lang w:val="en-AU" w:eastAsia="en-AU"/>
        </w:rPr>
      </w:pPr>
      <w:r>
        <w:rPr>
          <w:lang w:val="en-AU" w:eastAsia="en-AU"/>
        </w:rPr>
        <w:t xml:space="preserve">Where a job seeker with Mutual Obligation Requirements or participation requirements who is Referred </w:t>
      </w:r>
      <w:r w:rsidR="00C03704">
        <w:rPr>
          <w:lang w:val="en-AU" w:eastAsia="en-AU"/>
        </w:rPr>
        <w:t xml:space="preserve">to the </w:t>
      </w:r>
      <w:r w:rsidR="007A3717">
        <w:rPr>
          <w:lang w:val="en-AU" w:eastAsia="en-AU"/>
        </w:rPr>
        <w:t>p</w:t>
      </w:r>
      <w:r>
        <w:rPr>
          <w:lang w:val="en-AU" w:eastAsia="en-AU"/>
        </w:rPr>
        <w:t xml:space="preserve">rovider by Services Australia declares they are studying full-time, the </w:t>
      </w:r>
      <w:r w:rsidR="007A3717">
        <w:rPr>
          <w:lang w:val="en-AU" w:eastAsia="en-AU"/>
        </w:rPr>
        <w:t>p</w:t>
      </w:r>
      <w:r>
        <w:rPr>
          <w:lang w:val="en-AU" w:eastAsia="en-AU"/>
        </w:rPr>
        <w:t xml:space="preserve">rovider should ask the job seeker if they have notified Services Australia of their full-time study. </w:t>
      </w:r>
    </w:p>
    <w:p w14:paraId="2205F9D5" w14:textId="7A91632E" w:rsidR="00376691" w:rsidRDefault="00376691" w:rsidP="00BE43FF">
      <w:pPr>
        <w:pStyle w:val="ListParagraph"/>
        <w:numPr>
          <w:ilvl w:val="0"/>
          <w:numId w:val="22"/>
        </w:numPr>
        <w:rPr>
          <w:lang w:val="en-AU" w:eastAsia="en-AU"/>
        </w:rPr>
      </w:pPr>
      <w:r w:rsidRPr="00374AE5">
        <w:rPr>
          <w:lang w:val="en-AU" w:eastAsia="en-AU"/>
        </w:rPr>
        <w:t>If Services Australia has been notified</w:t>
      </w:r>
      <w:r w:rsidR="00135608">
        <w:rPr>
          <w:lang w:val="en-AU" w:eastAsia="en-AU"/>
        </w:rPr>
        <w:t>,</w:t>
      </w:r>
      <w:r w:rsidRPr="00374AE5">
        <w:rPr>
          <w:lang w:val="en-AU" w:eastAsia="en-AU"/>
        </w:rPr>
        <w:t xml:space="preserve"> the job seeker </w:t>
      </w:r>
      <w:r w:rsidR="00376161">
        <w:rPr>
          <w:lang w:val="en-AU" w:eastAsia="en-AU"/>
        </w:rPr>
        <w:t>meets the eligibility requirement</w:t>
      </w:r>
      <w:r w:rsidR="00135608">
        <w:rPr>
          <w:lang w:val="en-AU" w:eastAsia="en-AU"/>
        </w:rPr>
        <w:t>,</w:t>
      </w:r>
      <w:r w:rsidRPr="00374AE5">
        <w:rPr>
          <w:lang w:val="en-AU" w:eastAsia="en-AU"/>
        </w:rPr>
        <w:t xml:space="preserve"> as Services Australia</w:t>
      </w:r>
      <w:r w:rsidRPr="00C24236">
        <w:rPr>
          <w:lang w:val="en-AU" w:eastAsia="en-AU"/>
        </w:rPr>
        <w:t xml:space="preserve"> has determined that the job seeker must participate in DES. </w:t>
      </w:r>
    </w:p>
    <w:p w14:paraId="5A4E3067" w14:textId="77777777" w:rsidR="00376691" w:rsidRDefault="00376691" w:rsidP="00BE43FF">
      <w:pPr>
        <w:pStyle w:val="ListParagraph"/>
        <w:numPr>
          <w:ilvl w:val="0"/>
          <w:numId w:val="22"/>
        </w:numPr>
        <w:rPr>
          <w:lang w:val="en-AU" w:eastAsia="en-AU"/>
        </w:rPr>
      </w:pPr>
      <w:r w:rsidRPr="00374AE5">
        <w:rPr>
          <w:lang w:val="en-AU" w:eastAsia="en-AU"/>
        </w:rPr>
        <w:t xml:space="preserve">If the job seeker has not notified Services Australia, they should be </w:t>
      </w:r>
      <w:proofErr w:type="gramStart"/>
      <w:r w:rsidRPr="00374AE5">
        <w:rPr>
          <w:lang w:val="en-AU" w:eastAsia="en-AU"/>
        </w:rPr>
        <w:t>referred back</w:t>
      </w:r>
      <w:proofErr w:type="gramEnd"/>
      <w:r w:rsidRPr="00374AE5">
        <w:rPr>
          <w:lang w:val="en-AU" w:eastAsia="en-AU"/>
        </w:rPr>
        <w:t xml:space="preserve"> to Services Australia to discuss their circumstances. </w:t>
      </w:r>
    </w:p>
    <w:p w14:paraId="04A3B8F6" w14:textId="77777777" w:rsidR="00376691" w:rsidRDefault="00376691" w:rsidP="00376691">
      <w:pPr>
        <w:rPr>
          <w:lang w:val="en-AU" w:eastAsia="en-AU"/>
        </w:rPr>
      </w:pPr>
    </w:p>
    <w:p w14:paraId="17FB6B2B" w14:textId="42AE34F5" w:rsidR="00376691" w:rsidRDefault="00376691" w:rsidP="00376691">
      <w:pPr>
        <w:rPr>
          <w:lang w:val="en-AU" w:eastAsia="en-AU"/>
        </w:rPr>
      </w:pPr>
      <w:r w:rsidRPr="00374AE5">
        <w:rPr>
          <w:lang w:val="en-AU" w:eastAsia="en-AU"/>
        </w:rPr>
        <w:t>Job seekers who are undertaking part-time study may be eligible to Commence in DES provided they are looking for work and meet all other el</w:t>
      </w:r>
      <w:r w:rsidRPr="005B4640">
        <w:rPr>
          <w:lang w:val="en-AU" w:eastAsia="en-AU"/>
        </w:rPr>
        <w:t>igibility criteria.</w:t>
      </w:r>
    </w:p>
    <w:p w14:paraId="234B1422" w14:textId="77777777" w:rsidR="00376691" w:rsidRDefault="00376691" w:rsidP="00376691"/>
    <w:p w14:paraId="29799EF2" w14:textId="77777777" w:rsidR="00376691" w:rsidRPr="000F326C" w:rsidRDefault="00376691" w:rsidP="00376691">
      <w:pPr>
        <w:pStyle w:val="Heading4"/>
        <w:spacing w:before="0" w:after="0"/>
        <w:rPr>
          <w:b w:val="0"/>
          <w:sz w:val="22"/>
          <w:u w:val="single"/>
        </w:rPr>
      </w:pPr>
      <w:r w:rsidRPr="000F326C">
        <w:rPr>
          <w:b w:val="0"/>
          <w:sz w:val="22"/>
          <w:u w:val="single"/>
        </w:rPr>
        <w:t>Employment Benchmark hours</w:t>
      </w:r>
    </w:p>
    <w:p w14:paraId="5392F292" w14:textId="4D610E0B" w:rsidR="00475AD0" w:rsidRDefault="00376691" w:rsidP="00376691">
      <w:pPr>
        <w:rPr>
          <w:lang w:val="en-AU" w:eastAsia="en-AU"/>
        </w:rPr>
      </w:pPr>
      <w:r>
        <w:rPr>
          <w:lang w:val="en-AU" w:eastAsia="en-AU"/>
        </w:rPr>
        <w:t xml:space="preserve">Providers are responsible for checking whether a job seeker </w:t>
      </w:r>
      <w:r w:rsidR="00376161">
        <w:rPr>
          <w:lang w:val="en-AU" w:eastAsia="en-AU"/>
        </w:rPr>
        <w:t xml:space="preserve">is </w:t>
      </w:r>
      <w:r>
        <w:rPr>
          <w:lang w:val="en-AU" w:eastAsia="en-AU"/>
        </w:rPr>
        <w:t>already working at their Employment Benchmark hour</w:t>
      </w:r>
      <w:r w:rsidR="00475AD0">
        <w:rPr>
          <w:lang w:val="en-AU" w:eastAsia="en-AU"/>
        </w:rPr>
        <w:t>s at Commencement</w:t>
      </w:r>
      <w:r>
        <w:rPr>
          <w:lang w:val="en-AU" w:eastAsia="en-AU"/>
        </w:rPr>
        <w:t xml:space="preserve">. </w:t>
      </w:r>
      <w:r w:rsidR="009D15AA" w:rsidRPr="00CC6EA4">
        <w:rPr>
          <w:lang w:val="en-AU" w:eastAsia="en-AU"/>
        </w:rPr>
        <w:t xml:space="preserve">When determining whether a job seeker is working at or above their Employment Benchmark hours, the DES </w:t>
      </w:r>
      <w:r w:rsidR="00D51276">
        <w:rPr>
          <w:lang w:val="en-AU" w:eastAsia="en-AU"/>
        </w:rPr>
        <w:t>p</w:t>
      </w:r>
      <w:r w:rsidR="009D15AA">
        <w:rPr>
          <w:lang w:val="en-AU" w:eastAsia="en-AU"/>
        </w:rPr>
        <w:t>rovider</w:t>
      </w:r>
      <w:r w:rsidR="009D15AA" w:rsidRPr="00CC6EA4">
        <w:rPr>
          <w:lang w:val="en-AU" w:eastAsia="en-AU"/>
        </w:rPr>
        <w:t xml:space="preserve"> should consider the hours th</w:t>
      </w:r>
      <w:r w:rsidR="009D15AA">
        <w:rPr>
          <w:lang w:val="en-AU" w:eastAsia="en-AU"/>
        </w:rPr>
        <w:t xml:space="preserve">at the </w:t>
      </w:r>
      <w:r w:rsidR="008C37C4">
        <w:rPr>
          <w:lang w:val="en-AU" w:eastAsia="en-AU"/>
        </w:rPr>
        <w:t>participant</w:t>
      </w:r>
      <w:r w:rsidR="009D15AA" w:rsidRPr="00CC6EA4">
        <w:rPr>
          <w:lang w:val="en-AU" w:eastAsia="en-AU"/>
        </w:rPr>
        <w:t xml:space="preserve"> normally works in their job, discounting periods of leave or recently reduced/increased hours.</w:t>
      </w:r>
      <w:r w:rsidR="009D15AA">
        <w:rPr>
          <w:lang w:val="en-AU" w:eastAsia="en-AU"/>
        </w:rPr>
        <w:t xml:space="preserve"> </w:t>
      </w:r>
      <w:r w:rsidR="00475AD0">
        <w:rPr>
          <w:lang w:val="en-AU" w:eastAsia="en-AU"/>
        </w:rPr>
        <w:t>Job seekers who are already working at a level defined as being an appropriate outcome through DES are considered ineligible as they are unable to benefit from DES.</w:t>
      </w:r>
    </w:p>
    <w:p w14:paraId="25020C96" w14:textId="77777777" w:rsidR="00475AD0" w:rsidRDefault="00475AD0" w:rsidP="00376691">
      <w:pPr>
        <w:rPr>
          <w:lang w:val="en-AU" w:eastAsia="en-AU"/>
        </w:rPr>
      </w:pPr>
    </w:p>
    <w:p w14:paraId="784D302B" w14:textId="18994651" w:rsidR="009D15AA" w:rsidRDefault="00475AD0" w:rsidP="00213141">
      <w:pPr>
        <w:rPr>
          <w:lang w:val="en-AU" w:eastAsia="en-AU"/>
        </w:rPr>
      </w:pPr>
      <w:r>
        <w:rPr>
          <w:lang w:val="en-AU" w:eastAsia="en-AU"/>
        </w:rPr>
        <w:t xml:space="preserve">If a job seeker is commenced before the </w:t>
      </w:r>
      <w:r w:rsidR="00D51276">
        <w:rPr>
          <w:lang w:val="en-AU" w:eastAsia="en-AU"/>
        </w:rPr>
        <w:t>p</w:t>
      </w:r>
      <w:r>
        <w:rPr>
          <w:lang w:val="en-AU" w:eastAsia="en-AU"/>
        </w:rPr>
        <w:t xml:space="preserve">rovider becomes aware of the employment conditions, the placement is considered Pre-Existing </w:t>
      </w:r>
      <w:proofErr w:type="gramStart"/>
      <w:r>
        <w:rPr>
          <w:lang w:val="en-AU" w:eastAsia="en-AU"/>
        </w:rPr>
        <w:t>Employment</w:t>
      </w:r>
      <w:proofErr w:type="gramEnd"/>
      <w:r>
        <w:rPr>
          <w:lang w:val="en-AU" w:eastAsia="en-AU"/>
        </w:rPr>
        <w:t xml:space="preserve"> and the </w:t>
      </w:r>
      <w:r w:rsidR="00D51276">
        <w:rPr>
          <w:lang w:val="en-AU" w:eastAsia="en-AU"/>
        </w:rPr>
        <w:t>p</w:t>
      </w:r>
      <w:r>
        <w:rPr>
          <w:lang w:val="en-AU" w:eastAsia="en-AU"/>
        </w:rPr>
        <w:t xml:space="preserve">rovider is ineligible to claim any Outcome Fee for that placement under paragraph (x) of the definition of Non-Payable Outcome in the DES Grant Agreement. </w:t>
      </w:r>
    </w:p>
    <w:p w14:paraId="2D09C47F" w14:textId="77777777" w:rsidR="009D15AA" w:rsidRDefault="009D15AA" w:rsidP="00213141">
      <w:pPr>
        <w:rPr>
          <w:lang w:val="en-AU" w:eastAsia="en-AU"/>
        </w:rPr>
      </w:pPr>
    </w:p>
    <w:p w14:paraId="39D37F09" w14:textId="21ADE38C" w:rsidR="00376691" w:rsidRDefault="00475AD0" w:rsidP="00213141">
      <w:pPr>
        <w:rPr>
          <w:lang w:val="en-AU" w:eastAsia="en-AU"/>
        </w:rPr>
      </w:pPr>
      <w:r>
        <w:rPr>
          <w:lang w:val="en-AU" w:eastAsia="en-AU"/>
        </w:rPr>
        <w:t xml:space="preserve">A </w:t>
      </w:r>
      <w:r w:rsidR="008C37C4">
        <w:rPr>
          <w:lang w:val="en-AU" w:eastAsia="en-AU"/>
        </w:rPr>
        <w:t>participant</w:t>
      </w:r>
      <w:r>
        <w:rPr>
          <w:lang w:val="en-AU" w:eastAsia="en-AU"/>
        </w:rPr>
        <w:t xml:space="preserve"> working below their Employment Benchmark </w:t>
      </w:r>
      <w:r w:rsidR="009D15AA">
        <w:rPr>
          <w:lang w:val="en-AU" w:eastAsia="en-AU"/>
        </w:rPr>
        <w:t xml:space="preserve">at the time of commencement in DES </w:t>
      </w:r>
      <w:r>
        <w:rPr>
          <w:lang w:val="en-AU" w:eastAsia="en-AU"/>
        </w:rPr>
        <w:t>can achieve an outcome by increasing their employment hours to their Employment Benchmark while in DES.</w:t>
      </w:r>
      <w:r w:rsidR="00376691" w:rsidRPr="00B9621A">
        <w:rPr>
          <w:lang w:val="en-AU" w:eastAsia="en-AU"/>
        </w:rPr>
        <w:t xml:space="preserve"> Refer to the </w:t>
      </w:r>
      <w:r w:rsidR="00376691" w:rsidRPr="00B9621A">
        <w:rPr>
          <w:i/>
          <w:lang w:val="en-AU" w:eastAsia="en-AU"/>
        </w:rPr>
        <w:t>DES Outcome Guidelines</w:t>
      </w:r>
      <w:r w:rsidR="00376691" w:rsidRPr="00B9621A">
        <w:rPr>
          <w:lang w:val="en-AU" w:eastAsia="en-AU"/>
        </w:rPr>
        <w:t xml:space="preserve"> for further information.</w:t>
      </w:r>
    </w:p>
    <w:p w14:paraId="57F70D40" w14:textId="67B6BD95" w:rsidR="00135608" w:rsidRDefault="00135608" w:rsidP="00135608">
      <w:pPr>
        <w:keepLines/>
        <w:rPr>
          <w:lang w:val="en-AU" w:eastAsia="en-AU"/>
        </w:rPr>
      </w:pPr>
    </w:p>
    <w:p w14:paraId="71203BEB" w14:textId="3582D906" w:rsidR="009D15AA" w:rsidRDefault="009D15AA" w:rsidP="009D15AA">
      <w:pPr>
        <w:rPr>
          <w:lang w:val="en-AU" w:eastAsia="en-AU"/>
        </w:rPr>
      </w:pPr>
      <w:r w:rsidRPr="00242BB3">
        <w:rPr>
          <w:b/>
          <w:lang w:val="en-AU" w:eastAsia="en-AU"/>
        </w:rPr>
        <w:t>Note</w:t>
      </w:r>
      <w:r w:rsidRPr="00160A1B">
        <w:rPr>
          <w:b/>
          <w:lang w:val="en-AU" w:eastAsia="en-AU"/>
        </w:rPr>
        <w:t>:</w:t>
      </w:r>
      <w:r>
        <w:rPr>
          <w:lang w:val="en-AU" w:eastAsia="en-AU"/>
        </w:rPr>
        <w:t xml:space="preserve"> A DES </w:t>
      </w:r>
      <w:r w:rsidR="00DE6F66">
        <w:rPr>
          <w:lang w:val="en-AU" w:eastAsia="en-AU"/>
        </w:rPr>
        <w:t>p</w:t>
      </w:r>
      <w:r>
        <w:rPr>
          <w:lang w:val="en-AU" w:eastAsia="en-AU"/>
        </w:rPr>
        <w:t>rovider</w:t>
      </w:r>
      <w:r w:rsidRPr="00CC6EA4">
        <w:rPr>
          <w:lang w:val="en-AU" w:eastAsia="en-AU"/>
        </w:rPr>
        <w:t xml:space="preserve"> should keep documentary evidence to support their decision.</w:t>
      </w:r>
    </w:p>
    <w:p w14:paraId="6893FE01" w14:textId="77777777" w:rsidR="009D15AA" w:rsidRDefault="009D15AA" w:rsidP="00135608">
      <w:pPr>
        <w:keepLines/>
        <w:rPr>
          <w:lang w:val="en-AU" w:eastAsia="en-AU"/>
        </w:rPr>
      </w:pPr>
    </w:p>
    <w:p w14:paraId="4307500B" w14:textId="77777777" w:rsidR="00135608" w:rsidRPr="00B9621A" w:rsidRDefault="00135608" w:rsidP="00135608">
      <w:pPr>
        <w:keepLines/>
        <w:rPr>
          <w:lang w:val="en-AU" w:eastAsia="en-AU"/>
        </w:rPr>
      </w:pPr>
    </w:p>
    <w:p w14:paraId="3BC43EC5" w14:textId="21A19CE5" w:rsidR="00135608" w:rsidRPr="00822612" w:rsidRDefault="00135608" w:rsidP="00135608">
      <w:pPr>
        <w:pStyle w:val="Heading4"/>
        <w:spacing w:before="0" w:after="240"/>
      </w:pPr>
      <w:r>
        <w:t>Eligibility from 1 July 2021</w:t>
      </w:r>
    </w:p>
    <w:p w14:paraId="51FAEC37" w14:textId="77777777" w:rsidR="00135608" w:rsidRPr="0041362E" w:rsidRDefault="00135608" w:rsidP="00135608">
      <w:pPr>
        <w:ind w:right="-34"/>
        <w:rPr>
          <w:u w:val="single"/>
        </w:rPr>
      </w:pPr>
      <w:r w:rsidRPr="0041362E">
        <w:rPr>
          <w:u w:val="single"/>
        </w:rPr>
        <w:t xml:space="preserve">Job seekers </w:t>
      </w:r>
      <w:r w:rsidRPr="00213141">
        <w:rPr>
          <w:u w:val="single"/>
        </w:rPr>
        <w:t>with a 30+</w:t>
      </w:r>
      <w:r w:rsidRPr="00135608">
        <w:rPr>
          <w:u w:val="single"/>
        </w:rPr>
        <w:t xml:space="preserve"> </w:t>
      </w:r>
      <w:r w:rsidRPr="00213141">
        <w:rPr>
          <w:u w:val="single"/>
        </w:rPr>
        <w:t>hour work capacity</w:t>
      </w:r>
    </w:p>
    <w:p w14:paraId="2244DB51" w14:textId="77777777" w:rsidR="00135608" w:rsidRDefault="00135608" w:rsidP="00135608">
      <w:pPr>
        <w:rPr>
          <w:lang w:val="en-AU" w:eastAsia="en-AU"/>
        </w:rPr>
      </w:pPr>
      <w:r>
        <w:rPr>
          <w:lang w:val="en-AU" w:eastAsia="en-AU"/>
        </w:rPr>
        <w:t>From 1 July 2021, j</w:t>
      </w:r>
      <w:r w:rsidRPr="00B312B4">
        <w:rPr>
          <w:lang w:val="en-AU" w:eastAsia="en-AU"/>
        </w:rPr>
        <w:t xml:space="preserve">ob seekers </w:t>
      </w:r>
      <w:r>
        <w:rPr>
          <w:lang w:val="en-AU" w:eastAsia="en-AU"/>
        </w:rPr>
        <w:t>are not eligible to commence a DES program if they have in the ‘Work Capacity’ field of the ESAt/JCA either:</w:t>
      </w:r>
    </w:p>
    <w:p w14:paraId="469E6407" w14:textId="77777777" w:rsidR="00135608" w:rsidRDefault="00135608" w:rsidP="00BE43FF">
      <w:pPr>
        <w:pStyle w:val="ListParagraph"/>
        <w:numPr>
          <w:ilvl w:val="0"/>
          <w:numId w:val="23"/>
        </w:numPr>
        <w:rPr>
          <w:lang w:val="en-AU" w:eastAsia="en-AU"/>
        </w:rPr>
      </w:pPr>
      <w:r>
        <w:rPr>
          <w:lang w:val="en-AU" w:eastAsia="en-AU"/>
        </w:rPr>
        <w:t>“Baseline Work Capacity: 30+ hours per week”; or</w:t>
      </w:r>
    </w:p>
    <w:p w14:paraId="457043D3" w14:textId="77777777" w:rsidR="00135608" w:rsidRDefault="00135608" w:rsidP="00BE43FF">
      <w:pPr>
        <w:pStyle w:val="ListParagraph"/>
        <w:numPr>
          <w:ilvl w:val="0"/>
          <w:numId w:val="23"/>
        </w:numPr>
        <w:rPr>
          <w:lang w:val="en-AU" w:eastAsia="en-AU"/>
        </w:rPr>
      </w:pPr>
      <w:r>
        <w:rPr>
          <w:lang w:val="en-AU" w:eastAsia="en-AU"/>
        </w:rPr>
        <w:t>“C</w:t>
      </w:r>
      <w:r w:rsidRPr="00160A1B">
        <w:rPr>
          <w:lang w:val="en-AU" w:eastAsia="en-AU"/>
        </w:rPr>
        <w:t>apacity for work within 2 years with Intervention</w:t>
      </w:r>
      <w:r>
        <w:rPr>
          <w:lang w:val="en-AU" w:eastAsia="en-AU"/>
        </w:rPr>
        <w:t>: 30+</w:t>
      </w:r>
      <w:r w:rsidRPr="00160A1B">
        <w:rPr>
          <w:lang w:val="en-AU" w:eastAsia="en-AU"/>
        </w:rPr>
        <w:t xml:space="preserve"> hours</w:t>
      </w:r>
      <w:r>
        <w:rPr>
          <w:lang w:val="en-AU" w:eastAsia="en-AU"/>
        </w:rPr>
        <w:t xml:space="preserve"> per week”.</w:t>
      </w:r>
    </w:p>
    <w:p w14:paraId="7EE6C2FA" w14:textId="77777777" w:rsidR="00135608" w:rsidRDefault="00135608" w:rsidP="00135608">
      <w:pPr>
        <w:rPr>
          <w:lang w:val="en-AU" w:eastAsia="en-AU"/>
        </w:rPr>
      </w:pPr>
    </w:p>
    <w:p w14:paraId="78CB7358" w14:textId="37270A6C" w:rsidR="00135608" w:rsidRDefault="00135608" w:rsidP="00135608">
      <w:pPr>
        <w:rPr>
          <w:lang w:val="en-AU" w:eastAsia="en-AU"/>
        </w:rPr>
      </w:pPr>
      <w:r>
        <w:rPr>
          <w:lang w:val="en-AU" w:eastAsia="en-AU"/>
        </w:rPr>
        <w:t xml:space="preserve">These job seekers with a higher capacity for work are eligible for support through other employment services. The Department’s IT Systems will not allow these </w:t>
      </w:r>
      <w:r w:rsidR="005E6801">
        <w:rPr>
          <w:lang w:val="en-AU" w:eastAsia="en-AU"/>
        </w:rPr>
        <w:t>job seekers</w:t>
      </w:r>
      <w:r>
        <w:rPr>
          <w:lang w:val="en-AU" w:eastAsia="en-AU"/>
        </w:rPr>
        <w:t xml:space="preserve"> to be Commenced in DES. </w:t>
      </w:r>
    </w:p>
    <w:p w14:paraId="2207CC00" w14:textId="77777777" w:rsidR="00135608" w:rsidRDefault="00135608" w:rsidP="00135608">
      <w:pPr>
        <w:rPr>
          <w:lang w:val="en-AU" w:eastAsia="en-AU"/>
        </w:rPr>
      </w:pPr>
    </w:p>
    <w:p w14:paraId="75D2DC0A" w14:textId="7AD862A1" w:rsidR="00135608" w:rsidRDefault="00DE4C40" w:rsidP="00135608">
      <w:pPr>
        <w:rPr>
          <w:lang w:val="en-AU" w:eastAsia="en-AU"/>
        </w:rPr>
      </w:pPr>
      <w:r>
        <w:rPr>
          <w:lang w:val="en-AU" w:eastAsia="en-AU"/>
        </w:rPr>
        <w:lastRenderedPageBreak/>
        <w:t xml:space="preserve">Any </w:t>
      </w:r>
      <w:r w:rsidR="008C37C4">
        <w:rPr>
          <w:lang w:val="en-AU" w:eastAsia="en-AU"/>
        </w:rPr>
        <w:t>participant</w:t>
      </w:r>
      <w:r w:rsidR="00135608">
        <w:rPr>
          <w:lang w:val="en-AU" w:eastAsia="en-AU"/>
        </w:rPr>
        <w:t xml:space="preserve"> who commenced DES with these assessed capacities before 1 July 2021 can continue </w:t>
      </w:r>
      <w:r w:rsidR="00135608" w:rsidRPr="002D50AB">
        <w:rPr>
          <w:lang w:val="en-AU" w:eastAsia="en-AU"/>
        </w:rPr>
        <w:t xml:space="preserve">their current </w:t>
      </w:r>
      <w:r w:rsidR="00135608">
        <w:rPr>
          <w:lang w:val="en-AU" w:eastAsia="en-AU"/>
        </w:rPr>
        <w:t>P</w:t>
      </w:r>
      <w:r w:rsidR="00135608" w:rsidRPr="002D50AB">
        <w:rPr>
          <w:lang w:val="en-AU" w:eastAsia="en-AU"/>
        </w:rPr>
        <w:t xml:space="preserve">eriod of </w:t>
      </w:r>
      <w:r w:rsidR="00135608">
        <w:rPr>
          <w:lang w:val="en-AU" w:eastAsia="en-AU"/>
        </w:rPr>
        <w:t>S</w:t>
      </w:r>
      <w:r w:rsidR="00135608" w:rsidRPr="002D50AB">
        <w:rPr>
          <w:lang w:val="en-AU" w:eastAsia="en-AU"/>
        </w:rPr>
        <w:t>ervice</w:t>
      </w:r>
      <w:r w:rsidR="00135608">
        <w:rPr>
          <w:lang w:val="en-AU" w:eastAsia="en-AU"/>
        </w:rPr>
        <w:t xml:space="preserve"> or Ongoing Support, and fees may be claimed for these </w:t>
      </w:r>
      <w:r w:rsidR="008C37C4">
        <w:rPr>
          <w:lang w:val="en-AU" w:eastAsia="en-AU"/>
        </w:rPr>
        <w:t>participant</w:t>
      </w:r>
      <w:r w:rsidR="00135608">
        <w:rPr>
          <w:lang w:val="en-AU" w:eastAsia="en-AU"/>
        </w:rPr>
        <w:t>s as they fall due.</w:t>
      </w:r>
    </w:p>
    <w:p w14:paraId="35506924" w14:textId="77777777" w:rsidR="00135608" w:rsidRDefault="00135608" w:rsidP="00135608"/>
    <w:p w14:paraId="68DE4724" w14:textId="77777777" w:rsidR="00135608" w:rsidRPr="003105D2" w:rsidRDefault="00135608" w:rsidP="00213141">
      <w:pPr>
        <w:pStyle w:val="Heading4"/>
        <w:keepLines/>
        <w:spacing w:before="0" w:after="0"/>
        <w:rPr>
          <w:b w:val="0"/>
          <w:sz w:val="22"/>
          <w:u w:val="single"/>
        </w:rPr>
      </w:pPr>
      <w:r w:rsidRPr="003105D2">
        <w:rPr>
          <w:b w:val="0"/>
          <w:sz w:val="22"/>
          <w:u w:val="single"/>
        </w:rPr>
        <w:t>Job seekers not in receipt of an Income Support Payment</w:t>
      </w:r>
    </w:p>
    <w:p w14:paraId="325C31B5" w14:textId="767A3624" w:rsidR="00135608" w:rsidRDefault="00135608" w:rsidP="00213141">
      <w:pPr>
        <w:keepNext/>
        <w:keepLines/>
        <w:rPr>
          <w:sz w:val="28"/>
          <w:szCs w:val="28"/>
        </w:rPr>
      </w:pPr>
      <w:r>
        <w:rPr>
          <w:lang w:val="en-AU" w:eastAsia="en-AU"/>
        </w:rPr>
        <w:t>From 1 July 2021, j</w:t>
      </w:r>
      <w:r w:rsidRPr="00B312B4">
        <w:rPr>
          <w:lang w:val="en-AU" w:eastAsia="en-AU"/>
        </w:rPr>
        <w:t xml:space="preserve">ob seekers </w:t>
      </w:r>
      <w:r>
        <w:rPr>
          <w:lang w:val="en-AU" w:eastAsia="en-AU"/>
        </w:rPr>
        <w:t>must normally</w:t>
      </w:r>
      <w:r w:rsidRPr="00B312B4">
        <w:rPr>
          <w:lang w:val="en-AU" w:eastAsia="en-AU"/>
        </w:rPr>
        <w:t xml:space="preserve"> be in receipt of an Income Support Payment to be eligible for DES. </w:t>
      </w:r>
      <w:r>
        <w:rPr>
          <w:lang w:val="en-AU" w:eastAsia="en-AU"/>
        </w:rPr>
        <w:t>Job seekers who are not in receipt of an Income Support Payment</w:t>
      </w:r>
      <w:r w:rsidR="00DE4C40">
        <w:rPr>
          <w:lang w:val="en-AU" w:eastAsia="en-AU"/>
        </w:rPr>
        <w:t xml:space="preserve"> or pension</w:t>
      </w:r>
      <w:r>
        <w:rPr>
          <w:lang w:val="en-AU" w:eastAsia="en-AU"/>
        </w:rPr>
        <w:t xml:space="preserve"> (non</w:t>
      </w:r>
      <w:r w:rsidR="00DE4C40">
        <w:rPr>
          <w:lang w:val="en-AU" w:eastAsia="en-AU"/>
        </w:rPr>
        <w:noBreakHyphen/>
      </w:r>
      <w:proofErr w:type="spellStart"/>
      <w:r>
        <w:rPr>
          <w:lang w:val="en-AU" w:eastAsia="en-AU"/>
        </w:rPr>
        <w:t>allowees</w:t>
      </w:r>
      <w:proofErr w:type="spellEnd"/>
      <w:r>
        <w:rPr>
          <w:lang w:val="en-AU" w:eastAsia="en-AU"/>
        </w:rPr>
        <w:t>) may commence a DES-ESS or DES-DMS program if they are:</w:t>
      </w:r>
    </w:p>
    <w:p w14:paraId="15EBA960" w14:textId="77777777" w:rsidR="00135608" w:rsidRPr="003105D2" w:rsidRDefault="00135608" w:rsidP="00BE43FF">
      <w:pPr>
        <w:pStyle w:val="ListParagraph"/>
        <w:widowControl/>
        <w:numPr>
          <w:ilvl w:val="0"/>
          <w:numId w:val="19"/>
        </w:numPr>
      </w:pPr>
      <w:r>
        <w:rPr>
          <w:lang w:val="en-AU" w:eastAsia="en-AU"/>
        </w:rPr>
        <w:t>ESAt/JCA exempt (</w:t>
      </w:r>
      <w:r w:rsidRPr="003105D2">
        <w:t>Eligible School Leaver, Special Class Client or Work Assist); or</w:t>
      </w:r>
    </w:p>
    <w:p w14:paraId="1FAD7330" w14:textId="2080331C" w:rsidR="00D14D46" w:rsidRDefault="00D14D46" w:rsidP="00BE43FF">
      <w:pPr>
        <w:pStyle w:val="ListParagraph"/>
        <w:widowControl/>
        <w:numPr>
          <w:ilvl w:val="0"/>
          <w:numId w:val="19"/>
        </w:numPr>
      </w:pPr>
      <w:r>
        <w:t>have a Valid ESAt/JCA and are within one of the following cohorts:</w:t>
      </w:r>
    </w:p>
    <w:p w14:paraId="57E7ACBA" w14:textId="05EE3D2C" w:rsidR="00DB305E" w:rsidRDefault="00860221" w:rsidP="00BE43FF">
      <w:pPr>
        <w:pStyle w:val="ListParagraph"/>
        <w:widowControl/>
        <w:numPr>
          <w:ilvl w:val="1"/>
          <w:numId w:val="19"/>
        </w:numPr>
      </w:pPr>
      <w:r>
        <w:t>a</w:t>
      </w:r>
      <w:r w:rsidR="00DE4C40">
        <w:t xml:space="preserve"> current</w:t>
      </w:r>
      <w:r w:rsidR="00135608" w:rsidRPr="003105D2">
        <w:t xml:space="preserve"> NDIS </w:t>
      </w:r>
      <w:proofErr w:type="gramStart"/>
      <w:r w:rsidR="00135608" w:rsidRPr="003105D2">
        <w:t>participant;</w:t>
      </w:r>
      <w:proofErr w:type="gramEnd"/>
    </w:p>
    <w:p w14:paraId="0CCD7955" w14:textId="12FCE86A" w:rsidR="00135608" w:rsidRPr="003105D2" w:rsidRDefault="00860221" w:rsidP="00BE43FF">
      <w:pPr>
        <w:pStyle w:val="ListParagraph"/>
        <w:widowControl/>
        <w:numPr>
          <w:ilvl w:val="1"/>
          <w:numId w:val="19"/>
        </w:numPr>
      </w:pPr>
      <w:r>
        <w:t>a</w:t>
      </w:r>
      <w:r w:rsidR="00DB305E">
        <w:t xml:space="preserve"> Pre-Release Prisoner;</w:t>
      </w:r>
      <w:r w:rsidR="00135608" w:rsidRPr="003105D2">
        <w:t xml:space="preserve"> or</w:t>
      </w:r>
    </w:p>
    <w:p w14:paraId="41B460DC" w14:textId="77777777" w:rsidR="00135608" w:rsidRPr="0010374F" w:rsidRDefault="00135608" w:rsidP="00BE43FF">
      <w:pPr>
        <w:pStyle w:val="ListParagraph"/>
        <w:widowControl/>
        <w:numPr>
          <w:ilvl w:val="1"/>
          <w:numId w:val="19"/>
        </w:numPr>
        <w:rPr>
          <w:lang w:val="en-AU" w:eastAsia="en-AU"/>
        </w:rPr>
      </w:pPr>
      <w:r w:rsidRPr="003105D2">
        <w:t>undertaking a DES program</w:t>
      </w:r>
      <w:r>
        <w:rPr>
          <w:lang w:val="en-AU" w:eastAsia="en-AU"/>
        </w:rPr>
        <w:t xml:space="preserve"> to satisfy Program of Support requirements.</w:t>
      </w:r>
    </w:p>
    <w:p w14:paraId="3FF4AD7E" w14:textId="2BF6B86B" w:rsidR="00135608" w:rsidRDefault="00135608" w:rsidP="00135608">
      <w:pPr>
        <w:rPr>
          <w:lang w:val="en-AU" w:eastAsia="en-AU"/>
        </w:rPr>
      </w:pPr>
    </w:p>
    <w:p w14:paraId="608D0453" w14:textId="0F1BDFDE" w:rsidR="00061284" w:rsidRDefault="00061284" w:rsidP="00061284">
      <w:pPr>
        <w:spacing w:after="120"/>
      </w:pPr>
      <w:r>
        <w:t>If a non-</w:t>
      </w:r>
      <w:proofErr w:type="spellStart"/>
      <w:r>
        <w:t>allowee</w:t>
      </w:r>
      <w:proofErr w:type="spellEnd"/>
      <w:r>
        <w:t xml:space="preserve"> requires an ESAt to confirm their eligibility </w:t>
      </w:r>
      <w:r w:rsidR="008826AF">
        <w:t>for DES</w:t>
      </w:r>
      <w:r>
        <w:t xml:space="preserve">, the </w:t>
      </w:r>
      <w:r w:rsidR="00A00DD8">
        <w:t>p</w:t>
      </w:r>
      <w:r>
        <w:t xml:space="preserve">rovider should </w:t>
      </w:r>
      <w:r w:rsidR="00F366EC">
        <w:t>email a request for an assessment to</w:t>
      </w:r>
      <w:r>
        <w:t xml:space="preserve"> </w:t>
      </w:r>
      <w:hyperlink r:id="rId14" w:history="1">
        <w:r w:rsidRPr="00DA2203">
          <w:rPr>
            <w:rStyle w:val="Hyperlink"/>
            <w:b/>
          </w:rPr>
          <w:t>FOCUS.RESPONSE.TEAM@servicesaustralia.gov.au</w:t>
        </w:r>
      </w:hyperlink>
      <w:r w:rsidRPr="005B686F">
        <w:t xml:space="preserve">, </w:t>
      </w:r>
      <w:r w:rsidR="00B72E6B" w:rsidRPr="008764C0">
        <w:t>and</w:t>
      </w:r>
      <w:r w:rsidR="00F366EC">
        <w:t xml:space="preserve"> should include a note that the non-</w:t>
      </w:r>
      <w:proofErr w:type="spellStart"/>
      <w:r w:rsidR="00F366EC">
        <w:t>allowee</w:t>
      </w:r>
      <w:proofErr w:type="spellEnd"/>
      <w:r w:rsidR="00F366EC">
        <w:t xml:space="preserve"> may be eligible for DES as they are </w:t>
      </w:r>
      <w:r>
        <w:t xml:space="preserve">potentially eligible </w:t>
      </w:r>
      <w:r w:rsidR="00F366EC">
        <w:t>for DES as an</w:t>
      </w:r>
      <w:r>
        <w:t xml:space="preserve"> NDIS </w:t>
      </w:r>
      <w:r w:rsidR="008C37C4">
        <w:t>participant</w:t>
      </w:r>
      <w:r>
        <w:t xml:space="preserve">, Pre-Release Prisoner or </w:t>
      </w:r>
      <w:r w:rsidR="00F366EC">
        <w:t xml:space="preserve">person </w:t>
      </w:r>
      <w:r>
        <w:t>undertaking a Program of Support</w:t>
      </w:r>
      <w:r w:rsidR="00796790">
        <w:t xml:space="preserve"> (as appropriate)</w:t>
      </w:r>
      <w:r>
        <w:t>. Services Australia may otherwise decline to conduct the ESAt, as non-</w:t>
      </w:r>
      <w:proofErr w:type="spellStart"/>
      <w:r>
        <w:t>allowees</w:t>
      </w:r>
      <w:proofErr w:type="spellEnd"/>
      <w:r>
        <w:t xml:space="preserve"> are generally ineligible for DES from 1</w:t>
      </w:r>
      <w:r w:rsidR="00F366EC">
        <w:t> </w:t>
      </w:r>
      <w:r>
        <w:t>July</w:t>
      </w:r>
      <w:r w:rsidR="00F366EC">
        <w:t> </w:t>
      </w:r>
      <w:r>
        <w:t>2021.</w:t>
      </w:r>
    </w:p>
    <w:p w14:paraId="330DBAF0" w14:textId="473D59EE" w:rsidR="00061284" w:rsidRPr="00DA2203" w:rsidRDefault="00061284" w:rsidP="00DA2203">
      <w:pPr>
        <w:spacing w:after="120"/>
      </w:pPr>
      <w:r>
        <w:t>Services Australia may still decline to undertake an assessment if it determines a non-</w:t>
      </w:r>
      <w:proofErr w:type="spellStart"/>
      <w:r>
        <w:t>allowee</w:t>
      </w:r>
      <w:proofErr w:type="spellEnd"/>
      <w:r>
        <w:t xml:space="preserve"> who advised they are required to undertake a Program of Support has not in fact submitted a claim for </w:t>
      </w:r>
      <w:proofErr w:type="gramStart"/>
      <w:r>
        <w:t>DSP, or</w:t>
      </w:r>
      <w:proofErr w:type="gramEnd"/>
      <w:r>
        <w:t xml:space="preserve"> has had their DSP claim rejected.</w:t>
      </w:r>
    </w:p>
    <w:p w14:paraId="3564C854" w14:textId="77777777" w:rsidR="00061284" w:rsidRDefault="00061284" w:rsidP="00135608">
      <w:pPr>
        <w:rPr>
          <w:lang w:val="en-AU" w:eastAsia="en-AU"/>
        </w:rPr>
      </w:pPr>
    </w:p>
    <w:p w14:paraId="55521691" w14:textId="77777777" w:rsidR="001477C8" w:rsidRPr="0030286F" w:rsidRDefault="001477C8" w:rsidP="00135608">
      <w:pPr>
        <w:rPr>
          <w:i/>
          <w:lang w:val="en-AU" w:eastAsia="en-AU"/>
        </w:rPr>
      </w:pPr>
      <w:r w:rsidRPr="0030286F">
        <w:rPr>
          <w:i/>
          <w:lang w:val="en-AU" w:eastAsia="en-AU"/>
        </w:rPr>
        <w:t>NDIS participants</w:t>
      </w:r>
    </w:p>
    <w:p w14:paraId="648C898A" w14:textId="4515184D" w:rsidR="00F60212" w:rsidRDefault="00642627" w:rsidP="00135608">
      <w:pPr>
        <w:rPr>
          <w:lang w:val="en-AU" w:eastAsia="en-AU"/>
        </w:rPr>
      </w:pPr>
      <w:r>
        <w:rPr>
          <w:lang w:val="en-AU" w:eastAsia="en-AU"/>
        </w:rPr>
        <w:t>A non-</w:t>
      </w:r>
      <w:proofErr w:type="spellStart"/>
      <w:r>
        <w:rPr>
          <w:lang w:val="en-AU" w:eastAsia="en-AU"/>
        </w:rPr>
        <w:t>allowee</w:t>
      </w:r>
      <w:proofErr w:type="spellEnd"/>
      <w:r>
        <w:rPr>
          <w:lang w:val="en-AU" w:eastAsia="en-AU"/>
        </w:rPr>
        <w:t xml:space="preserve"> is eligible to commence as a</w:t>
      </w:r>
      <w:r w:rsidR="00DE4C40">
        <w:rPr>
          <w:lang w:val="en-AU" w:eastAsia="en-AU"/>
        </w:rPr>
        <w:t xml:space="preserve"> current </w:t>
      </w:r>
      <w:r>
        <w:rPr>
          <w:lang w:val="en-AU" w:eastAsia="en-AU"/>
        </w:rPr>
        <w:t>NDIS participant whe</w:t>
      </w:r>
      <w:r w:rsidR="00E656C0">
        <w:rPr>
          <w:lang w:val="en-AU" w:eastAsia="en-AU"/>
        </w:rPr>
        <w:t>re</w:t>
      </w:r>
      <w:r w:rsidR="00F60212">
        <w:rPr>
          <w:lang w:val="en-AU" w:eastAsia="en-AU"/>
        </w:rPr>
        <w:t>:</w:t>
      </w:r>
    </w:p>
    <w:p w14:paraId="243B81BC" w14:textId="05C5EE3B" w:rsidR="00F60212" w:rsidRDefault="00DE4C40" w:rsidP="00BE43FF">
      <w:pPr>
        <w:pStyle w:val="ListParagraph"/>
        <w:numPr>
          <w:ilvl w:val="0"/>
          <w:numId w:val="27"/>
        </w:numPr>
        <w:rPr>
          <w:lang w:val="en-AU" w:eastAsia="en-AU"/>
        </w:rPr>
      </w:pPr>
      <w:r>
        <w:rPr>
          <w:lang w:val="en-AU" w:eastAsia="en-AU"/>
        </w:rPr>
        <w:t xml:space="preserve">the </w:t>
      </w:r>
      <w:r w:rsidR="00D61766">
        <w:rPr>
          <w:lang w:val="en-AU" w:eastAsia="en-AU"/>
        </w:rPr>
        <w:t>p</w:t>
      </w:r>
      <w:r w:rsidR="00E656C0" w:rsidRPr="00F60212">
        <w:rPr>
          <w:lang w:val="en-AU" w:eastAsia="en-AU"/>
        </w:rPr>
        <w:t xml:space="preserve">rovider has </w:t>
      </w:r>
      <w:r w:rsidR="00F60212">
        <w:rPr>
          <w:lang w:val="en-AU" w:eastAsia="en-AU"/>
        </w:rPr>
        <w:t xml:space="preserve">and retains </w:t>
      </w:r>
      <w:r w:rsidR="00A97393">
        <w:rPr>
          <w:lang w:val="en-AU" w:eastAsia="en-AU"/>
        </w:rPr>
        <w:t>a copy of the non-</w:t>
      </w:r>
      <w:proofErr w:type="spellStart"/>
      <w:r w:rsidR="00A97393">
        <w:rPr>
          <w:lang w:val="en-AU" w:eastAsia="en-AU"/>
        </w:rPr>
        <w:t>allowee’s</w:t>
      </w:r>
      <w:proofErr w:type="spellEnd"/>
      <w:r w:rsidR="00A97393">
        <w:rPr>
          <w:lang w:val="en-AU" w:eastAsia="en-AU"/>
        </w:rPr>
        <w:t xml:space="preserve"> NDIS letter of access, </w:t>
      </w:r>
      <w:r w:rsidR="00E656C0" w:rsidRPr="00F60212">
        <w:rPr>
          <w:lang w:val="en-AU" w:eastAsia="en-AU"/>
        </w:rPr>
        <w:t>showing the non-</w:t>
      </w:r>
      <w:proofErr w:type="spellStart"/>
      <w:r w:rsidR="00E656C0" w:rsidRPr="00F60212">
        <w:rPr>
          <w:lang w:val="en-AU" w:eastAsia="en-AU"/>
        </w:rPr>
        <w:t>allowee</w:t>
      </w:r>
      <w:proofErr w:type="spellEnd"/>
      <w:r w:rsidR="00E656C0" w:rsidRPr="00F60212">
        <w:rPr>
          <w:lang w:val="en-AU" w:eastAsia="en-AU"/>
        </w:rPr>
        <w:t xml:space="preserve"> is</w:t>
      </w:r>
      <w:r w:rsidR="003E0B65" w:rsidRPr="00F60212">
        <w:rPr>
          <w:lang w:val="en-AU" w:eastAsia="en-AU"/>
        </w:rPr>
        <w:t xml:space="preserve"> </w:t>
      </w:r>
      <w:r w:rsidR="00F60212" w:rsidRPr="00F60212">
        <w:rPr>
          <w:lang w:val="en-AU" w:eastAsia="en-AU"/>
        </w:rPr>
        <w:t>receiving supports under the</w:t>
      </w:r>
      <w:r w:rsidR="003E0B65" w:rsidRPr="00F60212">
        <w:rPr>
          <w:lang w:val="en-AU" w:eastAsia="en-AU"/>
        </w:rPr>
        <w:t xml:space="preserve"> </w:t>
      </w:r>
      <w:proofErr w:type="gramStart"/>
      <w:r w:rsidR="003E0B65" w:rsidRPr="00F60212">
        <w:rPr>
          <w:lang w:val="en-AU" w:eastAsia="en-AU"/>
        </w:rPr>
        <w:t>NDIS</w:t>
      </w:r>
      <w:r w:rsidR="00EB27F5">
        <w:rPr>
          <w:lang w:val="en-AU" w:eastAsia="en-AU"/>
        </w:rPr>
        <w:t>;</w:t>
      </w:r>
      <w:proofErr w:type="gramEnd"/>
    </w:p>
    <w:p w14:paraId="796C4A33" w14:textId="6BD9E0AC" w:rsidR="00F60212" w:rsidRPr="000B7D85" w:rsidRDefault="00F60212" w:rsidP="00BE43FF">
      <w:pPr>
        <w:pStyle w:val="ListParagraph"/>
        <w:numPr>
          <w:ilvl w:val="0"/>
          <w:numId w:val="27"/>
        </w:numPr>
        <w:rPr>
          <w:lang w:val="en-AU" w:eastAsia="en-AU"/>
        </w:rPr>
      </w:pPr>
      <w:r w:rsidRPr="000B7D85">
        <w:rPr>
          <w:lang w:val="en-AU" w:eastAsia="en-AU"/>
        </w:rPr>
        <w:t xml:space="preserve">the </w:t>
      </w:r>
      <w:r w:rsidR="00D61766">
        <w:rPr>
          <w:lang w:val="en-AU" w:eastAsia="en-AU"/>
        </w:rPr>
        <w:t>p</w:t>
      </w:r>
      <w:r w:rsidRPr="000B7D85">
        <w:rPr>
          <w:lang w:val="en-AU" w:eastAsia="en-AU"/>
        </w:rPr>
        <w:t>rovider</w:t>
      </w:r>
      <w:r w:rsidR="003E0B65" w:rsidRPr="009159F8">
        <w:rPr>
          <w:lang w:val="en-AU" w:eastAsia="en-AU"/>
        </w:rPr>
        <w:t xml:space="preserve"> records </w:t>
      </w:r>
      <w:r w:rsidR="00E656C0" w:rsidRPr="009159F8">
        <w:rPr>
          <w:lang w:val="en-AU" w:eastAsia="en-AU"/>
        </w:rPr>
        <w:t xml:space="preserve">that the </w:t>
      </w:r>
      <w:r w:rsidRPr="009159F8">
        <w:rPr>
          <w:lang w:val="en-AU" w:eastAsia="en-AU"/>
        </w:rPr>
        <w:t>non-</w:t>
      </w:r>
      <w:proofErr w:type="spellStart"/>
      <w:r w:rsidRPr="009159F8">
        <w:rPr>
          <w:lang w:val="en-AU" w:eastAsia="en-AU"/>
        </w:rPr>
        <w:t>allowee</w:t>
      </w:r>
      <w:proofErr w:type="spellEnd"/>
      <w:r w:rsidR="00E656C0" w:rsidRPr="009D1F3B">
        <w:rPr>
          <w:lang w:val="en-AU" w:eastAsia="en-AU"/>
        </w:rPr>
        <w:t xml:space="preserve"> is</w:t>
      </w:r>
      <w:r w:rsidR="003E0B65" w:rsidRPr="009D1F3B">
        <w:rPr>
          <w:lang w:val="en-AU" w:eastAsia="en-AU"/>
        </w:rPr>
        <w:t xml:space="preserve"> </w:t>
      </w:r>
      <w:proofErr w:type="gramStart"/>
      <w:r w:rsidR="003E0B65" w:rsidRPr="009D1F3B">
        <w:rPr>
          <w:lang w:val="en-AU" w:eastAsia="en-AU"/>
        </w:rPr>
        <w:t>an</w:t>
      </w:r>
      <w:proofErr w:type="gramEnd"/>
      <w:r w:rsidR="003E0B65" w:rsidRPr="009D1F3B">
        <w:rPr>
          <w:lang w:val="en-AU" w:eastAsia="en-AU"/>
        </w:rPr>
        <w:t xml:space="preserve"> NDIS participant i</w:t>
      </w:r>
      <w:r w:rsidR="003E0B65" w:rsidRPr="003A0E6B">
        <w:rPr>
          <w:lang w:val="en-AU" w:eastAsia="en-AU"/>
        </w:rPr>
        <w:t xml:space="preserve">n the Special Placement </w:t>
      </w:r>
      <w:r w:rsidR="00E656C0" w:rsidRPr="000B7D85">
        <w:rPr>
          <w:lang w:val="en-AU" w:eastAsia="en-AU"/>
        </w:rPr>
        <w:t>section of the</w:t>
      </w:r>
      <w:r w:rsidRPr="000B7D85">
        <w:rPr>
          <w:lang w:val="en-AU" w:eastAsia="en-AU"/>
        </w:rPr>
        <w:t xml:space="preserve"> job seeker Eligibility screen; and</w:t>
      </w:r>
    </w:p>
    <w:p w14:paraId="516250B0" w14:textId="3F60B6F5" w:rsidR="00F60212" w:rsidRDefault="00F60212" w:rsidP="00BE43FF">
      <w:pPr>
        <w:pStyle w:val="ListParagraph"/>
        <w:numPr>
          <w:ilvl w:val="0"/>
          <w:numId w:val="27"/>
        </w:numPr>
        <w:rPr>
          <w:lang w:val="en-AU" w:eastAsia="en-AU"/>
        </w:rPr>
      </w:pPr>
      <w:r>
        <w:rPr>
          <w:lang w:val="en-AU" w:eastAsia="en-AU"/>
        </w:rPr>
        <w:t xml:space="preserve">the </w:t>
      </w:r>
      <w:r w:rsidR="00DE4C40">
        <w:rPr>
          <w:lang w:val="en-AU" w:eastAsia="en-AU"/>
        </w:rPr>
        <w:t>job seeker</w:t>
      </w:r>
      <w:r>
        <w:rPr>
          <w:lang w:val="en-AU" w:eastAsia="en-AU"/>
        </w:rPr>
        <w:t xml:space="preserve"> meets other DES eligibility requirements, including a Valid ESAt referral.</w:t>
      </w:r>
    </w:p>
    <w:p w14:paraId="40459B63" w14:textId="6974CF7C" w:rsidR="00860221" w:rsidRDefault="00860221" w:rsidP="00860221">
      <w:pPr>
        <w:rPr>
          <w:lang w:val="en-AU" w:eastAsia="en-AU"/>
        </w:rPr>
      </w:pPr>
    </w:p>
    <w:p w14:paraId="6BF203C1" w14:textId="2F10EE69" w:rsidR="00A97393" w:rsidRDefault="00A97393" w:rsidP="00860221">
      <w:pPr>
        <w:rPr>
          <w:lang w:val="en-AU" w:eastAsia="en-AU"/>
        </w:rPr>
      </w:pPr>
      <w:r>
        <w:rPr>
          <w:lang w:val="en-AU" w:eastAsia="en-AU"/>
        </w:rPr>
        <w:t xml:space="preserve">NDIS participants </w:t>
      </w:r>
      <w:r w:rsidR="0030286F">
        <w:rPr>
          <w:lang w:val="en-AU" w:eastAsia="en-AU"/>
        </w:rPr>
        <w:t xml:space="preserve">can usually </w:t>
      </w:r>
      <w:r>
        <w:rPr>
          <w:lang w:val="en-AU" w:eastAsia="en-AU"/>
        </w:rPr>
        <w:t xml:space="preserve">obtain a copy of their NDIS letter of access </w:t>
      </w:r>
      <w:r w:rsidR="0030286F">
        <w:rPr>
          <w:lang w:val="en-AU" w:eastAsia="en-AU"/>
        </w:rPr>
        <w:t>by</w:t>
      </w:r>
      <w:r>
        <w:rPr>
          <w:lang w:val="en-AU" w:eastAsia="en-AU"/>
        </w:rPr>
        <w:t xml:space="preserve"> print</w:t>
      </w:r>
      <w:r w:rsidR="0030286F">
        <w:rPr>
          <w:lang w:val="en-AU" w:eastAsia="en-AU"/>
        </w:rPr>
        <w:t>ing</w:t>
      </w:r>
      <w:r>
        <w:rPr>
          <w:lang w:val="en-AU" w:eastAsia="en-AU"/>
        </w:rPr>
        <w:t xml:space="preserve"> it from the NDIS portal to share with the DES provider. </w:t>
      </w:r>
      <w:r w:rsidR="00862C94">
        <w:rPr>
          <w:lang w:val="en-AU" w:eastAsia="en-AU"/>
        </w:rPr>
        <w:t>Non-</w:t>
      </w:r>
      <w:proofErr w:type="spellStart"/>
      <w:r w:rsidR="00862C94">
        <w:rPr>
          <w:lang w:val="en-AU" w:eastAsia="en-AU"/>
        </w:rPr>
        <w:t>allowees</w:t>
      </w:r>
      <w:proofErr w:type="spellEnd"/>
      <w:r w:rsidR="00862C94">
        <w:rPr>
          <w:lang w:val="en-AU" w:eastAsia="en-AU"/>
        </w:rPr>
        <w:t xml:space="preserve"> who</w:t>
      </w:r>
      <w:r>
        <w:rPr>
          <w:lang w:val="en-AU" w:eastAsia="en-AU"/>
        </w:rPr>
        <w:t xml:space="preserve"> are unable to access their letter from the portal</w:t>
      </w:r>
      <w:r w:rsidR="00862C94">
        <w:rPr>
          <w:lang w:val="en-AU" w:eastAsia="en-AU"/>
        </w:rPr>
        <w:t xml:space="preserve"> can send a request to </w:t>
      </w:r>
      <w:hyperlink r:id="rId15" w:history="1">
        <w:r w:rsidR="00862C94" w:rsidRPr="0030286F">
          <w:rPr>
            <w:lang w:val="en-AU" w:eastAsia="en-AU"/>
          </w:rPr>
          <w:t>I</w:t>
        </w:r>
        <w:r w:rsidR="00862C94" w:rsidRPr="008764C0">
          <w:rPr>
            <w:rStyle w:val="Hyperlink"/>
            <w:b/>
          </w:rPr>
          <w:t>NFORMATION.ACCESS@NDIS.gov.au</w:t>
        </w:r>
      </w:hyperlink>
      <w:r w:rsidR="00862C94" w:rsidRPr="00862C94">
        <w:rPr>
          <w:lang w:val="en-AU" w:eastAsia="en-AU"/>
        </w:rPr>
        <w:t xml:space="preserve"> using the subject line </w:t>
      </w:r>
      <w:r w:rsidR="00862C94" w:rsidRPr="0030286F">
        <w:rPr>
          <w:lang w:val="en-AU" w:eastAsia="en-AU"/>
        </w:rPr>
        <w:t>‘Proof of eligibilit</w:t>
      </w:r>
      <w:r w:rsidR="00862C94" w:rsidRPr="00862C94">
        <w:rPr>
          <w:lang w:val="en-AU" w:eastAsia="en-AU"/>
        </w:rPr>
        <w:t>y required for DES participant’</w:t>
      </w:r>
      <w:r w:rsidR="00862C94" w:rsidRPr="0030286F">
        <w:rPr>
          <w:lang w:val="en-AU" w:eastAsia="en-AU"/>
        </w:rPr>
        <w:t xml:space="preserve">, </w:t>
      </w:r>
      <w:r w:rsidR="0083606C">
        <w:rPr>
          <w:lang w:val="en-AU" w:eastAsia="en-AU"/>
        </w:rPr>
        <w:t xml:space="preserve">proving their identity by </w:t>
      </w:r>
      <w:r w:rsidR="00862C94" w:rsidRPr="0030286F">
        <w:rPr>
          <w:lang w:val="en-AU" w:eastAsia="en-AU"/>
        </w:rPr>
        <w:t xml:space="preserve">including 3 or more </w:t>
      </w:r>
      <w:r w:rsidR="0083606C">
        <w:rPr>
          <w:lang w:val="en-AU" w:eastAsia="en-AU"/>
        </w:rPr>
        <w:t xml:space="preserve">of their: </w:t>
      </w:r>
      <w:r>
        <w:rPr>
          <w:lang w:val="en-AU" w:eastAsia="en-AU"/>
        </w:rPr>
        <w:t xml:space="preserve"> </w:t>
      </w:r>
    </w:p>
    <w:p w14:paraId="41352F7B" w14:textId="77777777" w:rsidR="0083606C" w:rsidRPr="0030286F" w:rsidRDefault="0083606C" w:rsidP="00BE43FF">
      <w:pPr>
        <w:pStyle w:val="ListParagraph"/>
        <w:numPr>
          <w:ilvl w:val="0"/>
          <w:numId w:val="27"/>
        </w:numPr>
        <w:rPr>
          <w:lang w:val="en-AU" w:eastAsia="en-AU"/>
        </w:rPr>
      </w:pPr>
      <w:r w:rsidRPr="0030286F">
        <w:rPr>
          <w:lang w:val="en-AU" w:eastAsia="en-AU"/>
        </w:rPr>
        <w:t xml:space="preserve">Full </w:t>
      </w:r>
      <w:proofErr w:type="gramStart"/>
      <w:r w:rsidRPr="0030286F">
        <w:rPr>
          <w:lang w:val="en-AU" w:eastAsia="en-AU"/>
        </w:rPr>
        <w:t>name;</w:t>
      </w:r>
      <w:proofErr w:type="gramEnd"/>
    </w:p>
    <w:p w14:paraId="306B62F1" w14:textId="77777777" w:rsidR="0083606C" w:rsidRPr="0030286F" w:rsidRDefault="0083606C" w:rsidP="00BE43FF">
      <w:pPr>
        <w:pStyle w:val="ListParagraph"/>
        <w:numPr>
          <w:ilvl w:val="0"/>
          <w:numId w:val="27"/>
        </w:numPr>
        <w:rPr>
          <w:lang w:val="en-AU" w:eastAsia="en-AU"/>
        </w:rPr>
      </w:pPr>
      <w:r w:rsidRPr="0030286F">
        <w:rPr>
          <w:lang w:val="en-AU" w:eastAsia="en-AU"/>
        </w:rPr>
        <w:t xml:space="preserve">Date of </w:t>
      </w:r>
      <w:proofErr w:type="gramStart"/>
      <w:r w:rsidRPr="0030286F">
        <w:rPr>
          <w:lang w:val="en-AU" w:eastAsia="en-AU"/>
        </w:rPr>
        <w:t>birth;</w:t>
      </w:r>
      <w:proofErr w:type="gramEnd"/>
    </w:p>
    <w:p w14:paraId="22BF888D" w14:textId="77777777" w:rsidR="0083606C" w:rsidRPr="0030286F" w:rsidRDefault="0083606C" w:rsidP="00BE43FF">
      <w:pPr>
        <w:pStyle w:val="ListParagraph"/>
        <w:numPr>
          <w:ilvl w:val="0"/>
          <w:numId w:val="27"/>
        </w:numPr>
        <w:rPr>
          <w:lang w:val="en-AU" w:eastAsia="en-AU"/>
        </w:rPr>
      </w:pPr>
      <w:r w:rsidRPr="0030286F">
        <w:rPr>
          <w:lang w:val="en-AU" w:eastAsia="en-AU"/>
        </w:rPr>
        <w:t>Residential address; and</w:t>
      </w:r>
    </w:p>
    <w:p w14:paraId="28E64A43" w14:textId="77777777" w:rsidR="0083606C" w:rsidRPr="0030286F" w:rsidRDefault="0083606C" w:rsidP="00BE43FF">
      <w:pPr>
        <w:pStyle w:val="ListParagraph"/>
        <w:numPr>
          <w:ilvl w:val="0"/>
          <w:numId w:val="27"/>
        </w:numPr>
        <w:rPr>
          <w:lang w:val="en-AU" w:eastAsia="en-AU"/>
        </w:rPr>
      </w:pPr>
      <w:r w:rsidRPr="0030286F">
        <w:rPr>
          <w:lang w:val="en-AU" w:eastAsia="en-AU"/>
        </w:rPr>
        <w:t>NDIS Reference Number.</w:t>
      </w:r>
    </w:p>
    <w:p w14:paraId="37AE907E" w14:textId="33201115" w:rsidR="0083606C" w:rsidRDefault="0083606C" w:rsidP="00860221">
      <w:pPr>
        <w:rPr>
          <w:lang w:val="en-AU" w:eastAsia="en-AU"/>
        </w:rPr>
      </w:pPr>
    </w:p>
    <w:p w14:paraId="703C2173" w14:textId="605AAF77" w:rsidR="0083606C" w:rsidRDefault="0083606C" w:rsidP="00860221">
      <w:pPr>
        <w:rPr>
          <w:lang w:val="en-AU" w:eastAsia="en-AU"/>
        </w:rPr>
      </w:pPr>
      <w:r>
        <w:rPr>
          <w:lang w:val="en-AU" w:eastAsia="en-AU"/>
        </w:rPr>
        <w:t xml:space="preserve">NDIS participants can also request their letter using a web form at </w:t>
      </w:r>
      <w:hyperlink r:id="rId16" w:history="1">
        <w:r>
          <w:rPr>
            <w:rStyle w:val="Hyperlink"/>
            <w:lang w:val="en-AU" w:eastAsia="en-AU"/>
          </w:rPr>
          <w:t>ndis.gov.au/about-us/policies/access-information/participant-information-access-request</w:t>
        </w:r>
      </w:hyperlink>
      <w:r>
        <w:rPr>
          <w:lang w:val="en-AU" w:eastAsia="en-AU"/>
        </w:rPr>
        <w:t xml:space="preserve">, </w:t>
      </w:r>
      <w:r w:rsidR="001477C8">
        <w:rPr>
          <w:lang w:val="en-AU" w:eastAsia="en-AU"/>
        </w:rPr>
        <w:t xml:space="preserve">but requests using this form may </w:t>
      </w:r>
      <w:r w:rsidR="00B72E6B">
        <w:rPr>
          <w:lang w:val="en-AU" w:eastAsia="en-AU"/>
        </w:rPr>
        <w:t>take</w:t>
      </w:r>
      <w:r w:rsidR="001477C8">
        <w:rPr>
          <w:lang w:val="en-AU" w:eastAsia="en-AU"/>
        </w:rPr>
        <w:t xml:space="preserve"> up to 28 days to be answered.</w:t>
      </w:r>
    </w:p>
    <w:p w14:paraId="2188B636" w14:textId="77777777" w:rsidR="0083606C" w:rsidRDefault="0083606C" w:rsidP="00860221">
      <w:pPr>
        <w:rPr>
          <w:lang w:val="en-AU" w:eastAsia="en-AU"/>
        </w:rPr>
      </w:pPr>
    </w:p>
    <w:p w14:paraId="7FE243FC" w14:textId="77777777" w:rsidR="001477C8" w:rsidRPr="0030286F" w:rsidRDefault="001477C8" w:rsidP="00860221">
      <w:pPr>
        <w:rPr>
          <w:i/>
          <w:lang w:val="en-AU" w:eastAsia="en-AU"/>
        </w:rPr>
      </w:pPr>
      <w:r w:rsidRPr="0030286F">
        <w:rPr>
          <w:i/>
          <w:lang w:val="en-AU" w:eastAsia="en-AU"/>
        </w:rPr>
        <w:t>Pre-Release Prisoners</w:t>
      </w:r>
    </w:p>
    <w:p w14:paraId="4966FE6E" w14:textId="330C749C" w:rsidR="00860221" w:rsidRDefault="00860221" w:rsidP="00860221">
      <w:pPr>
        <w:rPr>
          <w:lang w:val="en-AU" w:eastAsia="en-AU"/>
        </w:rPr>
      </w:pPr>
      <w:r>
        <w:rPr>
          <w:lang w:val="en-AU" w:eastAsia="en-AU"/>
        </w:rPr>
        <w:t>A non-</w:t>
      </w:r>
      <w:proofErr w:type="spellStart"/>
      <w:r>
        <w:rPr>
          <w:lang w:val="en-AU" w:eastAsia="en-AU"/>
        </w:rPr>
        <w:t>allowee</w:t>
      </w:r>
      <w:proofErr w:type="spellEnd"/>
      <w:r>
        <w:rPr>
          <w:lang w:val="en-AU" w:eastAsia="en-AU"/>
        </w:rPr>
        <w:t xml:space="preserve"> is eligible to commence as a Pre-Release Prisoner where:</w:t>
      </w:r>
    </w:p>
    <w:p w14:paraId="0F3B9728" w14:textId="0BD7D2B6" w:rsidR="00860221" w:rsidRDefault="006F4B4A" w:rsidP="00BE43FF">
      <w:pPr>
        <w:pStyle w:val="ListParagraph"/>
        <w:numPr>
          <w:ilvl w:val="0"/>
          <w:numId w:val="27"/>
        </w:numPr>
        <w:rPr>
          <w:lang w:val="en-AU" w:eastAsia="en-AU"/>
        </w:rPr>
      </w:pPr>
      <w:r w:rsidRPr="006F4B4A">
        <w:rPr>
          <w:lang w:val="en-AU" w:eastAsia="en-AU"/>
        </w:rPr>
        <w:t xml:space="preserve">they meet the below Pre-release Prisoner initiative eligibility </w:t>
      </w:r>
      <w:proofErr w:type="gramStart"/>
      <w:r w:rsidRPr="006F4B4A">
        <w:rPr>
          <w:lang w:val="en-AU" w:eastAsia="en-AU"/>
        </w:rPr>
        <w:t>criteria;</w:t>
      </w:r>
      <w:proofErr w:type="gramEnd"/>
    </w:p>
    <w:p w14:paraId="7C22A129" w14:textId="3046D8CE" w:rsidR="00860221" w:rsidRPr="000B7D85" w:rsidRDefault="00860221" w:rsidP="00BE43FF">
      <w:pPr>
        <w:pStyle w:val="ListParagraph"/>
        <w:numPr>
          <w:ilvl w:val="0"/>
          <w:numId w:val="27"/>
        </w:numPr>
        <w:rPr>
          <w:lang w:val="en-AU" w:eastAsia="en-AU"/>
        </w:rPr>
      </w:pPr>
      <w:r w:rsidRPr="000B7D85">
        <w:rPr>
          <w:lang w:val="en-AU" w:eastAsia="en-AU"/>
        </w:rPr>
        <w:t xml:space="preserve">the </w:t>
      </w:r>
      <w:r w:rsidR="00D61766">
        <w:rPr>
          <w:lang w:val="en-AU" w:eastAsia="en-AU"/>
        </w:rPr>
        <w:t>p</w:t>
      </w:r>
      <w:r w:rsidRPr="000B7D85">
        <w:rPr>
          <w:lang w:val="en-AU" w:eastAsia="en-AU"/>
        </w:rPr>
        <w:t>rovider</w:t>
      </w:r>
      <w:r w:rsidRPr="009159F8">
        <w:rPr>
          <w:lang w:val="en-AU" w:eastAsia="en-AU"/>
        </w:rPr>
        <w:t xml:space="preserve"> records that the non-</w:t>
      </w:r>
      <w:proofErr w:type="spellStart"/>
      <w:r w:rsidRPr="009159F8">
        <w:rPr>
          <w:lang w:val="en-AU" w:eastAsia="en-AU"/>
        </w:rPr>
        <w:t>allowee</w:t>
      </w:r>
      <w:proofErr w:type="spellEnd"/>
      <w:r w:rsidRPr="009D1F3B">
        <w:rPr>
          <w:lang w:val="en-AU" w:eastAsia="en-AU"/>
        </w:rPr>
        <w:t xml:space="preserve"> is a</w:t>
      </w:r>
      <w:r w:rsidR="00D14D46">
        <w:rPr>
          <w:lang w:val="en-AU" w:eastAsia="en-AU"/>
        </w:rPr>
        <w:t xml:space="preserve"> Pre-Release Prisoner</w:t>
      </w:r>
      <w:r w:rsidRPr="009D1F3B">
        <w:rPr>
          <w:lang w:val="en-AU" w:eastAsia="en-AU"/>
        </w:rPr>
        <w:t xml:space="preserve"> i</w:t>
      </w:r>
      <w:r w:rsidRPr="003A0E6B">
        <w:rPr>
          <w:lang w:val="en-AU" w:eastAsia="en-AU"/>
        </w:rPr>
        <w:t xml:space="preserve">n the Special Placement </w:t>
      </w:r>
      <w:r w:rsidRPr="000B7D85">
        <w:rPr>
          <w:lang w:val="en-AU" w:eastAsia="en-AU"/>
        </w:rPr>
        <w:t xml:space="preserve">section of the job seeker </w:t>
      </w:r>
      <w:r w:rsidR="006F4B4A">
        <w:rPr>
          <w:lang w:val="en-AU" w:eastAsia="en-AU"/>
        </w:rPr>
        <w:t>Registration</w:t>
      </w:r>
      <w:r w:rsidRPr="000B7D85">
        <w:rPr>
          <w:lang w:val="en-AU" w:eastAsia="en-AU"/>
        </w:rPr>
        <w:t xml:space="preserve"> screen; and</w:t>
      </w:r>
    </w:p>
    <w:p w14:paraId="578D949C" w14:textId="77777777" w:rsidR="00860221" w:rsidRDefault="00860221" w:rsidP="00BE43FF">
      <w:pPr>
        <w:pStyle w:val="ListParagraph"/>
        <w:numPr>
          <w:ilvl w:val="0"/>
          <w:numId w:val="27"/>
        </w:numPr>
        <w:rPr>
          <w:lang w:val="en-AU" w:eastAsia="en-AU"/>
        </w:rPr>
      </w:pPr>
      <w:r>
        <w:rPr>
          <w:lang w:val="en-AU" w:eastAsia="en-AU"/>
        </w:rPr>
        <w:t>the job seeker meets other DES eligibility requirements, including a Valid ESAt referral.</w:t>
      </w:r>
    </w:p>
    <w:p w14:paraId="5E9F8D6F" w14:textId="5EB31009" w:rsidR="00F60212" w:rsidRDefault="00F60212" w:rsidP="00F60212">
      <w:pPr>
        <w:rPr>
          <w:lang w:val="en-AU" w:eastAsia="en-AU"/>
        </w:rPr>
      </w:pPr>
    </w:p>
    <w:p w14:paraId="56AA4B1A" w14:textId="77777777" w:rsidR="001477C8" w:rsidRPr="0030286F" w:rsidRDefault="001477C8" w:rsidP="008826AF">
      <w:pPr>
        <w:keepNext/>
        <w:rPr>
          <w:i/>
          <w:lang w:val="en-AU" w:eastAsia="en-AU"/>
        </w:rPr>
      </w:pPr>
      <w:r w:rsidRPr="0030286F">
        <w:rPr>
          <w:i/>
          <w:lang w:val="en-AU" w:eastAsia="en-AU"/>
        </w:rPr>
        <w:t>Program of Support</w:t>
      </w:r>
    </w:p>
    <w:p w14:paraId="316BD449" w14:textId="00629BC0" w:rsidR="00F60212" w:rsidRDefault="00E656C0" w:rsidP="008826AF">
      <w:pPr>
        <w:keepNext/>
        <w:rPr>
          <w:lang w:val="en-AU" w:eastAsia="en-AU"/>
        </w:rPr>
      </w:pPr>
      <w:r>
        <w:rPr>
          <w:lang w:val="en-AU" w:eastAsia="en-AU"/>
        </w:rPr>
        <w:t>A non-</w:t>
      </w:r>
      <w:proofErr w:type="spellStart"/>
      <w:r>
        <w:rPr>
          <w:lang w:val="en-AU" w:eastAsia="en-AU"/>
        </w:rPr>
        <w:t>allowee</w:t>
      </w:r>
      <w:proofErr w:type="spellEnd"/>
      <w:r>
        <w:rPr>
          <w:lang w:val="en-AU" w:eastAsia="en-AU"/>
        </w:rPr>
        <w:t xml:space="preserve"> is eligible to commence as a person undertaking </w:t>
      </w:r>
      <w:r w:rsidR="00F9700D">
        <w:rPr>
          <w:lang w:val="en-AU" w:eastAsia="en-AU"/>
        </w:rPr>
        <w:t>a</w:t>
      </w:r>
      <w:r w:rsidR="00E34DE1">
        <w:rPr>
          <w:lang w:val="en-AU" w:eastAsia="en-AU"/>
        </w:rPr>
        <w:t xml:space="preserve"> Program of Support where</w:t>
      </w:r>
      <w:r w:rsidR="00F60212">
        <w:rPr>
          <w:lang w:val="en-AU" w:eastAsia="en-AU"/>
        </w:rPr>
        <w:t>:</w:t>
      </w:r>
    </w:p>
    <w:p w14:paraId="4E056854" w14:textId="4D952458" w:rsidR="00F60212" w:rsidRDefault="00E34DE1" w:rsidP="00BE43FF">
      <w:pPr>
        <w:pStyle w:val="ListParagraph"/>
        <w:numPr>
          <w:ilvl w:val="0"/>
          <w:numId w:val="28"/>
        </w:numPr>
        <w:rPr>
          <w:lang w:val="en-AU" w:eastAsia="en-AU"/>
        </w:rPr>
      </w:pPr>
      <w:r w:rsidRPr="00F60212">
        <w:rPr>
          <w:lang w:val="en-AU" w:eastAsia="en-AU"/>
        </w:rPr>
        <w:t xml:space="preserve">the </w:t>
      </w:r>
      <w:r w:rsidR="00D61766">
        <w:rPr>
          <w:lang w:val="en-AU" w:eastAsia="en-AU"/>
        </w:rPr>
        <w:t>p</w:t>
      </w:r>
      <w:r w:rsidR="00F60212">
        <w:rPr>
          <w:lang w:val="en-AU" w:eastAsia="en-AU"/>
        </w:rPr>
        <w:t xml:space="preserve">rovider has and retains a </w:t>
      </w:r>
      <w:r w:rsidR="00F60212" w:rsidRPr="00F60212">
        <w:rPr>
          <w:lang w:val="en-AU" w:eastAsia="en-AU"/>
        </w:rPr>
        <w:t xml:space="preserve">signed statement or email </w:t>
      </w:r>
      <w:r w:rsidR="00F60212">
        <w:rPr>
          <w:lang w:val="en-AU" w:eastAsia="en-AU"/>
        </w:rPr>
        <w:t>by the non-</w:t>
      </w:r>
      <w:proofErr w:type="spellStart"/>
      <w:r w:rsidR="00F60212">
        <w:rPr>
          <w:lang w:val="en-AU" w:eastAsia="en-AU"/>
        </w:rPr>
        <w:t>allowee</w:t>
      </w:r>
      <w:proofErr w:type="spellEnd"/>
      <w:r w:rsidR="00F60212">
        <w:rPr>
          <w:lang w:val="en-AU" w:eastAsia="en-AU"/>
        </w:rPr>
        <w:t xml:space="preserve"> that they</w:t>
      </w:r>
      <w:r w:rsidRPr="00F60212">
        <w:rPr>
          <w:lang w:val="en-AU" w:eastAsia="en-AU"/>
        </w:rPr>
        <w:t xml:space="preserve"> </w:t>
      </w:r>
      <w:r w:rsidR="001477C8">
        <w:rPr>
          <w:lang w:val="en-AU" w:eastAsia="en-AU"/>
        </w:rPr>
        <w:t xml:space="preserve">submitted a claim for </w:t>
      </w:r>
      <w:r w:rsidRPr="00F60212">
        <w:rPr>
          <w:lang w:val="en-AU" w:eastAsia="en-AU"/>
        </w:rPr>
        <w:t>the Disability Support Pension</w:t>
      </w:r>
      <w:r w:rsidR="001477C8">
        <w:rPr>
          <w:lang w:val="en-AU" w:eastAsia="en-AU"/>
        </w:rPr>
        <w:t xml:space="preserve"> </w:t>
      </w:r>
      <w:r w:rsidR="001967F7">
        <w:rPr>
          <w:lang w:val="en-AU" w:eastAsia="en-AU"/>
        </w:rPr>
        <w:t xml:space="preserve">(DSP) </w:t>
      </w:r>
      <w:r w:rsidR="001477C8">
        <w:rPr>
          <w:lang w:val="en-AU" w:eastAsia="en-AU"/>
        </w:rPr>
        <w:t xml:space="preserve">and </w:t>
      </w:r>
      <w:r w:rsidR="001967F7">
        <w:rPr>
          <w:lang w:val="en-AU" w:eastAsia="en-AU"/>
        </w:rPr>
        <w:t>were</w:t>
      </w:r>
      <w:r w:rsidR="001477C8">
        <w:rPr>
          <w:lang w:val="en-AU" w:eastAsia="en-AU"/>
        </w:rPr>
        <w:t xml:space="preserve"> advised by Services Australia that </w:t>
      </w:r>
      <w:r w:rsidR="00B72E6B">
        <w:t xml:space="preserve">their DSP claim could not be </w:t>
      </w:r>
      <w:proofErr w:type="spellStart"/>
      <w:r w:rsidR="00B72E6B">
        <w:lastRenderedPageBreak/>
        <w:t>finalised</w:t>
      </w:r>
      <w:proofErr w:type="spellEnd"/>
      <w:r w:rsidR="00B72E6B">
        <w:t xml:space="preserve"> until they undertake a</w:t>
      </w:r>
      <w:r w:rsidRPr="00F60212">
        <w:rPr>
          <w:lang w:val="en-AU" w:eastAsia="en-AU"/>
        </w:rPr>
        <w:t xml:space="preserve"> Program of </w:t>
      </w:r>
      <w:proofErr w:type="gramStart"/>
      <w:r w:rsidRPr="00F60212">
        <w:rPr>
          <w:lang w:val="en-AU" w:eastAsia="en-AU"/>
        </w:rPr>
        <w:t>Support</w:t>
      </w:r>
      <w:r w:rsidR="00F60212">
        <w:rPr>
          <w:lang w:val="en-AU" w:eastAsia="en-AU"/>
        </w:rPr>
        <w:t>;</w:t>
      </w:r>
      <w:proofErr w:type="gramEnd"/>
    </w:p>
    <w:p w14:paraId="2ED187CD" w14:textId="6B6F60B2" w:rsidR="00F60212" w:rsidRDefault="00E34DE1" w:rsidP="00BE43FF">
      <w:pPr>
        <w:pStyle w:val="ListParagraph"/>
        <w:numPr>
          <w:ilvl w:val="0"/>
          <w:numId w:val="28"/>
        </w:numPr>
        <w:rPr>
          <w:lang w:val="en-AU" w:eastAsia="en-AU"/>
        </w:rPr>
      </w:pPr>
      <w:r w:rsidRPr="00F60212">
        <w:rPr>
          <w:lang w:val="en-AU" w:eastAsia="en-AU"/>
        </w:rPr>
        <w:t xml:space="preserve">the </w:t>
      </w:r>
      <w:r w:rsidR="00D61766">
        <w:rPr>
          <w:lang w:val="en-AU" w:eastAsia="en-AU"/>
        </w:rPr>
        <w:t>p</w:t>
      </w:r>
      <w:r w:rsidRPr="00F60212">
        <w:rPr>
          <w:lang w:val="en-AU" w:eastAsia="en-AU"/>
        </w:rPr>
        <w:t>rovider records that the person is undertaking a Program of Support in the Special Placement section of the job seeker Eligibility screen</w:t>
      </w:r>
      <w:r w:rsidR="00F60212">
        <w:rPr>
          <w:lang w:val="en-AU" w:eastAsia="en-AU"/>
        </w:rPr>
        <w:t>; and</w:t>
      </w:r>
    </w:p>
    <w:p w14:paraId="1349664C" w14:textId="77777777" w:rsidR="001477C8" w:rsidRDefault="001477C8" w:rsidP="00BE43FF">
      <w:pPr>
        <w:pStyle w:val="ListParagraph"/>
        <w:numPr>
          <w:ilvl w:val="0"/>
          <w:numId w:val="28"/>
        </w:numPr>
        <w:rPr>
          <w:lang w:val="en-AU" w:eastAsia="en-AU"/>
        </w:rPr>
      </w:pPr>
      <w:r>
        <w:rPr>
          <w:lang w:val="en-AU" w:eastAsia="en-AU"/>
        </w:rPr>
        <w:t>the job seeker meets other DES eligibility requirements, including a Valid ESAt referral.</w:t>
      </w:r>
    </w:p>
    <w:p w14:paraId="2E0603EE" w14:textId="77777777" w:rsidR="001477C8" w:rsidRPr="001477C8" w:rsidRDefault="001477C8" w:rsidP="0030286F">
      <w:pPr>
        <w:ind w:left="414"/>
        <w:rPr>
          <w:lang w:val="en-AU" w:eastAsia="en-AU"/>
        </w:rPr>
      </w:pPr>
    </w:p>
    <w:p w14:paraId="46C7B19C" w14:textId="33B3DDC8" w:rsidR="00135608" w:rsidRDefault="00135608" w:rsidP="00135608">
      <w:pPr>
        <w:rPr>
          <w:lang w:val="en-AU" w:eastAsia="en-AU"/>
        </w:rPr>
      </w:pPr>
      <w:r w:rsidRPr="003105D2">
        <w:rPr>
          <w:lang w:val="en-AU" w:eastAsia="en-AU"/>
        </w:rPr>
        <w:t>Non-</w:t>
      </w:r>
      <w:proofErr w:type="spellStart"/>
      <w:r w:rsidRPr="003105D2">
        <w:rPr>
          <w:lang w:val="en-AU" w:eastAsia="en-AU"/>
        </w:rPr>
        <w:t>allow</w:t>
      </w:r>
      <w:r w:rsidR="005E6801">
        <w:rPr>
          <w:lang w:val="en-AU" w:eastAsia="en-AU"/>
        </w:rPr>
        <w:t>e</w:t>
      </w:r>
      <w:r w:rsidRPr="003105D2">
        <w:rPr>
          <w:lang w:val="en-AU" w:eastAsia="en-AU"/>
        </w:rPr>
        <w:t>e</w:t>
      </w:r>
      <w:proofErr w:type="spellEnd"/>
      <w:r w:rsidR="00DE4C40">
        <w:rPr>
          <w:lang w:val="en-AU" w:eastAsia="en-AU"/>
        </w:rPr>
        <w:t xml:space="preserve"> </w:t>
      </w:r>
      <w:r w:rsidR="008C37C4">
        <w:rPr>
          <w:lang w:val="en-AU" w:eastAsia="en-AU"/>
        </w:rPr>
        <w:t>participant</w:t>
      </w:r>
      <w:r w:rsidR="00DE4C40">
        <w:rPr>
          <w:lang w:val="en-AU" w:eastAsia="en-AU"/>
        </w:rPr>
        <w:t>s</w:t>
      </w:r>
      <w:r w:rsidRPr="003105D2">
        <w:rPr>
          <w:lang w:val="en-AU" w:eastAsia="en-AU"/>
        </w:rPr>
        <w:t xml:space="preserve"> who commenced DES be</w:t>
      </w:r>
      <w:r w:rsidRPr="002D50AB">
        <w:rPr>
          <w:lang w:val="en-AU" w:eastAsia="en-AU"/>
        </w:rPr>
        <w:t xml:space="preserve">fore 1 July 2021 can continue their current </w:t>
      </w:r>
      <w:r>
        <w:rPr>
          <w:lang w:val="en-AU" w:eastAsia="en-AU"/>
        </w:rPr>
        <w:t>P</w:t>
      </w:r>
      <w:r w:rsidRPr="002D50AB">
        <w:rPr>
          <w:lang w:val="en-AU" w:eastAsia="en-AU"/>
        </w:rPr>
        <w:t xml:space="preserve">eriod of </w:t>
      </w:r>
      <w:r>
        <w:rPr>
          <w:lang w:val="en-AU" w:eastAsia="en-AU"/>
        </w:rPr>
        <w:t>S</w:t>
      </w:r>
      <w:r w:rsidRPr="002D50AB">
        <w:rPr>
          <w:lang w:val="en-AU" w:eastAsia="en-AU"/>
        </w:rPr>
        <w:t>ervice</w:t>
      </w:r>
      <w:r>
        <w:rPr>
          <w:lang w:val="en-AU" w:eastAsia="en-AU"/>
        </w:rPr>
        <w:t xml:space="preserve"> or Ongoing Support, and</w:t>
      </w:r>
      <w:r w:rsidR="00DE4C40">
        <w:rPr>
          <w:lang w:val="en-AU" w:eastAsia="en-AU"/>
        </w:rPr>
        <w:t xml:space="preserve"> fees may be claimed for these </w:t>
      </w:r>
      <w:r w:rsidR="008C37C4">
        <w:rPr>
          <w:lang w:val="en-AU" w:eastAsia="en-AU"/>
        </w:rPr>
        <w:t>participant</w:t>
      </w:r>
      <w:r>
        <w:rPr>
          <w:lang w:val="en-AU" w:eastAsia="en-AU"/>
        </w:rPr>
        <w:t>s as they fall due.</w:t>
      </w:r>
    </w:p>
    <w:p w14:paraId="5CE345F4" w14:textId="4220543A" w:rsidR="00D14D46" w:rsidRDefault="00D14D46" w:rsidP="00135608">
      <w:pPr>
        <w:rPr>
          <w:lang w:val="en-AU" w:eastAsia="en-AU"/>
        </w:rPr>
      </w:pPr>
    </w:p>
    <w:p w14:paraId="6D4C0B4F" w14:textId="387E0C8E" w:rsidR="00D14D46" w:rsidRDefault="00D14D46" w:rsidP="00135608">
      <w:pPr>
        <w:rPr>
          <w:lang w:val="en-AU" w:eastAsia="en-AU"/>
        </w:rPr>
      </w:pPr>
      <w:r>
        <w:rPr>
          <w:lang w:val="en-AU" w:eastAsia="en-AU"/>
        </w:rPr>
        <w:t>More information about the registration of non-</w:t>
      </w:r>
      <w:proofErr w:type="spellStart"/>
      <w:r>
        <w:rPr>
          <w:lang w:val="en-AU" w:eastAsia="en-AU"/>
        </w:rPr>
        <w:t>allowees</w:t>
      </w:r>
      <w:proofErr w:type="spellEnd"/>
      <w:r>
        <w:rPr>
          <w:lang w:val="en-AU" w:eastAsia="en-AU"/>
        </w:rPr>
        <w:t xml:space="preserve"> within these cohorts is available from the Direct Registration Guidelines.</w:t>
      </w:r>
    </w:p>
    <w:p w14:paraId="28B07EE3" w14:textId="589C9CA8" w:rsidR="00135608" w:rsidRDefault="00135608" w:rsidP="00135608">
      <w:pPr>
        <w:rPr>
          <w:lang w:val="en-AU" w:eastAsia="en-AU"/>
        </w:rPr>
      </w:pPr>
    </w:p>
    <w:p w14:paraId="01BD3CF0" w14:textId="77777777" w:rsidR="00376691" w:rsidRPr="00B9621A" w:rsidRDefault="00376691" w:rsidP="00376691">
      <w:pPr>
        <w:keepLines/>
        <w:rPr>
          <w:lang w:val="en-AU" w:eastAsia="en-AU"/>
        </w:rPr>
      </w:pPr>
    </w:p>
    <w:p w14:paraId="01BBC7D6" w14:textId="697931E3" w:rsidR="00504DF5" w:rsidRPr="00213141" w:rsidRDefault="00504DF5" w:rsidP="00213141">
      <w:pPr>
        <w:pStyle w:val="Heading4"/>
        <w:spacing w:before="0" w:after="240"/>
      </w:pPr>
      <w:bookmarkStart w:id="47" w:name="_Toc459216212"/>
      <w:bookmarkStart w:id="48" w:name="_Toc473637601"/>
      <w:bookmarkStart w:id="49" w:name="_Toc496019686"/>
      <w:bookmarkStart w:id="50" w:name="_Toc496019738"/>
      <w:r w:rsidRPr="00213141">
        <w:t xml:space="preserve">Specific </w:t>
      </w:r>
      <w:r w:rsidR="00982626" w:rsidRPr="00213141">
        <w:t>job seeker g</w:t>
      </w:r>
      <w:r w:rsidRPr="00213141">
        <w:t>roups</w:t>
      </w:r>
      <w:bookmarkEnd w:id="47"/>
      <w:bookmarkEnd w:id="48"/>
      <w:bookmarkEnd w:id="49"/>
      <w:bookmarkEnd w:id="50"/>
    </w:p>
    <w:p w14:paraId="3682DC02" w14:textId="79D179EF" w:rsidR="00073E0C" w:rsidRPr="00213141" w:rsidRDefault="00073E0C" w:rsidP="00213141">
      <w:pPr>
        <w:pStyle w:val="Heading4"/>
        <w:spacing w:before="0" w:after="0"/>
        <w:rPr>
          <w:b w:val="0"/>
          <w:sz w:val="22"/>
          <w:u w:val="single"/>
        </w:rPr>
      </w:pPr>
      <w:bookmarkStart w:id="51" w:name="_Toc459215447"/>
      <w:bookmarkStart w:id="52" w:name="_Toc459216214"/>
      <w:r w:rsidRPr="00213141">
        <w:rPr>
          <w:b w:val="0"/>
          <w:sz w:val="22"/>
          <w:u w:val="single"/>
        </w:rPr>
        <w:t>Workers Compensation Recipients</w:t>
      </w:r>
      <w:bookmarkEnd w:id="51"/>
      <w:bookmarkEnd w:id="52"/>
    </w:p>
    <w:p w14:paraId="06A2836D" w14:textId="0B6CE9C0" w:rsidR="00DE4C40" w:rsidRDefault="00E24FC8" w:rsidP="00213141">
      <w:pPr>
        <w:rPr>
          <w:lang w:val="en-AU" w:eastAsia="en-AU"/>
        </w:rPr>
      </w:pPr>
      <w:r>
        <w:rPr>
          <w:lang w:val="en-AU" w:eastAsia="en-AU"/>
        </w:rPr>
        <w:t>Job seekers who are receiving workers compensation payments are generally considered to be employed and are therefore ineligible for DES unless they are required to participate in DES as a condition of receiving their Income Support Payment from Services</w:t>
      </w:r>
      <w:r w:rsidR="00E54D52">
        <w:rPr>
          <w:lang w:val="en-AU" w:eastAsia="en-AU"/>
        </w:rPr>
        <w:t xml:space="preserve"> Australia</w:t>
      </w:r>
      <w:r>
        <w:rPr>
          <w:lang w:val="en-AU" w:eastAsia="en-AU"/>
        </w:rPr>
        <w:t>.</w:t>
      </w:r>
      <w:r w:rsidR="009D15AA">
        <w:rPr>
          <w:lang w:val="en-AU" w:eastAsia="en-AU"/>
        </w:rPr>
        <w:t xml:space="preserve"> </w:t>
      </w:r>
    </w:p>
    <w:p w14:paraId="28FA6054" w14:textId="77777777" w:rsidR="00DE4C40" w:rsidRDefault="00DE4C40" w:rsidP="00213141">
      <w:pPr>
        <w:rPr>
          <w:lang w:val="en-AU" w:eastAsia="en-AU"/>
        </w:rPr>
      </w:pPr>
    </w:p>
    <w:p w14:paraId="4B127000" w14:textId="633637FC" w:rsidR="00E24FC8" w:rsidRDefault="009D15AA" w:rsidP="00213141">
      <w:pPr>
        <w:rPr>
          <w:lang w:val="en-AU" w:eastAsia="en-AU"/>
        </w:rPr>
      </w:pPr>
      <w:r>
        <w:rPr>
          <w:lang w:val="en-AU" w:eastAsia="en-AU"/>
        </w:rPr>
        <w:t xml:space="preserve">From 1 July 2021, these </w:t>
      </w:r>
      <w:r w:rsidR="005E6801">
        <w:rPr>
          <w:lang w:val="en-AU" w:eastAsia="en-AU"/>
        </w:rPr>
        <w:t>job seekers</w:t>
      </w:r>
      <w:r>
        <w:rPr>
          <w:lang w:val="en-AU" w:eastAsia="en-AU"/>
        </w:rPr>
        <w:t xml:space="preserve"> are ineligible to commence DES if they are not in receipt of an allowance.</w:t>
      </w:r>
    </w:p>
    <w:p w14:paraId="7F99E3C5" w14:textId="33A29C8B" w:rsidR="00D657E9" w:rsidRPr="00CC6EA4" w:rsidRDefault="00D657E9" w:rsidP="00213141">
      <w:pPr>
        <w:rPr>
          <w:lang w:val="en-AU" w:eastAsia="en-AU"/>
        </w:rPr>
      </w:pPr>
    </w:p>
    <w:p w14:paraId="228D6341" w14:textId="7EE5D8A2" w:rsidR="00E24FC8" w:rsidRPr="00213141" w:rsidRDefault="00E24FC8" w:rsidP="00213141">
      <w:pPr>
        <w:pStyle w:val="Heading4"/>
        <w:keepLines/>
        <w:spacing w:before="0" w:after="0"/>
        <w:rPr>
          <w:b w:val="0"/>
          <w:sz w:val="22"/>
          <w:u w:val="single"/>
        </w:rPr>
      </w:pPr>
      <w:bookmarkStart w:id="53" w:name="_Toc459215449"/>
      <w:bookmarkStart w:id="54" w:name="_Toc459216216"/>
      <w:r w:rsidRPr="00213141">
        <w:rPr>
          <w:b w:val="0"/>
          <w:sz w:val="22"/>
          <w:u w:val="single"/>
        </w:rPr>
        <w:t>Job seekers who receive NDIS funding</w:t>
      </w:r>
      <w:bookmarkEnd w:id="53"/>
      <w:bookmarkEnd w:id="54"/>
    </w:p>
    <w:p w14:paraId="25257D25" w14:textId="5DC99AC2" w:rsidR="00E24FC8" w:rsidRDefault="009C2009" w:rsidP="00213141">
      <w:pPr>
        <w:keepLines/>
        <w:rPr>
          <w:lang w:val="en-AU" w:eastAsia="en-AU"/>
        </w:rPr>
      </w:pPr>
      <w:r>
        <w:rPr>
          <w:lang w:val="en-AU" w:eastAsia="en-AU"/>
        </w:rPr>
        <w:t>Unless they are undertaking School Leaver Employment Supports (SLES), j</w:t>
      </w:r>
      <w:r w:rsidR="009D15AA">
        <w:rPr>
          <w:lang w:val="en-AU" w:eastAsia="en-AU"/>
        </w:rPr>
        <w:t xml:space="preserve">ob seekers </w:t>
      </w:r>
      <w:r w:rsidR="00814BC7">
        <w:rPr>
          <w:lang w:val="en-AU" w:eastAsia="en-AU"/>
        </w:rPr>
        <w:t>who are receiving NDIS supports are eligible to commence a DES program if the</w:t>
      </w:r>
      <w:r w:rsidR="005F39E4">
        <w:rPr>
          <w:lang w:val="en-AU" w:eastAsia="en-AU"/>
        </w:rPr>
        <w:t>y</w:t>
      </w:r>
      <w:r w:rsidR="00814BC7">
        <w:rPr>
          <w:lang w:val="en-AU" w:eastAsia="en-AU"/>
        </w:rPr>
        <w:t xml:space="preserve"> meet other DES eligibility requirements, including that they are assessed in an ESAt as being able to work at least eight hours per week in open employment. </w:t>
      </w:r>
      <w:r>
        <w:rPr>
          <w:lang w:val="en-AU" w:eastAsia="en-AU"/>
        </w:rPr>
        <w:t xml:space="preserve">SLES participants are eligible to commence DES only within six months of the intended SLES completion date, and do not require a Valid ESAt referral. </w:t>
      </w:r>
      <w:r w:rsidR="00F20BF8" w:rsidRPr="00F20BF8">
        <w:rPr>
          <w:lang w:val="en-AU" w:eastAsia="en-AU"/>
        </w:rPr>
        <w:t xml:space="preserve">NDIS participants using Supports in Employment funding in their plan (for instance, in an Australian Disability Enterprise) </w:t>
      </w:r>
      <w:r w:rsidR="00814BC7">
        <w:rPr>
          <w:lang w:val="en-AU" w:eastAsia="en-AU"/>
        </w:rPr>
        <w:t xml:space="preserve">are </w:t>
      </w:r>
      <w:r w:rsidR="00E24FC8" w:rsidRPr="00242BB3">
        <w:rPr>
          <w:lang w:val="en-AU" w:eastAsia="en-AU"/>
        </w:rPr>
        <w:t xml:space="preserve">not required to cease </w:t>
      </w:r>
      <w:r w:rsidR="00F20BF8">
        <w:rPr>
          <w:lang w:val="en-AU" w:eastAsia="en-AU"/>
        </w:rPr>
        <w:t>this</w:t>
      </w:r>
      <w:r w:rsidR="00E24FC8" w:rsidRPr="00242BB3">
        <w:rPr>
          <w:lang w:val="en-AU" w:eastAsia="en-AU"/>
        </w:rPr>
        <w:t xml:space="preserve"> employment </w:t>
      </w:r>
      <w:r w:rsidR="00F20BF8">
        <w:rPr>
          <w:lang w:val="en-AU" w:eastAsia="en-AU"/>
        </w:rPr>
        <w:t>while they are participating in DES</w:t>
      </w:r>
      <w:r w:rsidR="00814BC7">
        <w:rPr>
          <w:lang w:val="en-AU" w:eastAsia="en-AU"/>
        </w:rPr>
        <w:t>.</w:t>
      </w:r>
      <w:r w:rsidR="00E24FC8">
        <w:rPr>
          <w:lang w:val="en-AU" w:eastAsia="en-AU"/>
        </w:rPr>
        <w:t xml:space="preserve"> </w:t>
      </w:r>
    </w:p>
    <w:p w14:paraId="67BF37D9" w14:textId="77777777" w:rsidR="00814BC7" w:rsidRDefault="00814BC7" w:rsidP="00213141">
      <w:pPr>
        <w:rPr>
          <w:lang w:val="en-AU" w:eastAsia="en-AU"/>
        </w:rPr>
      </w:pPr>
    </w:p>
    <w:p w14:paraId="4C9C299A" w14:textId="1C5C9D3F" w:rsidR="00D657E9" w:rsidRDefault="00814BC7" w:rsidP="00213141">
      <w:pPr>
        <w:rPr>
          <w:lang w:val="en-AU" w:eastAsia="en-AU"/>
        </w:rPr>
      </w:pPr>
      <w:r>
        <w:rPr>
          <w:lang w:val="en-AU" w:eastAsia="en-AU"/>
        </w:rPr>
        <w:t xml:space="preserve">From 1 July 2021, </w:t>
      </w:r>
      <w:r w:rsidR="005F39E4">
        <w:rPr>
          <w:lang w:val="en-AU" w:eastAsia="en-AU"/>
        </w:rPr>
        <w:t>non-</w:t>
      </w:r>
      <w:proofErr w:type="spellStart"/>
      <w:r w:rsidR="005F39E4">
        <w:rPr>
          <w:lang w:val="en-AU" w:eastAsia="en-AU"/>
        </w:rPr>
        <w:t>allowees</w:t>
      </w:r>
      <w:proofErr w:type="spellEnd"/>
      <w:r w:rsidR="005F39E4">
        <w:rPr>
          <w:lang w:val="en-AU" w:eastAsia="en-AU"/>
        </w:rPr>
        <w:t xml:space="preserve"> who are current </w:t>
      </w:r>
      <w:r>
        <w:rPr>
          <w:lang w:val="en-AU" w:eastAsia="en-AU"/>
        </w:rPr>
        <w:t>NDIS recipient</w:t>
      </w:r>
      <w:r w:rsidR="005F39E4">
        <w:rPr>
          <w:lang w:val="en-AU" w:eastAsia="en-AU"/>
        </w:rPr>
        <w:t>s</w:t>
      </w:r>
      <w:r>
        <w:rPr>
          <w:lang w:val="en-AU" w:eastAsia="en-AU"/>
        </w:rPr>
        <w:t xml:space="preserve"> </w:t>
      </w:r>
      <w:r w:rsidR="009C2009">
        <w:rPr>
          <w:lang w:val="en-AU" w:eastAsia="en-AU"/>
        </w:rPr>
        <w:t xml:space="preserve">are </w:t>
      </w:r>
      <w:r w:rsidR="005F39E4">
        <w:rPr>
          <w:lang w:val="en-AU" w:eastAsia="en-AU"/>
        </w:rPr>
        <w:t>eligible for DES if they meet other eligibility requirements. T</w:t>
      </w:r>
      <w:r>
        <w:rPr>
          <w:lang w:val="en-AU" w:eastAsia="en-AU"/>
        </w:rPr>
        <w:t>he person c</w:t>
      </w:r>
      <w:r w:rsidR="005F39E4">
        <w:rPr>
          <w:lang w:val="en-AU" w:eastAsia="en-AU"/>
        </w:rPr>
        <w:t xml:space="preserve">an be commenced only where the </w:t>
      </w:r>
      <w:r w:rsidR="00B811DF">
        <w:rPr>
          <w:lang w:val="en-AU" w:eastAsia="en-AU"/>
        </w:rPr>
        <w:t>p</w:t>
      </w:r>
      <w:r w:rsidR="00690385">
        <w:rPr>
          <w:lang w:val="en-AU" w:eastAsia="en-AU"/>
        </w:rPr>
        <w:t>rovider has D</w:t>
      </w:r>
      <w:r>
        <w:rPr>
          <w:lang w:val="en-AU" w:eastAsia="en-AU"/>
        </w:rPr>
        <w:t xml:space="preserve">ocumentary </w:t>
      </w:r>
      <w:r w:rsidR="00690385">
        <w:rPr>
          <w:lang w:val="en-AU" w:eastAsia="en-AU"/>
        </w:rPr>
        <w:t>E</w:t>
      </w:r>
      <w:r>
        <w:rPr>
          <w:lang w:val="en-AU" w:eastAsia="en-AU"/>
        </w:rPr>
        <w:t xml:space="preserve">vidence </w:t>
      </w:r>
      <w:r w:rsidR="005F39E4">
        <w:rPr>
          <w:lang w:val="en-AU" w:eastAsia="en-AU"/>
        </w:rPr>
        <w:t>the person is receiving</w:t>
      </w:r>
      <w:r>
        <w:rPr>
          <w:lang w:val="en-AU" w:eastAsia="en-AU"/>
        </w:rPr>
        <w:t xml:space="preserve"> NDIS support </w:t>
      </w:r>
      <w:r w:rsidR="009C2009">
        <w:rPr>
          <w:lang w:val="en-AU" w:eastAsia="en-AU"/>
        </w:rPr>
        <w:t xml:space="preserve">in the form of the person’s NDIS Letter of Offer, </w:t>
      </w:r>
      <w:r>
        <w:rPr>
          <w:lang w:val="en-AU" w:eastAsia="en-AU"/>
        </w:rPr>
        <w:t xml:space="preserve">and has recorded that the person is </w:t>
      </w:r>
      <w:proofErr w:type="gramStart"/>
      <w:r>
        <w:rPr>
          <w:lang w:val="en-AU" w:eastAsia="en-AU"/>
        </w:rPr>
        <w:t>an</w:t>
      </w:r>
      <w:proofErr w:type="gramEnd"/>
      <w:r>
        <w:rPr>
          <w:lang w:val="en-AU" w:eastAsia="en-AU"/>
        </w:rPr>
        <w:t xml:space="preserve"> NDIS participant as a Special Placement on the job seeker’s Registration screen.</w:t>
      </w:r>
    </w:p>
    <w:p w14:paraId="3A98C967" w14:textId="77777777" w:rsidR="00814BC7" w:rsidRDefault="00814BC7" w:rsidP="00213141">
      <w:pPr>
        <w:rPr>
          <w:lang w:val="en-AU" w:eastAsia="en-AU"/>
        </w:rPr>
      </w:pPr>
    </w:p>
    <w:p w14:paraId="750D7638" w14:textId="7282192E" w:rsidR="009B59C0" w:rsidRPr="00213141" w:rsidRDefault="009B59C0" w:rsidP="00213141">
      <w:pPr>
        <w:pStyle w:val="Heading4"/>
        <w:keepLines/>
        <w:spacing w:before="0" w:after="0"/>
        <w:rPr>
          <w:b w:val="0"/>
          <w:sz w:val="22"/>
          <w:u w:val="single"/>
        </w:rPr>
      </w:pPr>
      <w:r w:rsidRPr="00213141">
        <w:rPr>
          <w:b w:val="0"/>
          <w:sz w:val="22"/>
          <w:u w:val="single"/>
        </w:rPr>
        <w:t>Pre-</w:t>
      </w:r>
      <w:r w:rsidR="001968F6">
        <w:rPr>
          <w:b w:val="0"/>
          <w:sz w:val="22"/>
          <w:u w:val="single"/>
        </w:rPr>
        <w:t>R</w:t>
      </w:r>
      <w:r w:rsidRPr="00213141">
        <w:rPr>
          <w:b w:val="0"/>
          <w:sz w:val="22"/>
          <w:u w:val="single"/>
        </w:rPr>
        <w:t xml:space="preserve">elease </w:t>
      </w:r>
      <w:r w:rsidR="001968F6">
        <w:rPr>
          <w:b w:val="0"/>
          <w:sz w:val="22"/>
          <w:u w:val="single"/>
        </w:rPr>
        <w:t>P</w:t>
      </w:r>
      <w:r w:rsidRPr="00213141">
        <w:rPr>
          <w:b w:val="0"/>
          <w:sz w:val="22"/>
          <w:u w:val="single"/>
        </w:rPr>
        <w:t>risoners (PRPs)</w:t>
      </w:r>
    </w:p>
    <w:p w14:paraId="004C482A" w14:textId="0C7847FB" w:rsidR="009B59C0" w:rsidRDefault="009B59C0" w:rsidP="00213141">
      <w:pPr>
        <w:keepNext/>
        <w:keepLines/>
        <w:rPr>
          <w:lang w:val="en-AU" w:eastAsia="en-AU"/>
        </w:rPr>
      </w:pPr>
      <w:r w:rsidRPr="00213141">
        <w:rPr>
          <w:lang w:val="en-AU" w:eastAsia="en-AU"/>
        </w:rPr>
        <w:t xml:space="preserve">The Pre-release Prisoners (PRP) </w:t>
      </w:r>
      <w:r w:rsidR="00980C05">
        <w:rPr>
          <w:lang w:val="en-AU" w:eastAsia="en-AU"/>
        </w:rPr>
        <w:t xml:space="preserve">initiative </w:t>
      </w:r>
      <w:r w:rsidRPr="00213141">
        <w:rPr>
          <w:lang w:val="en-AU" w:eastAsia="en-AU"/>
        </w:rPr>
        <w:t xml:space="preserve">provides access to employment services to </w:t>
      </w:r>
      <w:r w:rsidR="00980C05">
        <w:rPr>
          <w:lang w:val="en-AU" w:eastAsia="en-AU"/>
        </w:rPr>
        <w:t xml:space="preserve">sentenced, </w:t>
      </w:r>
      <w:r w:rsidRPr="00213141">
        <w:rPr>
          <w:lang w:val="en-AU" w:eastAsia="en-AU"/>
        </w:rPr>
        <w:t>adult prisoners who have been referred to an employment services provider by a state or territory corrective services agency</w:t>
      </w:r>
      <w:r w:rsidR="00980C05">
        <w:rPr>
          <w:lang w:val="en-AU" w:eastAsia="en-AU"/>
        </w:rPr>
        <w:t xml:space="preserve"> prior to their release from prison</w:t>
      </w:r>
      <w:r w:rsidRPr="00213141">
        <w:rPr>
          <w:lang w:val="en-AU" w:eastAsia="en-AU"/>
        </w:rPr>
        <w:t>.</w:t>
      </w:r>
      <w:r w:rsidR="00D939E3" w:rsidRPr="00213141">
        <w:rPr>
          <w:lang w:val="en-AU" w:eastAsia="en-AU"/>
        </w:rPr>
        <w:t xml:space="preserve"> </w:t>
      </w:r>
      <w:r w:rsidRPr="00213141">
        <w:rPr>
          <w:lang w:val="en-AU" w:eastAsia="en-AU"/>
        </w:rPr>
        <w:t>PRP policy in DES aims to maximise employment opportunities for people leaving prison and reduce their reliance on welfare by improving their job search skills and building connections with employers at the earliest opportunity.</w:t>
      </w:r>
    </w:p>
    <w:p w14:paraId="1138CA04" w14:textId="200ADF1B" w:rsidR="003D3899" w:rsidRDefault="003D3899" w:rsidP="003D3899">
      <w:pPr>
        <w:rPr>
          <w:lang w:eastAsia="en-AU"/>
        </w:rPr>
      </w:pPr>
    </w:p>
    <w:p w14:paraId="65DDA48A" w14:textId="412AE3F0" w:rsidR="008F3BDF" w:rsidRPr="008F3BDF" w:rsidRDefault="008F3BDF" w:rsidP="008F3BDF">
      <w:pPr>
        <w:rPr>
          <w:lang w:val="en-AU" w:eastAsia="en-AU"/>
        </w:rPr>
      </w:pPr>
      <w:r w:rsidRPr="008F3BDF">
        <w:rPr>
          <w:lang w:val="en-AU" w:eastAsia="en-AU"/>
        </w:rPr>
        <w:t>To be eligible to Directly Register</w:t>
      </w:r>
      <w:r w:rsidR="00281CD5">
        <w:rPr>
          <w:lang w:val="en-AU" w:eastAsia="en-AU"/>
        </w:rPr>
        <w:t xml:space="preserve"> for DES</w:t>
      </w:r>
      <w:r w:rsidRPr="008F3BDF">
        <w:rPr>
          <w:lang w:val="en-AU" w:eastAsia="en-AU"/>
        </w:rPr>
        <w:t xml:space="preserve"> under the PRP initiative, prisoners </w:t>
      </w:r>
    </w:p>
    <w:p w14:paraId="02FE28DD" w14:textId="77777777" w:rsidR="008F3BDF" w:rsidRPr="008F3BDF" w:rsidRDefault="008F3BDF" w:rsidP="008F3BDF">
      <w:pPr>
        <w:rPr>
          <w:lang w:val="en-AU" w:eastAsia="en-AU"/>
        </w:rPr>
      </w:pPr>
      <w:r w:rsidRPr="008F3BDF">
        <w:rPr>
          <w:lang w:val="en-AU" w:eastAsia="en-AU"/>
        </w:rPr>
        <w:t xml:space="preserve">or detainees must be: </w:t>
      </w:r>
    </w:p>
    <w:p w14:paraId="6B725AE2" w14:textId="77777777" w:rsidR="008F3BDF" w:rsidRPr="008F3BDF" w:rsidRDefault="008F3BDF" w:rsidP="00BE43FF">
      <w:pPr>
        <w:numPr>
          <w:ilvl w:val="0"/>
          <w:numId w:val="28"/>
        </w:numPr>
        <w:rPr>
          <w:lang w:val="en-AU" w:eastAsia="en-AU"/>
        </w:rPr>
      </w:pPr>
      <w:r w:rsidRPr="008F3BDF">
        <w:rPr>
          <w:lang w:val="en-AU" w:eastAsia="en-AU"/>
        </w:rPr>
        <w:t xml:space="preserve">in the final 12 months of their sentence, </w:t>
      </w:r>
    </w:p>
    <w:p w14:paraId="1D157D94" w14:textId="77777777" w:rsidR="008F3BDF" w:rsidRPr="008F3BDF" w:rsidRDefault="008F3BDF" w:rsidP="00BE43FF">
      <w:pPr>
        <w:numPr>
          <w:ilvl w:val="0"/>
          <w:numId w:val="28"/>
        </w:numPr>
        <w:rPr>
          <w:lang w:val="en-AU" w:eastAsia="en-AU"/>
        </w:rPr>
      </w:pPr>
      <w:r w:rsidRPr="008F3BDF">
        <w:rPr>
          <w:lang w:val="en-AU" w:eastAsia="en-AU"/>
        </w:rPr>
        <w:t xml:space="preserve">approved by corrective services or youth justice case managers, </w:t>
      </w:r>
    </w:p>
    <w:p w14:paraId="5C7F4957" w14:textId="77777777" w:rsidR="008F3BDF" w:rsidRPr="008F3BDF" w:rsidRDefault="008F3BDF" w:rsidP="00BE43FF">
      <w:pPr>
        <w:numPr>
          <w:ilvl w:val="0"/>
          <w:numId w:val="28"/>
        </w:numPr>
        <w:rPr>
          <w:lang w:val="en-AU" w:eastAsia="en-AU"/>
        </w:rPr>
      </w:pPr>
      <w:r w:rsidRPr="008F3BDF">
        <w:rPr>
          <w:lang w:val="en-AU" w:eastAsia="en-AU"/>
        </w:rPr>
        <w:t>aged 15 years and over</w:t>
      </w:r>
    </w:p>
    <w:p w14:paraId="5E8AA6DD" w14:textId="22AB52C5" w:rsidR="008F3BDF" w:rsidRPr="00281CD5" w:rsidRDefault="00281CD5" w:rsidP="00BE43FF">
      <w:pPr>
        <w:numPr>
          <w:ilvl w:val="0"/>
          <w:numId w:val="28"/>
        </w:numPr>
        <w:rPr>
          <w:lang w:val="en-AU" w:eastAsia="en-AU"/>
        </w:rPr>
      </w:pPr>
      <w:r>
        <w:rPr>
          <w:lang w:val="en-AU" w:eastAsia="en-AU"/>
        </w:rPr>
        <w:t>referred to a DES</w:t>
      </w:r>
      <w:r w:rsidR="00685CF8">
        <w:rPr>
          <w:lang w:val="en-AU" w:eastAsia="en-AU"/>
        </w:rPr>
        <w:t xml:space="preserve"> p</w:t>
      </w:r>
      <w:r w:rsidR="008F3BDF" w:rsidRPr="008F3BDF">
        <w:rPr>
          <w:lang w:val="en-AU" w:eastAsia="en-AU"/>
        </w:rPr>
        <w:t xml:space="preserve">rovider by state or territory </w:t>
      </w:r>
      <w:r w:rsidR="008F3BDF" w:rsidRPr="00281CD5">
        <w:rPr>
          <w:lang w:val="en-AU" w:eastAsia="en-AU"/>
        </w:rPr>
        <w:t>corrective services agency or youth justice services, and</w:t>
      </w:r>
    </w:p>
    <w:p w14:paraId="08305C62" w14:textId="77777777" w:rsidR="008F3BDF" w:rsidRPr="008F3BDF" w:rsidRDefault="008F3BDF" w:rsidP="00BE43FF">
      <w:pPr>
        <w:numPr>
          <w:ilvl w:val="0"/>
          <w:numId w:val="28"/>
        </w:numPr>
        <w:rPr>
          <w:lang w:val="en-AU" w:eastAsia="en-AU"/>
        </w:rPr>
      </w:pPr>
      <w:r w:rsidRPr="008F3BDF">
        <w:rPr>
          <w:lang w:eastAsia="en-AU"/>
        </w:rPr>
        <w:t xml:space="preserve">licensed, or able to be licensed, by corrective or youth justice services case managers for day release or partial release to engage in paid work when an </w:t>
      </w:r>
      <w:r w:rsidRPr="008F3BDF">
        <w:rPr>
          <w:lang w:val="en-AU" w:eastAsia="en-AU"/>
        </w:rPr>
        <w:t>employment</w:t>
      </w:r>
      <w:r w:rsidRPr="008F3BDF">
        <w:rPr>
          <w:lang w:eastAsia="en-AU"/>
        </w:rPr>
        <w:t xml:space="preserve"> opportunity arises. </w:t>
      </w:r>
    </w:p>
    <w:p w14:paraId="4254C4E3" w14:textId="77777777" w:rsidR="008F3BDF" w:rsidRPr="008F3BDF" w:rsidRDefault="008F3BDF" w:rsidP="008F3BDF">
      <w:pPr>
        <w:rPr>
          <w:lang w:val="en-AU" w:eastAsia="en-AU"/>
        </w:rPr>
      </w:pPr>
    </w:p>
    <w:p w14:paraId="49121587" w14:textId="77777777" w:rsidR="008F3BDF" w:rsidRPr="008F3BDF" w:rsidRDefault="008F3BDF" w:rsidP="008F3BDF">
      <w:pPr>
        <w:rPr>
          <w:lang w:val="en-AU" w:eastAsia="en-AU"/>
        </w:rPr>
      </w:pPr>
      <w:r w:rsidRPr="008F3BDF">
        <w:rPr>
          <w:lang w:eastAsia="en-AU"/>
        </w:rPr>
        <w:t>This means that prisoners in states and territories or prisons where day or partial day release for paid work is unavailable will be unable to participate.</w:t>
      </w:r>
    </w:p>
    <w:p w14:paraId="55D0A672" w14:textId="77777777" w:rsidR="008F3BDF" w:rsidRPr="008F3BDF" w:rsidRDefault="008F3BDF" w:rsidP="008F3BDF">
      <w:pPr>
        <w:rPr>
          <w:lang w:eastAsia="en-AU"/>
        </w:rPr>
      </w:pPr>
    </w:p>
    <w:p w14:paraId="7C9FBFE9" w14:textId="01D5476B" w:rsidR="003D3899" w:rsidRPr="003D3899" w:rsidRDefault="008F3BDF" w:rsidP="003D3899">
      <w:pPr>
        <w:rPr>
          <w:lang w:eastAsia="en-AU"/>
        </w:rPr>
      </w:pPr>
      <w:r w:rsidRPr="008F3BDF">
        <w:rPr>
          <w:lang w:eastAsia="en-AU"/>
        </w:rPr>
        <w:t xml:space="preserve">Referrals of PRPs are made by corrective and youth justice services. Providers should establish links with corrective or youth justice services in the state or territory where they deliver </w:t>
      </w:r>
      <w:proofErr w:type="gramStart"/>
      <w:r w:rsidRPr="008F3BDF">
        <w:rPr>
          <w:lang w:eastAsia="en-AU"/>
        </w:rPr>
        <w:t>DES</w:t>
      </w:r>
      <w:proofErr w:type="gramEnd"/>
      <w:r w:rsidRPr="008F3BDF">
        <w:rPr>
          <w:lang w:eastAsia="en-AU"/>
        </w:rPr>
        <w:t xml:space="preserve"> so they are ready to receive referrals. Once a </w:t>
      </w:r>
      <w:r w:rsidRPr="008F3BDF">
        <w:rPr>
          <w:lang w:eastAsia="en-AU"/>
        </w:rPr>
        <w:lastRenderedPageBreak/>
        <w:t>prisone</w:t>
      </w:r>
      <w:r w:rsidR="003E5F78">
        <w:rPr>
          <w:lang w:eastAsia="en-AU"/>
        </w:rPr>
        <w:t>r or detainee is referred to a provider for the PRP</w:t>
      </w:r>
      <w:r w:rsidRPr="008F3BDF">
        <w:rPr>
          <w:lang w:eastAsia="en-AU"/>
        </w:rPr>
        <w:t>, the</w:t>
      </w:r>
      <w:r w:rsidR="00281CD5">
        <w:rPr>
          <w:lang w:eastAsia="en-AU"/>
        </w:rPr>
        <w:t xml:space="preserve"> </w:t>
      </w:r>
      <w:r w:rsidR="003E5F78">
        <w:rPr>
          <w:lang w:eastAsia="en-AU"/>
        </w:rPr>
        <w:t>p</w:t>
      </w:r>
      <w:r w:rsidR="003D3899" w:rsidRPr="003D3899">
        <w:rPr>
          <w:lang w:eastAsia="en-AU"/>
        </w:rPr>
        <w:t>rovider must</w:t>
      </w:r>
      <w:r w:rsidR="003E5F78">
        <w:rPr>
          <w:lang w:eastAsia="en-AU"/>
        </w:rPr>
        <w:t xml:space="preserve"> check their eligibility and if eligible</w:t>
      </w:r>
      <w:r w:rsidR="003D3899" w:rsidRPr="003D3899">
        <w:rPr>
          <w:lang w:eastAsia="en-AU"/>
        </w:rPr>
        <w:t xml:space="preserve"> complete a Registration in the Department’s IT System (refer to the </w:t>
      </w:r>
      <w:r w:rsidR="003D3899" w:rsidRPr="003D3899">
        <w:rPr>
          <w:i/>
          <w:lang w:eastAsia="en-AU"/>
        </w:rPr>
        <w:t>Direct Registration Guidelines</w:t>
      </w:r>
      <w:r w:rsidR="003D3899" w:rsidRPr="003D3899">
        <w:rPr>
          <w:lang w:eastAsia="en-AU"/>
        </w:rPr>
        <w:t>)</w:t>
      </w:r>
      <w:bookmarkStart w:id="55" w:name="_Toc459215452"/>
      <w:bookmarkStart w:id="56" w:name="_Toc459216219"/>
      <w:r w:rsidR="00A336FB">
        <w:rPr>
          <w:lang w:eastAsia="en-AU"/>
        </w:rPr>
        <w:t>.</w:t>
      </w:r>
      <w:r w:rsidR="003B6A82">
        <w:rPr>
          <w:lang w:eastAsia="en-AU"/>
        </w:rPr>
        <w:t xml:space="preserve"> </w:t>
      </w:r>
      <w:r w:rsidR="00A336FB">
        <w:rPr>
          <w:lang w:eastAsia="en-AU"/>
        </w:rPr>
        <w:t>I</w:t>
      </w:r>
      <w:r w:rsidR="003B6A82" w:rsidRPr="003B6A82">
        <w:rPr>
          <w:lang w:eastAsia="en-AU"/>
        </w:rPr>
        <w:t xml:space="preserve">f the prisoner is </w:t>
      </w:r>
      <w:r w:rsidR="003E5F78">
        <w:rPr>
          <w:lang w:eastAsia="en-AU"/>
        </w:rPr>
        <w:t xml:space="preserve">not </w:t>
      </w:r>
      <w:r w:rsidR="003B6A82" w:rsidRPr="003B6A82">
        <w:rPr>
          <w:lang w:eastAsia="en-AU"/>
        </w:rPr>
        <w:t>el</w:t>
      </w:r>
      <w:r w:rsidR="003E5F78">
        <w:rPr>
          <w:lang w:eastAsia="en-AU"/>
        </w:rPr>
        <w:t xml:space="preserve">igible the provider must </w:t>
      </w:r>
      <w:r w:rsidR="003B6A82" w:rsidRPr="003B6A82">
        <w:rPr>
          <w:lang w:eastAsia="en-AU"/>
        </w:rPr>
        <w:t xml:space="preserve">advise the relevant state or territory corrective or youth justice </w:t>
      </w:r>
      <w:r w:rsidR="003E5F78">
        <w:rPr>
          <w:lang w:eastAsia="en-AU"/>
        </w:rPr>
        <w:t>service</w:t>
      </w:r>
      <w:r w:rsidR="003B6A82" w:rsidRPr="003B6A82">
        <w:rPr>
          <w:lang w:eastAsia="en-AU"/>
        </w:rPr>
        <w:t>.</w:t>
      </w:r>
    </w:p>
    <w:bookmarkEnd w:id="55"/>
    <w:bookmarkEnd w:id="56"/>
    <w:p w14:paraId="619E5C31" w14:textId="5843F93F" w:rsidR="00D657E9" w:rsidRDefault="00D657E9" w:rsidP="00213141">
      <w:pPr>
        <w:rPr>
          <w:lang w:val="en-AU" w:eastAsia="en-AU"/>
        </w:rPr>
      </w:pPr>
    </w:p>
    <w:p w14:paraId="0F43EA5E" w14:textId="77777777" w:rsidR="00D5479D" w:rsidRDefault="004E2723" w:rsidP="00D5479D">
      <w:pPr>
        <w:rPr>
          <w:lang w:eastAsia="en-AU"/>
        </w:rPr>
      </w:pPr>
      <w:r w:rsidRPr="004E2723">
        <w:rPr>
          <w:lang w:eastAsia="en-AU"/>
        </w:rPr>
        <w:t>Pris</w:t>
      </w:r>
      <w:r w:rsidR="00092AFE">
        <w:rPr>
          <w:lang w:eastAsia="en-AU"/>
        </w:rPr>
        <w:t>oners eligible for the PRP</w:t>
      </w:r>
      <w:r>
        <w:rPr>
          <w:lang w:eastAsia="en-AU"/>
        </w:rPr>
        <w:t xml:space="preserve"> are eligible </w:t>
      </w:r>
      <w:r w:rsidRPr="004E2723">
        <w:rPr>
          <w:lang w:eastAsia="en-AU"/>
        </w:rPr>
        <w:t>for DES even while they are not on an Income Support Payment. Pa</w:t>
      </w:r>
      <w:r w:rsidR="00092AFE">
        <w:rPr>
          <w:lang w:eastAsia="en-AU"/>
        </w:rPr>
        <w:t>rticipants in the PRP</w:t>
      </w:r>
      <w:r w:rsidRPr="004E2723">
        <w:rPr>
          <w:lang w:eastAsia="en-AU"/>
        </w:rPr>
        <w:t xml:space="preserve"> receive the same level of Services available to any other DES </w:t>
      </w:r>
      <w:r w:rsidR="008C37C4">
        <w:rPr>
          <w:lang w:eastAsia="en-AU"/>
        </w:rPr>
        <w:t>participant</w:t>
      </w:r>
      <w:r w:rsidRPr="004E2723">
        <w:rPr>
          <w:lang w:eastAsia="en-AU"/>
        </w:rPr>
        <w:t>. Participants in the PRP initiative</w:t>
      </w:r>
      <w:r w:rsidR="00423262">
        <w:rPr>
          <w:lang w:eastAsia="en-AU"/>
        </w:rPr>
        <w:t xml:space="preserve"> do not have Mutual Obligation r</w:t>
      </w:r>
      <w:r w:rsidRPr="004E2723">
        <w:rPr>
          <w:lang w:eastAsia="en-AU"/>
        </w:rPr>
        <w:t>equirements.</w:t>
      </w:r>
    </w:p>
    <w:p w14:paraId="24DE7E62" w14:textId="77777777" w:rsidR="00D5479D" w:rsidRDefault="00D5479D" w:rsidP="00D5479D">
      <w:pPr>
        <w:rPr>
          <w:lang w:eastAsia="en-AU"/>
        </w:rPr>
      </w:pPr>
    </w:p>
    <w:p w14:paraId="165AAFC0" w14:textId="77777777" w:rsidR="00D5479D" w:rsidRDefault="00775B90" w:rsidP="00D5479D">
      <w:pPr>
        <w:rPr>
          <w:u w:val="single"/>
          <w:lang w:val="en-AU" w:eastAsia="en-AU"/>
        </w:rPr>
      </w:pPr>
      <w:r>
        <w:rPr>
          <w:u w:val="single"/>
          <w:lang w:val="en-AU" w:eastAsia="en-AU"/>
        </w:rPr>
        <w:t>Time to Work Employment Service (TWES)</w:t>
      </w:r>
    </w:p>
    <w:p w14:paraId="049200A5" w14:textId="77777777" w:rsidR="00D5479D" w:rsidRDefault="00E83C74" w:rsidP="00D5479D">
      <w:pPr>
        <w:rPr>
          <w:lang w:eastAsia="en-AU"/>
        </w:rPr>
      </w:pPr>
      <w:r w:rsidRPr="00241B01">
        <w:rPr>
          <w:lang w:eastAsia="en-AU"/>
        </w:rPr>
        <w:t>Aboriginal and Torres Strait Islander prisoners who are between one and four months from their earliest possible release date may be eligible for the Time to Work Employment Service (TWES). TWES is a national, voluntary in-prison employment service for Aboriginal and Torres Strait Islander people. The service offers eligible prisoners assistance while they are in prison to help them prepare for employment on their release and connect them to post-release employment ser</w:t>
      </w:r>
      <w:r w:rsidR="00241B01">
        <w:rPr>
          <w:lang w:eastAsia="en-AU"/>
        </w:rPr>
        <w:t>vices providers, including DES p</w:t>
      </w:r>
      <w:r w:rsidRPr="00241B01">
        <w:rPr>
          <w:lang w:eastAsia="en-AU"/>
        </w:rPr>
        <w:t xml:space="preserve">roviders, where possible. Participants receive the Job Seeker Classification Instrument assessment to determine their level of disadvantage in the </w:t>
      </w:r>
      <w:proofErr w:type="spellStart"/>
      <w:r w:rsidRPr="00241B01">
        <w:rPr>
          <w:lang w:eastAsia="en-AU"/>
        </w:rPr>
        <w:t>labour</w:t>
      </w:r>
      <w:proofErr w:type="spellEnd"/>
      <w:r w:rsidRPr="00241B01">
        <w:rPr>
          <w:lang w:eastAsia="en-AU"/>
        </w:rPr>
        <w:t xml:space="preserve"> market, an Employment Services Assessment to identify vocational and non-vocational barriers to employment, a Transition Plan to capture their skills, experience and aspirations as well as practical information about arrangements after release and a facilitated transfer to their post-release employment services provider, where possible.</w:t>
      </w:r>
    </w:p>
    <w:p w14:paraId="66D3100D" w14:textId="77777777" w:rsidR="00D5479D" w:rsidRDefault="00D5479D" w:rsidP="00D5479D">
      <w:pPr>
        <w:rPr>
          <w:lang w:eastAsia="en-AU"/>
        </w:rPr>
      </w:pPr>
    </w:p>
    <w:p w14:paraId="3D6E33BE" w14:textId="77777777" w:rsidR="00D5479D" w:rsidRDefault="00241B01" w:rsidP="00D5479D">
      <w:pPr>
        <w:rPr>
          <w:lang w:eastAsia="en-AU"/>
        </w:rPr>
      </w:pPr>
      <w:r w:rsidRPr="00B76EC8">
        <w:rPr>
          <w:lang w:eastAsia="en-AU"/>
        </w:rPr>
        <w:t>To assist the TWES p</w:t>
      </w:r>
      <w:r w:rsidR="00E83C74" w:rsidRPr="00B76EC8">
        <w:rPr>
          <w:lang w:eastAsia="en-AU"/>
        </w:rPr>
        <w:t>ar</w:t>
      </w:r>
      <w:r w:rsidRPr="00B76EC8">
        <w:rPr>
          <w:lang w:eastAsia="en-AU"/>
        </w:rPr>
        <w:t>ticipant’s move to DES, once a p</w:t>
      </w:r>
      <w:r w:rsidR="00E83C74" w:rsidRPr="00B76EC8">
        <w:rPr>
          <w:lang w:eastAsia="en-AU"/>
        </w:rPr>
        <w:t>articipant has been referred to a DES provider b</w:t>
      </w:r>
      <w:r w:rsidRPr="00B76EC8">
        <w:rPr>
          <w:lang w:eastAsia="en-AU"/>
        </w:rPr>
        <w:t>y Services Australia, the TWES p</w:t>
      </w:r>
      <w:r w:rsidR="00E83C74" w:rsidRPr="00B76EC8">
        <w:rPr>
          <w:lang w:eastAsia="en-AU"/>
        </w:rPr>
        <w:t xml:space="preserve">rovider must </w:t>
      </w:r>
      <w:proofErr w:type="spellStart"/>
      <w:r w:rsidR="00E83C74" w:rsidRPr="00B76EC8">
        <w:rPr>
          <w:lang w:eastAsia="en-AU"/>
        </w:rPr>
        <w:t>organise</w:t>
      </w:r>
      <w:proofErr w:type="spellEnd"/>
      <w:r w:rsidR="00E83C74" w:rsidRPr="00B76EC8">
        <w:rPr>
          <w:lang w:eastAsia="en-AU"/>
        </w:rPr>
        <w:t xml:space="preserve"> a facilitated transfer meeting with</w:t>
      </w:r>
      <w:r w:rsidRPr="00B76EC8">
        <w:rPr>
          <w:lang w:eastAsia="en-AU"/>
        </w:rPr>
        <w:t xml:space="preserve"> the DES provider and TWES p</w:t>
      </w:r>
      <w:r w:rsidR="00E83C74" w:rsidRPr="00B76EC8">
        <w:rPr>
          <w:lang w:eastAsia="en-AU"/>
        </w:rPr>
        <w:t>articipant, where possible, before the TWE</w:t>
      </w:r>
      <w:r w:rsidR="00A336FB">
        <w:rPr>
          <w:lang w:eastAsia="en-AU"/>
        </w:rPr>
        <w:t>S p</w:t>
      </w:r>
      <w:r w:rsidR="00E83C74" w:rsidRPr="00B76EC8">
        <w:rPr>
          <w:lang w:eastAsia="en-AU"/>
        </w:rPr>
        <w:t>articip</w:t>
      </w:r>
      <w:r w:rsidR="00A336FB">
        <w:rPr>
          <w:lang w:eastAsia="en-AU"/>
        </w:rPr>
        <w:t>ant’s release from prison. DES p</w:t>
      </w:r>
      <w:r w:rsidR="00E83C74" w:rsidRPr="00B76EC8">
        <w:rPr>
          <w:lang w:eastAsia="en-AU"/>
        </w:rPr>
        <w:t xml:space="preserve">roviders should </w:t>
      </w:r>
      <w:r w:rsidRPr="00B76EC8">
        <w:rPr>
          <w:lang w:eastAsia="en-AU"/>
        </w:rPr>
        <w:t>work collaboratively with TWES p</w:t>
      </w:r>
      <w:r w:rsidR="00E83C74" w:rsidRPr="00B76EC8">
        <w:rPr>
          <w:lang w:eastAsia="en-AU"/>
        </w:rPr>
        <w:t>roviders and must attend the facilitated transfer meeting, in person or by telephone, and explain the services</w:t>
      </w:r>
      <w:r w:rsidRPr="00B76EC8">
        <w:rPr>
          <w:lang w:eastAsia="en-AU"/>
        </w:rPr>
        <w:t xml:space="preserve"> that will be available to the p</w:t>
      </w:r>
      <w:r w:rsidR="00E83C74" w:rsidRPr="00B76EC8">
        <w:rPr>
          <w:lang w:eastAsia="en-AU"/>
        </w:rPr>
        <w:t>articipant when they commence in DES. DES providers will need to schedule/block out time in their Electronic Calendar for a facilit</w:t>
      </w:r>
      <w:r w:rsidRPr="00B76EC8">
        <w:rPr>
          <w:lang w:eastAsia="en-AU"/>
        </w:rPr>
        <w:t>ated transfer meeting with the participant and TWES p</w:t>
      </w:r>
      <w:r w:rsidR="00E83C74" w:rsidRPr="00B76EC8">
        <w:rPr>
          <w:lang w:eastAsia="en-AU"/>
        </w:rPr>
        <w:t xml:space="preserve">rovider. </w:t>
      </w:r>
    </w:p>
    <w:p w14:paraId="3C25AC04" w14:textId="77777777" w:rsidR="00D5479D" w:rsidRDefault="00D5479D" w:rsidP="00D5479D">
      <w:pPr>
        <w:rPr>
          <w:lang w:eastAsia="en-AU"/>
        </w:rPr>
      </w:pPr>
    </w:p>
    <w:p w14:paraId="6A3E04DB" w14:textId="77777777" w:rsidR="00D5479D" w:rsidRDefault="00E83C74" w:rsidP="00D5479D">
      <w:pPr>
        <w:rPr>
          <w:lang w:eastAsia="en-AU"/>
        </w:rPr>
      </w:pPr>
      <w:r w:rsidRPr="00B76EC8">
        <w:rPr>
          <w:lang w:eastAsia="en-AU"/>
        </w:rPr>
        <w:t>At the facilit</w:t>
      </w:r>
      <w:r w:rsidR="00612D29" w:rsidRPr="00B76EC8">
        <w:rPr>
          <w:lang w:eastAsia="en-AU"/>
        </w:rPr>
        <w:t>ated transfer meeting the TWES p</w:t>
      </w:r>
      <w:r w:rsidRPr="00B76EC8">
        <w:rPr>
          <w:lang w:eastAsia="en-AU"/>
        </w:rPr>
        <w:t>rovider will introduce the participant and discuss and provide a copy of the participant’s Transition Plan, which will outline actions to</w:t>
      </w:r>
      <w:r w:rsidR="00612D29" w:rsidRPr="00B76EC8">
        <w:rPr>
          <w:lang w:eastAsia="en-AU"/>
        </w:rPr>
        <w:t xml:space="preserve"> help address any barriers the p</w:t>
      </w:r>
      <w:r w:rsidRPr="00B76EC8">
        <w:rPr>
          <w:lang w:eastAsia="en-AU"/>
        </w:rPr>
        <w:t>articipant will face following their release from prison and detail their plan for employment. Where possible, the staff member who will be servicing the participant under DES should attend the meeting.</w:t>
      </w:r>
    </w:p>
    <w:p w14:paraId="743E40C1" w14:textId="77777777" w:rsidR="00D5479D" w:rsidRDefault="00D5479D" w:rsidP="00D5479D">
      <w:pPr>
        <w:rPr>
          <w:lang w:eastAsia="en-AU"/>
        </w:rPr>
      </w:pPr>
    </w:p>
    <w:p w14:paraId="772EE931" w14:textId="77777777" w:rsidR="00D5479D" w:rsidRDefault="00E83C74" w:rsidP="00D5479D">
      <w:pPr>
        <w:rPr>
          <w:lang w:eastAsia="en-AU"/>
        </w:rPr>
      </w:pPr>
      <w:r w:rsidRPr="00B76EC8">
        <w:rPr>
          <w:lang w:eastAsia="en-AU"/>
        </w:rPr>
        <w:t>For more information about TWES, please refer to the Time to Work Employment Service information sheet on the provider portal at: Provider Portal &gt; DES &gt; DES Guidelines and Supporting Documents &gt; Specific Client Groups.</w:t>
      </w:r>
    </w:p>
    <w:p w14:paraId="29107D72" w14:textId="77777777" w:rsidR="00D5479D" w:rsidRDefault="00D5479D" w:rsidP="00D5479D">
      <w:pPr>
        <w:rPr>
          <w:lang w:eastAsia="en-AU"/>
        </w:rPr>
      </w:pPr>
    </w:p>
    <w:p w14:paraId="781C7AA2" w14:textId="77777777" w:rsidR="00D5479D" w:rsidRDefault="00E83C74" w:rsidP="00D5479D">
      <w:pPr>
        <w:rPr>
          <w:lang w:eastAsia="en-AU"/>
        </w:rPr>
      </w:pPr>
      <w:r w:rsidRPr="00B76EC8">
        <w:rPr>
          <w:lang w:eastAsia="en-AU"/>
        </w:rPr>
        <w:t>The Time to Work Employment Service will cease on 30 June 2023.</w:t>
      </w:r>
    </w:p>
    <w:p w14:paraId="2593775C" w14:textId="77777777" w:rsidR="00D5479D" w:rsidRDefault="00D5479D" w:rsidP="00D5479D">
      <w:pPr>
        <w:rPr>
          <w:lang w:eastAsia="en-AU"/>
        </w:rPr>
      </w:pPr>
    </w:p>
    <w:p w14:paraId="6B38CE8C" w14:textId="77777777" w:rsidR="00D5479D" w:rsidRDefault="00A53640" w:rsidP="00D5479D">
      <w:pPr>
        <w:rPr>
          <w:u w:val="single"/>
          <w:lang w:val="en-AU" w:eastAsia="en-AU"/>
        </w:rPr>
      </w:pPr>
      <w:r w:rsidRPr="00A53640">
        <w:rPr>
          <w:u w:val="single"/>
          <w:lang w:val="en-AU" w:eastAsia="en-AU"/>
        </w:rPr>
        <w:t>Parent Pathways Participants</w:t>
      </w:r>
    </w:p>
    <w:p w14:paraId="5E86D6A1" w14:textId="77777777" w:rsidR="00D5479D" w:rsidRDefault="00A53640" w:rsidP="00D5479D">
      <w:pPr>
        <w:rPr>
          <w:lang w:val="en-AU" w:eastAsia="en-AU"/>
        </w:rPr>
      </w:pPr>
      <w:r w:rsidRPr="00A53640">
        <w:rPr>
          <w:lang w:val="en-AU" w:eastAsia="en-AU"/>
        </w:rPr>
        <w:t xml:space="preserve">The Australian Government’s voluntary Parent Pathways service provides early intervention pre-employment support to parents of young children (aged under 6 years) to help them work towards and achieve goals to improve their future economic security. </w:t>
      </w:r>
    </w:p>
    <w:p w14:paraId="65969095" w14:textId="77777777" w:rsidR="00D5479D" w:rsidRDefault="00D5479D" w:rsidP="00D5479D">
      <w:pPr>
        <w:rPr>
          <w:lang w:val="en-AU" w:eastAsia="en-AU"/>
        </w:rPr>
      </w:pPr>
    </w:p>
    <w:p w14:paraId="4BAB8628" w14:textId="77777777" w:rsidR="00D5479D" w:rsidRDefault="00A53640" w:rsidP="00D5479D">
      <w:pPr>
        <w:rPr>
          <w:lang w:val="en-AU" w:eastAsia="en-AU"/>
        </w:rPr>
      </w:pPr>
      <w:r w:rsidRPr="00A53640">
        <w:rPr>
          <w:lang w:val="en-AU" w:eastAsia="en-AU"/>
        </w:rPr>
        <w:t xml:space="preserve">Participants who are transitioning from Parent Pathways to Disability Employment Services may choose to have a Warm Handover meeting as part of their Initial Interview with their Disability Employment Services Provider. The Participant is responsible for advising their Parent Pathways Mentor of the details of the Initial Interview appointment with their Provider. </w:t>
      </w:r>
    </w:p>
    <w:p w14:paraId="1A4BBEBC" w14:textId="77777777" w:rsidR="00D5479D" w:rsidRDefault="00D5479D" w:rsidP="00D5479D">
      <w:pPr>
        <w:rPr>
          <w:lang w:val="en-AU" w:eastAsia="en-AU"/>
        </w:rPr>
      </w:pPr>
    </w:p>
    <w:p w14:paraId="2428E7B0" w14:textId="77777777" w:rsidR="00D5479D" w:rsidRDefault="00A53640" w:rsidP="00D5479D">
      <w:pPr>
        <w:rPr>
          <w:lang w:val="en-AU" w:eastAsia="en-AU"/>
        </w:rPr>
      </w:pPr>
      <w:r w:rsidRPr="00A53640">
        <w:rPr>
          <w:lang w:val="en-AU" w:eastAsia="en-AU"/>
        </w:rPr>
        <w:t>Warm Handovers are optional for Participants and are intended to improve the continuity of support for the Participant by the Provider tailoring support that takes account of, and builds on, the Participant’s achievements and progress in Parent Pathways.</w:t>
      </w:r>
    </w:p>
    <w:p w14:paraId="6B342A8D" w14:textId="77777777" w:rsidR="00D5479D" w:rsidRDefault="00D5479D" w:rsidP="00D5479D">
      <w:pPr>
        <w:rPr>
          <w:lang w:val="en-AU" w:eastAsia="en-AU"/>
        </w:rPr>
      </w:pPr>
    </w:p>
    <w:p w14:paraId="522E0A87" w14:textId="0F953C3A" w:rsidR="006353EF" w:rsidRDefault="00A53640" w:rsidP="00D5479D">
      <w:pPr>
        <w:rPr>
          <w:lang w:val="en-AU" w:eastAsia="en-AU"/>
        </w:rPr>
      </w:pPr>
      <w:r w:rsidRPr="00A53640">
        <w:rPr>
          <w:lang w:val="en-AU" w:eastAsia="en-AU"/>
        </w:rPr>
        <w:t xml:space="preserve">Parent Pathways Participants must be assisted to prepare a Job Plan. The Job Plan must meet the requirements outlined in the </w:t>
      </w:r>
      <w:r w:rsidRPr="00A53640">
        <w:rPr>
          <w:i/>
          <w:iCs/>
          <w:lang w:val="en-AU" w:eastAsia="en-AU"/>
        </w:rPr>
        <w:t>Job Plan and Scheduling Mutual Obligations Requirements Guidelines</w:t>
      </w:r>
      <w:r w:rsidRPr="00A53640">
        <w:rPr>
          <w:lang w:val="en-AU" w:eastAsia="en-AU"/>
        </w:rPr>
        <w:t xml:space="preserve">.  In addition, Providers are required to ensure the Job Plan and suitable Activities (identified in line with the </w:t>
      </w:r>
      <w:r w:rsidRPr="00A53640">
        <w:rPr>
          <w:i/>
          <w:iCs/>
          <w:lang w:val="en-AU" w:eastAsia="en-AU"/>
        </w:rPr>
        <w:t>Activities Management Guidelines</w:t>
      </w:r>
      <w:r w:rsidRPr="00A53640">
        <w:rPr>
          <w:lang w:val="en-AU" w:eastAsia="en-AU"/>
        </w:rPr>
        <w:t>), take account of the details of the Participant’s Parent Pathways</w:t>
      </w:r>
      <w:r w:rsidR="006353EF">
        <w:rPr>
          <w:lang w:val="en-AU" w:eastAsia="en-AU"/>
        </w:rPr>
        <w:t xml:space="preserve"> </w:t>
      </w:r>
      <w:r w:rsidR="006353EF" w:rsidRPr="006353EF">
        <w:rPr>
          <w:lang w:val="en-AU" w:eastAsia="en-AU"/>
        </w:rPr>
        <w:t xml:space="preserve">Goal Plan (where the Goal Plan is shared by the Participant), and/or details of any advice provided by the Participant and the Parent Pathways Mentor about the Participant’s goals, achievements and progress during Parent Pathways. </w:t>
      </w:r>
    </w:p>
    <w:p w14:paraId="5958E04F" w14:textId="77777777" w:rsidR="006353EF" w:rsidRPr="006353EF" w:rsidRDefault="006353EF" w:rsidP="006353EF">
      <w:pPr>
        <w:keepNext/>
        <w:keepLines/>
        <w:rPr>
          <w:lang w:val="en-AU" w:eastAsia="en-AU"/>
        </w:rPr>
      </w:pPr>
    </w:p>
    <w:p w14:paraId="4B56B23C" w14:textId="77777777" w:rsidR="006353EF" w:rsidRPr="006353EF" w:rsidRDefault="006353EF" w:rsidP="006353EF">
      <w:pPr>
        <w:keepNext/>
        <w:keepLines/>
        <w:rPr>
          <w:lang w:val="en-AU" w:eastAsia="en-AU"/>
        </w:rPr>
      </w:pPr>
      <w:r w:rsidRPr="006353EF">
        <w:rPr>
          <w:lang w:val="en-AU" w:eastAsia="en-AU"/>
        </w:rPr>
        <w:t xml:space="preserve">Providers are required to provide high quality support to Parent Pathways Participants, to help them prepare for work and improve skills. Providers are required to tailor support to take account of Participants’ individual needs, their family responsibilities, including the care of a child, and other relevant circumstances. Providers are required to build on their goals, progress and achievements in Parent Pathways to ensure the continuity of support in Disability Employment Services. </w:t>
      </w:r>
    </w:p>
    <w:p w14:paraId="2F66B73E" w14:textId="2B6AA5FF" w:rsidR="009B34D8" w:rsidRPr="00A53640" w:rsidRDefault="006353EF" w:rsidP="006353EF">
      <w:pPr>
        <w:keepNext/>
        <w:keepLines/>
        <w:rPr>
          <w:lang w:val="en-AU" w:eastAsia="en-AU"/>
        </w:rPr>
      </w:pPr>
      <w:r w:rsidRPr="006353EF">
        <w:rPr>
          <w:lang w:val="en-AU" w:eastAsia="en-AU"/>
        </w:rPr>
        <w:t xml:space="preserve">At the time of attending the Initial Interview, the Participant will be </w:t>
      </w:r>
      <w:proofErr w:type="gramStart"/>
      <w:r w:rsidRPr="006353EF">
        <w:rPr>
          <w:lang w:val="en-AU" w:eastAsia="en-AU"/>
        </w:rPr>
        <w:t>exited</w:t>
      </w:r>
      <w:proofErr w:type="gramEnd"/>
      <w:r w:rsidRPr="006353EF">
        <w:rPr>
          <w:lang w:val="en-AU" w:eastAsia="en-AU"/>
        </w:rPr>
        <w:t xml:space="preserve"> from Parent Pathways. The Participant will generally commence in Disability Employment Services following the Warm Handover (if the Participant has chosen this option), and once Providers records attendance at the Initial Interview and the Participant has an approved Job Plan</w:t>
      </w:r>
      <w:r w:rsidR="00C06E0D">
        <w:rPr>
          <w:lang w:val="en-AU" w:eastAsia="en-AU"/>
        </w:rPr>
        <w:t>.</w:t>
      </w:r>
    </w:p>
    <w:p w14:paraId="498398C4" w14:textId="38322A2F" w:rsidR="008C08E7" w:rsidRDefault="008C08E7">
      <w:pPr>
        <w:spacing w:after="200" w:line="276" w:lineRule="auto"/>
        <w:rPr>
          <w:lang w:val="en-AU" w:eastAsia="en-AU"/>
        </w:rPr>
      </w:pPr>
      <w:bookmarkStart w:id="57" w:name="_Toc459216223"/>
      <w:bookmarkStart w:id="58" w:name="_Toc473637605"/>
      <w:bookmarkStart w:id="59" w:name="_Toc496019690"/>
      <w:bookmarkStart w:id="60" w:name="_Toc496019742"/>
      <w:bookmarkStart w:id="61" w:name="_Toc358732704"/>
      <w:r>
        <w:rPr>
          <w:lang w:val="en-AU" w:eastAsia="en-AU"/>
        </w:rPr>
        <w:br w:type="page"/>
      </w:r>
    </w:p>
    <w:p w14:paraId="128437A3" w14:textId="77891AD9" w:rsidR="00F63C25" w:rsidRPr="00213141" w:rsidRDefault="00F63C25" w:rsidP="00213141">
      <w:pPr>
        <w:pStyle w:val="Heading2"/>
        <w:spacing w:before="120" w:after="120"/>
        <w:rPr>
          <w:sz w:val="28"/>
          <w:szCs w:val="28"/>
        </w:rPr>
      </w:pPr>
      <w:bookmarkStart w:id="62" w:name="_Toc176964318"/>
      <w:r w:rsidRPr="00213141">
        <w:rPr>
          <w:color w:val="auto"/>
          <w:sz w:val="28"/>
          <w:szCs w:val="28"/>
        </w:rPr>
        <w:lastRenderedPageBreak/>
        <w:t>Referral</w:t>
      </w:r>
      <w:bookmarkEnd w:id="57"/>
      <w:bookmarkEnd w:id="58"/>
      <w:bookmarkEnd w:id="59"/>
      <w:bookmarkEnd w:id="60"/>
      <w:bookmarkEnd w:id="62"/>
      <w:r w:rsidRPr="00213141">
        <w:rPr>
          <w:color w:val="auto"/>
          <w:sz w:val="28"/>
          <w:szCs w:val="28"/>
        </w:rPr>
        <w:t xml:space="preserve"> </w:t>
      </w:r>
    </w:p>
    <w:bookmarkEnd w:id="61"/>
    <w:p w14:paraId="755721FB" w14:textId="61D7E580" w:rsidR="00B312B4" w:rsidRPr="00BB0847" w:rsidRDefault="009A3D0D" w:rsidP="00BB0847">
      <w:pPr>
        <w:pStyle w:val="Heading4"/>
        <w:spacing w:before="0" w:after="240"/>
      </w:pPr>
      <w:r>
        <w:t>Overview</w:t>
      </w:r>
    </w:p>
    <w:p w14:paraId="3EB9890B" w14:textId="6ECA8A95" w:rsidR="0012562E" w:rsidRDefault="0012562E" w:rsidP="00BB0847">
      <w:r w:rsidRPr="00BB0847">
        <w:t xml:space="preserve">This section of the </w:t>
      </w:r>
      <w:r w:rsidRPr="00BB0847">
        <w:rPr>
          <w:i/>
        </w:rPr>
        <w:t>Eligibility, Referral and Commencement Guidelines</w:t>
      </w:r>
      <w:r w:rsidRPr="00BB0847">
        <w:t xml:space="preserve"> specifies a </w:t>
      </w:r>
      <w:r w:rsidR="00612D29">
        <w:t>p</w:t>
      </w:r>
      <w:r w:rsidRPr="00BB0847">
        <w:t>rovider’s responsibilities and required actions for receiving Referrals of eligible job seekers.</w:t>
      </w:r>
    </w:p>
    <w:p w14:paraId="5A9ED3CB" w14:textId="43FAF801" w:rsidR="00623A81" w:rsidRPr="00796790" w:rsidRDefault="00623A81" w:rsidP="00BB0847">
      <w:pPr>
        <w:rPr>
          <w:sz w:val="19"/>
          <w:szCs w:val="19"/>
        </w:rPr>
      </w:pPr>
    </w:p>
    <w:p w14:paraId="083EBD57" w14:textId="24C20ED0" w:rsidR="0012562E" w:rsidRPr="00C078E5" w:rsidRDefault="00623A81" w:rsidP="00B9621A">
      <w:pPr>
        <w:pStyle w:val="Heading4"/>
        <w:spacing w:before="120" w:after="120"/>
        <w:rPr>
          <w:sz w:val="22"/>
          <w:szCs w:val="22"/>
          <w:lang w:val="en-US" w:eastAsia="en-US"/>
        </w:rPr>
      </w:pPr>
      <w:bookmarkStart w:id="63" w:name="_Toc459216225"/>
      <w:bookmarkStart w:id="64" w:name="_Toc473637607"/>
      <w:r>
        <w:rPr>
          <w:sz w:val="22"/>
          <w:szCs w:val="22"/>
        </w:rPr>
        <w:t>Referral</w:t>
      </w:r>
      <w:bookmarkEnd w:id="63"/>
      <w:bookmarkEnd w:id="64"/>
    </w:p>
    <w:p w14:paraId="5E76ECD5" w14:textId="0E51DC56" w:rsidR="00B119E5" w:rsidRDefault="009A3D0D" w:rsidP="00BB0847">
      <w:r>
        <w:rPr>
          <w:lang w:val="en-AU" w:eastAsia="en-AU"/>
        </w:rPr>
        <w:t xml:space="preserve">A job seeker cannot be Commenced in DES until </w:t>
      </w:r>
      <w:r w:rsidRPr="00BB0847">
        <w:t>they have been va</w:t>
      </w:r>
      <w:r w:rsidR="00B119E5" w:rsidRPr="00BB0847">
        <w:t>lidly R</w:t>
      </w:r>
      <w:r w:rsidRPr="00BB0847">
        <w:t xml:space="preserve">eferred to the Disability Management Service (DES-DMS) or the </w:t>
      </w:r>
      <w:r w:rsidR="00B119E5" w:rsidRPr="00BB0847">
        <w:t>Employment Support Service (DES-ESS).</w:t>
      </w:r>
    </w:p>
    <w:p w14:paraId="757E8BC8" w14:textId="77777777" w:rsidR="00623A81" w:rsidRPr="00796790" w:rsidRDefault="00623A81" w:rsidP="00BB0847">
      <w:pPr>
        <w:rPr>
          <w:sz w:val="19"/>
          <w:szCs w:val="19"/>
        </w:rPr>
      </w:pPr>
    </w:p>
    <w:p w14:paraId="25EAAEC1" w14:textId="31160B5E" w:rsidR="00B119E5" w:rsidRDefault="00B119E5" w:rsidP="00BB0847">
      <w:r w:rsidRPr="00BB0847">
        <w:t xml:space="preserve">Unless the job seeker is ESAt/JCA exempt as described in the Eligibility section of these Guidelines, a </w:t>
      </w:r>
      <w:r w:rsidR="005E6801">
        <w:t>job seeker</w:t>
      </w:r>
      <w:r w:rsidR="00583808">
        <w:t xml:space="preserve"> must</w:t>
      </w:r>
      <w:r w:rsidRPr="00BB0847">
        <w:t xml:space="preserve"> have a recommended </w:t>
      </w:r>
      <w:r w:rsidR="0076207B">
        <w:t xml:space="preserve">service </w:t>
      </w:r>
      <w:r w:rsidR="00583808">
        <w:t>R</w:t>
      </w:r>
      <w:r w:rsidRPr="00BB0847">
        <w:t>eferral to DES-DMS or DES-ESS in a Valid ESAt or JCA, conducted after any DES Period of Service the job seeker may previously have completed.</w:t>
      </w:r>
      <w:r w:rsidR="0076207B">
        <w:t xml:space="preserve"> Job seekers who are ESAt/JCA exempt do not need a service referral.</w:t>
      </w:r>
    </w:p>
    <w:p w14:paraId="0815535A" w14:textId="77777777" w:rsidR="00623A81" w:rsidRPr="00796790" w:rsidRDefault="00623A81" w:rsidP="00BB0847">
      <w:pPr>
        <w:rPr>
          <w:sz w:val="19"/>
          <w:szCs w:val="19"/>
        </w:rPr>
      </w:pPr>
    </w:p>
    <w:p w14:paraId="7597461A" w14:textId="4CD39D74" w:rsidR="00B119E5" w:rsidRDefault="00B119E5" w:rsidP="00BB0847">
      <w:r w:rsidRPr="00BB0847">
        <w:t xml:space="preserve">A Referral connects a job seeker with a particular </w:t>
      </w:r>
      <w:r w:rsidR="008E3734">
        <w:t>provider</w:t>
      </w:r>
      <w:r w:rsidRPr="00BB0847">
        <w:t xml:space="preserve"> of the recommended DES </w:t>
      </w:r>
      <w:proofErr w:type="gramStart"/>
      <w:r w:rsidRPr="00BB0847">
        <w:t>service</w:t>
      </w:r>
      <w:r w:rsidR="0076207B">
        <w:t>, and</w:t>
      </w:r>
      <w:proofErr w:type="gramEnd"/>
      <w:r w:rsidR="0076207B">
        <w:t xml:space="preserve"> is usually made by an Assessor as part of the ESAt/JCA containing the service recommendation</w:t>
      </w:r>
      <w:r w:rsidRPr="00BB0847">
        <w:t>.</w:t>
      </w:r>
      <w:r w:rsidR="0076207B">
        <w:t xml:space="preserve"> </w:t>
      </w:r>
      <w:r w:rsidR="0076207B" w:rsidRPr="00472778">
        <w:t xml:space="preserve">Referrals can also be made by </w:t>
      </w:r>
      <w:r w:rsidR="009159F8">
        <w:t xml:space="preserve">other </w:t>
      </w:r>
      <w:r w:rsidR="0076207B" w:rsidRPr="00472778">
        <w:t>Services Australia</w:t>
      </w:r>
      <w:r w:rsidR="009159F8">
        <w:t xml:space="preserve"> staff</w:t>
      </w:r>
      <w:r w:rsidR="0076207B" w:rsidRPr="00472778">
        <w:t xml:space="preserve">, the Department (DSS), </w:t>
      </w:r>
      <w:r w:rsidR="0076207B">
        <w:t xml:space="preserve">the National Customer Service Line (NCSL), </w:t>
      </w:r>
      <w:r w:rsidR="00DE0175">
        <w:t xml:space="preserve">Workforce Australia </w:t>
      </w:r>
      <w:r w:rsidR="00FD2624">
        <w:t xml:space="preserve">Services </w:t>
      </w:r>
      <w:r w:rsidR="00A84108">
        <w:t xml:space="preserve">providers </w:t>
      </w:r>
      <w:r w:rsidR="0076207B" w:rsidRPr="00472778">
        <w:t xml:space="preserve">or other DES </w:t>
      </w:r>
      <w:r w:rsidR="008E3734">
        <w:t>provider</w:t>
      </w:r>
      <w:r w:rsidR="0076207B">
        <w:t>s</w:t>
      </w:r>
      <w:r w:rsidR="0076207B" w:rsidRPr="00472778">
        <w:t xml:space="preserve">, using a Valid ESAt/JCA </w:t>
      </w:r>
      <w:r w:rsidR="0076207B">
        <w:t>service</w:t>
      </w:r>
      <w:r w:rsidR="0076207B" w:rsidRPr="00472778">
        <w:t xml:space="preserve"> </w:t>
      </w:r>
      <w:r w:rsidR="0076207B">
        <w:t>r</w:t>
      </w:r>
      <w:r w:rsidR="0076207B" w:rsidRPr="00472778">
        <w:t>eferral.</w:t>
      </w:r>
    </w:p>
    <w:p w14:paraId="08447AD2" w14:textId="77777777" w:rsidR="00623A81" w:rsidRPr="00796790" w:rsidRDefault="00623A81" w:rsidP="00BB0847">
      <w:pPr>
        <w:rPr>
          <w:sz w:val="19"/>
          <w:szCs w:val="19"/>
        </w:rPr>
      </w:pPr>
    </w:p>
    <w:p w14:paraId="456D8AED" w14:textId="620F45F1" w:rsidR="00B119E5" w:rsidRDefault="00B119E5" w:rsidP="00BB0847">
      <w:pPr>
        <w:rPr>
          <w:lang w:val="en-AU" w:eastAsia="en-AU"/>
        </w:rPr>
      </w:pPr>
      <w:r w:rsidRPr="00BB0847">
        <w:t xml:space="preserve">A job seeker can </w:t>
      </w:r>
      <w:r w:rsidR="0076207B">
        <w:t xml:space="preserve">also </w:t>
      </w:r>
      <w:r w:rsidRPr="00BB0847">
        <w:t xml:space="preserve">Refer </w:t>
      </w:r>
      <w:r w:rsidR="00FB33FC" w:rsidRPr="00BB0847">
        <w:t>them se</w:t>
      </w:r>
      <w:r w:rsidR="00FB33FC">
        <w:t>lf</w:t>
      </w:r>
      <w:r w:rsidRPr="00BB0847">
        <w:t xml:space="preserve"> to a particular </w:t>
      </w:r>
      <w:r w:rsidR="00BC7001">
        <w:t>provider</w:t>
      </w:r>
      <w:r>
        <w:rPr>
          <w:lang w:val="en-AU" w:eastAsia="en-AU"/>
        </w:rPr>
        <w:t xml:space="preserve"> through Direct Registration. </w:t>
      </w:r>
    </w:p>
    <w:p w14:paraId="131CFE3A" w14:textId="4C041EE4" w:rsidR="00B119E5" w:rsidRDefault="00B119E5" w:rsidP="00BE43FF">
      <w:pPr>
        <w:pStyle w:val="ListParagraph"/>
        <w:widowControl/>
        <w:numPr>
          <w:ilvl w:val="0"/>
          <w:numId w:val="19"/>
        </w:numPr>
        <w:rPr>
          <w:lang w:val="en-AU" w:eastAsia="en-AU"/>
        </w:rPr>
      </w:pPr>
      <w:r w:rsidRPr="00B119E5">
        <w:rPr>
          <w:lang w:val="en-AU" w:eastAsia="en-AU"/>
        </w:rPr>
        <w:t xml:space="preserve">If the job seeker has a Valid ESAt/JCA </w:t>
      </w:r>
      <w:r w:rsidR="00D51744">
        <w:rPr>
          <w:lang w:val="en-AU" w:eastAsia="en-AU"/>
        </w:rPr>
        <w:t xml:space="preserve">with a </w:t>
      </w:r>
      <w:r w:rsidR="00FD2624">
        <w:rPr>
          <w:lang w:val="en-AU" w:eastAsia="en-AU"/>
        </w:rPr>
        <w:t>r</w:t>
      </w:r>
      <w:r w:rsidRPr="00B119E5">
        <w:rPr>
          <w:lang w:val="en-AU" w:eastAsia="en-AU"/>
        </w:rPr>
        <w:t>ecommend</w:t>
      </w:r>
      <w:r w:rsidR="00D51744">
        <w:rPr>
          <w:lang w:val="en-AU" w:eastAsia="en-AU"/>
        </w:rPr>
        <w:t>ed</w:t>
      </w:r>
      <w:r w:rsidRPr="00B119E5">
        <w:rPr>
          <w:lang w:val="en-AU" w:eastAsia="en-AU"/>
        </w:rPr>
        <w:t xml:space="preserve"> </w:t>
      </w:r>
      <w:r w:rsidR="00FD2624">
        <w:rPr>
          <w:lang w:val="en-AU" w:eastAsia="en-AU"/>
        </w:rPr>
        <w:t>r</w:t>
      </w:r>
      <w:r w:rsidRPr="00B119E5">
        <w:rPr>
          <w:lang w:val="en-AU" w:eastAsia="en-AU"/>
        </w:rPr>
        <w:t xml:space="preserve">eferral to the </w:t>
      </w:r>
      <w:r w:rsidRPr="00623A81">
        <w:rPr>
          <w:lang w:val="en-AU" w:eastAsia="en-AU"/>
        </w:rPr>
        <w:t xml:space="preserve">DES service delivered by that </w:t>
      </w:r>
      <w:r w:rsidR="00BC7001">
        <w:rPr>
          <w:lang w:val="en-AU" w:eastAsia="en-AU"/>
        </w:rPr>
        <w:t>provider</w:t>
      </w:r>
      <w:r w:rsidRPr="00623A81">
        <w:rPr>
          <w:lang w:val="en-AU" w:eastAsia="en-AU"/>
        </w:rPr>
        <w:t xml:space="preserve">, the </w:t>
      </w:r>
      <w:r w:rsidR="00BC7001">
        <w:rPr>
          <w:lang w:val="en-AU" w:eastAsia="en-AU"/>
        </w:rPr>
        <w:t>provider</w:t>
      </w:r>
      <w:r w:rsidRPr="00623A81">
        <w:rPr>
          <w:lang w:val="en-AU" w:eastAsia="en-AU"/>
        </w:rPr>
        <w:t xml:space="preserve"> ca</w:t>
      </w:r>
      <w:r w:rsidRPr="00B119E5">
        <w:rPr>
          <w:lang w:val="en-AU" w:eastAsia="en-AU"/>
        </w:rPr>
        <w:t xml:space="preserve">n undertake any required eligibility checks and then Commence </w:t>
      </w:r>
      <w:r w:rsidR="0076207B">
        <w:rPr>
          <w:lang w:val="en-AU" w:eastAsia="en-AU"/>
        </w:rPr>
        <w:t>the</w:t>
      </w:r>
      <w:r w:rsidRPr="00B119E5">
        <w:rPr>
          <w:lang w:val="en-AU" w:eastAsia="en-AU"/>
        </w:rPr>
        <w:t xml:space="preserve"> job seeker</w:t>
      </w:r>
      <w:r w:rsidR="0076207B">
        <w:rPr>
          <w:lang w:val="en-AU" w:eastAsia="en-AU"/>
        </w:rPr>
        <w:t xml:space="preserve"> i</w:t>
      </w:r>
      <w:r w:rsidR="00EB27F5">
        <w:rPr>
          <w:lang w:val="en-AU" w:eastAsia="en-AU"/>
        </w:rPr>
        <w:t>f</w:t>
      </w:r>
      <w:r w:rsidR="0076207B">
        <w:rPr>
          <w:lang w:val="en-AU" w:eastAsia="en-AU"/>
        </w:rPr>
        <w:t xml:space="preserve"> they are eligible</w:t>
      </w:r>
      <w:r w:rsidRPr="00B119E5">
        <w:rPr>
          <w:lang w:val="en-AU" w:eastAsia="en-AU"/>
        </w:rPr>
        <w:t>.</w:t>
      </w:r>
    </w:p>
    <w:p w14:paraId="5DB2E695" w14:textId="3C48152E" w:rsidR="00623A81" w:rsidRDefault="00623A81" w:rsidP="00BE43FF">
      <w:pPr>
        <w:pStyle w:val="ListParagraph"/>
        <w:widowControl/>
        <w:numPr>
          <w:ilvl w:val="0"/>
          <w:numId w:val="19"/>
        </w:numPr>
        <w:rPr>
          <w:lang w:val="en-AU" w:eastAsia="en-AU"/>
        </w:rPr>
      </w:pPr>
      <w:r>
        <w:rPr>
          <w:lang w:val="en-AU" w:eastAsia="en-AU"/>
        </w:rPr>
        <w:t xml:space="preserve">If the job seeker does not have a Valid ESAt/JCA, the </w:t>
      </w:r>
      <w:r w:rsidR="00BC7001">
        <w:rPr>
          <w:lang w:val="en-AU" w:eastAsia="en-AU"/>
        </w:rPr>
        <w:t>provider</w:t>
      </w:r>
      <w:r>
        <w:rPr>
          <w:lang w:val="en-AU" w:eastAsia="en-AU"/>
        </w:rPr>
        <w:t xml:space="preserve"> can refer the job seeker to an ESAt/JCA to </w:t>
      </w:r>
      <w:r w:rsidRPr="00BB0847">
        <w:t>determine</w:t>
      </w:r>
      <w:r>
        <w:rPr>
          <w:lang w:val="en-AU" w:eastAsia="en-AU"/>
        </w:rPr>
        <w:t xml:space="preserve"> the job seeker’s eligibility and recommended service </w:t>
      </w:r>
      <w:r w:rsidR="0076207B">
        <w:rPr>
          <w:lang w:val="en-AU" w:eastAsia="en-AU"/>
        </w:rPr>
        <w:t>r</w:t>
      </w:r>
      <w:r>
        <w:rPr>
          <w:lang w:val="en-AU" w:eastAsia="en-AU"/>
        </w:rPr>
        <w:t>eferral.</w:t>
      </w:r>
    </w:p>
    <w:p w14:paraId="086EE299" w14:textId="1CAF8C7E" w:rsidR="00623A81" w:rsidRPr="00796790" w:rsidRDefault="00623A81" w:rsidP="00BB0847">
      <w:pPr>
        <w:rPr>
          <w:sz w:val="19"/>
          <w:szCs w:val="19"/>
        </w:rPr>
      </w:pPr>
    </w:p>
    <w:p w14:paraId="5EA29D29" w14:textId="77777777" w:rsidR="004F044E" w:rsidRDefault="000A4141" w:rsidP="00BB0847">
      <w:r>
        <w:t xml:space="preserve">From 1 January 2022, an ESAt assessor </w:t>
      </w:r>
      <w:r w:rsidR="008826AF">
        <w:t>may offer a DES-eligible job seeker the option to undertake digital employment services</w:t>
      </w:r>
      <w:r w:rsidR="00CD1246">
        <w:t>,</w:t>
      </w:r>
      <w:r w:rsidR="008826AF">
        <w:t xml:space="preserve"> if they </w:t>
      </w:r>
      <w:r>
        <w:t xml:space="preserve">consider </w:t>
      </w:r>
      <w:r w:rsidR="008826AF">
        <w:t>the</w:t>
      </w:r>
      <w:r>
        <w:t xml:space="preserve"> job seeker is </w:t>
      </w:r>
      <w:r w:rsidR="008826AF">
        <w:t>able</w:t>
      </w:r>
      <w:r>
        <w:t xml:space="preserve"> </w:t>
      </w:r>
      <w:r w:rsidR="008826AF">
        <w:t xml:space="preserve">to </w:t>
      </w:r>
      <w:r>
        <w:t>manag</w:t>
      </w:r>
      <w:r w:rsidR="008826AF">
        <w:t>e</w:t>
      </w:r>
      <w:r>
        <w:t xml:space="preserve"> their own job search requirements online. </w:t>
      </w:r>
    </w:p>
    <w:p w14:paraId="3C198B18" w14:textId="4429B003" w:rsidR="004F044E" w:rsidRDefault="000A4141" w:rsidP="00BE43FF">
      <w:pPr>
        <w:pStyle w:val="ListParagraph"/>
        <w:numPr>
          <w:ilvl w:val="0"/>
          <w:numId w:val="30"/>
        </w:numPr>
      </w:pPr>
      <w:r>
        <w:t xml:space="preserve">Job seekers who accept this offer will be referred to </w:t>
      </w:r>
      <w:r w:rsidR="004F044E">
        <w:t xml:space="preserve">the </w:t>
      </w:r>
      <w:r w:rsidR="00B72E6B">
        <w:t>digital services</w:t>
      </w:r>
      <w:r w:rsidR="004F044E">
        <w:t xml:space="preserve"> available through</w:t>
      </w:r>
      <w:r w:rsidR="00B72E6B">
        <w:t xml:space="preserve"> </w:t>
      </w:r>
      <w:r w:rsidR="004F044E">
        <w:t>Workforce Australia</w:t>
      </w:r>
      <w:r w:rsidR="00FD2624">
        <w:t xml:space="preserve"> Online</w:t>
      </w:r>
      <w:r w:rsidR="004F044E">
        <w:t xml:space="preserve"> </w:t>
      </w:r>
      <w:r w:rsidR="00B72E6B">
        <w:t>(</w:t>
      </w:r>
      <w:proofErr w:type="spellStart"/>
      <w:r w:rsidR="004F044E">
        <w:t>jobactive</w:t>
      </w:r>
      <w:proofErr w:type="spellEnd"/>
      <w:r w:rsidR="00FD2624">
        <w:t xml:space="preserve"> Online Employment Services</w:t>
      </w:r>
      <w:r w:rsidR="00B72E6B">
        <w:t xml:space="preserve"> until 30 June 2022)</w:t>
      </w:r>
      <w:r>
        <w:t xml:space="preserve"> instead of DES. The</w:t>
      </w:r>
      <w:r w:rsidR="00D51744">
        <w:t xml:space="preserve"> </w:t>
      </w:r>
      <w:r w:rsidR="00FD2624">
        <w:t>r</w:t>
      </w:r>
      <w:r w:rsidR="00D51744">
        <w:t xml:space="preserve">ecommended </w:t>
      </w:r>
      <w:r w:rsidR="00FD2624">
        <w:t>referral</w:t>
      </w:r>
      <w:r w:rsidR="00D51744">
        <w:t xml:space="preserve"> for the</w:t>
      </w:r>
      <w:r>
        <w:t xml:space="preserve">se job seekers will </w:t>
      </w:r>
      <w:r w:rsidR="00D51744">
        <w:t xml:space="preserve">continue to be DES, and the job seeker can choose to exit digital services at any time and </w:t>
      </w:r>
      <w:r>
        <w:t>b</w:t>
      </w:r>
      <w:r w:rsidR="0032488B">
        <w:t xml:space="preserve">e </w:t>
      </w:r>
      <w:r w:rsidR="00D51744">
        <w:t>R</w:t>
      </w:r>
      <w:r w:rsidR="0032488B">
        <w:t xml:space="preserve">eferred to their chosen DES </w:t>
      </w:r>
      <w:r w:rsidR="00BC7001">
        <w:t>provider</w:t>
      </w:r>
      <w:r w:rsidR="004F044E">
        <w:t xml:space="preserve">. After 12 months in digital services, all job seekers whose </w:t>
      </w:r>
      <w:r w:rsidR="00FD2624">
        <w:t>r</w:t>
      </w:r>
      <w:r w:rsidR="004F044E">
        <w:t xml:space="preserve">ecommended </w:t>
      </w:r>
      <w:r w:rsidR="00FD2624">
        <w:t>referral</w:t>
      </w:r>
      <w:r w:rsidR="004F044E">
        <w:t xml:space="preserve"> is DES will be Referred to DES</w:t>
      </w:r>
      <w:r>
        <w:t xml:space="preserve">. </w:t>
      </w:r>
    </w:p>
    <w:p w14:paraId="15AD77FF" w14:textId="0373FD4F" w:rsidR="000A4141" w:rsidRDefault="000A4141" w:rsidP="00BE43FF">
      <w:pPr>
        <w:pStyle w:val="ListParagraph"/>
        <w:numPr>
          <w:ilvl w:val="0"/>
          <w:numId w:val="30"/>
        </w:numPr>
      </w:pPr>
      <w:r>
        <w:t xml:space="preserve">Job seekers who do not accept the offer will be </w:t>
      </w:r>
      <w:r w:rsidR="004F044E">
        <w:t>R</w:t>
      </w:r>
      <w:r>
        <w:t xml:space="preserve">eferred to their chosen </w:t>
      </w:r>
      <w:r w:rsidR="0032488B">
        <w:t xml:space="preserve">DES </w:t>
      </w:r>
      <w:r w:rsidR="00BC7001">
        <w:t>provider</w:t>
      </w:r>
      <w:r>
        <w:t>.</w:t>
      </w:r>
    </w:p>
    <w:p w14:paraId="56C6ABE2" w14:textId="77777777" w:rsidR="000A4141" w:rsidRPr="00796790" w:rsidRDefault="000A4141" w:rsidP="00BB0847">
      <w:pPr>
        <w:rPr>
          <w:sz w:val="19"/>
          <w:szCs w:val="19"/>
        </w:rPr>
      </w:pPr>
    </w:p>
    <w:p w14:paraId="434A03F8" w14:textId="08FCB258" w:rsidR="00623A81" w:rsidRPr="00BB0847" w:rsidRDefault="00623A81" w:rsidP="00BB0847">
      <w:pPr>
        <w:pStyle w:val="Heading4"/>
        <w:spacing w:before="0" w:after="0"/>
        <w:rPr>
          <w:u w:val="single"/>
        </w:rPr>
      </w:pPr>
      <w:r w:rsidRPr="00BB0847">
        <w:rPr>
          <w:b w:val="0"/>
          <w:sz w:val="22"/>
          <w:u w:val="single"/>
        </w:rPr>
        <w:t xml:space="preserve">Participant choice of </w:t>
      </w:r>
      <w:r w:rsidR="00BC7001">
        <w:rPr>
          <w:b w:val="0"/>
          <w:sz w:val="22"/>
          <w:u w:val="single"/>
        </w:rPr>
        <w:t>provider</w:t>
      </w:r>
    </w:p>
    <w:p w14:paraId="3F125548" w14:textId="0DF32B9F" w:rsidR="0056155B" w:rsidRDefault="0012562E" w:rsidP="00BB0847">
      <w:r w:rsidRPr="00BB0847">
        <w:t xml:space="preserve">Job seekers must choose a </w:t>
      </w:r>
      <w:r w:rsidR="00BC7001">
        <w:t>provider</w:t>
      </w:r>
      <w:r w:rsidRPr="00BB0847">
        <w:t xml:space="preserve"> at the </w:t>
      </w:r>
      <w:r w:rsidR="0032488B">
        <w:t xml:space="preserve">referring </w:t>
      </w:r>
      <w:r w:rsidR="00623A81">
        <w:t>ESA</w:t>
      </w:r>
      <w:r w:rsidR="00583808">
        <w:t>t</w:t>
      </w:r>
      <w:r w:rsidR="00623A81">
        <w:t>/JCA</w:t>
      </w:r>
      <w:r w:rsidRPr="00BB0847">
        <w:t xml:space="preserve">. To inform this choice, </w:t>
      </w:r>
      <w:r w:rsidR="00E54D52" w:rsidRPr="00BB0847">
        <w:t>Services Australia</w:t>
      </w:r>
      <w:r w:rsidRPr="00BB0847">
        <w:t xml:space="preserve"> provides information about the services available in the job seeker’s local area. Information </w:t>
      </w:r>
      <w:r w:rsidR="00623A81">
        <w:t>is</w:t>
      </w:r>
      <w:r w:rsidR="00623A81" w:rsidRPr="00BB0847">
        <w:t xml:space="preserve"> </w:t>
      </w:r>
      <w:r w:rsidRPr="00BB0847">
        <w:t xml:space="preserve">available on the </w:t>
      </w:r>
      <w:proofErr w:type="spellStart"/>
      <w:r w:rsidRPr="00BB0847">
        <w:t>JobAccess</w:t>
      </w:r>
      <w:proofErr w:type="spellEnd"/>
      <w:r w:rsidRPr="00BB0847">
        <w:t xml:space="preserve"> website for the job seeker to view, prior to their ESAt or JCA.</w:t>
      </w:r>
    </w:p>
    <w:p w14:paraId="080344BA" w14:textId="247094BF" w:rsidR="00623A81" w:rsidRPr="00796790" w:rsidRDefault="00623A81" w:rsidP="00BB0847">
      <w:pPr>
        <w:rPr>
          <w:sz w:val="19"/>
          <w:szCs w:val="19"/>
        </w:rPr>
      </w:pPr>
    </w:p>
    <w:p w14:paraId="0E072D6B" w14:textId="5014C4B2" w:rsidR="00623A81" w:rsidRDefault="00623A81" w:rsidP="00BB0847">
      <w:r>
        <w:t xml:space="preserve">Where a Referral is made at another time using a recommended </w:t>
      </w:r>
      <w:r w:rsidR="00237D93">
        <w:t>r</w:t>
      </w:r>
      <w:r>
        <w:t xml:space="preserve">eferral in a Valid ESAt/JCA </w:t>
      </w:r>
      <w:r w:rsidR="004F044E">
        <w:t xml:space="preserve">of </w:t>
      </w:r>
      <w:r>
        <w:t>DES</w:t>
      </w:r>
      <w:r>
        <w:noBreakHyphen/>
        <w:t>DMS or DES</w:t>
      </w:r>
      <w:r>
        <w:noBreakHyphen/>
        <w:t xml:space="preserve">ESS, the </w:t>
      </w:r>
      <w:r w:rsidR="00BA2FA9">
        <w:t xml:space="preserve">job seeker must be offered a choice of </w:t>
      </w:r>
      <w:r w:rsidR="00BC7001">
        <w:t>provider</w:t>
      </w:r>
      <w:r w:rsidR="00BA2FA9">
        <w:t xml:space="preserve"> using the same information.</w:t>
      </w:r>
    </w:p>
    <w:p w14:paraId="424BDDBC" w14:textId="6D38308E" w:rsidR="00BA2FA9" w:rsidRPr="00796790" w:rsidRDefault="00BA2FA9" w:rsidP="00BB0847">
      <w:pPr>
        <w:rPr>
          <w:sz w:val="19"/>
          <w:szCs w:val="19"/>
        </w:rPr>
      </w:pPr>
    </w:p>
    <w:p w14:paraId="1FAB9DB7" w14:textId="600E317F" w:rsidR="00BA2FA9" w:rsidRDefault="00BA2FA9" w:rsidP="00BB0847">
      <w:r>
        <w:t xml:space="preserve">If a job seeker has been referred for an ESAt/JCA after registering directly with a </w:t>
      </w:r>
      <w:r w:rsidR="00BC7001">
        <w:t>provider</w:t>
      </w:r>
      <w:r w:rsidR="004F044E">
        <w:t xml:space="preserve"> and the ESAt/JCA </w:t>
      </w:r>
      <w:r w:rsidR="00237D93">
        <w:t>r</w:t>
      </w:r>
      <w:r w:rsidR="004F044E">
        <w:t>ecommends the DES service in which the job seeker has been registered</w:t>
      </w:r>
      <w:r>
        <w:t xml:space="preserve">, the job seeker’s Referral will normally be to the </w:t>
      </w:r>
      <w:r w:rsidR="00BC7001">
        <w:t>provider</w:t>
      </w:r>
      <w:r>
        <w:t xml:space="preserve"> with which they registered. This recognizes that the job seeker has already exercised choice in registering with that </w:t>
      </w:r>
      <w:r w:rsidR="00BC7001">
        <w:t>provider</w:t>
      </w:r>
      <w:r>
        <w:t xml:space="preserve">. However, job seekers can exercise choice of </w:t>
      </w:r>
      <w:r w:rsidR="00BC7001">
        <w:t>provider</w:t>
      </w:r>
      <w:r>
        <w:t xml:space="preserve"> at any time and may elect to choose a different </w:t>
      </w:r>
      <w:r w:rsidR="00BC7001">
        <w:t>provider</w:t>
      </w:r>
      <w:r>
        <w:t>.</w:t>
      </w:r>
    </w:p>
    <w:p w14:paraId="2E071129" w14:textId="3FF6994D" w:rsidR="00F81989" w:rsidRPr="00796790" w:rsidRDefault="00F81989" w:rsidP="00F81989">
      <w:pPr>
        <w:rPr>
          <w:sz w:val="19"/>
          <w:szCs w:val="19"/>
        </w:rPr>
      </w:pPr>
    </w:p>
    <w:p w14:paraId="0B0F0942" w14:textId="77777777" w:rsidR="00F81989" w:rsidRPr="00BB0847" w:rsidRDefault="00F81989" w:rsidP="00BB0847">
      <w:pPr>
        <w:pStyle w:val="Heading4"/>
        <w:spacing w:before="0" w:after="0"/>
        <w:rPr>
          <w:b w:val="0"/>
          <w:sz w:val="22"/>
          <w:u w:val="single"/>
        </w:rPr>
      </w:pPr>
      <w:r w:rsidRPr="00BB0847">
        <w:rPr>
          <w:b w:val="0"/>
          <w:sz w:val="22"/>
          <w:u w:val="single"/>
        </w:rPr>
        <w:t>Creating sessions in the Electronic Calendar</w:t>
      </w:r>
    </w:p>
    <w:p w14:paraId="0A8C82FF" w14:textId="7C1467B2" w:rsidR="005F39E4" w:rsidRPr="00BB0847" w:rsidRDefault="00F81989" w:rsidP="00213141">
      <w:r>
        <w:t xml:space="preserve">A Referral to a </w:t>
      </w:r>
      <w:r w:rsidR="00BC7001">
        <w:t>provider</w:t>
      </w:r>
      <w:r>
        <w:t xml:space="preserve"> occurs when a job seeker is referred to an available Initial Appointment in the </w:t>
      </w:r>
      <w:r w:rsidR="00BC7001">
        <w:t>provider</w:t>
      </w:r>
      <w:r>
        <w:t xml:space="preserve">’s Electronic Calendar. If a </w:t>
      </w:r>
      <w:r w:rsidR="00BC7001">
        <w:t>provider</w:t>
      </w:r>
      <w:r>
        <w:t xml:space="preserve"> has no open Initial Appointments scheduled, a Referral cannot be completed. </w:t>
      </w:r>
      <w:r w:rsidRPr="00BB0847">
        <w:t xml:space="preserve">Provider must </w:t>
      </w:r>
      <w:r>
        <w:t xml:space="preserve">therefore manage their own Electronic Calendar to </w:t>
      </w:r>
      <w:r w:rsidRPr="00BB0847">
        <w:t xml:space="preserve">ensure that </w:t>
      </w:r>
      <w:r>
        <w:t xml:space="preserve">sufficient Initial Appointment </w:t>
      </w:r>
      <w:r w:rsidRPr="00BB0847">
        <w:t xml:space="preserve">sessions are available </w:t>
      </w:r>
      <w:r>
        <w:t>to enable Referrals</w:t>
      </w:r>
      <w:r w:rsidRPr="00BB0847">
        <w:t>.</w:t>
      </w:r>
      <w:r w:rsidR="005F39E4" w:rsidRPr="00BB0847">
        <w:br w:type="page"/>
      </w:r>
    </w:p>
    <w:p w14:paraId="03C10ED7" w14:textId="5D9F6241" w:rsidR="005F39E4" w:rsidRPr="00213141" w:rsidRDefault="005F39E4" w:rsidP="00213141">
      <w:pPr>
        <w:pStyle w:val="Heading2"/>
        <w:spacing w:before="120" w:after="120"/>
        <w:rPr>
          <w:sz w:val="28"/>
          <w:szCs w:val="28"/>
        </w:rPr>
      </w:pPr>
      <w:bookmarkStart w:id="65" w:name="_Toc176964319"/>
      <w:r w:rsidRPr="00213141">
        <w:rPr>
          <w:color w:val="auto"/>
          <w:sz w:val="28"/>
          <w:szCs w:val="28"/>
        </w:rPr>
        <w:lastRenderedPageBreak/>
        <w:t>Commencement</w:t>
      </w:r>
      <w:bookmarkEnd w:id="65"/>
      <w:r w:rsidRPr="00213141">
        <w:rPr>
          <w:color w:val="auto"/>
          <w:sz w:val="28"/>
          <w:szCs w:val="28"/>
        </w:rPr>
        <w:t xml:space="preserve"> </w:t>
      </w:r>
    </w:p>
    <w:p w14:paraId="0AB080F5" w14:textId="0197AD05" w:rsidR="00BA2FA9" w:rsidRPr="00C078E5" w:rsidRDefault="005F39E4" w:rsidP="00BA2FA9">
      <w:pPr>
        <w:pStyle w:val="Heading4"/>
        <w:spacing w:before="120" w:after="120"/>
        <w:rPr>
          <w:sz w:val="22"/>
          <w:szCs w:val="22"/>
          <w:lang w:val="en-US" w:eastAsia="en-US"/>
        </w:rPr>
      </w:pPr>
      <w:r>
        <w:rPr>
          <w:sz w:val="22"/>
          <w:szCs w:val="22"/>
        </w:rPr>
        <w:t>Overview</w:t>
      </w:r>
    </w:p>
    <w:p w14:paraId="7D78A0E0" w14:textId="3BB1F676" w:rsidR="005F39E4" w:rsidRDefault="005F39E4" w:rsidP="005F39E4">
      <w:r w:rsidRPr="006470E0">
        <w:t xml:space="preserve">This section of the </w:t>
      </w:r>
      <w:r w:rsidRPr="006470E0">
        <w:rPr>
          <w:i/>
        </w:rPr>
        <w:t>Eligibility, Referral and Commencement Guidelines</w:t>
      </w:r>
      <w:r w:rsidRPr="006470E0">
        <w:t xml:space="preserve"> specifies a </w:t>
      </w:r>
      <w:r w:rsidR="00BC7001">
        <w:t>provider</w:t>
      </w:r>
      <w:r w:rsidRPr="006470E0">
        <w:t xml:space="preserve">’s responsibilities and required actions for </w:t>
      </w:r>
      <w:r>
        <w:t>Commencing</w:t>
      </w:r>
      <w:r w:rsidRPr="006470E0">
        <w:t xml:space="preserve"> eligible job seekers.</w:t>
      </w:r>
    </w:p>
    <w:p w14:paraId="179E1941" w14:textId="2821E66B" w:rsidR="005E6801" w:rsidRDefault="005E6801" w:rsidP="005F39E4"/>
    <w:p w14:paraId="37915D28" w14:textId="3DECE40A" w:rsidR="005E6801" w:rsidRDefault="005E6801" w:rsidP="005F39E4">
      <w:r>
        <w:t xml:space="preserve">When a job seeker Commences a DES program, they become a </w:t>
      </w:r>
      <w:proofErr w:type="gramStart"/>
      <w:r w:rsidR="008C37C4">
        <w:t>participant</w:t>
      </w:r>
      <w:proofErr w:type="gramEnd"/>
      <w:r>
        <w:t xml:space="preserve"> and their Period of Service commences. Providers also need to Commence delivery of services to an existing </w:t>
      </w:r>
      <w:r w:rsidR="008C37C4">
        <w:t>participant</w:t>
      </w:r>
      <w:r>
        <w:t xml:space="preserve"> who transfers to the </w:t>
      </w:r>
      <w:r w:rsidR="00BC7001">
        <w:t>provider</w:t>
      </w:r>
      <w:r>
        <w:t xml:space="preserve"> during their Period of Service.</w:t>
      </w:r>
    </w:p>
    <w:p w14:paraId="67D37B72" w14:textId="77777777" w:rsidR="005E6801" w:rsidRPr="006470E0" w:rsidRDefault="005E6801" w:rsidP="005F39E4"/>
    <w:p w14:paraId="322B2DDD" w14:textId="4660FDAD" w:rsidR="005F39E4" w:rsidRPr="00690385" w:rsidRDefault="006236D2" w:rsidP="006D006E">
      <w:pPr>
        <w:pStyle w:val="Heading4"/>
        <w:spacing w:before="120" w:after="120"/>
      </w:pPr>
      <w:r w:rsidRPr="006D006E">
        <w:rPr>
          <w:sz w:val="22"/>
          <w:szCs w:val="22"/>
        </w:rPr>
        <w:t>Commencement</w:t>
      </w:r>
    </w:p>
    <w:p w14:paraId="6590B358" w14:textId="52A2B0C9" w:rsidR="00F81989" w:rsidRDefault="00F81989" w:rsidP="006D006E">
      <w:r>
        <w:t>A job seeker c</w:t>
      </w:r>
      <w:r w:rsidR="00EE1C0B">
        <w:t>an be Commenced when:</w:t>
      </w:r>
    </w:p>
    <w:p w14:paraId="538C32A3" w14:textId="2FB9E502" w:rsidR="00EE1C0B" w:rsidRDefault="006236D2" w:rsidP="00BE43FF">
      <w:pPr>
        <w:pStyle w:val="ListParagraph"/>
        <w:numPr>
          <w:ilvl w:val="0"/>
          <w:numId w:val="25"/>
        </w:numPr>
      </w:pPr>
      <w:r>
        <w:t>t</w:t>
      </w:r>
      <w:r w:rsidR="00EE1C0B">
        <w:t xml:space="preserve">he job seeker attends an Initial Appointment with the </w:t>
      </w:r>
      <w:r w:rsidR="00BC7001">
        <w:t>provider</w:t>
      </w:r>
      <w:r w:rsidR="00EE1C0B">
        <w:t xml:space="preserve">; and </w:t>
      </w:r>
    </w:p>
    <w:p w14:paraId="5C709253" w14:textId="6F6E5BF8" w:rsidR="00EE1C0B" w:rsidRDefault="00EE1C0B" w:rsidP="00BE43FF">
      <w:pPr>
        <w:pStyle w:val="ListParagraph"/>
        <w:numPr>
          <w:ilvl w:val="0"/>
          <w:numId w:val="25"/>
        </w:numPr>
      </w:pPr>
      <w:r>
        <w:t xml:space="preserve">the Department’s IT Systems show the job seeker has a Valid ESAt assessment </w:t>
      </w:r>
      <w:r w:rsidR="00237D93">
        <w:t>with a recommended referral to the</w:t>
      </w:r>
      <w:r>
        <w:t xml:space="preserve"> DES</w:t>
      </w:r>
      <w:r w:rsidR="00237D93">
        <w:t xml:space="preserve"> service</w:t>
      </w:r>
      <w:r>
        <w:t>, or that that job seeker is ESAt/JCA exempt; and</w:t>
      </w:r>
    </w:p>
    <w:p w14:paraId="70DFB5C5" w14:textId="50A36635" w:rsidR="00C9704C" w:rsidRDefault="00C9704C" w:rsidP="00BE43FF">
      <w:pPr>
        <w:pStyle w:val="ListParagraph"/>
        <w:numPr>
          <w:ilvl w:val="0"/>
          <w:numId w:val="25"/>
        </w:numPr>
      </w:pPr>
      <w:r>
        <w:t xml:space="preserve">the Department’s IT Systems show the job seeker has a current Referral to the </w:t>
      </w:r>
      <w:r w:rsidR="00BC7001">
        <w:t>provider</w:t>
      </w:r>
      <w:r>
        <w:t>; and</w:t>
      </w:r>
    </w:p>
    <w:p w14:paraId="323521ED" w14:textId="230F932F" w:rsidR="00EE1C0B" w:rsidRDefault="00EE1C0B" w:rsidP="00BE43FF">
      <w:pPr>
        <w:pStyle w:val="ListParagraph"/>
        <w:numPr>
          <w:ilvl w:val="0"/>
          <w:numId w:val="25"/>
        </w:numPr>
      </w:pPr>
      <w:r>
        <w:t xml:space="preserve">the </w:t>
      </w:r>
      <w:r w:rsidR="00BC7001">
        <w:t>provider</w:t>
      </w:r>
      <w:r>
        <w:t xml:space="preserve"> confirms any additional eligibility requirements not confirmed in the ESAt, such as employment hours at commencement; and</w:t>
      </w:r>
    </w:p>
    <w:p w14:paraId="37F89FDF" w14:textId="1397231B" w:rsidR="00EE1C0B" w:rsidRDefault="00EE1C0B" w:rsidP="00BE43FF">
      <w:pPr>
        <w:pStyle w:val="ListParagraph"/>
        <w:numPr>
          <w:ilvl w:val="0"/>
          <w:numId w:val="25"/>
        </w:numPr>
      </w:pPr>
      <w:r>
        <w:t>the job seeker signs a Job Plan.</w:t>
      </w:r>
    </w:p>
    <w:p w14:paraId="282A7B4E" w14:textId="320ED814" w:rsidR="00EE1C0B" w:rsidRDefault="00EE1C0B" w:rsidP="006D006E"/>
    <w:p w14:paraId="7F17FA7B" w14:textId="3D00987E" w:rsidR="00EE1C0B" w:rsidRDefault="00EE1C0B" w:rsidP="006D006E">
      <w:r>
        <w:t xml:space="preserve">The Job Plan does not need to be signed at the Initial Appointment as job seekers can take some time to think about the plan, as described in the </w:t>
      </w:r>
      <w:r w:rsidRPr="006D006E">
        <w:rPr>
          <w:i/>
        </w:rPr>
        <w:t>Job Plan and Scheduling Mutual Obligation Requirements Guidelines</w:t>
      </w:r>
      <w:r>
        <w:t>.</w:t>
      </w:r>
    </w:p>
    <w:p w14:paraId="588EAFAA" w14:textId="77777777" w:rsidR="00374E3A" w:rsidRDefault="00374E3A" w:rsidP="00374E3A"/>
    <w:p w14:paraId="74F5E82B" w14:textId="78593F96" w:rsidR="00374E3A" w:rsidRPr="006454F6" w:rsidRDefault="00374E3A" w:rsidP="00374E3A">
      <w:pPr>
        <w:pStyle w:val="Heading4"/>
        <w:spacing w:before="0" w:after="0"/>
        <w:rPr>
          <w:b w:val="0"/>
          <w:sz w:val="22"/>
          <w:u w:val="single"/>
        </w:rPr>
      </w:pPr>
      <w:r w:rsidRPr="006454F6">
        <w:rPr>
          <w:b w:val="0"/>
          <w:sz w:val="22"/>
          <w:u w:val="single"/>
        </w:rPr>
        <w:t xml:space="preserve">DES Specialist Service </w:t>
      </w:r>
      <w:r w:rsidR="00BC7001">
        <w:rPr>
          <w:b w:val="0"/>
          <w:sz w:val="22"/>
          <w:u w:val="single"/>
        </w:rPr>
        <w:t>provider</w:t>
      </w:r>
      <w:r w:rsidRPr="006454F6">
        <w:rPr>
          <w:b w:val="0"/>
          <w:sz w:val="22"/>
          <w:u w:val="single"/>
        </w:rPr>
        <w:t>s</w:t>
      </w:r>
    </w:p>
    <w:p w14:paraId="18D8AA8A" w14:textId="49AC4E99" w:rsidR="00374E3A" w:rsidRDefault="00374E3A" w:rsidP="00374E3A">
      <w:r w:rsidRPr="006C5240">
        <w:t xml:space="preserve">DES </w:t>
      </w:r>
      <w:r w:rsidR="00BC7001">
        <w:t>provider</w:t>
      </w:r>
      <w:r w:rsidRPr="006C5240">
        <w:t xml:space="preserve">s contracted as </w:t>
      </w:r>
      <w:r>
        <w:t xml:space="preserve">DES </w:t>
      </w:r>
      <w:r w:rsidRPr="006C5240">
        <w:t xml:space="preserve">Specialist Service </w:t>
      </w:r>
      <w:r w:rsidR="00BC7001">
        <w:t>provider</w:t>
      </w:r>
      <w:r w:rsidRPr="006C5240">
        <w:t>s assist a self-defined group of job seekers (for example, job seekers with hearing impairment, intellectual disability or youth). In accordance with</w:t>
      </w:r>
      <w:r>
        <w:t xml:space="preserve"> clause 81 of</w:t>
      </w:r>
      <w:r w:rsidRPr="006C5240">
        <w:t xml:space="preserve"> the D</w:t>
      </w:r>
      <w:r>
        <w:t xml:space="preserve">isability </w:t>
      </w:r>
      <w:r w:rsidRPr="006C5240">
        <w:t>E</w:t>
      </w:r>
      <w:r>
        <w:t xml:space="preserve">mployment </w:t>
      </w:r>
      <w:r w:rsidRPr="006C5240">
        <w:t>S</w:t>
      </w:r>
      <w:r>
        <w:t>ervices</w:t>
      </w:r>
      <w:r w:rsidRPr="006C5240">
        <w:t xml:space="preserve"> </w:t>
      </w:r>
      <w:r>
        <w:t>Grant Agreement (DES Grant Agreement)</w:t>
      </w:r>
      <w:r w:rsidRPr="001A436C">
        <w:t>,</w:t>
      </w:r>
      <w:r w:rsidRPr="006E7049">
        <w:t xml:space="preserve"> DES Specialist</w:t>
      </w:r>
      <w:r w:rsidRPr="006C5240">
        <w:t xml:space="preserve"> Service </w:t>
      </w:r>
      <w:r w:rsidR="00BC7001">
        <w:t>provider</w:t>
      </w:r>
      <w:r w:rsidRPr="006C5240">
        <w:t xml:space="preserve">s must not Commence a </w:t>
      </w:r>
      <w:r w:rsidR="005E6801">
        <w:t>job seeker</w:t>
      </w:r>
      <w:r w:rsidRPr="006C5240">
        <w:t xml:space="preserve"> who is not a member of the relevant Specialist Service Group for which the </w:t>
      </w:r>
      <w:r w:rsidR="00BC7001">
        <w:t>provider</w:t>
      </w:r>
      <w:r w:rsidRPr="006C5240">
        <w:t xml:space="preserve"> is contracted to deliver Program Services.</w:t>
      </w:r>
    </w:p>
    <w:p w14:paraId="5AE70020" w14:textId="0ED86590" w:rsidR="00EE1C0B" w:rsidRDefault="00EE1C0B" w:rsidP="006D006E"/>
    <w:p w14:paraId="2510CD0E" w14:textId="24C8EEA9" w:rsidR="00D02483" w:rsidRPr="006D006E" w:rsidRDefault="00D02483" w:rsidP="006D006E">
      <w:pPr>
        <w:pStyle w:val="Heading4"/>
        <w:spacing w:before="0" w:after="0"/>
        <w:rPr>
          <w:b w:val="0"/>
          <w:sz w:val="22"/>
          <w:u w:val="single"/>
        </w:rPr>
      </w:pPr>
      <w:r w:rsidRPr="006D006E">
        <w:rPr>
          <w:b w:val="0"/>
          <w:sz w:val="22"/>
          <w:u w:val="single"/>
        </w:rPr>
        <w:t>Disability Employment Services Privacy Notification and Consent Form</w:t>
      </w:r>
    </w:p>
    <w:p w14:paraId="10974843" w14:textId="38C0CF2B" w:rsidR="00D02483" w:rsidRDefault="00D02483" w:rsidP="006D006E">
      <w:pPr>
        <w:rPr>
          <w:lang w:val="en-AU" w:eastAsia="en-AU"/>
        </w:rPr>
      </w:pPr>
      <w:r w:rsidRPr="00B9621A">
        <w:rPr>
          <w:rFonts w:cs="Calibri"/>
          <w:lang w:val="en-AU" w:eastAsia="en-AU"/>
        </w:rPr>
        <w:t xml:space="preserve">Where a job seeker is Referred to a DES </w:t>
      </w:r>
      <w:r w:rsidR="00BC7001">
        <w:rPr>
          <w:rFonts w:cs="Calibri"/>
          <w:lang w:val="en-AU" w:eastAsia="en-AU"/>
        </w:rPr>
        <w:t>provider</w:t>
      </w:r>
      <w:r w:rsidRPr="00B9621A">
        <w:rPr>
          <w:rFonts w:cs="Calibri"/>
          <w:lang w:val="en-AU" w:eastAsia="en-AU"/>
        </w:rPr>
        <w:t xml:space="preserve"> by</w:t>
      </w:r>
      <w:r w:rsidR="00993C4A">
        <w:rPr>
          <w:rFonts w:cs="Calibri"/>
          <w:lang w:val="en-AU" w:eastAsia="en-AU"/>
        </w:rPr>
        <w:t xml:space="preserve"> </w:t>
      </w:r>
      <w:r w:rsidR="00E54D52">
        <w:rPr>
          <w:rFonts w:cs="Calibri"/>
          <w:lang w:val="en-AU" w:eastAsia="en-AU"/>
        </w:rPr>
        <w:t>Services Australia</w:t>
      </w:r>
      <w:r w:rsidR="00734E8A">
        <w:rPr>
          <w:rFonts w:cs="Calibri"/>
          <w:lang w:val="en-AU" w:eastAsia="en-AU"/>
        </w:rPr>
        <w:t>,</w:t>
      </w:r>
      <w:r w:rsidRPr="00B9621A">
        <w:rPr>
          <w:rFonts w:cs="Calibri"/>
          <w:lang w:val="en-AU" w:eastAsia="en-AU"/>
        </w:rPr>
        <w:t xml:space="preserve"> a </w:t>
      </w:r>
      <w:r w:rsidRPr="00B9621A">
        <w:rPr>
          <w:i/>
          <w:lang w:val="en-AU" w:eastAsia="en-AU"/>
        </w:rPr>
        <w:t>Disability Employment Services Privacy Consent Form</w:t>
      </w:r>
      <w:r w:rsidRPr="00B9621A">
        <w:rPr>
          <w:lang w:val="en-AU" w:eastAsia="en-AU"/>
        </w:rPr>
        <w:t xml:space="preserve"> (</w:t>
      </w:r>
      <w:r w:rsidR="00B36349">
        <w:rPr>
          <w:lang w:val="en-AU" w:eastAsia="en-AU"/>
        </w:rPr>
        <w:t xml:space="preserve">located on the </w:t>
      </w:r>
      <w:r w:rsidR="00BC7001">
        <w:rPr>
          <w:lang w:val="en-AU" w:eastAsia="en-AU"/>
        </w:rPr>
        <w:t>provider</w:t>
      </w:r>
      <w:r w:rsidR="00B36349">
        <w:rPr>
          <w:lang w:val="en-AU" w:eastAsia="en-AU"/>
        </w:rPr>
        <w:t xml:space="preserve"> Portal</w:t>
      </w:r>
      <w:r w:rsidRPr="00B9621A">
        <w:rPr>
          <w:lang w:val="en-AU" w:eastAsia="en-AU"/>
        </w:rPr>
        <w:t xml:space="preserve">) must be completed and signed by both the job seeker and the </w:t>
      </w:r>
      <w:r w:rsidR="00BC7001">
        <w:rPr>
          <w:lang w:val="en-AU" w:eastAsia="en-AU"/>
        </w:rPr>
        <w:t>provider</w:t>
      </w:r>
      <w:r w:rsidRPr="00B9621A">
        <w:rPr>
          <w:lang w:val="en-AU" w:eastAsia="en-AU"/>
        </w:rPr>
        <w:t xml:space="preserve"> prior to Commencing the job seeker in DES. The purpose of the form is to notify the job </w:t>
      </w:r>
      <w:r w:rsidRPr="006D006E">
        <w:t>seeker</w:t>
      </w:r>
      <w:r w:rsidRPr="00B9621A">
        <w:rPr>
          <w:lang w:val="en-AU" w:eastAsia="en-AU"/>
        </w:rPr>
        <w:t xml:space="preserve"> about privacy arrangements in relation to the collection, storage, use and disclosure of their personal information and to gain the job seeker’s consent for the </w:t>
      </w:r>
      <w:r w:rsidR="00BC7001">
        <w:rPr>
          <w:lang w:val="en-AU" w:eastAsia="en-AU"/>
        </w:rPr>
        <w:t>provider</w:t>
      </w:r>
      <w:r w:rsidRPr="00B9621A">
        <w:rPr>
          <w:lang w:val="en-AU" w:eastAsia="en-AU"/>
        </w:rPr>
        <w:t xml:space="preserve"> and the Department to share this information with other parties including other government agencies and employment services </w:t>
      </w:r>
      <w:r w:rsidR="00BC7001">
        <w:rPr>
          <w:lang w:val="en-AU" w:eastAsia="en-AU"/>
        </w:rPr>
        <w:t>provider</w:t>
      </w:r>
      <w:r w:rsidRPr="00B9621A">
        <w:rPr>
          <w:lang w:val="en-AU" w:eastAsia="en-AU"/>
        </w:rPr>
        <w:t>s. Th</w:t>
      </w:r>
      <w:r w:rsidR="00BA7EE7">
        <w:rPr>
          <w:lang w:val="en-AU" w:eastAsia="en-AU"/>
        </w:rPr>
        <w:t xml:space="preserve">is </w:t>
      </w:r>
      <w:r w:rsidR="00993C4A">
        <w:rPr>
          <w:lang w:val="en-AU" w:eastAsia="en-AU"/>
        </w:rPr>
        <w:t xml:space="preserve">consent </w:t>
      </w:r>
      <w:r w:rsidR="00BA7EE7">
        <w:rPr>
          <w:lang w:val="en-AU" w:eastAsia="en-AU"/>
        </w:rPr>
        <w:t>form</w:t>
      </w:r>
      <w:r w:rsidRPr="00B9621A">
        <w:rPr>
          <w:lang w:val="en-AU" w:eastAsia="en-AU"/>
        </w:rPr>
        <w:t xml:space="preserve"> does not need to be completed for job seekers who are Directly Registered as privacy information is included in the DES </w:t>
      </w:r>
      <w:r w:rsidRPr="00B9621A">
        <w:rPr>
          <w:i/>
          <w:lang w:val="en-AU" w:eastAsia="en-AU"/>
        </w:rPr>
        <w:t>Direct Registration Form</w:t>
      </w:r>
      <w:r w:rsidR="00993C4A">
        <w:rPr>
          <w:lang w:val="en-AU" w:eastAsia="en-AU"/>
        </w:rPr>
        <w:t>,</w:t>
      </w:r>
      <w:r w:rsidRPr="00B9621A">
        <w:rPr>
          <w:lang w:val="en-AU" w:eastAsia="en-AU"/>
        </w:rPr>
        <w:t xml:space="preserve"> which must</w:t>
      </w:r>
      <w:r w:rsidRPr="00B9621A">
        <w:rPr>
          <w:i/>
          <w:lang w:val="en-AU" w:eastAsia="en-AU"/>
        </w:rPr>
        <w:t xml:space="preserve"> </w:t>
      </w:r>
      <w:r w:rsidRPr="00B9621A">
        <w:rPr>
          <w:lang w:val="en-AU" w:eastAsia="en-AU"/>
        </w:rPr>
        <w:t xml:space="preserve">be signed by both the job seeker and the </w:t>
      </w:r>
      <w:r w:rsidR="00BC7001">
        <w:rPr>
          <w:lang w:val="en-AU" w:eastAsia="en-AU"/>
        </w:rPr>
        <w:t>provider</w:t>
      </w:r>
      <w:r w:rsidRPr="00B9621A">
        <w:rPr>
          <w:lang w:val="en-AU" w:eastAsia="en-AU"/>
        </w:rPr>
        <w:t>.</w:t>
      </w:r>
    </w:p>
    <w:p w14:paraId="7031A0B5" w14:textId="1F340862" w:rsidR="00374E3A" w:rsidRDefault="00374E3A" w:rsidP="006D006E">
      <w:pPr>
        <w:rPr>
          <w:lang w:val="en-AU" w:eastAsia="en-AU"/>
        </w:rPr>
      </w:pPr>
    </w:p>
    <w:p w14:paraId="21C53258" w14:textId="1BF3A669" w:rsidR="00B312B4" w:rsidRPr="006D006E" w:rsidRDefault="00B312B4" w:rsidP="006D006E">
      <w:pPr>
        <w:pStyle w:val="Heading4"/>
        <w:spacing w:before="0" w:after="0"/>
        <w:rPr>
          <w:b w:val="0"/>
          <w:sz w:val="22"/>
          <w:u w:val="single"/>
        </w:rPr>
      </w:pPr>
      <w:bookmarkStart w:id="66" w:name="_Toc459216226"/>
      <w:bookmarkStart w:id="67" w:name="_Toc473637608"/>
      <w:r w:rsidRPr="006D006E">
        <w:rPr>
          <w:b w:val="0"/>
          <w:sz w:val="22"/>
          <w:u w:val="single"/>
        </w:rPr>
        <w:t>Direct Registration</w:t>
      </w:r>
      <w:bookmarkEnd w:id="66"/>
      <w:bookmarkEnd w:id="67"/>
    </w:p>
    <w:p w14:paraId="415E4346" w14:textId="08211808" w:rsidR="0012562E" w:rsidRDefault="0012562E" w:rsidP="006D006E">
      <w:r>
        <w:rPr>
          <w:lang w:val="en-AU" w:eastAsia="en-AU"/>
        </w:rPr>
        <w:t xml:space="preserve">Where a job seeker </w:t>
      </w:r>
      <w:r w:rsidR="00374E3A">
        <w:rPr>
          <w:lang w:val="en-AU" w:eastAsia="en-AU"/>
        </w:rPr>
        <w:t xml:space="preserve">directly registers with a </w:t>
      </w:r>
      <w:r w:rsidR="00BC7001">
        <w:rPr>
          <w:lang w:val="en-AU" w:eastAsia="en-AU"/>
        </w:rPr>
        <w:t>provider</w:t>
      </w:r>
      <w:r w:rsidR="00374E3A">
        <w:rPr>
          <w:lang w:val="en-AU" w:eastAsia="en-AU"/>
        </w:rPr>
        <w:t xml:space="preserve"> and the job seeker </w:t>
      </w:r>
      <w:r>
        <w:rPr>
          <w:lang w:val="en-AU" w:eastAsia="en-AU"/>
        </w:rPr>
        <w:t>has a Valid ESAt</w:t>
      </w:r>
      <w:r w:rsidR="00374E3A">
        <w:rPr>
          <w:lang w:val="en-AU" w:eastAsia="en-AU"/>
        </w:rPr>
        <w:t xml:space="preserve"> </w:t>
      </w:r>
      <w:r w:rsidR="00237D93">
        <w:rPr>
          <w:lang w:val="en-AU" w:eastAsia="en-AU"/>
        </w:rPr>
        <w:t xml:space="preserve">(containing a recommended referral to </w:t>
      </w:r>
      <w:r w:rsidR="00C9704C">
        <w:rPr>
          <w:lang w:val="en-AU" w:eastAsia="en-AU"/>
        </w:rPr>
        <w:t xml:space="preserve">DES service </w:t>
      </w:r>
      <w:r w:rsidR="00237D93">
        <w:rPr>
          <w:lang w:val="en-AU" w:eastAsia="en-AU"/>
        </w:rPr>
        <w:t xml:space="preserve">delivered by the </w:t>
      </w:r>
      <w:r w:rsidR="00BC7001">
        <w:rPr>
          <w:lang w:val="en-AU" w:eastAsia="en-AU"/>
        </w:rPr>
        <w:t>provider</w:t>
      </w:r>
      <w:r w:rsidR="00237D93">
        <w:rPr>
          <w:lang w:val="en-AU" w:eastAsia="en-AU"/>
        </w:rPr>
        <w:t xml:space="preserve"> </w:t>
      </w:r>
      <w:r w:rsidR="00C9704C">
        <w:rPr>
          <w:lang w:val="en-AU" w:eastAsia="en-AU"/>
        </w:rPr>
        <w:t>and</w:t>
      </w:r>
      <w:r w:rsidR="00374E3A">
        <w:rPr>
          <w:lang w:val="en-AU" w:eastAsia="en-AU"/>
        </w:rPr>
        <w:t xml:space="preserve"> conducted after any previously completed DES Period of Service</w:t>
      </w:r>
      <w:r w:rsidR="00C9704C">
        <w:rPr>
          <w:lang w:val="en-AU" w:eastAsia="en-AU"/>
        </w:rPr>
        <w:t>)</w:t>
      </w:r>
      <w:r>
        <w:rPr>
          <w:lang w:val="en-AU" w:eastAsia="en-AU"/>
        </w:rPr>
        <w:t xml:space="preserve">, </w:t>
      </w:r>
      <w:r w:rsidR="00374E3A">
        <w:rPr>
          <w:lang w:val="en-AU" w:eastAsia="en-AU"/>
        </w:rPr>
        <w:t>the</w:t>
      </w:r>
      <w:r w:rsidRPr="00E928C0">
        <w:t xml:space="preserve"> </w:t>
      </w:r>
      <w:r w:rsidR="00BC7001">
        <w:t>provider</w:t>
      </w:r>
      <w:r>
        <w:t xml:space="preserve"> may</w:t>
      </w:r>
      <w:r w:rsidRPr="00E928C0">
        <w:t xml:space="preserve"> Commence</w:t>
      </w:r>
      <w:r>
        <w:t xml:space="preserve"> </w:t>
      </w:r>
      <w:r w:rsidR="00374E3A">
        <w:t>the</w:t>
      </w:r>
      <w:r>
        <w:t xml:space="preserve"> job seeker </w:t>
      </w:r>
      <w:r w:rsidRPr="00E928C0">
        <w:t xml:space="preserve">without </w:t>
      </w:r>
      <w:r>
        <w:t>referring them</w:t>
      </w:r>
      <w:r w:rsidRPr="00E928C0">
        <w:t xml:space="preserve"> for an</w:t>
      </w:r>
      <w:r w:rsidR="00374E3A">
        <w:t>other</w:t>
      </w:r>
      <w:r w:rsidRPr="00E928C0">
        <w:t xml:space="preserve"> ESAt</w:t>
      </w:r>
      <w:r>
        <w:t>. A</w:t>
      </w:r>
      <w:r w:rsidR="00C9704C">
        <w:t> </w:t>
      </w:r>
      <w:r w:rsidR="00BC7001">
        <w:t>provider</w:t>
      </w:r>
      <w:r>
        <w:t xml:space="preserve"> must only </w:t>
      </w:r>
      <w:r w:rsidR="00583808">
        <w:t>d</w:t>
      </w:r>
      <w:r>
        <w:t xml:space="preserve">irectly </w:t>
      </w:r>
      <w:r w:rsidR="00583808">
        <w:t>r</w:t>
      </w:r>
      <w:r>
        <w:t xml:space="preserve">egister a job seeker if they have confirmed that the job seeker is not currently </w:t>
      </w:r>
      <w:r w:rsidR="00374E3A">
        <w:t>Referred to</w:t>
      </w:r>
      <w:r>
        <w:t xml:space="preserve"> another </w:t>
      </w:r>
      <w:r w:rsidR="00BC7001">
        <w:t>provider</w:t>
      </w:r>
      <w:r>
        <w:t xml:space="preserve">, and that the job seeker meets the relevant eligibility requirements. Where a job seeker </w:t>
      </w:r>
      <w:r w:rsidR="00897D45">
        <w:t xml:space="preserve">requires but </w:t>
      </w:r>
      <w:r>
        <w:t xml:space="preserve">does not have a Valid ESAt, a </w:t>
      </w:r>
      <w:r w:rsidR="00BC7001">
        <w:t>provider</w:t>
      </w:r>
      <w:r>
        <w:t xml:space="preserve"> must refer the job seeker to a </w:t>
      </w:r>
      <w:r w:rsidR="00E54D52">
        <w:t>Services Australia</w:t>
      </w:r>
      <w:r>
        <w:t xml:space="preserve"> Assessor. Refer to the </w:t>
      </w:r>
      <w:r w:rsidRPr="00A33A81">
        <w:rPr>
          <w:i/>
        </w:rPr>
        <w:t>Direct Registration Guidelines</w:t>
      </w:r>
      <w:r>
        <w:t xml:space="preserve"> for more information.</w:t>
      </w:r>
    </w:p>
    <w:p w14:paraId="63DE77B7" w14:textId="77777777" w:rsidR="00374E3A" w:rsidRPr="009A05D9" w:rsidRDefault="00374E3A" w:rsidP="00374E3A">
      <w:bookmarkStart w:id="68" w:name="_Toc459216227"/>
      <w:bookmarkStart w:id="69" w:name="_Toc473637609"/>
    </w:p>
    <w:p w14:paraId="665C43FC" w14:textId="77777777" w:rsidR="00374E3A" w:rsidRPr="006D006E" w:rsidRDefault="00374E3A" w:rsidP="006D006E">
      <w:pPr>
        <w:pStyle w:val="Heading4"/>
        <w:keepLines/>
        <w:spacing w:before="0" w:after="0"/>
        <w:rPr>
          <w:u w:val="single"/>
        </w:rPr>
      </w:pPr>
      <w:r w:rsidRPr="006D006E">
        <w:rPr>
          <w:b w:val="0"/>
          <w:sz w:val="22"/>
          <w:u w:val="single"/>
        </w:rPr>
        <w:lastRenderedPageBreak/>
        <w:t>Commencement conditions</w:t>
      </w:r>
    </w:p>
    <w:p w14:paraId="68A3A5E2" w14:textId="34B7A3B4" w:rsidR="00374E3A" w:rsidRDefault="00374E3A" w:rsidP="006D006E">
      <w:pPr>
        <w:keepNext/>
        <w:keepLines/>
      </w:pPr>
      <w:r w:rsidRPr="009A05D9">
        <w:t xml:space="preserve">Providers must not impose </w:t>
      </w:r>
      <w:r w:rsidR="006236D2">
        <w:t xml:space="preserve">additional </w:t>
      </w:r>
      <w:r w:rsidRPr="009A05D9">
        <w:t xml:space="preserve">terms and conditions on job seekers or </w:t>
      </w:r>
      <w:r w:rsidR="008C37C4">
        <w:t>participant</w:t>
      </w:r>
      <w:r w:rsidRPr="009A05D9">
        <w:t xml:space="preserve">s that compel a person to stay with their </w:t>
      </w:r>
      <w:proofErr w:type="spellStart"/>
      <w:proofErr w:type="gramStart"/>
      <w:r w:rsidRPr="009A05D9">
        <w:t>organisation</w:t>
      </w:r>
      <w:proofErr w:type="spellEnd"/>
      <w:r w:rsidRPr="009A05D9">
        <w:t>, or</w:t>
      </w:r>
      <w:proofErr w:type="gramEnd"/>
      <w:r w:rsidRPr="009A05D9">
        <w:t xml:space="preserve"> restrict a person to non-</w:t>
      </w:r>
      <w:proofErr w:type="spellStart"/>
      <w:r w:rsidRPr="009A05D9">
        <w:t>individualised</w:t>
      </w:r>
      <w:proofErr w:type="spellEnd"/>
      <w:r w:rsidRPr="009A05D9">
        <w:t xml:space="preserve"> service. Obligations placed on a person must not remove their right to choose and change </w:t>
      </w:r>
      <w:r w:rsidR="009D3512">
        <w:t>provider</w:t>
      </w:r>
      <w:r w:rsidRPr="009A05D9">
        <w:t>s whilst in the Program, nor reduce or restrict their rights under the DES Grant Agreement, DES Program policy, related Australian Government policy or applicable Australian law.</w:t>
      </w:r>
    </w:p>
    <w:p w14:paraId="691FB959" w14:textId="77777777" w:rsidR="00374E3A" w:rsidRPr="006D006E" w:rsidRDefault="00374E3A" w:rsidP="00374E3A">
      <w:pPr>
        <w:rPr>
          <w:lang w:val="en-AU" w:eastAsia="en-AU"/>
        </w:rPr>
      </w:pPr>
    </w:p>
    <w:p w14:paraId="01167AE8" w14:textId="7E40DDA2" w:rsidR="00374E3A" w:rsidRDefault="00374E3A" w:rsidP="006D006E">
      <w:pPr>
        <w:rPr>
          <w:lang w:val="en-AU" w:eastAsia="en-AU"/>
        </w:rPr>
      </w:pPr>
      <w:r w:rsidRPr="006D006E">
        <w:rPr>
          <w:lang w:val="en-AU" w:eastAsia="en-AU"/>
        </w:rPr>
        <w:t xml:space="preserve">Under clause 15 of the DES Grant Agreement, </w:t>
      </w:r>
      <w:r w:rsidR="009D3512">
        <w:rPr>
          <w:lang w:val="en-AU" w:eastAsia="en-AU"/>
        </w:rPr>
        <w:t>provider</w:t>
      </w:r>
      <w:r w:rsidRPr="006D006E">
        <w:rPr>
          <w:lang w:val="en-AU" w:eastAsia="en-AU"/>
        </w:rPr>
        <w:t xml:space="preserve">s must act in good faith towards the Department and Customers, and in a manner that maintains the good reputation of the Services. Providers must not engage in any practice that dishonestly or improperly manipulates Records, Outcomes or the Services with the effect of maximising payments to, or otherwise obtaining a benefit for, the </w:t>
      </w:r>
      <w:r w:rsidR="009D3512">
        <w:rPr>
          <w:lang w:val="en-AU" w:eastAsia="en-AU"/>
        </w:rPr>
        <w:t>provider</w:t>
      </w:r>
      <w:r w:rsidRPr="006D006E">
        <w:rPr>
          <w:lang w:val="en-AU" w:eastAsia="en-AU"/>
        </w:rPr>
        <w:t xml:space="preserve"> or any other person.</w:t>
      </w:r>
    </w:p>
    <w:p w14:paraId="3133C6F8" w14:textId="77777777" w:rsidR="005E6801" w:rsidRPr="006D006E" w:rsidRDefault="005E6801" w:rsidP="006D006E">
      <w:pPr>
        <w:rPr>
          <w:lang w:val="en-AU" w:eastAsia="en-AU"/>
        </w:rPr>
      </w:pPr>
    </w:p>
    <w:p w14:paraId="5675B527" w14:textId="62653FA6" w:rsidR="00374E3A" w:rsidRDefault="00374E3A" w:rsidP="006D006E">
      <w:pPr>
        <w:rPr>
          <w:lang w:val="en-AU" w:eastAsia="en-AU"/>
        </w:rPr>
      </w:pPr>
      <w:r w:rsidRPr="006D006E">
        <w:rPr>
          <w:lang w:val="en-AU" w:eastAsia="en-AU"/>
        </w:rPr>
        <w:t xml:space="preserve">Providers must not offer goods and services to a job seeker or </w:t>
      </w:r>
      <w:r w:rsidR="008C37C4">
        <w:rPr>
          <w:lang w:val="en-AU" w:eastAsia="en-AU"/>
        </w:rPr>
        <w:t>participant</w:t>
      </w:r>
      <w:r w:rsidRPr="006D006E">
        <w:rPr>
          <w:lang w:val="en-AU" w:eastAsia="en-AU"/>
        </w:rPr>
        <w:t xml:space="preserve"> unless they are directly related to the DES</w:t>
      </w:r>
      <w:r w:rsidRPr="006D006E" w:rsidDel="0078781E">
        <w:rPr>
          <w:lang w:val="en-AU" w:eastAsia="en-AU"/>
        </w:rPr>
        <w:t xml:space="preserve"> </w:t>
      </w:r>
      <w:r w:rsidRPr="006D006E">
        <w:rPr>
          <w:lang w:val="en-AU" w:eastAsia="en-AU"/>
        </w:rPr>
        <w:t xml:space="preserve">objectives, or in accordance with the Service Guidelines. This includes, but is not limited to cash, gifts, holidays and non-program related travel and consumer goods (e.g. televisions). Where the goods or services directly obligates and ensures a </w:t>
      </w:r>
      <w:r w:rsidR="008C37C4">
        <w:rPr>
          <w:lang w:val="en-AU" w:eastAsia="en-AU"/>
        </w:rPr>
        <w:t>participant</w:t>
      </w:r>
      <w:r w:rsidRPr="006D006E">
        <w:rPr>
          <w:lang w:val="en-AU" w:eastAsia="en-AU"/>
        </w:rPr>
        <w:t>’s compliance with a standardised arrangement (i.e. where an arrangement has not factored an individual’s personal circumstances or preferences</w:t>
      </w:r>
      <w:proofErr w:type="gramStart"/>
      <w:r w:rsidRPr="006D006E">
        <w:rPr>
          <w:lang w:val="en-AU" w:eastAsia="en-AU"/>
        </w:rPr>
        <w:t>), or</w:t>
      </w:r>
      <w:proofErr w:type="gramEnd"/>
      <w:r w:rsidRPr="006D006E">
        <w:rPr>
          <w:lang w:val="en-AU" w:eastAsia="en-AU"/>
        </w:rPr>
        <w:t xml:space="preserve"> obligates a person to remain with a particular </w:t>
      </w:r>
      <w:r w:rsidR="009D3512">
        <w:rPr>
          <w:lang w:val="en-AU" w:eastAsia="en-AU"/>
        </w:rPr>
        <w:t>provider</w:t>
      </w:r>
      <w:r w:rsidRPr="006D006E">
        <w:rPr>
          <w:lang w:val="en-AU" w:eastAsia="en-AU"/>
        </w:rPr>
        <w:t xml:space="preserve"> before they receive what is being offered, the Department considers this to be an inducement. </w:t>
      </w:r>
    </w:p>
    <w:p w14:paraId="6339A878" w14:textId="77777777" w:rsidR="005E6801" w:rsidRPr="006D006E" w:rsidRDefault="005E6801" w:rsidP="006D006E">
      <w:pPr>
        <w:rPr>
          <w:lang w:val="en-AU" w:eastAsia="en-AU"/>
        </w:rPr>
      </w:pPr>
    </w:p>
    <w:p w14:paraId="7CB36CB6" w14:textId="1ED4B043" w:rsidR="00374E3A" w:rsidRDefault="00374E3A" w:rsidP="006D006E">
      <w:pPr>
        <w:rPr>
          <w:lang w:val="en-AU" w:eastAsia="en-AU"/>
        </w:rPr>
      </w:pPr>
      <w:r w:rsidRPr="006D006E">
        <w:rPr>
          <w:lang w:val="en-AU" w:eastAsia="en-AU"/>
        </w:rPr>
        <w:t>Furthermore, where the cost of the goods or services is disproportionate to what is reasonable for a person to use in seeking and gaining employment, the Department will regard the goods or services as constituting a gift rather than an employment seeking aid.</w:t>
      </w:r>
    </w:p>
    <w:p w14:paraId="607ABB4D" w14:textId="77777777" w:rsidR="005E6801" w:rsidRPr="006D006E" w:rsidRDefault="005E6801" w:rsidP="006D006E">
      <w:pPr>
        <w:rPr>
          <w:lang w:val="en-AU" w:eastAsia="en-AU"/>
        </w:rPr>
      </w:pPr>
    </w:p>
    <w:p w14:paraId="0B91F051" w14:textId="3C1654BE" w:rsidR="005E6801" w:rsidRPr="006D006E" w:rsidRDefault="00374E3A" w:rsidP="006D006E">
      <w:pPr>
        <w:rPr>
          <w:lang w:val="en-AU" w:eastAsia="en-AU"/>
        </w:rPr>
      </w:pPr>
      <w:r w:rsidRPr="006D006E">
        <w:rPr>
          <w:lang w:val="en-AU" w:eastAsia="en-AU"/>
        </w:rPr>
        <w:t xml:space="preserve">A </w:t>
      </w:r>
      <w:r w:rsidR="009D3512">
        <w:rPr>
          <w:lang w:val="en-AU" w:eastAsia="en-AU"/>
        </w:rPr>
        <w:t>provider</w:t>
      </w:r>
      <w:r w:rsidRPr="006D006E">
        <w:rPr>
          <w:lang w:val="en-AU" w:eastAsia="en-AU"/>
        </w:rPr>
        <w:t xml:space="preserve"> must not impose terms and conditions on a job seeker or </w:t>
      </w:r>
      <w:r w:rsidR="008C37C4">
        <w:rPr>
          <w:lang w:val="en-AU" w:eastAsia="en-AU"/>
        </w:rPr>
        <w:t>participant</w:t>
      </w:r>
      <w:r w:rsidRPr="006D006E">
        <w:rPr>
          <w:lang w:val="en-AU" w:eastAsia="en-AU"/>
        </w:rPr>
        <w:t xml:space="preserve">, which are outside the scope of the DES Grant Agreement. Should a </w:t>
      </w:r>
      <w:r w:rsidR="009D3512">
        <w:rPr>
          <w:lang w:val="en-AU" w:eastAsia="en-AU"/>
        </w:rPr>
        <w:t>provider</w:t>
      </w:r>
      <w:r w:rsidRPr="006D006E">
        <w:rPr>
          <w:lang w:val="en-AU" w:eastAsia="en-AU"/>
        </w:rPr>
        <w:t xml:space="preserve"> levy terms and conditions related to the provision of goods and services, they must be on terms that are:</w:t>
      </w:r>
    </w:p>
    <w:p w14:paraId="65BD60EA" w14:textId="25474ED5" w:rsidR="00374E3A" w:rsidRPr="00C078E5" w:rsidRDefault="00374E3A" w:rsidP="00BE43FF">
      <w:pPr>
        <w:pStyle w:val="ListParagraph"/>
        <w:numPr>
          <w:ilvl w:val="0"/>
          <w:numId w:val="25"/>
        </w:numPr>
      </w:pPr>
      <w:r w:rsidRPr="00C078E5">
        <w:t xml:space="preserve">Reasonable and in the best interests of the job seeker or </w:t>
      </w:r>
      <w:r w:rsidR="008C37C4">
        <w:t>participant</w:t>
      </w:r>
      <w:r w:rsidRPr="00C078E5">
        <w:t xml:space="preserve">, which do not reduce or restrict their rights under the DES </w:t>
      </w:r>
      <w:r>
        <w:t>Grant Agreement, DES p</w:t>
      </w:r>
      <w:r w:rsidRPr="00C078E5">
        <w:t>rogram</w:t>
      </w:r>
      <w:r>
        <w:t xml:space="preserve"> policy</w:t>
      </w:r>
      <w:r w:rsidRPr="00C078E5">
        <w:t xml:space="preserve">, Australian Government </w:t>
      </w:r>
      <w:r>
        <w:t>p</w:t>
      </w:r>
      <w:r w:rsidRPr="00C078E5">
        <w:t xml:space="preserve">olicy or Australian </w:t>
      </w:r>
      <w:proofErr w:type="gramStart"/>
      <w:r>
        <w:t>l</w:t>
      </w:r>
      <w:r w:rsidRPr="00C078E5">
        <w:t>aw;</w:t>
      </w:r>
      <w:proofErr w:type="gramEnd"/>
      <w:r w:rsidRPr="00C078E5">
        <w:t xml:space="preserve"> </w:t>
      </w:r>
    </w:p>
    <w:p w14:paraId="2D3BE2C0" w14:textId="49E88539" w:rsidR="00374E3A" w:rsidRPr="00C078E5" w:rsidRDefault="00374E3A" w:rsidP="00BE43FF">
      <w:pPr>
        <w:pStyle w:val="ListParagraph"/>
        <w:numPr>
          <w:ilvl w:val="0"/>
          <w:numId w:val="25"/>
        </w:numPr>
      </w:pPr>
      <w:r>
        <w:t xml:space="preserve">Clear, transparent and understandable/plainly evident to the job seeker or </w:t>
      </w:r>
      <w:proofErr w:type="gramStart"/>
      <w:r w:rsidR="008C37C4">
        <w:t>participant</w:t>
      </w:r>
      <w:r w:rsidRPr="00C078E5">
        <w:t>;</w:t>
      </w:r>
      <w:proofErr w:type="gramEnd"/>
    </w:p>
    <w:p w14:paraId="6D76AF3F" w14:textId="6E919675" w:rsidR="00374E3A" w:rsidRPr="00C078E5" w:rsidRDefault="00374E3A" w:rsidP="00BE43FF">
      <w:pPr>
        <w:pStyle w:val="ListParagraph"/>
        <w:numPr>
          <w:ilvl w:val="0"/>
          <w:numId w:val="25"/>
        </w:numPr>
      </w:pPr>
      <w:r w:rsidRPr="00C078E5">
        <w:t xml:space="preserve">Reasonable and do not expose the job seeker or </w:t>
      </w:r>
      <w:r w:rsidR="008C37C4">
        <w:t>participant</w:t>
      </w:r>
      <w:r w:rsidRPr="00C078E5">
        <w:t xml:space="preserve"> to costs or liabilities they do not understand or are not able to </w:t>
      </w:r>
      <w:proofErr w:type="gramStart"/>
      <w:r w:rsidRPr="00C078E5">
        <w:t>meet;</w:t>
      </w:r>
      <w:proofErr w:type="gramEnd"/>
      <w:r w:rsidRPr="00C078E5">
        <w:t xml:space="preserve"> </w:t>
      </w:r>
    </w:p>
    <w:p w14:paraId="7D2DF95F" w14:textId="77777777" w:rsidR="00374E3A" w:rsidRPr="00C078E5" w:rsidRDefault="00374E3A" w:rsidP="00BE43FF">
      <w:pPr>
        <w:pStyle w:val="ListParagraph"/>
        <w:numPr>
          <w:ilvl w:val="0"/>
          <w:numId w:val="25"/>
        </w:numPr>
      </w:pPr>
      <w:r w:rsidRPr="00C078E5">
        <w:t xml:space="preserve">Transparent and not </w:t>
      </w:r>
      <w:proofErr w:type="gramStart"/>
      <w:r w:rsidRPr="00C078E5">
        <w:t>misleading, and</w:t>
      </w:r>
      <w:proofErr w:type="gramEnd"/>
      <w:r w:rsidRPr="00C078E5">
        <w:t xml:space="preserve"> must comply with the standards for advertising practices and contractual claims under Australian Consumer Law, which includes information about ownership and further contractual or financial responsibilities.</w:t>
      </w:r>
    </w:p>
    <w:p w14:paraId="3F6B2126" w14:textId="77777777" w:rsidR="005E6801" w:rsidRDefault="005E6801" w:rsidP="006D006E">
      <w:pPr>
        <w:rPr>
          <w:lang w:val="en-AU" w:eastAsia="en-AU"/>
        </w:rPr>
      </w:pPr>
    </w:p>
    <w:p w14:paraId="67C4AA85" w14:textId="7A1738D5" w:rsidR="00374E3A" w:rsidRPr="006D006E" w:rsidRDefault="00374E3A" w:rsidP="006D006E">
      <w:pPr>
        <w:rPr>
          <w:lang w:val="en-AU" w:eastAsia="en-AU"/>
        </w:rPr>
      </w:pPr>
      <w:r w:rsidRPr="006D006E">
        <w:rPr>
          <w:lang w:val="en-AU" w:eastAsia="en-AU"/>
        </w:rPr>
        <w:t xml:space="preserve">Should a job seeker or </w:t>
      </w:r>
      <w:r w:rsidR="008C37C4">
        <w:rPr>
          <w:lang w:val="en-AU" w:eastAsia="en-AU"/>
        </w:rPr>
        <w:t>participant</w:t>
      </w:r>
      <w:r w:rsidRPr="006D006E">
        <w:rPr>
          <w:lang w:val="en-AU" w:eastAsia="en-AU"/>
        </w:rPr>
        <w:t xml:space="preserve"> decline any such offers or inducements, the Department does not consider these grounds for a </w:t>
      </w:r>
      <w:r w:rsidR="009D3512">
        <w:rPr>
          <w:lang w:val="en-AU" w:eastAsia="en-AU"/>
        </w:rPr>
        <w:t>provider</w:t>
      </w:r>
      <w:r w:rsidRPr="006D006E">
        <w:rPr>
          <w:lang w:val="en-AU" w:eastAsia="en-AU"/>
        </w:rPr>
        <w:t xml:space="preserve"> to refuse accepting and assisting a person.</w:t>
      </w:r>
    </w:p>
    <w:p w14:paraId="53F038E7" w14:textId="77777777" w:rsidR="005E6801" w:rsidRDefault="005E6801" w:rsidP="006D006E">
      <w:pPr>
        <w:rPr>
          <w:lang w:val="en-AU" w:eastAsia="en-AU"/>
        </w:rPr>
      </w:pPr>
    </w:p>
    <w:p w14:paraId="7ECE97A4" w14:textId="4676BAFC" w:rsidR="00374E3A" w:rsidRPr="006D006E" w:rsidRDefault="00374E3A" w:rsidP="006D006E">
      <w:pPr>
        <w:rPr>
          <w:lang w:val="en-AU" w:eastAsia="en-AU"/>
        </w:rPr>
      </w:pPr>
      <w:r w:rsidRPr="006D006E">
        <w:rPr>
          <w:lang w:val="en-AU" w:eastAsia="en-AU"/>
        </w:rPr>
        <w:t>Providers are encouraged to contact the Department if they are unsure whether a good or service is appropriate.</w:t>
      </w:r>
    </w:p>
    <w:p w14:paraId="24F947BC" w14:textId="77777777" w:rsidR="006C7444" w:rsidRDefault="006C7444">
      <w:pPr>
        <w:spacing w:after="200" w:line="276" w:lineRule="auto"/>
        <w:rPr>
          <w:rFonts w:eastAsia="Calibri" w:cstheme="minorHAnsi"/>
          <w:b/>
          <w:bCs/>
          <w:sz w:val="24"/>
          <w:szCs w:val="24"/>
          <w:lang w:val="en-AU" w:eastAsia="en-AU"/>
        </w:rPr>
      </w:pPr>
      <w:bookmarkStart w:id="70" w:name="_Toc228347561"/>
      <w:bookmarkStart w:id="71" w:name="_Toc228875023"/>
      <w:bookmarkStart w:id="72" w:name="_Toc358732710"/>
      <w:bookmarkStart w:id="73" w:name="_Toc459216229"/>
      <w:bookmarkEnd w:id="68"/>
      <w:bookmarkEnd w:id="69"/>
      <w:r>
        <w:rPr>
          <w:rFonts w:cstheme="minorHAnsi"/>
          <w:sz w:val="24"/>
          <w:szCs w:val="24"/>
        </w:rPr>
        <w:br w:type="page"/>
      </w:r>
    </w:p>
    <w:p w14:paraId="0014F7E4" w14:textId="6F8B9D85" w:rsidR="00B312B4" w:rsidRPr="00213141" w:rsidRDefault="006236D2" w:rsidP="00213141">
      <w:pPr>
        <w:pStyle w:val="Heading2"/>
        <w:spacing w:before="120" w:after="120"/>
        <w:rPr>
          <w:sz w:val="24"/>
          <w:szCs w:val="28"/>
        </w:rPr>
      </w:pPr>
      <w:bookmarkStart w:id="74" w:name="_Toc473637611"/>
      <w:bookmarkStart w:id="75" w:name="_Toc496019691"/>
      <w:bookmarkStart w:id="76" w:name="_Toc496019743"/>
      <w:bookmarkStart w:id="77" w:name="_Toc176964320"/>
      <w:r w:rsidRPr="00213141">
        <w:rPr>
          <w:color w:val="auto"/>
          <w:sz w:val="24"/>
          <w:szCs w:val="28"/>
        </w:rPr>
        <w:lastRenderedPageBreak/>
        <w:t xml:space="preserve">Process: </w:t>
      </w:r>
      <w:r w:rsidR="00B312B4" w:rsidRPr="00213141">
        <w:rPr>
          <w:color w:val="auto"/>
          <w:sz w:val="24"/>
          <w:szCs w:val="28"/>
        </w:rPr>
        <w:t>Creating Appointments to receive Referrals</w:t>
      </w:r>
      <w:bookmarkEnd w:id="70"/>
      <w:bookmarkEnd w:id="71"/>
      <w:bookmarkEnd w:id="72"/>
      <w:bookmarkEnd w:id="73"/>
      <w:bookmarkEnd w:id="74"/>
      <w:bookmarkEnd w:id="75"/>
      <w:bookmarkEnd w:id="76"/>
      <w:bookmarkEnd w:id="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7019"/>
      </w:tblGrid>
      <w:tr w:rsidR="0012562E" w:rsidRPr="00AD1678" w14:paraId="5847DD78" w14:textId="77777777" w:rsidTr="008C334A">
        <w:trPr>
          <w:tblHeader/>
          <w:jc w:val="center"/>
        </w:trPr>
        <w:tc>
          <w:tcPr>
            <w:tcW w:w="1635" w:type="pct"/>
            <w:shd w:val="clear" w:color="auto" w:fill="auto"/>
            <w:tcMar>
              <w:top w:w="57" w:type="dxa"/>
              <w:bottom w:w="57" w:type="dxa"/>
            </w:tcMar>
            <w:vAlign w:val="center"/>
          </w:tcPr>
          <w:p w14:paraId="1EF58D37" w14:textId="77777777" w:rsidR="0012562E" w:rsidRPr="00106D1B" w:rsidRDefault="0012562E" w:rsidP="00DC26D9">
            <w:pPr>
              <w:rPr>
                <w:rFonts w:cstheme="minorHAnsi"/>
                <w:b/>
                <w:lang w:val="en-AU" w:eastAsia="en-AU"/>
              </w:rPr>
            </w:pPr>
            <w:bookmarkStart w:id="78" w:name="_Toc228347562"/>
            <w:bookmarkStart w:id="79" w:name="_Toc358732712"/>
            <w:r w:rsidRPr="00106D1B">
              <w:rPr>
                <w:rFonts w:cstheme="minorHAnsi"/>
                <w:b/>
                <w:lang w:val="en-AU" w:eastAsia="en-AU"/>
              </w:rPr>
              <w:t>Who is Responsible:</w:t>
            </w:r>
          </w:p>
        </w:tc>
        <w:tc>
          <w:tcPr>
            <w:tcW w:w="3365" w:type="pct"/>
            <w:shd w:val="clear" w:color="auto" w:fill="auto"/>
            <w:tcMar>
              <w:top w:w="57" w:type="dxa"/>
              <w:bottom w:w="57" w:type="dxa"/>
            </w:tcMar>
            <w:vAlign w:val="center"/>
          </w:tcPr>
          <w:p w14:paraId="4D3729B5" w14:textId="77777777" w:rsidR="0012562E" w:rsidRPr="00106D1B" w:rsidRDefault="0012562E">
            <w:pPr>
              <w:rPr>
                <w:rFonts w:cstheme="minorHAnsi"/>
                <w:b/>
                <w:lang w:val="en-AU" w:eastAsia="en-AU"/>
              </w:rPr>
            </w:pPr>
            <w:r w:rsidRPr="00106D1B">
              <w:rPr>
                <w:rFonts w:cstheme="minorHAnsi"/>
                <w:b/>
                <w:lang w:val="en-AU" w:eastAsia="en-AU"/>
              </w:rPr>
              <w:t>What is Required:</w:t>
            </w:r>
          </w:p>
        </w:tc>
      </w:tr>
      <w:tr w:rsidR="0012562E" w:rsidRPr="00AD1678" w14:paraId="360749C4" w14:textId="77777777" w:rsidTr="006D006E">
        <w:trPr>
          <w:trHeight w:val="2590"/>
          <w:jc w:val="center"/>
        </w:trPr>
        <w:tc>
          <w:tcPr>
            <w:tcW w:w="1635" w:type="pct"/>
            <w:tcMar>
              <w:top w:w="57" w:type="dxa"/>
              <w:bottom w:w="57" w:type="dxa"/>
            </w:tcMar>
          </w:tcPr>
          <w:p w14:paraId="580820D4" w14:textId="745D21C9" w:rsidR="0012562E" w:rsidRPr="00AD1678" w:rsidRDefault="0012562E" w:rsidP="00BE43FF">
            <w:pPr>
              <w:pStyle w:val="ListParagraph"/>
              <w:numPr>
                <w:ilvl w:val="0"/>
                <w:numId w:val="13"/>
              </w:numPr>
              <w:spacing w:before="120" w:after="120"/>
              <w:rPr>
                <w:rFonts w:cstheme="minorHAnsi"/>
                <w:b/>
                <w:lang w:val="en-AU" w:eastAsia="en-AU"/>
              </w:rPr>
            </w:pPr>
            <w:r w:rsidRPr="00AD1678">
              <w:rPr>
                <w:rFonts w:cstheme="minorHAnsi"/>
                <w:b/>
                <w:lang w:val="en-AU" w:eastAsia="en-AU"/>
              </w:rPr>
              <w:t>Provider</w:t>
            </w:r>
          </w:p>
          <w:p w14:paraId="023DDFEA" w14:textId="48F3ADD9" w:rsidR="0012562E" w:rsidRDefault="00F3055D" w:rsidP="00B9621A">
            <w:pPr>
              <w:spacing w:before="120" w:after="120"/>
              <w:rPr>
                <w:rFonts w:cstheme="minorHAnsi"/>
                <w:lang w:val="en-AU" w:eastAsia="en-AU"/>
              </w:rPr>
            </w:pPr>
            <w:r>
              <w:rPr>
                <w:rFonts w:cstheme="minorHAnsi"/>
                <w:lang w:val="en-AU" w:eastAsia="en-AU"/>
              </w:rPr>
              <w:t>A</w:t>
            </w:r>
            <w:r w:rsidR="0012562E" w:rsidRPr="00AD1678">
              <w:rPr>
                <w:rFonts w:cstheme="minorHAnsi"/>
                <w:lang w:val="en-AU" w:eastAsia="en-AU"/>
              </w:rPr>
              <w:t xml:space="preserve">ccesses their Electronic </w:t>
            </w:r>
            <w:r w:rsidR="0012562E">
              <w:rPr>
                <w:rFonts w:cstheme="minorHAnsi"/>
                <w:lang w:val="en-AU" w:eastAsia="en-AU"/>
              </w:rPr>
              <w:t>Calendar</w:t>
            </w:r>
            <w:r w:rsidR="0012562E" w:rsidRPr="00AD1678">
              <w:rPr>
                <w:rFonts w:cstheme="minorHAnsi"/>
                <w:lang w:val="en-AU" w:eastAsia="en-AU"/>
              </w:rPr>
              <w:t xml:space="preserve"> to create available sessions</w:t>
            </w:r>
            <w:r w:rsidR="006236D2">
              <w:rPr>
                <w:rFonts w:cstheme="minorHAnsi"/>
                <w:lang w:val="en-AU" w:eastAsia="en-AU"/>
              </w:rPr>
              <w:t>.</w:t>
            </w:r>
            <w:r w:rsidR="0012562E" w:rsidRPr="00AD1678">
              <w:rPr>
                <w:rFonts w:cstheme="minorHAnsi"/>
                <w:lang w:val="en-AU" w:eastAsia="en-AU"/>
              </w:rPr>
              <w:t xml:space="preserve"> </w:t>
            </w:r>
          </w:p>
          <w:p w14:paraId="0D6CF1D0" w14:textId="5FF18946" w:rsidR="005811CD" w:rsidRPr="00724B12" w:rsidRDefault="005811CD" w:rsidP="00B9621A">
            <w:pPr>
              <w:spacing w:before="120" w:after="120"/>
              <w:rPr>
                <w:rFonts w:cstheme="minorHAnsi"/>
                <w:i/>
                <w:lang w:val="en-AU" w:eastAsia="en-AU"/>
              </w:rPr>
            </w:pPr>
            <w:r w:rsidRPr="00724B12">
              <w:rPr>
                <w:rFonts w:cstheme="minorHAnsi"/>
                <w:i/>
                <w:lang w:val="en-AU" w:eastAsia="en-AU"/>
              </w:rPr>
              <w:t>Grant Agreement Reference:</w:t>
            </w:r>
          </w:p>
          <w:p w14:paraId="4AE055DB" w14:textId="27856B5E" w:rsidR="005811CD" w:rsidRPr="006F1110" w:rsidRDefault="005811CD" w:rsidP="00BE43FF">
            <w:pPr>
              <w:pStyle w:val="ListParagraph"/>
              <w:numPr>
                <w:ilvl w:val="0"/>
                <w:numId w:val="18"/>
              </w:numPr>
              <w:spacing w:before="120" w:after="120"/>
              <w:rPr>
                <w:rFonts w:cstheme="minorHAnsi"/>
                <w:lang w:val="en-AU" w:eastAsia="en-AU"/>
              </w:rPr>
            </w:pPr>
            <w:r w:rsidRPr="006F1110">
              <w:rPr>
                <w:rFonts w:cstheme="minorHAnsi"/>
                <w:lang w:val="en-AU" w:eastAsia="en-AU"/>
              </w:rPr>
              <w:t>Clause 91</w:t>
            </w:r>
          </w:p>
        </w:tc>
        <w:tc>
          <w:tcPr>
            <w:tcW w:w="3365" w:type="pct"/>
            <w:tcMar>
              <w:top w:w="57" w:type="dxa"/>
              <w:bottom w:w="57" w:type="dxa"/>
            </w:tcMar>
          </w:tcPr>
          <w:p w14:paraId="1B4AA188" w14:textId="4A0E34AA" w:rsidR="0012562E" w:rsidRPr="00AD1678" w:rsidRDefault="0012562E" w:rsidP="002D50AB">
            <w:pPr>
              <w:spacing w:before="120" w:after="120"/>
              <w:rPr>
                <w:rFonts w:cstheme="minorHAnsi"/>
                <w:lang w:val="en-AU" w:eastAsia="en-AU"/>
              </w:rPr>
            </w:pPr>
            <w:r w:rsidRPr="00AD1678">
              <w:rPr>
                <w:rFonts w:cstheme="minorHAnsi"/>
                <w:lang w:val="en-AU" w:eastAsia="en-AU"/>
              </w:rPr>
              <w:t xml:space="preserve">Providers must ensure they have the correct access levels and security levels to create sessions in their Electronic </w:t>
            </w:r>
            <w:r>
              <w:rPr>
                <w:rFonts w:cstheme="minorHAnsi"/>
                <w:lang w:val="en-AU" w:eastAsia="en-AU"/>
              </w:rPr>
              <w:t>Calendar</w:t>
            </w:r>
            <w:r w:rsidRPr="00AD1678">
              <w:rPr>
                <w:rFonts w:cstheme="minorHAnsi"/>
                <w:lang w:val="en-AU" w:eastAsia="en-AU"/>
              </w:rPr>
              <w:t xml:space="preserve"> </w:t>
            </w:r>
            <w:r w:rsidR="00A54FF2">
              <w:rPr>
                <w:rFonts w:cstheme="minorHAnsi"/>
                <w:lang w:val="en-AU" w:eastAsia="en-AU"/>
              </w:rPr>
              <w:t>on the Department’s IT Systems.</w:t>
            </w:r>
          </w:p>
          <w:p w14:paraId="04AEBC21" w14:textId="1E0744F0" w:rsidR="0012562E" w:rsidRPr="00AD1678" w:rsidRDefault="0012562E" w:rsidP="00B9621A">
            <w:pPr>
              <w:spacing w:before="120" w:after="120"/>
              <w:rPr>
                <w:rFonts w:cstheme="minorHAnsi"/>
                <w:lang w:val="en-AU" w:eastAsia="en-AU"/>
              </w:rPr>
            </w:pPr>
            <w:r w:rsidRPr="00AD1678">
              <w:rPr>
                <w:rFonts w:cstheme="minorHAnsi"/>
                <w:lang w:val="en-AU" w:eastAsia="en-AU"/>
              </w:rPr>
              <w:t>Providers should consider the following when deciding on how many sessions to create:</w:t>
            </w:r>
          </w:p>
          <w:p w14:paraId="3E7402C6" w14:textId="03BC4ED9" w:rsidR="0012562E" w:rsidRPr="00AD1678" w:rsidRDefault="0012562E" w:rsidP="00BE43FF">
            <w:pPr>
              <w:pStyle w:val="ListParagraph"/>
              <w:numPr>
                <w:ilvl w:val="0"/>
                <w:numId w:val="8"/>
              </w:numPr>
              <w:spacing w:before="120" w:after="120"/>
              <w:ind w:left="714" w:hanging="357"/>
              <w:rPr>
                <w:rFonts w:cstheme="minorHAnsi"/>
                <w:lang w:val="en-AU" w:eastAsia="en-AU"/>
              </w:rPr>
            </w:pPr>
            <w:r w:rsidRPr="00AD1678">
              <w:rPr>
                <w:rFonts w:cstheme="minorHAnsi"/>
                <w:lang w:val="en-AU" w:eastAsia="en-AU"/>
              </w:rPr>
              <w:t xml:space="preserve">the organisation’s Maximum Caseload within the specified </w:t>
            </w:r>
            <w:proofErr w:type="gramStart"/>
            <w:r w:rsidRPr="00AD1678">
              <w:rPr>
                <w:rFonts w:cstheme="minorHAnsi"/>
                <w:lang w:val="en-AU" w:eastAsia="en-AU"/>
              </w:rPr>
              <w:t>Site;</w:t>
            </w:r>
            <w:proofErr w:type="gramEnd"/>
          </w:p>
          <w:p w14:paraId="039B3608" w14:textId="422930BB" w:rsidR="0012562E" w:rsidRPr="00AD1678" w:rsidRDefault="0012562E" w:rsidP="00BE43FF">
            <w:pPr>
              <w:pStyle w:val="ListParagraph"/>
              <w:numPr>
                <w:ilvl w:val="0"/>
                <w:numId w:val="8"/>
              </w:numPr>
              <w:spacing w:before="120" w:after="120"/>
              <w:rPr>
                <w:rFonts w:cstheme="minorHAnsi"/>
                <w:lang w:val="en-AU" w:eastAsia="en-AU"/>
              </w:rPr>
            </w:pPr>
            <w:r w:rsidRPr="00AD1678">
              <w:rPr>
                <w:rFonts w:cstheme="minorHAnsi"/>
                <w:lang w:val="en-AU" w:eastAsia="en-AU"/>
              </w:rPr>
              <w:t xml:space="preserve">the programs which have been identified by the </w:t>
            </w:r>
            <w:r w:rsidR="009D3512">
              <w:rPr>
                <w:rFonts w:cstheme="minorHAnsi"/>
                <w:lang w:val="en-AU" w:eastAsia="en-AU"/>
              </w:rPr>
              <w:t>provider</w:t>
            </w:r>
            <w:r w:rsidRPr="00AD1678">
              <w:rPr>
                <w:rFonts w:cstheme="minorHAnsi"/>
                <w:lang w:val="en-AU" w:eastAsia="en-AU"/>
              </w:rPr>
              <w:t xml:space="preserve"> to be delivered at that Site; and</w:t>
            </w:r>
          </w:p>
          <w:p w14:paraId="74748B0C" w14:textId="516405C4" w:rsidR="0012562E" w:rsidRPr="00AD1678" w:rsidRDefault="0012562E" w:rsidP="00BE43FF">
            <w:pPr>
              <w:pStyle w:val="ListParagraph"/>
              <w:numPr>
                <w:ilvl w:val="0"/>
                <w:numId w:val="8"/>
              </w:numPr>
              <w:spacing w:before="120" w:after="120"/>
              <w:ind w:left="714" w:hanging="357"/>
              <w:rPr>
                <w:rFonts w:cstheme="minorHAnsi"/>
                <w:lang w:val="en-AU" w:eastAsia="en-AU"/>
              </w:rPr>
            </w:pPr>
            <w:r w:rsidRPr="00AD1678">
              <w:rPr>
                <w:rFonts w:cstheme="minorHAnsi"/>
                <w:lang w:val="en-AU" w:eastAsia="en-AU"/>
              </w:rPr>
              <w:t xml:space="preserve">any subcontracting arrangements the </w:t>
            </w:r>
            <w:r w:rsidR="009D3512">
              <w:rPr>
                <w:rFonts w:cstheme="minorHAnsi"/>
                <w:lang w:val="en-AU" w:eastAsia="en-AU"/>
              </w:rPr>
              <w:t>provider</w:t>
            </w:r>
            <w:r w:rsidRPr="00AD1678">
              <w:rPr>
                <w:rFonts w:cstheme="minorHAnsi"/>
                <w:lang w:val="en-AU" w:eastAsia="en-AU"/>
              </w:rPr>
              <w:t xml:space="preserve"> may have in place.</w:t>
            </w:r>
          </w:p>
        </w:tc>
      </w:tr>
      <w:tr w:rsidR="0012562E" w:rsidRPr="00AD1678" w14:paraId="4E6DC321" w14:textId="77777777" w:rsidTr="006D006E">
        <w:trPr>
          <w:trHeight w:val="2835"/>
          <w:jc w:val="center"/>
        </w:trPr>
        <w:tc>
          <w:tcPr>
            <w:tcW w:w="1635" w:type="pct"/>
            <w:tcMar>
              <w:top w:w="57" w:type="dxa"/>
              <w:bottom w:w="57" w:type="dxa"/>
            </w:tcMar>
          </w:tcPr>
          <w:p w14:paraId="50A5A82A" w14:textId="3F0D014A" w:rsidR="0012562E" w:rsidRPr="00AD1678" w:rsidRDefault="0012562E" w:rsidP="00BE43FF">
            <w:pPr>
              <w:pStyle w:val="ListParagraph"/>
              <w:numPr>
                <w:ilvl w:val="0"/>
                <w:numId w:val="13"/>
              </w:numPr>
              <w:spacing w:before="120" w:after="120"/>
              <w:rPr>
                <w:rFonts w:cstheme="minorHAnsi"/>
                <w:b/>
                <w:lang w:val="en-AU" w:eastAsia="en-AU"/>
              </w:rPr>
            </w:pPr>
            <w:r w:rsidRPr="00AD1678">
              <w:rPr>
                <w:rFonts w:cstheme="minorHAnsi"/>
                <w:b/>
                <w:lang w:val="en-AU" w:eastAsia="en-AU"/>
              </w:rPr>
              <w:t>Provider</w:t>
            </w:r>
          </w:p>
          <w:p w14:paraId="3391BEEF" w14:textId="47612709" w:rsidR="0012562E" w:rsidRDefault="00F3055D" w:rsidP="00B9621A">
            <w:pPr>
              <w:spacing w:before="120" w:after="120"/>
              <w:rPr>
                <w:rFonts w:cstheme="minorHAnsi"/>
                <w:lang w:val="en-AU" w:eastAsia="en-AU"/>
              </w:rPr>
            </w:pPr>
            <w:r>
              <w:rPr>
                <w:rFonts w:cstheme="minorHAnsi"/>
                <w:lang w:val="en-AU" w:eastAsia="en-AU"/>
              </w:rPr>
              <w:t>C</w:t>
            </w:r>
            <w:r w:rsidR="0012562E" w:rsidRPr="00AD1678">
              <w:rPr>
                <w:rFonts w:cstheme="minorHAnsi"/>
                <w:lang w:val="en-AU" w:eastAsia="en-AU"/>
              </w:rPr>
              <w:t>onsiders types of sessions to be created.</w:t>
            </w:r>
          </w:p>
          <w:p w14:paraId="55FF3CCD" w14:textId="09163059" w:rsidR="005811CD" w:rsidRPr="00724B12" w:rsidRDefault="005811CD" w:rsidP="00B9621A">
            <w:pPr>
              <w:spacing w:before="120" w:after="120"/>
              <w:rPr>
                <w:rFonts w:cstheme="minorHAnsi"/>
                <w:i/>
                <w:lang w:val="en-AU" w:eastAsia="en-AU"/>
              </w:rPr>
            </w:pPr>
            <w:r w:rsidRPr="00724B12">
              <w:rPr>
                <w:rFonts w:cstheme="minorHAnsi"/>
                <w:i/>
                <w:lang w:val="en-AU" w:eastAsia="en-AU"/>
              </w:rPr>
              <w:t>Grant Agreement Reference:</w:t>
            </w:r>
          </w:p>
          <w:p w14:paraId="7E31236D" w14:textId="3BCC64D5" w:rsidR="005811CD" w:rsidRPr="00AD1678" w:rsidRDefault="005811CD" w:rsidP="00BE43FF">
            <w:pPr>
              <w:pStyle w:val="ListParagraph"/>
              <w:numPr>
                <w:ilvl w:val="0"/>
                <w:numId w:val="18"/>
              </w:numPr>
              <w:spacing w:before="120" w:after="120"/>
              <w:rPr>
                <w:rFonts w:cstheme="minorHAnsi"/>
                <w:lang w:val="en-AU" w:eastAsia="en-AU"/>
              </w:rPr>
            </w:pPr>
            <w:r w:rsidRPr="00936B6A">
              <w:rPr>
                <w:rFonts w:cstheme="minorHAnsi"/>
                <w:lang w:val="en-AU" w:eastAsia="en-AU"/>
              </w:rPr>
              <w:t>Clause 91</w:t>
            </w:r>
          </w:p>
        </w:tc>
        <w:tc>
          <w:tcPr>
            <w:tcW w:w="3365" w:type="pct"/>
            <w:tcMar>
              <w:top w:w="57" w:type="dxa"/>
              <w:bottom w:w="57" w:type="dxa"/>
            </w:tcMar>
          </w:tcPr>
          <w:p w14:paraId="3E291A70" w14:textId="2514E8E6" w:rsidR="0012562E" w:rsidRPr="00AD1678" w:rsidRDefault="0012562E" w:rsidP="00B9621A">
            <w:pPr>
              <w:spacing w:before="120" w:after="120"/>
              <w:rPr>
                <w:rFonts w:cstheme="minorHAnsi"/>
                <w:lang w:val="en-AU" w:eastAsia="en-AU"/>
              </w:rPr>
            </w:pPr>
            <w:r w:rsidRPr="00AD1678">
              <w:rPr>
                <w:rFonts w:cstheme="minorHAnsi"/>
                <w:lang w:val="en-AU" w:eastAsia="en-AU"/>
              </w:rPr>
              <w:t xml:space="preserve">Providers must ensure their Electronic </w:t>
            </w:r>
            <w:r>
              <w:rPr>
                <w:rFonts w:cstheme="minorHAnsi"/>
                <w:lang w:val="en-AU" w:eastAsia="en-AU"/>
              </w:rPr>
              <w:t>Calendar</w:t>
            </w:r>
            <w:r w:rsidRPr="00AD1678">
              <w:rPr>
                <w:rFonts w:cstheme="minorHAnsi"/>
                <w:lang w:val="en-AU" w:eastAsia="en-AU"/>
              </w:rPr>
              <w:t xml:space="preserve"> has the following types of </w:t>
            </w:r>
            <w:r w:rsidR="002F378C">
              <w:rPr>
                <w:rFonts w:cstheme="minorHAnsi"/>
                <w:lang w:val="en-AU" w:eastAsia="en-AU"/>
              </w:rPr>
              <w:t xml:space="preserve">available </w:t>
            </w:r>
            <w:r w:rsidRPr="00AD1678">
              <w:rPr>
                <w:rFonts w:cstheme="minorHAnsi"/>
                <w:lang w:val="en-AU" w:eastAsia="en-AU"/>
              </w:rPr>
              <w:t>sessions</w:t>
            </w:r>
            <w:r w:rsidR="002F378C">
              <w:rPr>
                <w:rFonts w:cstheme="minorHAnsi"/>
                <w:lang w:val="en-AU" w:eastAsia="en-AU"/>
              </w:rPr>
              <w:t xml:space="preserve"> for Services Australia to use</w:t>
            </w:r>
            <w:r w:rsidRPr="00AD1678">
              <w:rPr>
                <w:rFonts w:cstheme="minorHAnsi"/>
                <w:lang w:val="en-AU" w:eastAsia="en-AU"/>
              </w:rPr>
              <w:t>:</w:t>
            </w:r>
          </w:p>
          <w:p w14:paraId="49E80EAF" w14:textId="6072FC8B" w:rsidR="0012562E" w:rsidRPr="00AD1678" w:rsidRDefault="00A54FF2" w:rsidP="00BE43FF">
            <w:pPr>
              <w:pStyle w:val="ListParagraph"/>
              <w:numPr>
                <w:ilvl w:val="0"/>
                <w:numId w:val="8"/>
              </w:numPr>
              <w:spacing w:before="120" w:after="120"/>
              <w:rPr>
                <w:rFonts w:cstheme="minorHAnsi"/>
                <w:lang w:val="en-AU" w:eastAsia="en-AU"/>
              </w:rPr>
            </w:pPr>
            <w:r>
              <w:rPr>
                <w:rFonts w:cstheme="minorHAnsi"/>
                <w:lang w:val="en-AU" w:eastAsia="en-AU"/>
              </w:rPr>
              <w:t>Initial Interview</w:t>
            </w:r>
            <w:r w:rsidR="002F378C">
              <w:rPr>
                <w:rFonts w:cstheme="minorHAnsi"/>
                <w:lang w:val="en-AU" w:eastAsia="en-AU"/>
              </w:rPr>
              <w:t xml:space="preserve"> (required for new Referrals</w:t>
            </w:r>
            <w:proofErr w:type="gramStart"/>
            <w:r w:rsidR="002F378C">
              <w:rPr>
                <w:rFonts w:cstheme="minorHAnsi"/>
                <w:lang w:val="en-AU" w:eastAsia="en-AU"/>
              </w:rPr>
              <w:t>)</w:t>
            </w:r>
            <w:r>
              <w:rPr>
                <w:rFonts w:cstheme="minorHAnsi"/>
                <w:lang w:val="en-AU" w:eastAsia="en-AU"/>
              </w:rPr>
              <w:t>;</w:t>
            </w:r>
            <w:proofErr w:type="gramEnd"/>
          </w:p>
          <w:p w14:paraId="66881ACD" w14:textId="2E3786E3" w:rsidR="0012562E" w:rsidRPr="00AD1678" w:rsidRDefault="0012562E" w:rsidP="00BE43FF">
            <w:pPr>
              <w:pStyle w:val="ListParagraph"/>
              <w:numPr>
                <w:ilvl w:val="0"/>
                <w:numId w:val="8"/>
              </w:numPr>
              <w:spacing w:before="120" w:after="120"/>
              <w:rPr>
                <w:rFonts w:cstheme="minorHAnsi"/>
                <w:lang w:val="en-AU" w:eastAsia="en-AU"/>
              </w:rPr>
            </w:pPr>
            <w:r w:rsidRPr="00AD1678">
              <w:rPr>
                <w:rFonts w:cstheme="minorHAnsi"/>
                <w:lang w:val="en-AU" w:eastAsia="en-AU"/>
              </w:rPr>
              <w:t>Re-engagement (including for Reconnection</w:t>
            </w:r>
            <w:r w:rsidR="006236D2">
              <w:rPr>
                <w:rFonts w:cstheme="minorHAnsi"/>
                <w:lang w:val="en-AU" w:eastAsia="en-AU"/>
              </w:rPr>
              <w:t>s</w:t>
            </w:r>
            <w:r w:rsidRPr="00AD1678">
              <w:rPr>
                <w:rFonts w:cstheme="minorHAnsi"/>
                <w:lang w:val="en-AU" w:eastAsia="en-AU"/>
              </w:rPr>
              <w:t>); and</w:t>
            </w:r>
          </w:p>
          <w:p w14:paraId="0E791267" w14:textId="4856ACF5" w:rsidR="0012562E" w:rsidRPr="00AD1678" w:rsidRDefault="0012562E" w:rsidP="00BE43FF">
            <w:pPr>
              <w:pStyle w:val="ListParagraph"/>
              <w:numPr>
                <w:ilvl w:val="0"/>
                <w:numId w:val="8"/>
              </w:numPr>
              <w:spacing w:before="120" w:after="120"/>
              <w:rPr>
                <w:rFonts w:cstheme="minorHAnsi"/>
                <w:lang w:val="en-AU" w:eastAsia="en-AU"/>
              </w:rPr>
            </w:pPr>
            <w:r w:rsidRPr="00AD1678">
              <w:rPr>
                <w:rFonts w:cstheme="minorHAnsi"/>
                <w:lang w:val="en-AU" w:eastAsia="en-AU"/>
              </w:rPr>
              <w:t>Contacts</w:t>
            </w:r>
            <w:r w:rsidR="002F378C">
              <w:rPr>
                <w:rFonts w:cstheme="minorHAnsi"/>
                <w:lang w:val="en-AU" w:eastAsia="en-AU"/>
              </w:rPr>
              <w:t xml:space="preserve"> (</w:t>
            </w:r>
            <w:r w:rsidRPr="00AD1678">
              <w:rPr>
                <w:rFonts w:cstheme="minorHAnsi"/>
                <w:lang w:val="en-AU" w:eastAsia="en-AU"/>
              </w:rPr>
              <w:t>which may be booked following a Change of Circumstance Reassessment or a Progr</w:t>
            </w:r>
            <w:r w:rsidR="00A54FF2">
              <w:rPr>
                <w:rFonts w:cstheme="minorHAnsi"/>
                <w:lang w:val="en-AU" w:eastAsia="en-AU"/>
              </w:rPr>
              <w:t>ams Review</w:t>
            </w:r>
            <w:r w:rsidR="002F378C">
              <w:rPr>
                <w:rFonts w:cstheme="minorHAnsi"/>
                <w:lang w:val="en-AU" w:eastAsia="en-AU"/>
              </w:rPr>
              <w:t>)</w:t>
            </w:r>
            <w:r w:rsidR="00A54FF2">
              <w:rPr>
                <w:rFonts w:cstheme="minorHAnsi"/>
                <w:lang w:val="en-AU" w:eastAsia="en-AU"/>
              </w:rPr>
              <w:t>.</w:t>
            </w:r>
          </w:p>
          <w:p w14:paraId="55C3AA6C" w14:textId="403615AF" w:rsidR="0012562E" w:rsidRPr="00AD1678" w:rsidRDefault="0012562E" w:rsidP="002D50AB">
            <w:pPr>
              <w:spacing w:before="120" w:after="120"/>
              <w:rPr>
                <w:rFonts w:cstheme="minorHAnsi"/>
                <w:lang w:val="en-AU" w:eastAsia="en-AU"/>
              </w:rPr>
            </w:pPr>
            <w:r w:rsidRPr="00AD1678">
              <w:rPr>
                <w:rFonts w:cstheme="minorHAnsi"/>
                <w:b/>
                <w:lang w:val="en-AU" w:eastAsia="en-AU"/>
              </w:rPr>
              <w:t xml:space="preserve">Note: </w:t>
            </w:r>
            <w:r w:rsidRPr="00AD1678">
              <w:rPr>
                <w:rFonts w:cstheme="minorHAnsi"/>
                <w:lang w:val="en-AU" w:eastAsia="en-AU"/>
              </w:rPr>
              <w:t xml:space="preserve">Providers must ensure that their Electronic </w:t>
            </w:r>
            <w:r>
              <w:rPr>
                <w:rFonts w:cstheme="minorHAnsi"/>
                <w:lang w:val="en-AU" w:eastAsia="en-AU"/>
              </w:rPr>
              <w:t>Calendar</w:t>
            </w:r>
            <w:r w:rsidRPr="00AD1678">
              <w:rPr>
                <w:rFonts w:cstheme="minorHAnsi"/>
                <w:lang w:val="en-AU" w:eastAsia="en-AU"/>
              </w:rPr>
              <w:t xml:space="preserve"> always has available Appointments for </w:t>
            </w:r>
            <w:proofErr w:type="gramStart"/>
            <w:r w:rsidRPr="00AD1678">
              <w:rPr>
                <w:rFonts w:cstheme="minorHAnsi"/>
                <w:lang w:val="en-AU" w:eastAsia="en-AU"/>
              </w:rPr>
              <w:t>all of</w:t>
            </w:r>
            <w:proofErr w:type="gramEnd"/>
            <w:r w:rsidRPr="00AD1678">
              <w:rPr>
                <w:rFonts w:cstheme="minorHAnsi"/>
                <w:lang w:val="en-AU" w:eastAsia="en-AU"/>
              </w:rPr>
              <w:t xml:space="preserve"> the above session types within the next two Business Days, unless otherwise agreed with the Department.</w:t>
            </w:r>
          </w:p>
        </w:tc>
      </w:tr>
      <w:tr w:rsidR="0012562E" w:rsidRPr="00AD1678" w14:paraId="79B53582" w14:textId="77777777" w:rsidTr="00B9621A">
        <w:trPr>
          <w:trHeight w:val="1450"/>
          <w:jc w:val="center"/>
        </w:trPr>
        <w:tc>
          <w:tcPr>
            <w:tcW w:w="1635" w:type="pct"/>
            <w:tcMar>
              <w:top w:w="57" w:type="dxa"/>
              <w:bottom w:w="57" w:type="dxa"/>
            </w:tcMar>
          </w:tcPr>
          <w:p w14:paraId="63E3B748" w14:textId="495CE991" w:rsidR="0012562E" w:rsidRPr="00AD1678" w:rsidRDefault="0012562E" w:rsidP="00BE43FF">
            <w:pPr>
              <w:pStyle w:val="ListParagraph"/>
              <w:numPr>
                <w:ilvl w:val="0"/>
                <w:numId w:val="13"/>
              </w:numPr>
              <w:spacing w:before="120" w:after="120"/>
              <w:rPr>
                <w:rFonts w:cstheme="minorHAnsi"/>
                <w:b/>
                <w:lang w:val="en-AU" w:eastAsia="en-AU"/>
              </w:rPr>
            </w:pPr>
            <w:r w:rsidRPr="00AD1678">
              <w:rPr>
                <w:rFonts w:cstheme="minorHAnsi"/>
                <w:b/>
                <w:lang w:val="en-AU" w:eastAsia="en-AU"/>
              </w:rPr>
              <w:t>Provider</w:t>
            </w:r>
          </w:p>
          <w:p w14:paraId="31FB2D62" w14:textId="532C3C0F" w:rsidR="0012562E" w:rsidRPr="00AD1678" w:rsidRDefault="00F3055D" w:rsidP="00F3055D">
            <w:pPr>
              <w:spacing w:before="120" w:after="120"/>
              <w:rPr>
                <w:rFonts w:cstheme="minorHAnsi"/>
                <w:b/>
                <w:lang w:val="en-AU" w:eastAsia="en-AU"/>
              </w:rPr>
            </w:pPr>
            <w:r>
              <w:rPr>
                <w:rFonts w:cstheme="minorHAnsi"/>
                <w:lang w:val="en-AU" w:eastAsia="en-AU"/>
              </w:rPr>
              <w:t>C</w:t>
            </w:r>
            <w:r w:rsidR="0012562E" w:rsidRPr="00AD1678">
              <w:rPr>
                <w:rFonts w:cstheme="minorHAnsi"/>
                <w:lang w:val="en-AU" w:eastAsia="en-AU"/>
              </w:rPr>
              <w:t xml:space="preserve">onsiders format of sessions to be created and creates session in the </w:t>
            </w:r>
            <w:r w:rsidR="009D3512">
              <w:rPr>
                <w:rFonts w:cstheme="minorHAnsi"/>
                <w:lang w:val="en-AU" w:eastAsia="en-AU"/>
              </w:rPr>
              <w:t>p</w:t>
            </w:r>
            <w:r w:rsidR="0012562E" w:rsidRPr="00AD1678">
              <w:rPr>
                <w:rFonts w:cstheme="minorHAnsi"/>
                <w:lang w:val="en-AU" w:eastAsia="en-AU"/>
              </w:rPr>
              <w:t xml:space="preserve">rovider’s Electronic </w:t>
            </w:r>
            <w:r w:rsidR="0012562E">
              <w:rPr>
                <w:rFonts w:cstheme="minorHAnsi"/>
                <w:lang w:val="en-AU" w:eastAsia="en-AU"/>
              </w:rPr>
              <w:t>Calendar</w:t>
            </w:r>
            <w:r w:rsidR="0012562E" w:rsidRPr="00AD1678">
              <w:rPr>
                <w:rFonts w:cstheme="minorHAnsi"/>
                <w:lang w:val="en-AU" w:eastAsia="en-AU"/>
              </w:rPr>
              <w:t>.</w:t>
            </w:r>
          </w:p>
        </w:tc>
        <w:tc>
          <w:tcPr>
            <w:tcW w:w="3365" w:type="pct"/>
            <w:tcMar>
              <w:top w:w="57" w:type="dxa"/>
              <w:bottom w:w="57" w:type="dxa"/>
            </w:tcMar>
          </w:tcPr>
          <w:p w14:paraId="0C08D57B" w14:textId="77C1231E" w:rsidR="0012562E" w:rsidRPr="00AD1678" w:rsidRDefault="0012562E" w:rsidP="00B9621A">
            <w:pPr>
              <w:spacing w:before="120" w:after="120"/>
              <w:rPr>
                <w:rFonts w:cstheme="minorHAnsi"/>
                <w:lang w:val="en-AU" w:eastAsia="en-AU"/>
              </w:rPr>
            </w:pPr>
            <w:r w:rsidRPr="00AD1678">
              <w:rPr>
                <w:rFonts w:cstheme="minorHAnsi"/>
                <w:lang w:val="en-AU" w:eastAsia="en-AU"/>
              </w:rPr>
              <w:t xml:space="preserve">When deciding on the format of the session the </w:t>
            </w:r>
            <w:r w:rsidR="009D3512">
              <w:rPr>
                <w:rFonts w:cstheme="minorHAnsi"/>
                <w:lang w:val="en-AU" w:eastAsia="en-AU"/>
              </w:rPr>
              <w:t>provider</w:t>
            </w:r>
            <w:r w:rsidRPr="00AD1678">
              <w:rPr>
                <w:rFonts w:cstheme="minorHAnsi"/>
                <w:lang w:val="en-AU" w:eastAsia="en-AU"/>
              </w:rPr>
              <w:t xml:space="preserve"> should consider whether it is an individual or group session.</w:t>
            </w:r>
          </w:p>
          <w:p w14:paraId="49F29119" w14:textId="575FBAC1" w:rsidR="0012562E" w:rsidRPr="00AD1678" w:rsidRDefault="0012562E" w:rsidP="00B9621A">
            <w:pPr>
              <w:spacing w:before="120" w:after="120"/>
              <w:rPr>
                <w:rFonts w:cstheme="minorHAnsi"/>
                <w:lang w:val="en-AU" w:eastAsia="en-AU"/>
              </w:rPr>
            </w:pPr>
            <w:r w:rsidRPr="00AD1678">
              <w:rPr>
                <w:rFonts w:cstheme="minorHAnsi"/>
                <w:b/>
                <w:lang w:val="en-AU" w:eastAsia="en-AU"/>
              </w:rPr>
              <w:t>Note</w:t>
            </w:r>
            <w:r w:rsidRPr="00AD1678">
              <w:rPr>
                <w:rFonts w:cstheme="minorHAnsi"/>
                <w:lang w:val="en-AU" w:eastAsia="en-AU"/>
              </w:rPr>
              <w:t xml:space="preserve">: All sessions will be automatically available </w:t>
            </w:r>
            <w:r>
              <w:rPr>
                <w:rFonts w:cstheme="minorHAnsi"/>
                <w:lang w:val="en-AU" w:eastAsia="en-AU"/>
              </w:rPr>
              <w:t>for</w:t>
            </w:r>
            <w:r w:rsidRPr="00AD1678">
              <w:rPr>
                <w:rFonts w:cstheme="minorHAnsi"/>
                <w:lang w:val="en-AU" w:eastAsia="en-AU"/>
              </w:rPr>
              <w:t xml:space="preserve"> all DES programs delivered at that Site. The session format will default to an individual session.</w:t>
            </w:r>
          </w:p>
        </w:tc>
      </w:tr>
      <w:tr w:rsidR="0012562E" w:rsidRPr="00AD1678" w14:paraId="02A28474" w14:textId="77777777" w:rsidTr="006D006E">
        <w:trPr>
          <w:jc w:val="center"/>
        </w:trPr>
        <w:tc>
          <w:tcPr>
            <w:tcW w:w="1635" w:type="pct"/>
            <w:tcMar>
              <w:top w:w="57" w:type="dxa"/>
              <w:bottom w:w="57" w:type="dxa"/>
            </w:tcMar>
          </w:tcPr>
          <w:p w14:paraId="37D2BCBB" w14:textId="70306F6B" w:rsidR="0012562E" w:rsidRPr="00AD1678" w:rsidRDefault="0012562E" w:rsidP="00BE43FF">
            <w:pPr>
              <w:pStyle w:val="ListParagraph"/>
              <w:numPr>
                <w:ilvl w:val="0"/>
                <w:numId w:val="13"/>
              </w:numPr>
              <w:spacing w:before="120" w:after="120"/>
              <w:rPr>
                <w:rFonts w:cstheme="minorHAnsi"/>
                <w:b/>
                <w:lang w:val="en-AU" w:eastAsia="en-AU"/>
              </w:rPr>
            </w:pPr>
            <w:r w:rsidRPr="00AD1678">
              <w:rPr>
                <w:rFonts w:cstheme="minorHAnsi"/>
                <w:b/>
                <w:lang w:val="en-AU" w:eastAsia="en-AU"/>
              </w:rPr>
              <w:t>Provider</w:t>
            </w:r>
          </w:p>
          <w:p w14:paraId="41C56D6D" w14:textId="6B876B31" w:rsidR="0012562E" w:rsidRDefault="00F3055D" w:rsidP="00B9621A">
            <w:pPr>
              <w:spacing w:before="120" w:after="120"/>
              <w:rPr>
                <w:rFonts w:cstheme="minorHAnsi"/>
                <w:lang w:val="en-AU" w:eastAsia="en-AU"/>
              </w:rPr>
            </w:pPr>
            <w:r>
              <w:rPr>
                <w:rFonts w:cstheme="minorHAnsi"/>
                <w:lang w:val="en-AU" w:eastAsia="en-AU"/>
              </w:rPr>
              <w:t>M</w:t>
            </w:r>
            <w:r w:rsidR="0012562E" w:rsidRPr="00AD1678">
              <w:rPr>
                <w:rFonts w:cstheme="minorHAnsi"/>
                <w:lang w:val="en-AU" w:eastAsia="en-AU"/>
              </w:rPr>
              <w:t>eet</w:t>
            </w:r>
            <w:r w:rsidR="008C08E7">
              <w:rPr>
                <w:rFonts w:cstheme="minorHAnsi"/>
                <w:lang w:val="en-AU" w:eastAsia="en-AU"/>
              </w:rPr>
              <w:t>s</w:t>
            </w:r>
            <w:r w:rsidR="0012562E" w:rsidRPr="00AD1678">
              <w:rPr>
                <w:rFonts w:cstheme="minorHAnsi"/>
                <w:lang w:val="en-AU" w:eastAsia="en-AU"/>
              </w:rPr>
              <w:t xml:space="preserve"> with the job seeker.</w:t>
            </w:r>
          </w:p>
          <w:p w14:paraId="5BD03E21" w14:textId="2079B668" w:rsidR="005811CD" w:rsidRPr="00724B12" w:rsidRDefault="005811CD" w:rsidP="006D006E">
            <w:pPr>
              <w:spacing w:before="120"/>
              <w:rPr>
                <w:rFonts w:cstheme="minorHAnsi"/>
                <w:i/>
                <w:lang w:val="en-AU" w:eastAsia="en-AU"/>
              </w:rPr>
            </w:pPr>
            <w:r w:rsidRPr="00724B12">
              <w:rPr>
                <w:rFonts w:cstheme="minorHAnsi"/>
                <w:i/>
                <w:lang w:val="en-AU" w:eastAsia="en-AU"/>
              </w:rPr>
              <w:t>Grant Agreement Reference:</w:t>
            </w:r>
          </w:p>
          <w:p w14:paraId="2A9F1931" w14:textId="5EEC6203" w:rsidR="005811CD" w:rsidRPr="006F1110" w:rsidRDefault="005811CD" w:rsidP="00BE43FF">
            <w:pPr>
              <w:pStyle w:val="ListParagraph"/>
              <w:numPr>
                <w:ilvl w:val="0"/>
                <w:numId w:val="18"/>
              </w:numPr>
              <w:spacing w:after="120"/>
              <w:ind w:left="714" w:hanging="357"/>
              <w:rPr>
                <w:rFonts w:cstheme="minorHAnsi"/>
                <w:lang w:val="en-AU" w:eastAsia="en-AU"/>
              </w:rPr>
            </w:pPr>
            <w:r w:rsidRPr="006F1110">
              <w:rPr>
                <w:rFonts w:cstheme="minorHAnsi"/>
                <w:lang w:val="en-AU" w:eastAsia="en-AU"/>
              </w:rPr>
              <w:t>Clause 91</w:t>
            </w:r>
          </w:p>
        </w:tc>
        <w:tc>
          <w:tcPr>
            <w:tcW w:w="3365" w:type="pct"/>
            <w:tcMar>
              <w:top w:w="57" w:type="dxa"/>
              <w:bottom w:w="57" w:type="dxa"/>
            </w:tcMar>
          </w:tcPr>
          <w:p w14:paraId="34963CAD" w14:textId="0D660C97" w:rsidR="0012562E" w:rsidRPr="00AD1678" w:rsidRDefault="0012562E" w:rsidP="002D50AB">
            <w:pPr>
              <w:spacing w:before="120" w:after="120"/>
              <w:rPr>
                <w:rFonts w:cstheme="minorHAnsi"/>
                <w:lang w:val="en-AU" w:eastAsia="en-AU"/>
              </w:rPr>
            </w:pPr>
            <w:r w:rsidRPr="00AD1678">
              <w:rPr>
                <w:rFonts w:cstheme="minorHAnsi"/>
                <w:lang w:val="en-AU" w:eastAsia="en-AU"/>
              </w:rPr>
              <w:t xml:space="preserve">The </w:t>
            </w:r>
            <w:r w:rsidR="009D3512">
              <w:rPr>
                <w:rFonts w:cstheme="minorHAnsi"/>
                <w:lang w:val="en-AU" w:eastAsia="en-AU"/>
              </w:rPr>
              <w:t>provider</w:t>
            </w:r>
            <w:r w:rsidRPr="00AD1678">
              <w:rPr>
                <w:rFonts w:cstheme="minorHAnsi"/>
                <w:lang w:val="en-AU" w:eastAsia="en-AU"/>
              </w:rPr>
              <w:t xml:space="preserve"> must meet with the job seeker and conduct the Contact, Initial Interview or Re-engagement Appointment at the Appointment time (date) as recorded in the Department’s IT Systems.</w:t>
            </w:r>
          </w:p>
        </w:tc>
      </w:tr>
      <w:tr w:rsidR="0012562E" w:rsidRPr="00AD1678" w14:paraId="17C53607" w14:textId="77777777" w:rsidTr="006D006E">
        <w:trPr>
          <w:trHeight w:val="24"/>
          <w:jc w:val="center"/>
        </w:trPr>
        <w:tc>
          <w:tcPr>
            <w:tcW w:w="1635" w:type="pct"/>
            <w:tcMar>
              <w:top w:w="57" w:type="dxa"/>
              <w:bottom w:w="57" w:type="dxa"/>
            </w:tcMar>
          </w:tcPr>
          <w:p w14:paraId="2FC0142F" w14:textId="5EEFFCB9" w:rsidR="0012562E" w:rsidRPr="00AD1678" w:rsidRDefault="0012562E" w:rsidP="00BE43FF">
            <w:pPr>
              <w:pStyle w:val="ListParagraph"/>
              <w:numPr>
                <w:ilvl w:val="0"/>
                <w:numId w:val="13"/>
              </w:numPr>
              <w:rPr>
                <w:rFonts w:cstheme="minorHAnsi"/>
                <w:b/>
                <w:lang w:val="en-AU" w:eastAsia="en-AU"/>
              </w:rPr>
            </w:pPr>
            <w:r w:rsidRPr="00AD1678">
              <w:rPr>
                <w:rFonts w:cstheme="minorHAnsi"/>
                <w:b/>
                <w:lang w:val="en-AU" w:eastAsia="en-AU"/>
              </w:rPr>
              <w:t>Provider</w:t>
            </w:r>
          </w:p>
          <w:p w14:paraId="76D311D6" w14:textId="45282505" w:rsidR="0012562E" w:rsidRPr="00AD1678" w:rsidRDefault="00F3055D" w:rsidP="00F3055D">
            <w:pPr>
              <w:rPr>
                <w:rFonts w:cstheme="minorHAnsi"/>
                <w:lang w:val="en-AU" w:eastAsia="en-AU"/>
              </w:rPr>
            </w:pPr>
            <w:r>
              <w:rPr>
                <w:rFonts w:cstheme="minorHAnsi"/>
                <w:lang w:val="en-AU" w:eastAsia="en-AU"/>
              </w:rPr>
              <w:t>R</w:t>
            </w:r>
            <w:r w:rsidR="0012562E" w:rsidRPr="00AD1678">
              <w:rPr>
                <w:rFonts w:cstheme="minorHAnsi"/>
                <w:lang w:val="en-AU" w:eastAsia="en-AU"/>
              </w:rPr>
              <w:t>ecord</w:t>
            </w:r>
            <w:r w:rsidR="008C08E7">
              <w:rPr>
                <w:rFonts w:cstheme="minorHAnsi"/>
                <w:lang w:val="en-AU" w:eastAsia="en-AU"/>
              </w:rPr>
              <w:t>s</w:t>
            </w:r>
            <w:r w:rsidR="0012562E" w:rsidRPr="00AD1678">
              <w:rPr>
                <w:rFonts w:cstheme="minorHAnsi"/>
                <w:lang w:val="en-AU" w:eastAsia="en-AU"/>
              </w:rPr>
              <w:t xml:space="preserve"> the Appointment</w:t>
            </w:r>
            <w:r w:rsidR="007D4611">
              <w:rPr>
                <w:rFonts w:cstheme="minorHAnsi"/>
                <w:lang w:val="en-AU" w:eastAsia="en-AU"/>
              </w:rPr>
              <w:t xml:space="preserve"> result</w:t>
            </w:r>
            <w:r w:rsidR="0012562E" w:rsidRPr="00AD1678">
              <w:rPr>
                <w:rFonts w:cstheme="minorHAnsi"/>
                <w:lang w:val="en-AU" w:eastAsia="en-AU"/>
              </w:rPr>
              <w:t xml:space="preserve"> in the Department’s IT Systems.</w:t>
            </w:r>
          </w:p>
        </w:tc>
        <w:tc>
          <w:tcPr>
            <w:tcW w:w="3365" w:type="pct"/>
            <w:tcMar>
              <w:top w:w="57" w:type="dxa"/>
              <w:bottom w:w="57" w:type="dxa"/>
            </w:tcMar>
          </w:tcPr>
          <w:p w14:paraId="396727D4" w14:textId="251E9868" w:rsidR="00897D45" w:rsidRDefault="0012562E" w:rsidP="00FB6C07">
            <w:pPr>
              <w:rPr>
                <w:rFonts w:cstheme="minorHAnsi"/>
                <w:lang w:val="en-AU" w:eastAsia="en-AU"/>
              </w:rPr>
            </w:pPr>
            <w:r w:rsidRPr="00AD1678">
              <w:rPr>
                <w:rFonts w:cstheme="minorHAnsi"/>
                <w:lang w:val="en-AU" w:eastAsia="en-AU"/>
              </w:rPr>
              <w:t xml:space="preserve">Appointment results </w:t>
            </w:r>
            <w:r w:rsidR="00897D45">
              <w:rPr>
                <w:rFonts w:cstheme="minorHAnsi"/>
                <w:lang w:val="en-AU" w:eastAsia="en-AU"/>
              </w:rPr>
              <w:t xml:space="preserve">for Initial Appointments </w:t>
            </w:r>
            <w:r w:rsidRPr="00AD1678">
              <w:rPr>
                <w:rFonts w:cstheme="minorHAnsi"/>
                <w:lang w:val="en-AU" w:eastAsia="en-AU"/>
              </w:rPr>
              <w:t xml:space="preserve">must be recorded </w:t>
            </w:r>
            <w:r w:rsidR="00897D45">
              <w:rPr>
                <w:rFonts w:cstheme="minorHAnsi"/>
                <w:lang w:val="en-AU" w:eastAsia="en-AU"/>
              </w:rPr>
              <w:t xml:space="preserve">as soon as possible, and within five days of the Appointment. Appointment results for other Appointments must be recorded </w:t>
            </w:r>
            <w:r w:rsidRPr="00AD1678">
              <w:rPr>
                <w:rFonts w:cstheme="minorHAnsi"/>
                <w:lang w:val="en-AU" w:eastAsia="en-AU"/>
              </w:rPr>
              <w:t xml:space="preserve">on the same day as the Appointment. </w:t>
            </w:r>
          </w:p>
          <w:p w14:paraId="4B32F909" w14:textId="77777777" w:rsidR="00897D45" w:rsidRDefault="00897D45" w:rsidP="00FB6C07">
            <w:pPr>
              <w:rPr>
                <w:rFonts w:cstheme="minorHAnsi"/>
                <w:lang w:val="en-AU" w:eastAsia="en-AU"/>
              </w:rPr>
            </w:pPr>
          </w:p>
          <w:p w14:paraId="1A602985" w14:textId="3621D69C" w:rsidR="0012562E" w:rsidRDefault="0012562E" w:rsidP="00FB6C07">
            <w:pPr>
              <w:rPr>
                <w:rFonts w:cstheme="minorHAnsi"/>
                <w:lang w:val="en-AU" w:eastAsia="en-AU"/>
              </w:rPr>
            </w:pPr>
            <w:r w:rsidRPr="00AD1678">
              <w:rPr>
                <w:rFonts w:cstheme="minorHAnsi"/>
                <w:lang w:val="en-AU" w:eastAsia="en-AU"/>
              </w:rPr>
              <w:t>Appointment results cannot be recorded as ‘attended’ until the job seeker has presented at the time of the Appointment.</w:t>
            </w:r>
          </w:p>
          <w:p w14:paraId="762580A5" w14:textId="77777777" w:rsidR="0012562E" w:rsidRPr="00B9621A" w:rsidRDefault="0012562E" w:rsidP="006D006E">
            <w:pPr>
              <w:rPr>
                <w:rFonts w:cstheme="minorHAnsi"/>
                <w:b/>
                <w:lang w:val="en-AU" w:eastAsia="en-AU"/>
              </w:rPr>
            </w:pPr>
            <w:r w:rsidRPr="00B9621A">
              <w:rPr>
                <w:rFonts w:cstheme="minorHAnsi"/>
                <w:b/>
                <w:lang w:val="en-AU" w:eastAsia="en-AU"/>
              </w:rPr>
              <w:t>End of Process.</w:t>
            </w:r>
          </w:p>
        </w:tc>
      </w:tr>
    </w:tbl>
    <w:p w14:paraId="5A1AB0BB" w14:textId="77777777" w:rsidR="00C46010" w:rsidRDefault="00C46010" w:rsidP="00C46010">
      <w:pPr>
        <w:pStyle w:val="Heading2"/>
        <w:spacing w:before="120" w:after="120"/>
        <w:rPr>
          <w:color w:val="auto"/>
          <w:sz w:val="24"/>
          <w:szCs w:val="28"/>
        </w:rPr>
      </w:pPr>
      <w:bookmarkStart w:id="80" w:name="_Toc459216231"/>
      <w:bookmarkStart w:id="81" w:name="_Toc473637613"/>
      <w:bookmarkStart w:id="82" w:name="_Toc496019692"/>
      <w:bookmarkStart w:id="83" w:name="_Toc496019744"/>
      <w:r>
        <w:rPr>
          <w:color w:val="auto"/>
          <w:sz w:val="24"/>
          <w:szCs w:val="28"/>
        </w:rPr>
        <w:br w:type="page"/>
      </w:r>
    </w:p>
    <w:p w14:paraId="10AC7A42" w14:textId="6680110B" w:rsidR="00B312B4" w:rsidRPr="00213141" w:rsidRDefault="00960E4C" w:rsidP="00213141">
      <w:pPr>
        <w:pStyle w:val="Heading2"/>
        <w:spacing w:before="120" w:after="120"/>
        <w:rPr>
          <w:sz w:val="24"/>
          <w:szCs w:val="28"/>
        </w:rPr>
      </w:pPr>
      <w:bookmarkStart w:id="84" w:name="_Toc176964321"/>
      <w:r w:rsidRPr="00213141">
        <w:rPr>
          <w:color w:val="auto"/>
          <w:sz w:val="24"/>
          <w:szCs w:val="28"/>
        </w:rPr>
        <w:lastRenderedPageBreak/>
        <w:t xml:space="preserve">Process: </w:t>
      </w:r>
      <w:r w:rsidR="00B312B4" w:rsidRPr="00213141">
        <w:rPr>
          <w:color w:val="auto"/>
          <w:sz w:val="24"/>
          <w:szCs w:val="28"/>
        </w:rPr>
        <w:t>Referrals to Program Services and conducting an Initial Interview</w:t>
      </w:r>
      <w:bookmarkEnd w:id="78"/>
      <w:bookmarkEnd w:id="79"/>
      <w:bookmarkEnd w:id="80"/>
      <w:bookmarkEnd w:id="81"/>
      <w:bookmarkEnd w:id="82"/>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996"/>
      </w:tblGrid>
      <w:tr w:rsidR="00510610" w:rsidRPr="00724B12" w14:paraId="760851BD" w14:textId="77777777" w:rsidTr="00213141">
        <w:trPr>
          <w:tblHeader/>
          <w:jc w:val="center"/>
        </w:trPr>
        <w:tc>
          <w:tcPr>
            <w:tcW w:w="1646" w:type="pct"/>
            <w:shd w:val="clear" w:color="auto" w:fill="auto"/>
            <w:tcMar>
              <w:top w:w="57" w:type="dxa"/>
              <w:bottom w:w="57" w:type="dxa"/>
            </w:tcMar>
            <w:vAlign w:val="center"/>
          </w:tcPr>
          <w:p w14:paraId="3FB97EA2" w14:textId="77777777" w:rsidR="00510610" w:rsidRPr="00724B12" w:rsidRDefault="00510610" w:rsidP="00B9621A">
            <w:pPr>
              <w:rPr>
                <w:rFonts w:cstheme="minorHAnsi"/>
                <w:b/>
                <w:lang w:val="en-AU" w:eastAsia="en-AU"/>
              </w:rPr>
            </w:pPr>
            <w:r w:rsidRPr="00724B12">
              <w:rPr>
                <w:rFonts w:cstheme="minorHAnsi"/>
                <w:b/>
                <w:lang w:val="en-AU" w:eastAsia="en-AU"/>
              </w:rPr>
              <w:t>Who is Responsible:</w:t>
            </w:r>
          </w:p>
        </w:tc>
        <w:tc>
          <w:tcPr>
            <w:tcW w:w="3354" w:type="pct"/>
            <w:shd w:val="clear" w:color="auto" w:fill="auto"/>
            <w:tcMar>
              <w:top w:w="57" w:type="dxa"/>
              <w:bottom w:w="57" w:type="dxa"/>
            </w:tcMar>
            <w:vAlign w:val="center"/>
          </w:tcPr>
          <w:p w14:paraId="4A3BDFDF" w14:textId="77777777" w:rsidR="00510610" w:rsidRPr="00724B12" w:rsidRDefault="00510610" w:rsidP="00B9621A">
            <w:pPr>
              <w:rPr>
                <w:rFonts w:cstheme="minorHAnsi"/>
                <w:b/>
                <w:lang w:val="en-AU" w:eastAsia="en-AU"/>
              </w:rPr>
            </w:pPr>
            <w:r w:rsidRPr="00724B12">
              <w:rPr>
                <w:rFonts w:cstheme="minorHAnsi"/>
                <w:b/>
                <w:lang w:val="en-AU" w:eastAsia="en-AU"/>
              </w:rPr>
              <w:t>What is Required:</w:t>
            </w:r>
          </w:p>
        </w:tc>
      </w:tr>
      <w:tr w:rsidR="00510610" w:rsidRPr="00724B12" w14:paraId="32AC07F4" w14:textId="77777777" w:rsidTr="00213141">
        <w:trPr>
          <w:trHeight w:val="1608"/>
          <w:jc w:val="center"/>
        </w:trPr>
        <w:tc>
          <w:tcPr>
            <w:tcW w:w="1646" w:type="pct"/>
            <w:tcMar>
              <w:top w:w="57" w:type="dxa"/>
              <w:bottom w:w="57" w:type="dxa"/>
            </w:tcMar>
          </w:tcPr>
          <w:p w14:paraId="3834B6CC" w14:textId="4AF78126" w:rsidR="00510610" w:rsidRPr="00724B12" w:rsidRDefault="008F6050" w:rsidP="00BE43FF">
            <w:pPr>
              <w:pStyle w:val="ListParagraph"/>
              <w:numPr>
                <w:ilvl w:val="0"/>
                <w:numId w:val="26"/>
              </w:numPr>
              <w:spacing w:before="120" w:after="120"/>
              <w:rPr>
                <w:rFonts w:cstheme="minorHAnsi"/>
                <w:b/>
                <w:lang w:eastAsia="en-AU"/>
              </w:rPr>
            </w:pPr>
            <w:bookmarkStart w:id="85" w:name="_Toc459215464"/>
            <w:bookmarkStart w:id="86" w:name="_Toc459216232"/>
            <w:r>
              <w:rPr>
                <w:rFonts w:cstheme="minorHAnsi"/>
                <w:b/>
                <w:lang w:eastAsia="en-AU"/>
              </w:rPr>
              <w:t>Referrer</w:t>
            </w:r>
          </w:p>
          <w:p w14:paraId="595582C1" w14:textId="1E4C30F9" w:rsidR="00510610" w:rsidRPr="00724B12" w:rsidRDefault="00510610" w:rsidP="003E4D9F">
            <w:pPr>
              <w:pStyle w:val="ListParagraph"/>
              <w:spacing w:before="120" w:after="120"/>
              <w:ind w:left="360"/>
              <w:rPr>
                <w:rFonts w:cstheme="minorHAnsi"/>
                <w:b/>
                <w:lang w:eastAsia="en-AU"/>
              </w:rPr>
            </w:pPr>
            <w:r w:rsidRPr="00724B12">
              <w:rPr>
                <w:rFonts w:cstheme="minorHAnsi"/>
                <w:lang w:val="en-AU" w:eastAsia="en-AU"/>
              </w:rPr>
              <w:t xml:space="preserve">Job </w:t>
            </w:r>
            <w:r w:rsidRPr="00213141">
              <w:rPr>
                <w:rFonts w:cstheme="minorHAnsi"/>
                <w:lang w:eastAsia="en-AU"/>
              </w:rPr>
              <w:t>seeker</w:t>
            </w:r>
            <w:r w:rsidRPr="00724B12">
              <w:rPr>
                <w:rFonts w:cstheme="minorHAnsi"/>
                <w:lang w:val="en-AU" w:eastAsia="en-AU"/>
              </w:rPr>
              <w:t xml:space="preserve"> is Referred </w:t>
            </w:r>
            <w:r w:rsidR="0038480A">
              <w:rPr>
                <w:rFonts w:cstheme="minorHAnsi"/>
                <w:lang w:val="en-AU" w:eastAsia="en-AU"/>
              </w:rPr>
              <w:t xml:space="preserve">to </w:t>
            </w:r>
            <w:r w:rsidR="008E3734">
              <w:rPr>
                <w:rFonts w:cstheme="minorHAnsi"/>
                <w:lang w:val="en-AU" w:eastAsia="en-AU"/>
              </w:rPr>
              <w:t>provider</w:t>
            </w:r>
            <w:r w:rsidRPr="00724B12">
              <w:rPr>
                <w:rFonts w:cstheme="minorHAnsi"/>
                <w:lang w:val="en-AU" w:eastAsia="en-AU"/>
              </w:rPr>
              <w:t>.</w:t>
            </w:r>
            <w:bookmarkEnd w:id="85"/>
            <w:bookmarkEnd w:id="86"/>
          </w:p>
        </w:tc>
        <w:tc>
          <w:tcPr>
            <w:tcW w:w="3354" w:type="pct"/>
            <w:tcMar>
              <w:top w:w="57" w:type="dxa"/>
              <w:bottom w:w="57" w:type="dxa"/>
            </w:tcMar>
          </w:tcPr>
          <w:p w14:paraId="121C3D55" w14:textId="549D40A1" w:rsidR="00027292" w:rsidRDefault="00510610" w:rsidP="00B9621A">
            <w:pPr>
              <w:spacing w:before="120" w:after="120"/>
              <w:rPr>
                <w:rFonts w:cstheme="minorHAnsi"/>
                <w:lang w:val="en-AU" w:eastAsia="en-AU"/>
              </w:rPr>
            </w:pPr>
            <w:r w:rsidRPr="00724B12">
              <w:rPr>
                <w:rFonts w:cstheme="minorHAnsi"/>
                <w:lang w:val="en-AU" w:eastAsia="en-AU"/>
              </w:rPr>
              <w:t>A Referr</w:t>
            </w:r>
            <w:r w:rsidR="0038480A">
              <w:rPr>
                <w:rFonts w:cstheme="minorHAnsi"/>
                <w:lang w:val="en-AU" w:eastAsia="en-AU"/>
              </w:rPr>
              <w:t>al</w:t>
            </w:r>
            <w:r w:rsidRPr="00724B12">
              <w:rPr>
                <w:rFonts w:cstheme="minorHAnsi"/>
                <w:lang w:val="en-AU" w:eastAsia="en-AU"/>
              </w:rPr>
              <w:t xml:space="preserve"> </w:t>
            </w:r>
            <w:r w:rsidR="008F6050">
              <w:rPr>
                <w:rFonts w:cstheme="minorHAnsi"/>
                <w:lang w:val="en-AU" w:eastAsia="en-AU"/>
              </w:rPr>
              <w:t xml:space="preserve">of an eligible job seeker </w:t>
            </w:r>
            <w:r w:rsidR="00027292">
              <w:rPr>
                <w:rFonts w:cstheme="minorHAnsi"/>
                <w:lang w:val="en-AU" w:eastAsia="en-AU"/>
              </w:rPr>
              <w:t xml:space="preserve">to a </w:t>
            </w:r>
            <w:r w:rsidR="009D3512">
              <w:rPr>
                <w:rFonts w:cstheme="minorHAnsi"/>
                <w:lang w:val="en-AU" w:eastAsia="en-AU"/>
              </w:rPr>
              <w:t>provider</w:t>
            </w:r>
            <w:r w:rsidR="00027292">
              <w:rPr>
                <w:rFonts w:cstheme="minorHAnsi"/>
                <w:lang w:val="en-AU" w:eastAsia="en-AU"/>
              </w:rPr>
              <w:t xml:space="preserve"> can </w:t>
            </w:r>
            <w:r w:rsidR="009035FE">
              <w:rPr>
                <w:rFonts w:cstheme="minorHAnsi"/>
                <w:lang w:val="en-AU" w:eastAsia="en-AU"/>
              </w:rPr>
              <w:t>be made by</w:t>
            </w:r>
            <w:r w:rsidR="00027292">
              <w:rPr>
                <w:rFonts w:cstheme="minorHAnsi"/>
                <w:lang w:val="en-AU" w:eastAsia="en-AU"/>
              </w:rPr>
              <w:t>:</w:t>
            </w:r>
          </w:p>
          <w:p w14:paraId="40860D5D" w14:textId="705F3F9C" w:rsidR="00510610" w:rsidRPr="00213141" w:rsidRDefault="009035FE" w:rsidP="00BE43FF">
            <w:pPr>
              <w:pStyle w:val="ListParagraph"/>
              <w:numPr>
                <w:ilvl w:val="0"/>
                <w:numId w:val="24"/>
              </w:numPr>
              <w:spacing w:before="120" w:after="120"/>
              <w:rPr>
                <w:rFonts w:cstheme="minorHAnsi"/>
                <w:lang w:eastAsia="en-AU"/>
              </w:rPr>
            </w:pPr>
            <w:r>
              <w:rPr>
                <w:rFonts w:cstheme="minorHAnsi"/>
                <w:lang w:val="en-AU" w:eastAsia="en-AU"/>
              </w:rPr>
              <w:t>an Assessor,</w:t>
            </w:r>
            <w:r w:rsidR="00510610" w:rsidRPr="00027292">
              <w:rPr>
                <w:rFonts w:cstheme="minorHAnsi"/>
                <w:lang w:val="en-AU" w:eastAsia="en-AU"/>
              </w:rPr>
              <w:t xml:space="preserve"> </w:t>
            </w:r>
            <w:r w:rsidR="00994E01">
              <w:rPr>
                <w:rFonts w:cstheme="minorHAnsi"/>
                <w:lang w:val="en-AU" w:eastAsia="en-AU"/>
              </w:rPr>
              <w:t>as part of</w:t>
            </w:r>
            <w:r w:rsidR="0038480A">
              <w:rPr>
                <w:rFonts w:cstheme="minorHAnsi"/>
                <w:lang w:val="en-AU" w:eastAsia="en-AU"/>
              </w:rPr>
              <w:t xml:space="preserve"> an ESAt or </w:t>
            </w:r>
            <w:proofErr w:type="gramStart"/>
            <w:r w:rsidR="0038480A">
              <w:rPr>
                <w:rFonts w:cstheme="minorHAnsi"/>
                <w:lang w:val="en-AU" w:eastAsia="en-AU"/>
              </w:rPr>
              <w:t>JCA;</w:t>
            </w:r>
            <w:proofErr w:type="gramEnd"/>
          </w:p>
          <w:p w14:paraId="5DAED9D7" w14:textId="364AF1AB" w:rsidR="0038480A" w:rsidRPr="00213141" w:rsidRDefault="009159F8" w:rsidP="00BE43FF">
            <w:pPr>
              <w:pStyle w:val="ListParagraph"/>
              <w:numPr>
                <w:ilvl w:val="0"/>
                <w:numId w:val="24"/>
              </w:numPr>
              <w:spacing w:before="120" w:after="120"/>
              <w:rPr>
                <w:rFonts w:cstheme="minorHAnsi"/>
                <w:lang w:eastAsia="en-AU"/>
              </w:rPr>
            </w:pPr>
            <w:r>
              <w:rPr>
                <w:rFonts w:cstheme="minorHAnsi"/>
                <w:lang w:val="en-AU" w:eastAsia="en-AU"/>
              </w:rPr>
              <w:t xml:space="preserve">other </w:t>
            </w:r>
            <w:r w:rsidR="0038480A">
              <w:rPr>
                <w:rFonts w:cstheme="minorHAnsi"/>
                <w:lang w:val="en-AU" w:eastAsia="en-AU"/>
              </w:rPr>
              <w:t>Services Australia</w:t>
            </w:r>
            <w:r>
              <w:rPr>
                <w:rFonts w:cstheme="minorHAnsi"/>
                <w:lang w:val="en-AU" w:eastAsia="en-AU"/>
              </w:rPr>
              <w:t xml:space="preserve"> staff</w:t>
            </w:r>
            <w:r w:rsidR="0038480A">
              <w:rPr>
                <w:rFonts w:cstheme="minorHAnsi"/>
                <w:lang w:val="en-AU" w:eastAsia="en-AU"/>
              </w:rPr>
              <w:t>, the Department or other employment services providers</w:t>
            </w:r>
            <w:r w:rsidR="009035FE">
              <w:rPr>
                <w:rFonts w:cstheme="minorHAnsi"/>
                <w:lang w:val="en-AU" w:eastAsia="en-AU"/>
              </w:rPr>
              <w:t>, at other times</w:t>
            </w:r>
            <w:r w:rsidR="0038480A">
              <w:rPr>
                <w:rFonts w:cstheme="minorHAnsi"/>
                <w:lang w:val="en-AU" w:eastAsia="en-AU"/>
              </w:rPr>
              <w:t>; or</w:t>
            </w:r>
          </w:p>
          <w:p w14:paraId="5425F1F5" w14:textId="494FB85F" w:rsidR="0038480A" w:rsidRPr="00027292" w:rsidRDefault="0038480A" w:rsidP="00BE43FF">
            <w:pPr>
              <w:pStyle w:val="ListParagraph"/>
              <w:numPr>
                <w:ilvl w:val="0"/>
                <w:numId w:val="24"/>
              </w:numPr>
              <w:spacing w:before="120" w:after="120"/>
              <w:rPr>
                <w:rFonts w:cstheme="minorHAnsi"/>
                <w:lang w:eastAsia="en-AU"/>
              </w:rPr>
            </w:pPr>
            <w:r>
              <w:rPr>
                <w:rFonts w:cstheme="minorHAnsi"/>
                <w:lang w:val="en-AU" w:eastAsia="en-AU"/>
              </w:rPr>
              <w:t>a job seeker</w:t>
            </w:r>
            <w:r w:rsidR="009035FE">
              <w:rPr>
                <w:rFonts w:cstheme="minorHAnsi"/>
                <w:lang w:val="en-AU" w:eastAsia="en-AU"/>
              </w:rPr>
              <w:t>, who</w:t>
            </w:r>
            <w:r>
              <w:rPr>
                <w:rFonts w:cstheme="minorHAnsi"/>
                <w:lang w:val="en-AU" w:eastAsia="en-AU"/>
              </w:rPr>
              <w:t xml:space="preserve"> Directly Registers with a </w:t>
            </w:r>
            <w:r w:rsidR="009D3512">
              <w:rPr>
                <w:rFonts w:cstheme="minorHAnsi"/>
                <w:lang w:val="en-AU" w:eastAsia="en-AU"/>
              </w:rPr>
              <w:t>provider</w:t>
            </w:r>
            <w:r>
              <w:rPr>
                <w:rFonts w:cstheme="minorHAnsi"/>
                <w:lang w:val="en-AU" w:eastAsia="en-AU"/>
              </w:rPr>
              <w:t xml:space="preserve"> in accordance with the </w:t>
            </w:r>
            <w:r w:rsidRPr="00213141">
              <w:rPr>
                <w:rFonts w:cstheme="minorHAnsi"/>
                <w:i/>
                <w:lang w:val="en-AU" w:eastAsia="en-AU"/>
              </w:rPr>
              <w:t>Direct Registration Guidelines</w:t>
            </w:r>
            <w:r>
              <w:rPr>
                <w:rFonts w:cstheme="minorHAnsi"/>
                <w:lang w:val="en-AU" w:eastAsia="en-AU"/>
              </w:rPr>
              <w:t>.</w:t>
            </w:r>
          </w:p>
          <w:p w14:paraId="56649F82" w14:textId="751E3135" w:rsidR="00994E01" w:rsidRDefault="00994E01" w:rsidP="0038480A">
            <w:pPr>
              <w:spacing w:before="120"/>
              <w:rPr>
                <w:rFonts w:cstheme="minorHAnsi"/>
                <w:lang w:val="en-AU" w:eastAsia="en-AU"/>
              </w:rPr>
            </w:pPr>
            <w:r>
              <w:rPr>
                <w:rFonts w:cstheme="minorHAnsi"/>
                <w:lang w:val="en-AU" w:eastAsia="en-AU"/>
              </w:rPr>
              <w:t>In this table, the term “Referrer” is used to cover these options.</w:t>
            </w:r>
          </w:p>
          <w:p w14:paraId="1311411B" w14:textId="4D612D91" w:rsidR="00E27A2F" w:rsidRDefault="00E27A2F" w:rsidP="00E27A2F">
            <w:pPr>
              <w:spacing w:before="120" w:after="120"/>
              <w:rPr>
                <w:rFonts w:cstheme="minorHAnsi"/>
                <w:lang w:val="en-AU" w:eastAsia="en-AU"/>
              </w:rPr>
            </w:pPr>
            <w:r w:rsidRPr="00724B12">
              <w:rPr>
                <w:rFonts w:cstheme="minorHAnsi"/>
                <w:lang w:val="en-AU" w:eastAsia="en-AU"/>
              </w:rPr>
              <w:t xml:space="preserve">Where </w:t>
            </w:r>
            <w:r>
              <w:rPr>
                <w:rFonts w:cstheme="minorHAnsi"/>
                <w:lang w:val="en-AU" w:eastAsia="en-AU"/>
              </w:rPr>
              <w:t>a</w:t>
            </w:r>
            <w:r w:rsidRPr="00724B12">
              <w:rPr>
                <w:rFonts w:cstheme="minorHAnsi"/>
                <w:lang w:val="en-AU" w:eastAsia="en-AU"/>
              </w:rPr>
              <w:t xml:space="preserve"> job seeker Directly Register</w:t>
            </w:r>
            <w:r>
              <w:rPr>
                <w:rFonts w:cstheme="minorHAnsi"/>
                <w:lang w:val="en-AU" w:eastAsia="en-AU"/>
              </w:rPr>
              <w:t>s</w:t>
            </w:r>
            <w:r w:rsidRPr="00724B12">
              <w:rPr>
                <w:rFonts w:cstheme="minorHAnsi"/>
                <w:lang w:val="en-AU" w:eastAsia="en-AU"/>
              </w:rPr>
              <w:t xml:space="preserve"> and is identified as </w:t>
            </w:r>
            <w:r>
              <w:rPr>
                <w:rFonts w:cstheme="minorHAnsi"/>
                <w:lang w:val="en-AU" w:eastAsia="en-AU"/>
              </w:rPr>
              <w:t>eligible</w:t>
            </w:r>
            <w:r w:rsidRPr="00724B12">
              <w:rPr>
                <w:rFonts w:cstheme="minorHAnsi"/>
                <w:lang w:val="en-AU" w:eastAsia="en-AU"/>
              </w:rPr>
              <w:t xml:space="preserve"> </w:t>
            </w:r>
            <w:r>
              <w:rPr>
                <w:rFonts w:cstheme="minorHAnsi"/>
                <w:lang w:val="en-AU" w:eastAsia="en-AU"/>
              </w:rPr>
              <w:t>(</w:t>
            </w:r>
            <w:r w:rsidRPr="00724B12">
              <w:rPr>
                <w:rFonts w:cstheme="minorHAnsi"/>
                <w:lang w:val="en-AU" w:eastAsia="en-AU"/>
              </w:rPr>
              <w:t xml:space="preserve">ESAt/JCA </w:t>
            </w:r>
            <w:proofErr w:type="gramStart"/>
            <w:r w:rsidRPr="00724B12">
              <w:rPr>
                <w:rFonts w:cstheme="minorHAnsi"/>
                <w:lang w:val="en-AU" w:eastAsia="en-AU"/>
              </w:rPr>
              <w:t>exempt, or</w:t>
            </w:r>
            <w:proofErr w:type="gramEnd"/>
            <w:r w:rsidRPr="00724B12">
              <w:rPr>
                <w:rFonts w:cstheme="minorHAnsi"/>
                <w:lang w:val="en-AU" w:eastAsia="en-AU"/>
              </w:rPr>
              <w:t xml:space="preserve"> has a Valid ESAt with a recommended </w:t>
            </w:r>
            <w:r w:rsidR="00237D93">
              <w:rPr>
                <w:rFonts w:cstheme="minorHAnsi"/>
                <w:lang w:val="en-AU" w:eastAsia="en-AU"/>
              </w:rPr>
              <w:t>r</w:t>
            </w:r>
            <w:r w:rsidRPr="00724B12">
              <w:rPr>
                <w:rFonts w:cstheme="minorHAnsi"/>
                <w:lang w:val="en-AU" w:eastAsia="en-AU"/>
              </w:rPr>
              <w:t xml:space="preserve">eferral </w:t>
            </w:r>
            <w:r>
              <w:rPr>
                <w:rFonts w:cstheme="minorHAnsi"/>
                <w:lang w:val="en-AU" w:eastAsia="en-AU"/>
              </w:rPr>
              <w:t>to the</w:t>
            </w:r>
            <w:r w:rsidRPr="00724B12">
              <w:rPr>
                <w:rFonts w:cstheme="minorHAnsi"/>
                <w:lang w:val="en-AU" w:eastAsia="en-AU"/>
              </w:rPr>
              <w:t xml:space="preserve"> DES</w:t>
            </w:r>
            <w:r>
              <w:rPr>
                <w:rFonts w:cstheme="minorHAnsi"/>
                <w:lang w:val="en-AU" w:eastAsia="en-AU"/>
              </w:rPr>
              <w:t xml:space="preserve"> service)</w:t>
            </w:r>
            <w:r w:rsidRPr="00724B12">
              <w:rPr>
                <w:rFonts w:cstheme="minorHAnsi"/>
                <w:lang w:val="en-AU" w:eastAsia="en-AU"/>
              </w:rPr>
              <w:t xml:space="preserve">, the </w:t>
            </w:r>
            <w:r w:rsidR="009D3512">
              <w:rPr>
                <w:rFonts w:cstheme="minorHAnsi"/>
                <w:lang w:val="en-AU" w:eastAsia="en-AU"/>
              </w:rPr>
              <w:t>provider</w:t>
            </w:r>
            <w:r w:rsidRPr="00724B12">
              <w:rPr>
                <w:rFonts w:cstheme="minorHAnsi"/>
                <w:lang w:val="en-AU" w:eastAsia="en-AU"/>
              </w:rPr>
              <w:t xml:space="preserve"> may proceed to the Initial Interview </w:t>
            </w:r>
            <w:r>
              <w:rPr>
                <w:rFonts w:cstheme="minorHAnsi"/>
                <w:lang w:val="en-AU" w:eastAsia="en-AU"/>
              </w:rPr>
              <w:t xml:space="preserve">without </w:t>
            </w:r>
            <w:r w:rsidRPr="00724B12">
              <w:rPr>
                <w:rFonts w:cstheme="minorHAnsi"/>
                <w:lang w:val="en-AU" w:eastAsia="en-AU"/>
              </w:rPr>
              <w:t>arrang</w:t>
            </w:r>
            <w:r>
              <w:rPr>
                <w:rFonts w:cstheme="minorHAnsi"/>
                <w:lang w:val="en-AU" w:eastAsia="en-AU"/>
              </w:rPr>
              <w:t>ing</w:t>
            </w:r>
            <w:r w:rsidRPr="00724B12">
              <w:rPr>
                <w:rFonts w:cstheme="minorHAnsi"/>
                <w:lang w:val="en-AU" w:eastAsia="en-AU"/>
              </w:rPr>
              <w:t xml:space="preserve"> an ESAt</w:t>
            </w:r>
            <w:r>
              <w:rPr>
                <w:rFonts w:cstheme="minorHAnsi"/>
                <w:lang w:val="en-AU" w:eastAsia="en-AU"/>
              </w:rPr>
              <w:t xml:space="preserve"> (skip to </w:t>
            </w:r>
            <w:r w:rsidRPr="00213141">
              <w:rPr>
                <w:rFonts w:cstheme="minorHAnsi"/>
                <w:b/>
                <w:lang w:val="en-AU" w:eastAsia="en-AU"/>
              </w:rPr>
              <w:t>Step 7</w:t>
            </w:r>
            <w:r>
              <w:rPr>
                <w:rFonts w:cstheme="minorHAnsi"/>
                <w:lang w:val="en-AU" w:eastAsia="en-AU"/>
              </w:rPr>
              <w:t>)</w:t>
            </w:r>
            <w:r w:rsidRPr="00724B12">
              <w:rPr>
                <w:rFonts w:cstheme="minorHAnsi"/>
                <w:lang w:val="en-AU" w:eastAsia="en-AU"/>
              </w:rPr>
              <w:t xml:space="preserve">. </w:t>
            </w:r>
          </w:p>
          <w:p w14:paraId="7D39EFA8" w14:textId="7AA73A14" w:rsidR="00510610" w:rsidRPr="0083005D" w:rsidRDefault="00912CC7" w:rsidP="00213141">
            <w:pPr>
              <w:spacing w:before="120" w:after="120"/>
              <w:rPr>
                <w:rFonts w:cstheme="minorHAnsi"/>
                <w:lang w:val="en-AU" w:eastAsia="en-AU"/>
              </w:rPr>
            </w:pPr>
            <w:r>
              <w:rPr>
                <w:rFonts w:cstheme="minorHAnsi"/>
                <w:lang w:val="en-AU" w:eastAsia="en-AU"/>
              </w:rPr>
              <w:t xml:space="preserve">Where a job seeker Directly Registers before their eligibility is confirmed, the </w:t>
            </w:r>
            <w:r w:rsidR="009D3512">
              <w:rPr>
                <w:rFonts w:cstheme="minorHAnsi"/>
                <w:lang w:val="en-AU" w:eastAsia="en-AU"/>
              </w:rPr>
              <w:t>provider</w:t>
            </w:r>
            <w:r>
              <w:rPr>
                <w:rFonts w:cstheme="minorHAnsi"/>
                <w:lang w:val="en-AU" w:eastAsia="en-AU"/>
              </w:rPr>
              <w:t xml:space="preserve"> must </w:t>
            </w:r>
            <w:r w:rsidR="00E27A2F">
              <w:rPr>
                <w:rFonts w:cstheme="minorHAnsi"/>
                <w:lang w:val="en-AU" w:eastAsia="en-AU"/>
              </w:rPr>
              <w:t>send</w:t>
            </w:r>
            <w:r>
              <w:rPr>
                <w:rFonts w:cstheme="minorHAnsi"/>
                <w:lang w:val="en-AU" w:eastAsia="en-AU"/>
              </w:rPr>
              <w:t xml:space="preserve"> them for an ESAt, b</w:t>
            </w:r>
            <w:r w:rsidR="00E27A2F">
              <w:rPr>
                <w:rFonts w:cstheme="minorHAnsi"/>
                <w:lang w:val="en-AU" w:eastAsia="en-AU"/>
              </w:rPr>
              <w:t>ut the Assessor would normally R</w:t>
            </w:r>
            <w:r>
              <w:rPr>
                <w:rFonts w:cstheme="minorHAnsi"/>
                <w:lang w:val="en-AU" w:eastAsia="en-AU"/>
              </w:rPr>
              <w:t xml:space="preserve">efer the job seeker back to the </w:t>
            </w:r>
            <w:r w:rsidR="009D3512">
              <w:rPr>
                <w:rFonts w:cstheme="minorHAnsi"/>
                <w:lang w:val="en-AU" w:eastAsia="en-AU"/>
              </w:rPr>
              <w:t>provider</w:t>
            </w:r>
            <w:r>
              <w:rPr>
                <w:rFonts w:cstheme="minorHAnsi"/>
                <w:lang w:val="en-AU" w:eastAsia="en-AU"/>
              </w:rPr>
              <w:t xml:space="preserve"> with which they registered (skip to </w:t>
            </w:r>
            <w:r w:rsidRPr="00213141">
              <w:rPr>
                <w:rFonts w:cstheme="minorHAnsi"/>
                <w:b/>
                <w:lang w:val="en-AU" w:eastAsia="en-AU"/>
              </w:rPr>
              <w:t xml:space="preserve">Step </w:t>
            </w:r>
            <w:r w:rsidR="00994E01">
              <w:rPr>
                <w:rFonts w:cstheme="minorHAnsi"/>
                <w:b/>
                <w:lang w:val="en-AU" w:eastAsia="en-AU"/>
              </w:rPr>
              <w:t>7</w:t>
            </w:r>
            <w:r>
              <w:rPr>
                <w:rFonts w:cstheme="minorHAnsi"/>
                <w:lang w:val="en-AU" w:eastAsia="en-AU"/>
              </w:rPr>
              <w:t>), unless the job seeker request</w:t>
            </w:r>
            <w:r w:rsidR="00E27A2F">
              <w:rPr>
                <w:rFonts w:cstheme="minorHAnsi"/>
                <w:lang w:val="en-AU" w:eastAsia="en-AU"/>
              </w:rPr>
              <w:t>s</w:t>
            </w:r>
            <w:r>
              <w:rPr>
                <w:rFonts w:cstheme="minorHAnsi"/>
                <w:lang w:val="en-AU" w:eastAsia="en-AU"/>
              </w:rPr>
              <w:t xml:space="preserve"> another </w:t>
            </w:r>
            <w:r w:rsidR="009D3512">
              <w:rPr>
                <w:rFonts w:cstheme="minorHAnsi"/>
                <w:lang w:val="en-AU" w:eastAsia="en-AU"/>
              </w:rPr>
              <w:t>provider</w:t>
            </w:r>
            <w:r w:rsidR="00E27A2F">
              <w:rPr>
                <w:rFonts w:cstheme="minorHAnsi"/>
                <w:lang w:val="en-AU" w:eastAsia="en-AU"/>
              </w:rPr>
              <w:t xml:space="preserve"> during the assessment</w:t>
            </w:r>
            <w:r>
              <w:rPr>
                <w:rFonts w:cstheme="minorHAnsi"/>
                <w:lang w:val="en-AU" w:eastAsia="en-AU"/>
              </w:rPr>
              <w:t>.</w:t>
            </w:r>
          </w:p>
        </w:tc>
      </w:tr>
      <w:tr w:rsidR="00510610" w:rsidRPr="00724B12" w14:paraId="20FDF01D" w14:textId="77777777" w:rsidTr="00213141">
        <w:trPr>
          <w:trHeight w:val="3368"/>
          <w:jc w:val="center"/>
        </w:trPr>
        <w:tc>
          <w:tcPr>
            <w:tcW w:w="1646" w:type="pct"/>
            <w:tcMar>
              <w:top w:w="57" w:type="dxa"/>
              <w:bottom w:w="57" w:type="dxa"/>
            </w:tcMar>
          </w:tcPr>
          <w:p w14:paraId="28C5592F" w14:textId="32D516F9" w:rsidR="00510610" w:rsidRPr="00724B12" w:rsidRDefault="00510610" w:rsidP="00BE43FF">
            <w:pPr>
              <w:pStyle w:val="ListParagraph"/>
              <w:numPr>
                <w:ilvl w:val="0"/>
                <w:numId w:val="15"/>
              </w:numPr>
              <w:spacing w:before="120" w:after="120"/>
              <w:rPr>
                <w:rFonts w:cstheme="minorHAnsi"/>
                <w:b/>
                <w:lang w:eastAsia="en-AU"/>
              </w:rPr>
            </w:pPr>
            <w:r w:rsidRPr="00724B12">
              <w:rPr>
                <w:rFonts w:cstheme="minorHAnsi"/>
                <w:b/>
                <w:lang w:eastAsia="en-AU"/>
              </w:rPr>
              <w:t>Department</w:t>
            </w:r>
          </w:p>
          <w:p w14:paraId="35FB2289" w14:textId="091C9F56" w:rsidR="00510610" w:rsidRPr="00724B12" w:rsidRDefault="00510610" w:rsidP="003E4D9F">
            <w:pPr>
              <w:pStyle w:val="ListParagraph"/>
              <w:spacing w:before="120" w:after="120"/>
              <w:ind w:left="360"/>
              <w:rPr>
                <w:rFonts w:cstheme="minorHAnsi"/>
                <w:lang w:eastAsia="en-AU"/>
              </w:rPr>
            </w:pPr>
            <w:r w:rsidRPr="00724B12">
              <w:rPr>
                <w:rFonts w:cstheme="minorHAnsi"/>
                <w:lang w:eastAsia="en-AU"/>
              </w:rPr>
              <w:t xml:space="preserve">Department’s IT Systems </w:t>
            </w:r>
            <w:r w:rsidR="009035FE">
              <w:rPr>
                <w:rFonts w:cstheme="minorHAnsi"/>
                <w:lang w:eastAsia="en-AU"/>
              </w:rPr>
              <w:t>check existing Referrals</w:t>
            </w:r>
            <w:r w:rsidRPr="00724B12">
              <w:rPr>
                <w:rFonts w:cstheme="minorHAnsi"/>
                <w:lang w:eastAsia="en-AU"/>
              </w:rPr>
              <w:t>.</w:t>
            </w:r>
          </w:p>
        </w:tc>
        <w:tc>
          <w:tcPr>
            <w:tcW w:w="3354" w:type="pct"/>
            <w:tcMar>
              <w:top w:w="57" w:type="dxa"/>
              <w:bottom w:w="57" w:type="dxa"/>
            </w:tcMar>
          </w:tcPr>
          <w:p w14:paraId="7E68C007" w14:textId="36B8224C" w:rsidR="00510610" w:rsidRPr="00724B12" w:rsidRDefault="00C9704C" w:rsidP="00B9621A">
            <w:pPr>
              <w:spacing w:before="120" w:after="120"/>
              <w:rPr>
                <w:rFonts w:cstheme="minorHAnsi"/>
                <w:lang w:val="en-AU" w:eastAsia="en-AU"/>
              </w:rPr>
            </w:pPr>
            <w:r>
              <w:rPr>
                <w:rFonts w:cstheme="minorHAnsi"/>
                <w:lang w:val="en-AU" w:eastAsia="en-AU"/>
              </w:rPr>
              <w:t>When a Referral is attempted, t</w:t>
            </w:r>
            <w:r w:rsidR="00510610" w:rsidRPr="00724B12">
              <w:rPr>
                <w:rFonts w:cstheme="minorHAnsi"/>
                <w:lang w:val="en-AU" w:eastAsia="en-AU"/>
              </w:rPr>
              <w:t xml:space="preserve">he Department’s IT Systems will check the job seeker’s record and determine if the job seeker </w:t>
            </w:r>
            <w:r w:rsidR="009035FE">
              <w:rPr>
                <w:rFonts w:cstheme="minorHAnsi"/>
                <w:lang w:val="en-AU" w:eastAsia="en-AU"/>
              </w:rPr>
              <w:t xml:space="preserve">already has a </w:t>
            </w:r>
            <w:r>
              <w:rPr>
                <w:rFonts w:cstheme="minorHAnsi"/>
                <w:lang w:val="en-AU" w:eastAsia="en-AU"/>
              </w:rPr>
              <w:t xml:space="preserve">service </w:t>
            </w:r>
            <w:r w:rsidR="00237D93">
              <w:rPr>
                <w:rFonts w:cstheme="minorHAnsi"/>
                <w:lang w:val="en-AU" w:eastAsia="en-AU"/>
              </w:rPr>
              <w:t xml:space="preserve">referral </w:t>
            </w:r>
            <w:r w:rsidR="009035FE">
              <w:rPr>
                <w:rFonts w:cstheme="minorHAnsi"/>
                <w:lang w:val="en-AU" w:eastAsia="en-AU"/>
              </w:rPr>
              <w:t>(</w:t>
            </w:r>
            <w:proofErr w:type="spellStart"/>
            <w:r w:rsidR="00960E4C">
              <w:rPr>
                <w:rFonts w:cstheme="minorHAnsi"/>
                <w:lang w:val="en-AU" w:eastAsia="en-AU"/>
              </w:rPr>
              <w:t>ie</w:t>
            </w:r>
            <w:proofErr w:type="spellEnd"/>
            <w:r w:rsidR="00960E4C">
              <w:rPr>
                <w:rFonts w:cstheme="minorHAnsi"/>
                <w:lang w:val="en-AU" w:eastAsia="en-AU"/>
              </w:rPr>
              <w:t xml:space="preserve">, </w:t>
            </w:r>
            <w:r w:rsidR="009035FE">
              <w:rPr>
                <w:rFonts w:cstheme="minorHAnsi"/>
                <w:lang w:val="en-AU" w:eastAsia="en-AU"/>
              </w:rPr>
              <w:t xml:space="preserve">is an active </w:t>
            </w:r>
            <w:r w:rsidR="008C37C4">
              <w:rPr>
                <w:rFonts w:cstheme="minorHAnsi"/>
                <w:lang w:val="en-AU" w:eastAsia="en-AU"/>
              </w:rPr>
              <w:t>participant</w:t>
            </w:r>
            <w:r w:rsidR="009035FE">
              <w:rPr>
                <w:rFonts w:cstheme="minorHAnsi"/>
                <w:lang w:val="en-AU" w:eastAsia="en-AU"/>
              </w:rPr>
              <w:t xml:space="preserve"> or exited</w:t>
            </w:r>
            <w:r w:rsidR="00510610" w:rsidRPr="00724B12">
              <w:rPr>
                <w:rFonts w:cstheme="minorHAnsi"/>
                <w:lang w:val="en-AU" w:eastAsia="en-AU"/>
              </w:rPr>
              <w:t xml:space="preserve"> within the last 13 weeks</w:t>
            </w:r>
            <w:r w:rsidR="009035FE">
              <w:rPr>
                <w:rFonts w:cstheme="minorHAnsi"/>
                <w:lang w:val="en-AU" w:eastAsia="en-AU"/>
              </w:rPr>
              <w:t xml:space="preserve"> and is eligible to resume </w:t>
            </w:r>
            <w:r w:rsidR="00960E4C">
              <w:rPr>
                <w:rFonts w:cstheme="minorHAnsi"/>
                <w:lang w:val="en-AU" w:eastAsia="en-AU"/>
              </w:rPr>
              <w:t xml:space="preserve">the </w:t>
            </w:r>
            <w:r w:rsidR="009035FE">
              <w:rPr>
                <w:rFonts w:cstheme="minorHAnsi"/>
                <w:lang w:val="en-AU" w:eastAsia="en-AU"/>
              </w:rPr>
              <w:t>service)</w:t>
            </w:r>
            <w:r w:rsidR="00510610" w:rsidRPr="00724B12">
              <w:rPr>
                <w:rFonts w:cstheme="minorHAnsi"/>
                <w:lang w:val="en-AU" w:eastAsia="en-AU"/>
              </w:rPr>
              <w:t xml:space="preserve">. </w:t>
            </w:r>
          </w:p>
          <w:p w14:paraId="58306DFB" w14:textId="73338A1F" w:rsidR="00510610" w:rsidRPr="00213141" w:rsidRDefault="00510610" w:rsidP="00213141">
            <w:pPr>
              <w:spacing w:before="120" w:after="120"/>
              <w:rPr>
                <w:rFonts w:cstheme="minorHAnsi"/>
                <w:lang w:val="en-AU" w:eastAsia="en-AU"/>
              </w:rPr>
            </w:pPr>
            <w:r w:rsidRPr="003E4D9F">
              <w:rPr>
                <w:rFonts w:cstheme="minorHAnsi"/>
                <w:lang w:val="en-AU" w:eastAsia="en-AU"/>
              </w:rPr>
              <w:t xml:space="preserve">If the job seeker </w:t>
            </w:r>
            <w:r w:rsidR="009035FE" w:rsidRPr="00E506CD">
              <w:rPr>
                <w:rFonts w:cstheme="minorHAnsi"/>
                <w:lang w:val="en-AU" w:eastAsia="en-AU"/>
              </w:rPr>
              <w:t xml:space="preserve">already </w:t>
            </w:r>
            <w:r w:rsidR="009D5D30">
              <w:rPr>
                <w:rFonts w:cstheme="minorHAnsi"/>
                <w:lang w:val="en-AU" w:eastAsia="en-AU"/>
              </w:rPr>
              <w:t>h</w:t>
            </w:r>
            <w:r w:rsidR="009035FE" w:rsidRPr="00E506CD">
              <w:rPr>
                <w:rFonts w:cstheme="minorHAnsi"/>
                <w:lang w:val="en-AU" w:eastAsia="en-AU"/>
              </w:rPr>
              <w:t xml:space="preserve">as a Referral to a </w:t>
            </w:r>
            <w:r w:rsidR="009D3512">
              <w:rPr>
                <w:rFonts w:cstheme="minorHAnsi"/>
                <w:lang w:val="en-AU" w:eastAsia="en-AU"/>
              </w:rPr>
              <w:t>provider</w:t>
            </w:r>
            <w:r w:rsidRPr="00F60212">
              <w:rPr>
                <w:rFonts w:cstheme="minorHAnsi"/>
                <w:lang w:val="en-AU" w:eastAsia="en-AU"/>
              </w:rPr>
              <w:t xml:space="preserve">, the job seeker must remain with that </w:t>
            </w:r>
            <w:r w:rsidR="009D3512">
              <w:rPr>
                <w:rFonts w:cstheme="minorHAnsi"/>
                <w:lang w:val="en-AU" w:eastAsia="en-AU"/>
              </w:rPr>
              <w:t>provider</w:t>
            </w:r>
            <w:r w:rsidRPr="00F60212">
              <w:rPr>
                <w:rFonts w:cstheme="minorHAnsi"/>
                <w:lang w:val="en-AU" w:eastAsia="en-AU"/>
              </w:rPr>
              <w:t xml:space="preserve"> unless the </w:t>
            </w:r>
            <w:r w:rsidR="009D3512">
              <w:rPr>
                <w:rFonts w:cstheme="minorHAnsi"/>
                <w:lang w:val="en-AU" w:eastAsia="en-AU"/>
              </w:rPr>
              <w:t>provider</w:t>
            </w:r>
            <w:r w:rsidRPr="00F60212">
              <w:rPr>
                <w:rFonts w:cstheme="minorHAnsi"/>
                <w:lang w:val="en-AU" w:eastAsia="en-AU"/>
              </w:rPr>
              <w:t xml:space="preserve"> does not deliver the Program Services required</w:t>
            </w:r>
            <w:r w:rsidR="00912CC7" w:rsidRPr="003E4D9F">
              <w:rPr>
                <w:rFonts w:cstheme="minorHAnsi"/>
                <w:lang w:val="en-AU" w:eastAsia="en-AU"/>
              </w:rPr>
              <w:t>.</w:t>
            </w:r>
            <w:r w:rsidR="00912CC7">
              <w:rPr>
                <w:rFonts w:cstheme="minorHAnsi"/>
                <w:lang w:val="en-AU" w:eastAsia="en-AU"/>
              </w:rPr>
              <w:t xml:space="preserve"> The job</w:t>
            </w:r>
            <w:r w:rsidR="00C03704">
              <w:rPr>
                <w:rFonts w:cstheme="minorHAnsi"/>
                <w:lang w:val="en-AU" w:eastAsia="en-AU"/>
              </w:rPr>
              <w:t xml:space="preserve"> seeker can choose to transfer </w:t>
            </w:r>
            <w:r w:rsidR="009D3512">
              <w:rPr>
                <w:rFonts w:cstheme="minorHAnsi"/>
                <w:lang w:val="en-AU" w:eastAsia="en-AU"/>
              </w:rPr>
              <w:t>provider</w:t>
            </w:r>
            <w:r w:rsidR="00912CC7">
              <w:rPr>
                <w:rFonts w:cstheme="minorHAnsi"/>
                <w:lang w:val="en-AU" w:eastAsia="en-AU"/>
              </w:rPr>
              <w:t xml:space="preserve">s if desired.  </w:t>
            </w:r>
            <w:r w:rsidR="00912CC7" w:rsidRPr="00213141">
              <w:rPr>
                <w:rFonts w:cstheme="minorHAnsi"/>
                <w:b/>
                <w:lang w:val="en-AU" w:eastAsia="en-AU"/>
              </w:rPr>
              <w:t>End process.</w:t>
            </w:r>
          </w:p>
          <w:p w14:paraId="4E2949B8" w14:textId="2D01DDA8" w:rsidR="00510610" w:rsidRPr="000833C3" w:rsidRDefault="00510610" w:rsidP="00213141">
            <w:pPr>
              <w:spacing w:before="120" w:after="120"/>
              <w:rPr>
                <w:rFonts w:cstheme="minorHAnsi"/>
                <w:b/>
                <w:lang w:val="en-AU" w:eastAsia="en-AU"/>
              </w:rPr>
            </w:pPr>
            <w:r w:rsidRPr="00724B12">
              <w:rPr>
                <w:rFonts w:cstheme="minorHAnsi"/>
                <w:lang w:val="en-AU" w:eastAsia="en-AU"/>
              </w:rPr>
              <w:t xml:space="preserve">If the job seeker </w:t>
            </w:r>
            <w:r w:rsidR="00912CC7">
              <w:rPr>
                <w:rFonts w:cstheme="minorHAnsi"/>
                <w:lang w:val="en-AU" w:eastAsia="en-AU"/>
              </w:rPr>
              <w:t>does not have a current Referral, or the</w:t>
            </w:r>
            <w:r w:rsidRPr="00724B12">
              <w:rPr>
                <w:rFonts w:cstheme="minorHAnsi"/>
                <w:lang w:val="en-AU" w:eastAsia="en-AU"/>
              </w:rPr>
              <w:t xml:space="preserve"> </w:t>
            </w:r>
            <w:r w:rsidR="009D3512">
              <w:rPr>
                <w:rFonts w:cstheme="minorHAnsi"/>
                <w:lang w:val="en-AU" w:eastAsia="en-AU"/>
              </w:rPr>
              <w:t>provider</w:t>
            </w:r>
            <w:r w:rsidRPr="00724B12">
              <w:rPr>
                <w:rFonts w:cstheme="minorHAnsi"/>
                <w:lang w:val="en-AU" w:eastAsia="en-AU"/>
              </w:rPr>
              <w:t xml:space="preserve"> does not offer the Program Services required (</w:t>
            </w:r>
            <w:proofErr w:type="gramStart"/>
            <w:r w:rsidRPr="00724B12">
              <w:rPr>
                <w:rFonts w:cstheme="minorHAnsi"/>
                <w:lang w:val="en-AU" w:eastAsia="en-AU"/>
              </w:rPr>
              <w:t>as a result of</w:t>
            </w:r>
            <w:proofErr w:type="gramEnd"/>
            <w:r w:rsidRPr="00724B12">
              <w:rPr>
                <w:rFonts w:cstheme="minorHAnsi"/>
                <w:lang w:val="en-AU" w:eastAsia="en-AU"/>
              </w:rPr>
              <w:t xml:space="preserve"> a new ESAt</w:t>
            </w:r>
            <w:r w:rsidR="00CB042A">
              <w:rPr>
                <w:rFonts w:cstheme="minorHAnsi"/>
                <w:lang w:val="en-AU" w:eastAsia="en-AU"/>
              </w:rPr>
              <w:t xml:space="preserve"> </w:t>
            </w:r>
            <w:r w:rsidRPr="00724B12">
              <w:rPr>
                <w:rFonts w:cstheme="minorHAnsi"/>
                <w:lang w:val="en-AU" w:eastAsia="en-AU"/>
              </w:rPr>
              <w:t xml:space="preserve">or Ongoing Support Assessment), </w:t>
            </w:r>
            <w:r w:rsidR="00912CC7">
              <w:rPr>
                <w:rFonts w:cstheme="minorHAnsi"/>
                <w:lang w:val="en-AU" w:eastAsia="en-AU"/>
              </w:rPr>
              <w:t>a Referral can proceed.</w:t>
            </w:r>
          </w:p>
        </w:tc>
      </w:tr>
      <w:tr w:rsidR="00510610" w:rsidRPr="00724B12" w14:paraId="297FBAFC" w14:textId="77777777" w:rsidTr="00213141">
        <w:trPr>
          <w:jc w:val="center"/>
        </w:trPr>
        <w:tc>
          <w:tcPr>
            <w:tcW w:w="1646" w:type="pct"/>
            <w:tcMar>
              <w:top w:w="57" w:type="dxa"/>
              <w:bottom w:w="57" w:type="dxa"/>
            </w:tcMar>
          </w:tcPr>
          <w:p w14:paraId="48F13AF6" w14:textId="0DEA1728" w:rsidR="00510610" w:rsidRPr="00724B12" w:rsidRDefault="00510610" w:rsidP="00BE43FF">
            <w:pPr>
              <w:pStyle w:val="ListParagraph"/>
              <w:numPr>
                <w:ilvl w:val="0"/>
                <w:numId w:val="15"/>
              </w:numPr>
              <w:spacing w:before="120" w:after="120"/>
              <w:rPr>
                <w:rFonts w:cstheme="minorHAnsi"/>
                <w:b/>
                <w:lang w:eastAsia="en-AU"/>
              </w:rPr>
            </w:pPr>
            <w:r w:rsidRPr="00724B12">
              <w:rPr>
                <w:rFonts w:cstheme="minorHAnsi"/>
                <w:b/>
                <w:lang w:eastAsia="en-AU"/>
              </w:rPr>
              <w:t>Department</w:t>
            </w:r>
          </w:p>
          <w:p w14:paraId="01EE17C4" w14:textId="1BDD4182" w:rsidR="00510610" w:rsidRPr="000833C3" w:rsidRDefault="00510610" w:rsidP="003E4D9F">
            <w:pPr>
              <w:pStyle w:val="ListParagraph"/>
              <w:spacing w:before="120"/>
              <w:ind w:left="360"/>
              <w:rPr>
                <w:rFonts w:cstheme="minorHAnsi"/>
                <w:lang w:eastAsia="en-AU"/>
              </w:rPr>
            </w:pPr>
            <w:r w:rsidRPr="00724B12">
              <w:rPr>
                <w:rFonts w:cstheme="minorHAnsi"/>
                <w:lang w:eastAsia="en-AU"/>
              </w:rPr>
              <w:t xml:space="preserve">Department’s IT Systems </w:t>
            </w:r>
            <w:r w:rsidR="00912CC7">
              <w:rPr>
                <w:rFonts w:cstheme="minorHAnsi"/>
                <w:lang w:eastAsia="en-AU"/>
              </w:rPr>
              <w:t>display</w:t>
            </w:r>
            <w:r w:rsidR="00912CC7" w:rsidRPr="00724B12">
              <w:rPr>
                <w:rFonts w:cstheme="minorHAnsi"/>
                <w:lang w:eastAsia="en-AU"/>
              </w:rPr>
              <w:t xml:space="preserve"> </w:t>
            </w:r>
            <w:r w:rsidR="009D3512">
              <w:rPr>
                <w:rFonts w:cstheme="minorHAnsi"/>
                <w:lang w:eastAsia="en-AU"/>
              </w:rPr>
              <w:t>provider</w:t>
            </w:r>
            <w:r w:rsidRPr="00724B12">
              <w:rPr>
                <w:rFonts w:cstheme="minorHAnsi"/>
                <w:lang w:eastAsia="en-AU"/>
              </w:rPr>
              <w:t xml:space="preserve"> list</w:t>
            </w:r>
            <w:r w:rsidR="005346A4">
              <w:rPr>
                <w:rFonts w:cstheme="minorHAnsi"/>
                <w:lang w:eastAsia="en-AU"/>
              </w:rPr>
              <w:t>.</w:t>
            </w:r>
          </w:p>
        </w:tc>
        <w:tc>
          <w:tcPr>
            <w:tcW w:w="3354" w:type="pct"/>
            <w:tcMar>
              <w:top w:w="57" w:type="dxa"/>
              <w:bottom w:w="57" w:type="dxa"/>
            </w:tcMar>
          </w:tcPr>
          <w:p w14:paraId="50CE6F9D" w14:textId="3A1EFC73" w:rsidR="00510610" w:rsidRDefault="00510610" w:rsidP="003E4D9F">
            <w:pPr>
              <w:spacing w:before="120" w:after="120"/>
              <w:rPr>
                <w:rFonts w:cstheme="minorHAnsi"/>
                <w:lang w:eastAsia="en-AU"/>
              </w:rPr>
            </w:pPr>
            <w:r w:rsidRPr="00724B12">
              <w:rPr>
                <w:rFonts w:cstheme="minorHAnsi"/>
                <w:lang w:eastAsia="en-AU"/>
              </w:rPr>
              <w:t xml:space="preserve">The Department’s IT Systems display a list of all </w:t>
            </w:r>
            <w:r w:rsidR="009D3512">
              <w:rPr>
                <w:rFonts w:cstheme="minorHAnsi"/>
                <w:lang w:eastAsia="en-AU"/>
              </w:rPr>
              <w:t>provider</w:t>
            </w:r>
            <w:r w:rsidRPr="00724B12">
              <w:rPr>
                <w:rFonts w:cstheme="minorHAnsi"/>
                <w:lang w:eastAsia="en-AU"/>
              </w:rPr>
              <w:t xml:space="preserve">s </w:t>
            </w:r>
            <w:r w:rsidR="00B41F2A">
              <w:rPr>
                <w:rFonts w:cstheme="minorHAnsi"/>
                <w:lang w:eastAsia="en-AU"/>
              </w:rPr>
              <w:t xml:space="preserve">of the </w:t>
            </w:r>
            <w:r w:rsidR="00237D93">
              <w:rPr>
                <w:rFonts w:cstheme="minorHAnsi"/>
                <w:lang w:eastAsia="en-AU"/>
              </w:rPr>
              <w:t>r</w:t>
            </w:r>
            <w:r w:rsidR="00B41F2A">
              <w:rPr>
                <w:rFonts w:cstheme="minorHAnsi"/>
                <w:lang w:eastAsia="en-AU"/>
              </w:rPr>
              <w:t xml:space="preserve">ecommended service </w:t>
            </w:r>
            <w:r w:rsidRPr="00724B12">
              <w:rPr>
                <w:rFonts w:cstheme="minorHAnsi"/>
                <w:lang w:eastAsia="en-AU"/>
              </w:rPr>
              <w:t>near the job seeker’s residential address.</w:t>
            </w:r>
          </w:p>
          <w:p w14:paraId="26125CD2" w14:textId="758BAD07" w:rsidR="003E4D9F" w:rsidRPr="00213141" w:rsidRDefault="003E4D9F" w:rsidP="00E506CD">
            <w:pPr>
              <w:spacing w:before="120" w:after="120"/>
              <w:rPr>
                <w:rFonts w:cstheme="minorHAnsi"/>
                <w:lang w:val="en-AU" w:eastAsia="en-AU"/>
              </w:rPr>
            </w:pPr>
            <w:r w:rsidRPr="00213141">
              <w:rPr>
                <w:rFonts w:cstheme="minorHAnsi"/>
                <w:b/>
                <w:lang w:eastAsia="en-AU"/>
              </w:rPr>
              <w:t>Note</w:t>
            </w:r>
            <w:r>
              <w:rPr>
                <w:rFonts w:cstheme="minorHAnsi"/>
                <w:lang w:eastAsia="en-AU"/>
              </w:rPr>
              <w:t xml:space="preserve">: Only </w:t>
            </w:r>
            <w:r w:rsidR="009D3512">
              <w:rPr>
                <w:rFonts w:cstheme="minorHAnsi"/>
                <w:lang w:eastAsia="en-AU"/>
              </w:rPr>
              <w:t>provider</w:t>
            </w:r>
            <w:r>
              <w:rPr>
                <w:rFonts w:cstheme="minorHAnsi"/>
                <w:lang w:eastAsia="en-AU"/>
              </w:rPr>
              <w:t xml:space="preserve">s with available appointments appear on this list. </w:t>
            </w:r>
            <w:r w:rsidRPr="00724B12">
              <w:rPr>
                <w:rFonts w:cstheme="minorHAnsi"/>
                <w:lang w:val="en-AU" w:eastAsia="en-AU"/>
              </w:rPr>
              <w:t xml:space="preserve">It is the </w:t>
            </w:r>
            <w:r w:rsidR="009D3512">
              <w:rPr>
                <w:rFonts w:cstheme="minorHAnsi"/>
                <w:lang w:val="en-AU" w:eastAsia="en-AU"/>
              </w:rPr>
              <w:t>provider</w:t>
            </w:r>
            <w:r w:rsidR="00994E01">
              <w:rPr>
                <w:rFonts w:cstheme="minorHAnsi"/>
                <w:lang w:val="en-AU" w:eastAsia="en-AU"/>
              </w:rPr>
              <w:t xml:space="preserve">’s </w:t>
            </w:r>
            <w:r w:rsidRPr="00724B12">
              <w:rPr>
                <w:rFonts w:cstheme="minorHAnsi"/>
                <w:lang w:val="en-AU" w:eastAsia="en-AU"/>
              </w:rPr>
              <w:t xml:space="preserve">responsibility to create sessions at the site level in the Department’s Electronic </w:t>
            </w:r>
            <w:r>
              <w:rPr>
                <w:rFonts w:cstheme="minorHAnsi"/>
                <w:lang w:val="en-AU" w:eastAsia="en-AU"/>
              </w:rPr>
              <w:t>Calendar.</w:t>
            </w:r>
          </w:p>
        </w:tc>
      </w:tr>
      <w:tr w:rsidR="003E4D9F" w:rsidRPr="00724B12" w14:paraId="5844CAD2" w14:textId="77777777" w:rsidTr="00FB6C07">
        <w:trPr>
          <w:jc w:val="center"/>
        </w:trPr>
        <w:tc>
          <w:tcPr>
            <w:tcW w:w="1646" w:type="pct"/>
            <w:tcMar>
              <w:top w:w="57" w:type="dxa"/>
              <w:bottom w:w="57" w:type="dxa"/>
            </w:tcMar>
          </w:tcPr>
          <w:p w14:paraId="179087D9" w14:textId="77777777" w:rsidR="003E4D9F" w:rsidRPr="00724B12" w:rsidRDefault="003E4D9F" w:rsidP="00BE43FF">
            <w:pPr>
              <w:pStyle w:val="ListParagraph"/>
              <w:numPr>
                <w:ilvl w:val="0"/>
                <w:numId w:val="15"/>
              </w:numPr>
              <w:spacing w:before="120" w:after="120"/>
              <w:rPr>
                <w:rFonts w:cstheme="minorHAnsi"/>
                <w:b/>
                <w:lang w:val="en-AU" w:eastAsia="en-AU"/>
              </w:rPr>
            </w:pPr>
            <w:r>
              <w:rPr>
                <w:rFonts w:cstheme="minorHAnsi"/>
                <w:b/>
                <w:lang w:val="en-AU" w:eastAsia="en-AU"/>
              </w:rPr>
              <w:t>Referrer</w:t>
            </w:r>
            <w:r w:rsidRPr="00724B12">
              <w:rPr>
                <w:rFonts w:cstheme="minorHAnsi"/>
                <w:b/>
                <w:lang w:val="en-AU" w:eastAsia="en-AU"/>
              </w:rPr>
              <w:t xml:space="preserve"> </w:t>
            </w:r>
          </w:p>
          <w:p w14:paraId="7E9F2663" w14:textId="357DA432" w:rsidR="003E4D9F" w:rsidRPr="00724B12" w:rsidRDefault="00F3055D" w:rsidP="00F3055D">
            <w:pPr>
              <w:pStyle w:val="ListParagraph"/>
              <w:spacing w:before="120"/>
              <w:ind w:left="360"/>
              <w:rPr>
                <w:rFonts w:cstheme="minorHAnsi"/>
                <w:b/>
                <w:lang w:eastAsia="en-AU"/>
              </w:rPr>
            </w:pPr>
            <w:r>
              <w:rPr>
                <w:rFonts w:cstheme="minorHAnsi"/>
                <w:lang w:val="en-AU" w:eastAsia="en-AU"/>
              </w:rPr>
              <w:t>P</w:t>
            </w:r>
            <w:r w:rsidR="003E4D9F" w:rsidRPr="00724B12">
              <w:rPr>
                <w:rFonts w:cstheme="minorHAnsi"/>
                <w:lang w:val="en-AU" w:eastAsia="en-AU"/>
              </w:rPr>
              <w:t xml:space="preserve">rovides job seeker with </w:t>
            </w:r>
            <w:r w:rsidR="003E4D9F" w:rsidRPr="00213141">
              <w:rPr>
                <w:rFonts w:cstheme="minorHAnsi"/>
                <w:lang w:eastAsia="en-AU"/>
              </w:rPr>
              <w:t>information</w:t>
            </w:r>
            <w:r w:rsidR="003E4D9F" w:rsidRPr="00724B12">
              <w:rPr>
                <w:rFonts w:cstheme="minorHAnsi"/>
                <w:lang w:val="en-AU" w:eastAsia="en-AU"/>
              </w:rPr>
              <w:t xml:space="preserve"> </w:t>
            </w:r>
            <w:r w:rsidR="00960E4C">
              <w:rPr>
                <w:rFonts w:cstheme="minorHAnsi"/>
                <w:lang w:val="en-AU" w:eastAsia="en-AU"/>
              </w:rPr>
              <w:t>on available</w:t>
            </w:r>
            <w:r w:rsidR="003E4D9F" w:rsidRPr="00724B12">
              <w:rPr>
                <w:rFonts w:cstheme="minorHAnsi"/>
                <w:lang w:val="en-AU" w:eastAsia="en-AU"/>
              </w:rPr>
              <w:t xml:space="preserve"> </w:t>
            </w:r>
            <w:r w:rsidR="009D3512">
              <w:rPr>
                <w:rFonts w:cstheme="minorHAnsi"/>
                <w:lang w:val="en-AU" w:eastAsia="en-AU"/>
              </w:rPr>
              <w:t>provider</w:t>
            </w:r>
            <w:r w:rsidR="003E4D9F" w:rsidRPr="00724B12">
              <w:rPr>
                <w:rFonts w:cstheme="minorHAnsi"/>
                <w:lang w:val="en-AU" w:eastAsia="en-AU"/>
              </w:rPr>
              <w:t>s.</w:t>
            </w:r>
          </w:p>
        </w:tc>
        <w:tc>
          <w:tcPr>
            <w:tcW w:w="3354" w:type="pct"/>
            <w:tcMar>
              <w:top w:w="57" w:type="dxa"/>
              <w:bottom w:w="57" w:type="dxa"/>
            </w:tcMar>
          </w:tcPr>
          <w:p w14:paraId="2056A437" w14:textId="464A7A18" w:rsidR="003E4D9F" w:rsidRDefault="003E4D9F" w:rsidP="003E4D9F">
            <w:pPr>
              <w:spacing w:before="120" w:after="120"/>
              <w:rPr>
                <w:rFonts w:cstheme="minorHAnsi"/>
                <w:lang w:eastAsia="en-AU"/>
              </w:rPr>
            </w:pPr>
            <w:r w:rsidRPr="00724B12">
              <w:rPr>
                <w:rFonts w:cstheme="minorHAnsi"/>
                <w:lang w:val="en-AU" w:eastAsia="en-AU"/>
              </w:rPr>
              <w:t xml:space="preserve">To enable job seeker choice, </w:t>
            </w:r>
            <w:r>
              <w:rPr>
                <w:rFonts w:cstheme="minorHAnsi"/>
                <w:lang w:val="en-AU" w:eastAsia="en-AU"/>
              </w:rPr>
              <w:t>Referrers</w:t>
            </w:r>
            <w:r w:rsidRPr="00724B12">
              <w:rPr>
                <w:rFonts w:cstheme="minorHAnsi"/>
                <w:lang w:val="en-AU" w:eastAsia="en-AU"/>
              </w:rPr>
              <w:t xml:space="preserve"> may supply, where available, the following information about DES </w:t>
            </w:r>
            <w:r w:rsidR="009D3512">
              <w:rPr>
                <w:rFonts w:cstheme="minorHAnsi"/>
                <w:lang w:val="en-AU" w:eastAsia="en-AU"/>
              </w:rPr>
              <w:t>provider</w:t>
            </w:r>
            <w:r w:rsidRPr="00724B12">
              <w:rPr>
                <w:rFonts w:cstheme="minorHAnsi"/>
                <w:lang w:val="en-AU" w:eastAsia="en-AU"/>
              </w:rPr>
              <w:t xml:space="preserve">s, to assist the </w:t>
            </w:r>
            <w:r w:rsidR="008C37C4">
              <w:rPr>
                <w:rFonts w:cstheme="minorHAnsi"/>
                <w:lang w:val="en-AU" w:eastAsia="en-AU"/>
              </w:rPr>
              <w:t>participant</w:t>
            </w:r>
            <w:r w:rsidRPr="00724B12">
              <w:rPr>
                <w:rFonts w:cstheme="minorHAnsi"/>
                <w:lang w:val="en-AU" w:eastAsia="en-AU"/>
              </w:rPr>
              <w:t xml:space="preserve"> to make an informed choice:</w:t>
            </w:r>
          </w:p>
          <w:p w14:paraId="36E695F1" w14:textId="77777777" w:rsidR="003E4D9F" w:rsidRPr="0083005D" w:rsidRDefault="003E4D9F" w:rsidP="00BE43FF">
            <w:pPr>
              <w:pStyle w:val="ListParagraph"/>
              <w:numPr>
                <w:ilvl w:val="0"/>
                <w:numId w:val="16"/>
              </w:numPr>
              <w:spacing w:before="120" w:after="120"/>
              <w:ind w:left="714" w:hanging="357"/>
              <w:rPr>
                <w:rFonts w:cstheme="minorHAnsi"/>
                <w:lang w:val="en-AU" w:eastAsia="en-AU"/>
              </w:rPr>
            </w:pPr>
            <w:r w:rsidRPr="0083005D">
              <w:rPr>
                <w:rFonts w:cstheme="minorHAnsi"/>
                <w:lang w:val="en-AU" w:eastAsia="en-AU"/>
              </w:rPr>
              <w:t xml:space="preserve">location from the job seeker’s residential </w:t>
            </w:r>
            <w:proofErr w:type="gramStart"/>
            <w:r w:rsidRPr="0083005D">
              <w:rPr>
                <w:rFonts w:cstheme="minorHAnsi"/>
                <w:lang w:val="en-AU" w:eastAsia="en-AU"/>
              </w:rPr>
              <w:t>address;</w:t>
            </w:r>
            <w:proofErr w:type="gramEnd"/>
          </w:p>
          <w:p w14:paraId="47130EB9" w14:textId="3A93795A" w:rsidR="003E4D9F" w:rsidRPr="00724B12" w:rsidRDefault="003E4D9F" w:rsidP="00BE43FF">
            <w:pPr>
              <w:pStyle w:val="ListParagraph"/>
              <w:numPr>
                <w:ilvl w:val="0"/>
                <w:numId w:val="8"/>
              </w:numPr>
              <w:spacing w:before="120" w:after="120"/>
              <w:rPr>
                <w:rFonts w:cstheme="minorHAnsi"/>
                <w:lang w:val="en-AU" w:eastAsia="en-AU"/>
              </w:rPr>
            </w:pPr>
            <w:r w:rsidRPr="00724B12">
              <w:rPr>
                <w:rFonts w:cstheme="minorHAnsi"/>
                <w:lang w:val="en-AU" w:eastAsia="en-AU"/>
              </w:rPr>
              <w:t xml:space="preserve">performance Ratings for </w:t>
            </w:r>
            <w:proofErr w:type="gramStart"/>
            <w:r w:rsidR="009D3512">
              <w:rPr>
                <w:rFonts w:cstheme="minorHAnsi"/>
                <w:lang w:val="en-AU" w:eastAsia="en-AU"/>
              </w:rPr>
              <w:t>provider</w:t>
            </w:r>
            <w:r w:rsidRPr="00724B12">
              <w:rPr>
                <w:rFonts w:cstheme="minorHAnsi"/>
                <w:lang w:val="en-AU" w:eastAsia="en-AU"/>
              </w:rPr>
              <w:t>s;</w:t>
            </w:r>
            <w:proofErr w:type="gramEnd"/>
          </w:p>
          <w:p w14:paraId="4128B6AF" w14:textId="3C3E7C5C" w:rsidR="003E4D9F" w:rsidRPr="00724B12" w:rsidRDefault="003E4D9F" w:rsidP="00BE43FF">
            <w:pPr>
              <w:pStyle w:val="ListParagraph"/>
              <w:numPr>
                <w:ilvl w:val="0"/>
                <w:numId w:val="8"/>
              </w:numPr>
              <w:spacing w:before="120" w:after="120"/>
              <w:rPr>
                <w:rFonts w:cstheme="minorHAnsi"/>
                <w:lang w:val="en-AU" w:eastAsia="en-AU"/>
              </w:rPr>
            </w:pPr>
            <w:r w:rsidRPr="00724B12">
              <w:rPr>
                <w:rFonts w:cstheme="minorHAnsi"/>
                <w:lang w:val="en-AU" w:eastAsia="en-AU"/>
              </w:rPr>
              <w:t xml:space="preserve">Specialist Service </w:t>
            </w:r>
            <w:r w:rsidR="009D3512">
              <w:rPr>
                <w:rFonts w:cstheme="minorHAnsi"/>
                <w:lang w:val="en-AU" w:eastAsia="en-AU"/>
              </w:rPr>
              <w:t>provider</w:t>
            </w:r>
            <w:r w:rsidRPr="00724B12">
              <w:rPr>
                <w:rFonts w:cstheme="minorHAnsi"/>
                <w:lang w:val="en-AU" w:eastAsia="en-AU"/>
              </w:rPr>
              <w:t>s; and</w:t>
            </w:r>
          </w:p>
          <w:p w14:paraId="3A9098DB" w14:textId="71712144" w:rsidR="003E4D9F" w:rsidRPr="00724B12" w:rsidRDefault="003E4D9F" w:rsidP="00BE43FF">
            <w:pPr>
              <w:pStyle w:val="ListParagraph"/>
              <w:numPr>
                <w:ilvl w:val="0"/>
                <w:numId w:val="8"/>
              </w:numPr>
              <w:spacing w:before="120" w:after="120"/>
              <w:rPr>
                <w:rFonts w:cstheme="minorHAnsi"/>
                <w:lang w:eastAsia="en-AU"/>
              </w:rPr>
            </w:pPr>
            <w:r w:rsidRPr="00724B12">
              <w:rPr>
                <w:rFonts w:cstheme="minorHAnsi"/>
                <w:lang w:val="en-AU" w:eastAsia="en-AU"/>
              </w:rPr>
              <w:t>any information provided under local arrangements for job seekers’ information (</w:t>
            </w:r>
            <w:proofErr w:type="spellStart"/>
            <w:r w:rsidR="00E27A2F">
              <w:rPr>
                <w:rFonts w:cstheme="minorHAnsi"/>
                <w:lang w:val="en-AU" w:eastAsia="en-AU"/>
              </w:rPr>
              <w:t>e.g</w:t>
            </w:r>
            <w:proofErr w:type="spellEnd"/>
            <w:r w:rsidRPr="00724B12">
              <w:rPr>
                <w:rFonts w:cstheme="minorHAnsi"/>
                <w:lang w:val="en-AU" w:eastAsia="en-AU"/>
              </w:rPr>
              <w:t xml:space="preserve"> organisational pamphlets, Fact Sheets, other </w:t>
            </w:r>
            <w:r w:rsidR="009D3512">
              <w:rPr>
                <w:rFonts w:cstheme="minorHAnsi"/>
                <w:lang w:val="en-AU" w:eastAsia="en-AU"/>
              </w:rPr>
              <w:t>provider</w:t>
            </w:r>
            <w:r w:rsidR="00E27A2F">
              <w:rPr>
                <w:rFonts w:cstheme="minorHAnsi"/>
                <w:lang w:val="en-AU" w:eastAsia="en-AU"/>
              </w:rPr>
              <w:t xml:space="preserve"> </w:t>
            </w:r>
            <w:r w:rsidRPr="00724B12">
              <w:rPr>
                <w:rFonts w:cstheme="minorHAnsi"/>
                <w:lang w:val="en-AU" w:eastAsia="en-AU"/>
              </w:rPr>
              <w:t xml:space="preserve">information </w:t>
            </w:r>
            <w:r w:rsidR="00E27A2F">
              <w:rPr>
                <w:rFonts w:cstheme="minorHAnsi"/>
                <w:lang w:val="en-AU" w:eastAsia="en-AU"/>
              </w:rPr>
              <w:t>about</w:t>
            </w:r>
            <w:r w:rsidRPr="00724B12">
              <w:rPr>
                <w:rFonts w:cstheme="minorHAnsi"/>
                <w:lang w:val="en-AU" w:eastAsia="en-AU"/>
              </w:rPr>
              <w:t xml:space="preserve"> Services</w:t>
            </w:r>
            <w:r w:rsidR="00CB042A">
              <w:rPr>
                <w:rFonts w:cstheme="minorHAnsi"/>
                <w:lang w:val="en-AU" w:eastAsia="en-AU"/>
              </w:rPr>
              <w:t>)</w:t>
            </w:r>
            <w:r w:rsidRPr="00724B12">
              <w:rPr>
                <w:rFonts w:cstheme="minorHAnsi"/>
                <w:lang w:val="en-AU" w:eastAsia="en-AU"/>
              </w:rPr>
              <w:t>.</w:t>
            </w:r>
          </w:p>
        </w:tc>
      </w:tr>
    </w:tbl>
    <w:p w14:paraId="66DAC8B3" w14:textId="36DEEEF2" w:rsidR="00D0670A" w:rsidRDefault="00D0670A">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996"/>
      </w:tblGrid>
      <w:tr w:rsidR="00510610" w:rsidRPr="00724B12" w14:paraId="30433524" w14:textId="77777777" w:rsidTr="00213141">
        <w:trPr>
          <w:jc w:val="center"/>
        </w:trPr>
        <w:tc>
          <w:tcPr>
            <w:tcW w:w="1646" w:type="pct"/>
            <w:tcMar>
              <w:top w:w="57" w:type="dxa"/>
              <w:bottom w:w="57" w:type="dxa"/>
            </w:tcMar>
          </w:tcPr>
          <w:p w14:paraId="24352619" w14:textId="0E9BCDE3" w:rsidR="00510610" w:rsidRPr="00724B12" w:rsidRDefault="003E4D9F" w:rsidP="00BE43FF">
            <w:pPr>
              <w:pStyle w:val="ListParagraph"/>
              <w:numPr>
                <w:ilvl w:val="0"/>
                <w:numId w:val="15"/>
              </w:numPr>
              <w:spacing w:before="120" w:after="120"/>
              <w:rPr>
                <w:rFonts w:cstheme="minorHAnsi"/>
                <w:b/>
                <w:lang w:val="en-AU" w:eastAsia="en-AU"/>
              </w:rPr>
            </w:pPr>
            <w:r>
              <w:rPr>
                <w:rFonts w:cstheme="minorHAnsi"/>
                <w:b/>
                <w:lang w:val="en-AU" w:eastAsia="en-AU"/>
              </w:rPr>
              <w:lastRenderedPageBreak/>
              <w:t>Job seeker</w:t>
            </w:r>
          </w:p>
          <w:p w14:paraId="26034AAD" w14:textId="673A985A" w:rsidR="00510610" w:rsidRPr="00724B12" w:rsidRDefault="00F3055D" w:rsidP="00F3055D">
            <w:pPr>
              <w:pStyle w:val="ListParagraph"/>
              <w:spacing w:before="120" w:after="120"/>
              <w:ind w:left="360"/>
              <w:rPr>
                <w:rFonts w:cstheme="minorHAnsi"/>
                <w:b/>
                <w:lang w:val="en-AU" w:eastAsia="en-AU"/>
              </w:rPr>
            </w:pPr>
            <w:r>
              <w:rPr>
                <w:rFonts w:cstheme="minorHAnsi"/>
                <w:lang w:val="en-AU" w:eastAsia="en-AU"/>
              </w:rPr>
              <w:t>S</w:t>
            </w:r>
            <w:r w:rsidR="003E4D9F">
              <w:rPr>
                <w:rFonts w:cstheme="minorHAnsi"/>
                <w:lang w:val="en-AU" w:eastAsia="en-AU"/>
              </w:rPr>
              <w:t xml:space="preserve">elects preferred </w:t>
            </w:r>
            <w:r w:rsidR="009D3512">
              <w:rPr>
                <w:rFonts w:cstheme="minorHAnsi"/>
                <w:lang w:val="en-AU" w:eastAsia="en-AU"/>
              </w:rPr>
              <w:t>provider</w:t>
            </w:r>
            <w:r w:rsidR="00510610" w:rsidRPr="00724B12">
              <w:rPr>
                <w:rFonts w:cstheme="minorHAnsi"/>
                <w:lang w:val="en-AU" w:eastAsia="en-AU"/>
              </w:rPr>
              <w:t>.</w:t>
            </w:r>
          </w:p>
        </w:tc>
        <w:tc>
          <w:tcPr>
            <w:tcW w:w="3354" w:type="pct"/>
            <w:tcMar>
              <w:top w:w="57" w:type="dxa"/>
              <w:bottom w:w="57" w:type="dxa"/>
            </w:tcMar>
          </w:tcPr>
          <w:p w14:paraId="3CE4CAC1" w14:textId="7D20953F" w:rsidR="00510610" w:rsidRPr="00724B12" w:rsidRDefault="003E4D9F" w:rsidP="00213141">
            <w:pPr>
              <w:spacing w:before="120" w:after="120"/>
              <w:rPr>
                <w:rFonts w:cstheme="minorHAnsi"/>
                <w:lang w:val="en-AU" w:eastAsia="en-AU"/>
              </w:rPr>
            </w:pPr>
            <w:r>
              <w:rPr>
                <w:rFonts w:cstheme="minorHAnsi"/>
                <w:lang w:val="en-AU" w:eastAsia="en-AU"/>
              </w:rPr>
              <w:t xml:space="preserve">Job seeker selects their preferred </w:t>
            </w:r>
            <w:r w:rsidR="009D3512">
              <w:rPr>
                <w:rFonts w:cstheme="minorHAnsi"/>
                <w:lang w:val="en-AU" w:eastAsia="en-AU"/>
              </w:rPr>
              <w:t>provider</w:t>
            </w:r>
            <w:r>
              <w:rPr>
                <w:rFonts w:cstheme="minorHAnsi"/>
                <w:lang w:val="en-AU" w:eastAsia="en-AU"/>
              </w:rPr>
              <w:t xml:space="preserve"> from the available list.</w:t>
            </w:r>
            <w:r w:rsidR="00510610" w:rsidRPr="00724B12">
              <w:rPr>
                <w:rFonts w:cstheme="minorHAnsi"/>
                <w:lang w:val="en-AU" w:eastAsia="en-AU"/>
              </w:rPr>
              <w:t xml:space="preserve"> </w:t>
            </w:r>
          </w:p>
        </w:tc>
      </w:tr>
      <w:tr w:rsidR="00510610" w:rsidRPr="00724B12" w14:paraId="319362A1" w14:textId="77777777" w:rsidTr="00213141">
        <w:trPr>
          <w:jc w:val="center"/>
        </w:trPr>
        <w:tc>
          <w:tcPr>
            <w:tcW w:w="1646" w:type="pct"/>
            <w:tcMar>
              <w:top w:w="57" w:type="dxa"/>
              <w:bottom w:w="57" w:type="dxa"/>
            </w:tcMar>
          </w:tcPr>
          <w:p w14:paraId="1D5A768E" w14:textId="739CB73D" w:rsidR="00510610" w:rsidRPr="00724B12" w:rsidRDefault="00994E01" w:rsidP="00BE43FF">
            <w:pPr>
              <w:pStyle w:val="ListParagraph"/>
              <w:numPr>
                <w:ilvl w:val="0"/>
                <w:numId w:val="15"/>
              </w:numPr>
              <w:spacing w:before="120" w:after="120"/>
              <w:rPr>
                <w:rFonts w:cstheme="minorHAnsi"/>
                <w:b/>
                <w:lang w:val="en-AU" w:eastAsia="en-AU"/>
              </w:rPr>
            </w:pPr>
            <w:r>
              <w:rPr>
                <w:rFonts w:cstheme="minorHAnsi"/>
                <w:b/>
                <w:lang w:val="en-AU" w:eastAsia="en-AU"/>
              </w:rPr>
              <w:t>Referrer</w:t>
            </w:r>
          </w:p>
          <w:p w14:paraId="6146C70D" w14:textId="55EED8E4" w:rsidR="00510610" w:rsidRPr="000833C3" w:rsidRDefault="00F3055D" w:rsidP="00F3055D">
            <w:pPr>
              <w:pStyle w:val="ListParagraph"/>
              <w:spacing w:before="120" w:after="120"/>
              <w:ind w:left="360"/>
              <w:rPr>
                <w:rFonts w:cstheme="minorHAnsi"/>
                <w:lang w:val="en-AU" w:eastAsia="en-AU"/>
              </w:rPr>
            </w:pPr>
            <w:r>
              <w:rPr>
                <w:rFonts w:cstheme="minorHAnsi"/>
                <w:lang w:val="en-AU" w:eastAsia="en-AU"/>
              </w:rPr>
              <w:t>B</w:t>
            </w:r>
            <w:r w:rsidR="00510610" w:rsidRPr="00724B12">
              <w:rPr>
                <w:rFonts w:cstheme="minorHAnsi"/>
                <w:lang w:val="en-AU" w:eastAsia="en-AU"/>
              </w:rPr>
              <w:t>ooks the job seeker into an appointment.</w:t>
            </w:r>
          </w:p>
        </w:tc>
        <w:tc>
          <w:tcPr>
            <w:tcW w:w="3354" w:type="pct"/>
            <w:tcMar>
              <w:top w:w="57" w:type="dxa"/>
              <w:bottom w:w="57" w:type="dxa"/>
            </w:tcMar>
          </w:tcPr>
          <w:p w14:paraId="42E04A68" w14:textId="07F94ADE" w:rsidR="00510610" w:rsidRPr="00724B12" w:rsidRDefault="00994E01" w:rsidP="00E506CD">
            <w:pPr>
              <w:spacing w:before="120" w:after="120"/>
              <w:rPr>
                <w:rFonts w:cstheme="minorHAnsi"/>
                <w:lang w:val="en-AU" w:eastAsia="en-AU"/>
              </w:rPr>
            </w:pPr>
            <w:r>
              <w:rPr>
                <w:rFonts w:cstheme="minorHAnsi"/>
                <w:lang w:val="en-AU" w:eastAsia="en-AU"/>
              </w:rPr>
              <w:t>The Referrer</w:t>
            </w:r>
            <w:r w:rsidR="00510610" w:rsidRPr="00724B12">
              <w:rPr>
                <w:rFonts w:cstheme="minorHAnsi"/>
                <w:lang w:val="en-AU" w:eastAsia="en-AU"/>
              </w:rPr>
              <w:t xml:space="preserve"> books an Appointment for the job seeker from the </w:t>
            </w:r>
            <w:r>
              <w:rPr>
                <w:rFonts w:cstheme="minorHAnsi"/>
                <w:lang w:val="en-AU" w:eastAsia="en-AU"/>
              </w:rPr>
              <w:t xml:space="preserve">available </w:t>
            </w:r>
            <w:r w:rsidR="00510610" w:rsidRPr="00724B12">
              <w:rPr>
                <w:rFonts w:cstheme="minorHAnsi"/>
                <w:lang w:val="en-AU" w:eastAsia="en-AU"/>
              </w:rPr>
              <w:t xml:space="preserve">Appointments in the </w:t>
            </w:r>
            <w:r w:rsidR="009D3512">
              <w:rPr>
                <w:rFonts w:cstheme="minorHAnsi"/>
                <w:lang w:val="en-AU" w:eastAsia="en-AU"/>
              </w:rPr>
              <w:t>provider</w:t>
            </w:r>
            <w:r w:rsidR="00510610" w:rsidRPr="00724B12">
              <w:rPr>
                <w:rFonts w:cstheme="minorHAnsi"/>
                <w:lang w:val="en-AU" w:eastAsia="en-AU"/>
              </w:rPr>
              <w:t xml:space="preserve">’s Electronic </w:t>
            </w:r>
            <w:proofErr w:type="gramStart"/>
            <w:r w:rsidR="000833C3">
              <w:rPr>
                <w:rFonts w:cstheme="minorHAnsi"/>
                <w:lang w:val="en-AU" w:eastAsia="en-AU"/>
              </w:rPr>
              <w:t>Calendar</w:t>
            </w:r>
            <w:r>
              <w:rPr>
                <w:rFonts w:cstheme="minorHAnsi"/>
                <w:lang w:val="en-AU" w:eastAsia="en-AU"/>
              </w:rPr>
              <w:t>, and</w:t>
            </w:r>
            <w:proofErr w:type="gramEnd"/>
            <w:r w:rsidR="00510610" w:rsidRPr="00724B12">
              <w:rPr>
                <w:rFonts w:cstheme="minorHAnsi"/>
                <w:lang w:val="en-AU" w:eastAsia="en-AU"/>
              </w:rPr>
              <w:t xml:space="preserve"> notifies the job seeker of the </w:t>
            </w:r>
            <w:r w:rsidR="009D5D30">
              <w:rPr>
                <w:rFonts w:cstheme="minorHAnsi"/>
                <w:lang w:val="en-AU" w:eastAsia="en-AU"/>
              </w:rPr>
              <w:t>A</w:t>
            </w:r>
            <w:r w:rsidR="00510610" w:rsidRPr="00724B12">
              <w:rPr>
                <w:rFonts w:cstheme="minorHAnsi"/>
                <w:lang w:val="en-AU" w:eastAsia="en-AU"/>
              </w:rPr>
              <w:t>ppointment details.</w:t>
            </w:r>
          </w:p>
        </w:tc>
      </w:tr>
      <w:tr w:rsidR="00510610" w:rsidRPr="00724B12" w14:paraId="4BEC1292" w14:textId="77777777" w:rsidTr="00213141">
        <w:trPr>
          <w:jc w:val="center"/>
        </w:trPr>
        <w:tc>
          <w:tcPr>
            <w:tcW w:w="1646" w:type="pct"/>
            <w:tcMar>
              <w:top w:w="57" w:type="dxa"/>
              <w:bottom w:w="57" w:type="dxa"/>
            </w:tcMar>
          </w:tcPr>
          <w:p w14:paraId="7E3B9513" w14:textId="5C5B72B9" w:rsidR="00510610" w:rsidRPr="00724B12" w:rsidRDefault="00510610" w:rsidP="00BE43FF">
            <w:pPr>
              <w:pStyle w:val="ListParagraph"/>
              <w:numPr>
                <w:ilvl w:val="0"/>
                <w:numId w:val="15"/>
              </w:numPr>
              <w:spacing w:before="120" w:after="120"/>
              <w:rPr>
                <w:rFonts w:cstheme="minorHAnsi"/>
                <w:b/>
                <w:lang w:val="en-AU" w:eastAsia="en-AU"/>
              </w:rPr>
            </w:pPr>
            <w:r w:rsidRPr="00724B12">
              <w:rPr>
                <w:rFonts w:cstheme="minorHAnsi"/>
                <w:b/>
                <w:lang w:val="en-AU" w:eastAsia="en-AU"/>
              </w:rPr>
              <w:t>Provider</w:t>
            </w:r>
          </w:p>
          <w:p w14:paraId="4ED2EAE5" w14:textId="47038AC1" w:rsidR="00510610" w:rsidRPr="00724B12" w:rsidRDefault="00F3055D" w:rsidP="00F3055D">
            <w:pPr>
              <w:pStyle w:val="ListParagraph"/>
              <w:spacing w:before="120" w:after="120"/>
              <w:ind w:left="360"/>
              <w:rPr>
                <w:rFonts w:cstheme="minorHAnsi"/>
                <w:lang w:val="en-AU" w:eastAsia="en-AU"/>
              </w:rPr>
            </w:pPr>
            <w:r>
              <w:rPr>
                <w:rFonts w:cstheme="minorHAnsi"/>
                <w:lang w:val="en-AU" w:eastAsia="en-AU"/>
              </w:rPr>
              <w:t>P</w:t>
            </w:r>
            <w:r w:rsidR="00510610" w:rsidRPr="00724B12">
              <w:rPr>
                <w:rFonts w:cstheme="minorHAnsi"/>
                <w:lang w:val="en-AU" w:eastAsia="en-AU"/>
              </w:rPr>
              <w:t>repares to conduct the Initial Interview.</w:t>
            </w:r>
          </w:p>
        </w:tc>
        <w:tc>
          <w:tcPr>
            <w:tcW w:w="3354" w:type="pct"/>
            <w:tcMar>
              <w:top w:w="57" w:type="dxa"/>
              <w:bottom w:w="57" w:type="dxa"/>
            </w:tcMar>
          </w:tcPr>
          <w:p w14:paraId="0C8A29BD" w14:textId="17C1D6ED" w:rsidR="00510610" w:rsidRDefault="00510610" w:rsidP="00B9621A">
            <w:pPr>
              <w:spacing w:before="120" w:after="120"/>
              <w:rPr>
                <w:rFonts w:cstheme="minorHAnsi"/>
                <w:lang w:eastAsia="en-AU"/>
              </w:rPr>
            </w:pPr>
            <w:r w:rsidRPr="00724B12">
              <w:rPr>
                <w:rFonts w:cstheme="minorHAnsi"/>
                <w:lang w:val="en-AU" w:eastAsia="en-AU"/>
              </w:rPr>
              <w:t xml:space="preserve">Providers will be alerted to Referrals via booked Appointments in their Electronic </w:t>
            </w:r>
            <w:r w:rsidR="000833C3">
              <w:rPr>
                <w:rFonts w:cstheme="minorHAnsi"/>
                <w:lang w:val="en-AU" w:eastAsia="en-AU"/>
              </w:rPr>
              <w:t>Calendar</w:t>
            </w:r>
            <w:r w:rsidR="00A54FF2">
              <w:rPr>
                <w:rFonts w:cstheme="minorHAnsi"/>
                <w:lang w:val="en-AU" w:eastAsia="en-AU"/>
              </w:rPr>
              <w:t>.</w:t>
            </w:r>
          </w:p>
          <w:p w14:paraId="369C45FF" w14:textId="080777A4" w:rsidR="00510610" w:rsidRPr="00724B12" w:rsidRDefault="00510610" w:rsidP="00B9621A">
            <w:pPr>
              <w:spacing w:before="120" w:after="120"/>
              <w:rPr>
                <w:rFonts w:cstheme="minorHAnsi"/>
                <w:lang w:val="en-AU" w:eastAsia="en-AU"/>
              </w:rPr>
            </w:pPr>
            <w:r w:rsidRPr="00724B12">
              <w:rPr>
                <w:rFonts w:cstheme="minorHAnsi"/>
                <w:lang w:val="en-AU" w:eastAsia="en-AU"/>
              </w:rPr>
              <w:t>Providers should complete the following pre-interview checks:</w:t>
            </w:r>
          </w:p>
          <w:p w14:paraId="2436059B" w14:textId="21858DAC"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checking that an ESAt report has been submitted (if one was needed to determine eligibility</w:t>
            </w:r>
            <w:proofErr w:type="gramStart"/>
            <w:r w:rsidRPr="00724B12">
              <w:rPr>
                <w:rFonts w:cstheme="minorHAnsi"/>
                <w:lang w:val="en-AU" w:eastAsia="en-AU"/>
              </w:rPr>
              <w:t>);</w:t>
            </w:r>
            <w:proofErr w:type="gramEnd"/>
          </w:p>
          <w:p w14:paraId="5A0CA78D" w14:textId="3CF754CD" w:rsidR="00510610" w:rsidRPr="00CB042A" w:rsidRDefault="00510610" w:rsidP="00BE43FF">
            <w:pPr>
              <w:pStyle w:val="ListParagraph"/>
              <w:numPr>
                <w:ilvl w:val="0"/>
                <w:numId w:val="8"/>
              </w:numPr>
              <w:spacing w:before="120" w:after="120"/>
              <w:rPr>
                <w:rFonts w:cstheme="minorHAnsi"/>
                <w:lang w:val="en-AU" w:eastAsia="en-AU"/>
              </w:rPr>
            </w:pPr>
            <w:r w:rsidRPr="00CB042A">
              <w:rPr>
                <w:rFonts w:cstheme="minorHAnsi"/>
                <w:lang w:val="en-AU" w:eastAsia="en-AU"/>
              </w:rPr>
              <w:t xml:space="preserve">attempting to contact the </w:t>
            </w:r>
            <w:r w:rsidR="008C37C4">
              <w:rPr>
                <w:rFonts w:cstheme="minorHAnsi"/>
                <w:lang w:val="en-AU" w:eastAsia="en-AU"/>
              </w:rPr>
              <w:t>participant</w:t>
            </w:r>
            <w:r w:rsidRPr="00CB042A">
              <w:rPr>
                <w:rFonts w:cstheme="minorHAnsi"/>
                <w:lang w:val="en-AU" w:eastAsia="en-AU"/>
              </w:rPr>
              <w:t xml:space="preserve"> to confirm the appointment via the </w:t>
            </w:r>
            <w:r w:rsidR="008C37C4">
              <w:rPr>
                <w:rFonts w:cstheme="minorHAnsi"/>
                <w:lang w:val="en-AU" w:eastAsia="en-AU"/>
              </w:rPr>
              <w:t>participant</w:t>
            </w:r>
            <w:r w:rsidRPr="00CB042A">
              <w:rPr>
                <w:rFonts w:cstheme="minorHAnsi"/>
                <w:lang w:val="en-AU" w:eastAsia="en-AU"/>
              </w:rPr>
              <w:t>’s preferred contact method. The Department’s IT Systems will automatically send an Appointment reminder via mobile phone or email, if that is the preferred method of contact</w:t>
            </w:r>
            <w:r w:rsidR="00CB042A" w:rsidRPr="00CB042A">
              <w:rPr>
                <w:rFonts w:cstheme="minorHAnsi"/>
                <w:lang w:val="en-AU" w:eastAsia="en-AU"/>
              </w:rPr>
              <w:t xml:space="preserve"> </w:t>
            </w:r>
            <w:r w:rsidR="00CB042A">
              <w:rPr>
                <w:rFonts w:cstheme="minorHAnsi"/>
                <w:lang w:val="en-AU" w:eastAsia="en-AU"/>
              </w:rPr>
              <w:t>–</w:t>
            </w:r>
            <w:r w:rsidR="00CB042A" w:rsidRPr="00CB042A">
              <w:rPr>
                <w:rFonts w:cstheme="minorHAnsi"/>
                <w:lang w:val="en-AU" w:eastAsia="en-AU"/>
              </w:rPr>
              <w:t xml:space="preserve"> </w:t>
            </w:r>
            <w:r w:rsidR="00CB042A">
              <w:rPr>
                <w:rFonts w:cstheme="minorHAnsi"/>
                <w:lang w:val="en-AU" w:eastAsia="en-AU"/>
              </w:rPr>
              <w:t>this is</w:t>
            </w:r>
            <w:r w:rsidRPr="00CB042A">
              <w:rPr>
                <w:rFonts w:cstheme="minorHAnsi"/>
                <w:lang w:val="en-AU" w:eastAsia="en-AU"/>
              </w:rPr>
              <w:t xml:space="preserve"> not a </w:t>
            </w:r>
            <w:r w:rsidR="00994E01" w:rsidRPr="00CB042A">
              <w:rPr>
                <w:rFonts w:cstheme="minorHAnsi"/>
                <w:lang w:val="en-AU" w:eastAsia="en-AU"/>
              </w:rPr>
              <w:t>N</w:t>
            </w:r>
            <w:r w:rsidRPr="00CB042A">
              <w:rPr>
                <w:rFonts w:cstheme="minorHAnsi"/>
                <w:lang w:val="en-AU" w:eastAsia="en-AU"/>
              </w:rPr>
              <w:t xml:space="preserve">otification for the purposes of compliance </w:t>
            </w:r>
            <w:proofErr w:type="gramStart"/>
            <w:r w:rsidRPr="00CB042A">
              <w:rPr>
                <w:rFonts w:cstheme="minorHAnsi"/>
                <w:lang w:val="en-AU" w:eastAsia="en-AU"/>
              </w:rPr>
              <w:t>action;</w:t>
            </w:r>
            <w:proofErr w:type="gramEnd"/>
          </w:p>
          <w:p w14:paraId="3284C409" w14:textId="1D84209A" w:rsidR="00510610" w:rsidRPr="00724B12" w:rsidRDefault="00510610" w:rsidP="00BE43FF">
            <w:pPr>
              <w:pStyle w:val="ListParagraph"/>
              <w:numPr>
                <w:ilvl w:val="0"/>
                <w:numId w:val="8"/>
              </w:numPr>
              <w:spacing w:before="120" w:after="120"/>
              <w:rPr>
                <w:rFonts w:cstheme="minorHAnsi"/>
                <w:lang w:val="en-AU" w:eastAsia="en-AU"/>
              </w:rPr>
            </w:pPr>
            <w:proofErr w:type="gramStart"/>
            <w:r w:rsidRPr="00724B12">
              <w:rPr>
                <w:rFonts w:cstheme="minorHAnsi"/>
                <w:lang w:val="en-AU" w:eastAsia="en-AU"/>
              </w:rPr>
              <w:t>making arrangements</w:t>
            </w:r>
            <w:proofErr w:type="gramEnd"/>
            <w:r w:rsidRPr="00724B12">
              <w:rPr>
                <w:rFonts w:cstheme="minorHAnsi"/>
                <w:lang w:val="en-AU" w:eastAsia="en-AU"/>
              </w:rPr>
              <w:t xml:space="preserve"> to cater for a job seeker’s special needs, if required. If needed, the DES </w:t>
            </w:r>
            <w:r w:rsidR="009D3512">
              <w:rPr>
                <w:rFonts w:cstheme="minorHAnsi"/>
                <w:lang w:val="en-AU" w:eastAsia="en-AU"/>
              </w:rPr>
              <w:t>provider</w:t>
            </w:r>
            <w:r w:rsidRPr="00724B12">
              <w:rPr>
                <w:rFonts w:cstheme="minorHAnsi"/>
                <w:lang w:val="en-AU" w:eastAsia="en-AU"/>
              </w:rPr>
              <w:t xml:space="preserve"> is to contact the job seeker to reschedule for a time when the special needs arrangements are available; and</w:t>
            </w:r>
          </w:p>
          <w:p w14:paraId="2A6151C1" w14:textId="2A5E738E" w:rsidR="00510610"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checking previous participation, any ESAt information, Comprehensive Compliance Assessments, and previous Job Plans.</w:t>
            </w:r>
          </w:p>
          <w:p w14:paraId="5B5BD3E1" w14:textId="5D1AE323" w:rsidR="00CB73A8" w:rsidRDefault="00510610" w:rsidP="00B9621A">
            <w:pPr>
              <w:spacing w:before="240" w:after="120"/>
              <w:rPr>
                <w:rFonts w:cstheme="minorHAnsi"/>
                <w:lang w:val="en-AU" w:eastAsia="en-AU"/>
              </w:rPr>
            </w:pPr>
            <w:r w:rsidRPr="00724B12">
              <w:rPr>
                <w:rFonts w:cstheme="minorHAnsi"/>
                <w:b/>
                <w:lang w:val="en-AU" w:eastAsia="en-AU"/>
              </w:rPr>
              <w:t>Note:</w:t>
            </w:r>
            <w:r w:rsidRPr="00724B12">
              <w:rPr>
                <w:rFonts w:cstheme="minorHAnsi"/>
                <w:lang w:val="en-AU" w:eastAsia="en-AU"/>
              </w:rPr>
              <w:t xml:space="preserve"> </w:t>
            </w:r>
            <w:r w:rsidR="00E54D52">
              <w:rPr>
                <w:rFonts w:cstheme="minorHAnsi"/>
                <w:lang w:val="en-AU" w:eastAsia="en-AU"/>
              </w:rPr>
              <w:t>Services Australia</w:t>
            </w:r>
            <w:r w:rsidRPr="00724B12">
              <w:rPr>
                <w:rFonts w:cstheme="minorHAnsi"/>
                <w:lang w:val="en-AU" w:eastAsia="en-AU"/>
              </w:rPr>
              <w:t xml:space="preserve"> will only book Appointments with a </w:t>
            </w:r>
            <w:r w:rsidR="009D3512">
              <w:rPr>
                <w:rFonts w:cstheme="minorHAnsi"/>
                <w:lang w:val="en-AU" w:eastAsia="en-AU"/>
              </w:rPr>
              <w:t>provider</w:t>
            </w:r>
            <w:r w:rsidRPr="00724B12">
              <w:rPr>
                <w:rFonts w:cstheme="minorHAnsi"/>
                <w:lang w:val="en-AU" w:eastAsia="en-AU"/>
              </w:rPr>
              <w:t xml:space="preserve"> for a time after they expect to have submitted the </w:t>
            </w:r>
            <w:r w:rsidR="00CB73A8">
              <w:rPr>
                <w:rFonts w:cstheme="minorHAnsi"/>
                <w:lang w:val="en-AU" w:eastAsia="en-AU"/>
              </w:rPr>
              <w:t>ESAt report.</w:t>
            </w:r>
          </w:p>
          <w:p w14:paraId="1AC5FC65" w14:textId="38A68BBA" w:rsidR="00510610" w:rsidRPr="00724B12" w:rsidRDefault="00510610" w:rsidP="00B9621A">
            <w:pPr>
              <w:spacing w:before="120" w:after="120"/>
              <w:rPr>
                <w:rFonts w:cstheme="minorHAnsi"/>
                <w:lang w:val="en-AU" w:eastAsia="en-AU"/>
              </w:rPr>
            </w:pPr>
            <w:r w:rsidRPr="00724B12">
              <w:rPr>
                <w:rFonts w:cstheme="minorHAnsi"/>
                <w:lang w:val="en-AU" w:eastAsia="en-AU"/>
              </w:rPr>
              <w:t xml:space="preserve">Providers are required to cater to a </w:t>
            </w:r>
            <w:r w:rsidR="008C37C4">
              <w:rPr>
                <w:rFonts w:cstheme="minorHAnsi"/>
                <w:lang w:val="en-AU" w:eastAsia="en-AU"/>
              </w:rPr>
              <w:t>participant</w:t>
            </w:r>
            <w:r w:rsidRPr="00724B12">
              <w:rPr>
                <w:rFonts w:cstheme="minorHAnsi"/>
                <w:lang w:val="en-AU" w:eastAsia="en-AU"/>
              </w:rPr>
              <w:t xml:space="preserve">’s special needs and should consider whether any of the following apply to the </w:t>
            </w:r>
            <w:r w:rsidR="008C37C4">
              <w:rPr>
                <w:rFonts w:cstheme="minorHAnsi"/>
                <w:lang w:val="en-AU" w:eastAsia="en-AU"/>
              </w:rPr>
              <w:t>participant</w:t>
            </w:r>
            <w:r w:rsidRPr="00724B12">
              <w:rPr>
                <w:rFonts w:cstheme="minorHAnsi"/>
                <w:lang w:val="en-AU" w:eastAsia="en-AU"/>
              </w:rPr>
              <w:t xml:space="preserve">: </w:t>
            </w:r>
          </w:p>
          <w:p w14:paraId="38707D97" w14:textId="77777777"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the need for an interpreter service</w:t>
            </w:r>
          </w:p>
          <w:p w14:paraId="4E8EEDF6" w14:textId="77777777"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a Job Seeker Incident Report (JSIR</w:t>
            </w:r>
            <w:proofErr w:type="gramStart"/>
            <w:r w:rsidRPr="00724B12">
              <w:rPr>
                <w:rFonts w:cstheme="minorHAnsi"/>
                <w:lang w:val="en-AU" w:eastAsia="en-AU"/>
              </w:rPr>
              <w:t>);</w:t>
            </w:r>
            <w:proofErr w:type="gramEnd"/>
          </w:p>
          <w:p w14:paraId="5C4BC39E" w14:textId="77777777"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a vulnerability; or</w:t>
            </w:r>
          </w:p>
          <w:p w14:paraId="4867A9DB" w14:textId="2BA36D8A" w:rsidR="00510610" w:rsidRPr="000833C3"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whether the job seeker has a disability requiring assistance (e.g. universal access/wheelchair access).</w:t>
            </w:r>
          </w:p>
        </w:tc>
      </w:tr>
      <w:tr w:rsidR="00510610" w:rsidRPr="00724B12" w14:paraId="0625F11C" w14:textId="77777777" w:rsidTr="00213141">
        <w:trPr>
          <w:jc w:val="center"/>
        </w:trPr>
        <w:tc>
          <w:tcPr>
            <w:tcW w:w="1646" w:type="pct"/>
            <w:tcMar>
              <w:top w:w="57" w:type="dxa"/>
              <w:bottom w:w="57" w:type="dxa"/>
            </w:tcMar>
          </w:tcPr>
          <w:p w14:paraId="3A9146FA" w14:textId="242FC58E" w:rsidR="00510610" w:rsidRPr="00724B12" w:rsidRDefault="00510610" w:rsidP="00BE43FF">
            <w:pPr>
              <w:pStyle w:val="ListParagraph"/>
              <w:numPr>
                <w:ilvl w:val="0"/>
                <w:numId w:val="15"/>
              </w:numPr>
              <w:spacing w:before="120" w:after="120"/>
              <w:rPr>
                <w:rFonts w:cstheme="minorHAnsi"/>
                <w:b/>
                <w:lang w:val="en-AU" w:eastAsia="en-AU"/>
              </w:rPr>
            </w:pPr>
            <w:r w:rsidRPr="00724B12">
              <w:rPr>
                <w:rFonts w:cstheme="minorHAnsi"/>
                <w:b/>
                <w:lang w:val="en-AU" w:eastAsia="en-AU"/>
              </w:rPr>
              <w:t xml:space="preserve">Provider </w:t>
            </w:r>
          </w:p>
          <w:p w14:paraId="446E5204" w14:textId="6DEEE57A" w:rsidR="005346A4" w:rsidRDefault="00F3055D" w:rsidP="00CB042A">
            <w:pPr>
              <w:pStyle w:val="ListParagraph"/>
              <w:spacing w:before="120" w:after="120"/>
              <w:ind w:left="357"/>
              <w:rPr>
                <w:rFonts w:cstheme="minorHAnsi"/>
                <w:lang w:eastAsia="en-AU"/>
              </w:rPr>
            </w:pPr>
            <w:r>
              <w:rPr>
                <w:rFonts w:cstheme="minorHAnsi"/>
                <w:lang w:val="en-AU" w:eastAsia="en-AU"/>
              </w:rPr>
              <w:t>C</w:t>
            </w:r>
            <w:r w:rsidR="00510610" w:rsidRPr="00724B12">
              <w:rPr>
                <w:rFonts w:cstheme="minorHAnsi"/>
                <w:lang w:val="en-AU" w:eastAsia="en-AU"/>
              </w:rPr>
              <w:t>heck</w:t>
            </w:r>
            <w:r w:rsidR="0012610B">
              <w:rPr>
                <w:rFonts w:cstheme="minorHAnsi"/>
                <w:lang w:val="en-AU" w:eastAsia="en-AU"/>
              </w:rPr>
              <w:t>s</w:t>
            </w:r>
            <w:r w:rsidR="00510610" w:rsidRPr="00724B12">
              <w:rPr>
                <w:rFonts w:cstheme="minorHAnsi"/>
                <w:lang w:val="en-AU" w:eastAsia="en-AU"/>
              </w:rPr>
              <w:t xml:space="preserve"> job seeker’s eligibility.</w:t>
            </w:r>
          </w:p>
          <w:p w14:paraId="1EF83BED" w14:textId="1C538571" w:rsidR="00F84239" w:rsidRPr="00F84239" w:rsidRDefault="00F84239" w:rsidP="00213141">
            <w:pPr>
              <w:spacing w:before="120"/>
              <w:rPr>
                <w:rFonts w:cstheme="minorHAnsi"/>
                <w:i/>
                <w:lang w:val="en-AU" w:eastAsia="en-AU"/>
              </w:rPr>
            </w:pPr>
            <w:r w:rsidRPr="00F84239">
              <w:rPr>
                <w:rFonts w:cstheme="minorHAnsi"/>
                <w:i/>
                <w:lang w:val="en-AU" w:eastAsia="en-AU"/>
              </w:rPr>
              <w:t>Grant Agreement Reference:</w:t>
            </w:r>
          </w:p>
          <w:p w14:paraId="0FD1B094" w14:textId="4B3305A9" w:rsidR="00510610" w:rsidRPr="00FB6C07" w:rsidRDefault="00F84239" w:rsidP="00BE43FF">
            <w:pPr>
              <w:pStyle w:val="ListParagraph"/>
              <w:numPr>
                <w:ilvl w:val="0"/>
                <w:numId w:val="14"/>
              </w:numPr>
              <w:ind w:left="714" w:hanging="357"/>
              <w:rPr>
                <w:lang w:val="en-AU" w:eastAsia="en-AU"/>
              </w:rPr>
            </w:pPr>
            <w:r w:rsidRPr="00B9621A">
              <w:rPr>
                <w:rFonts w:cstheme="minorHAnsi"/>
                <w:lang w:val="en-AU" w:eastAsia="en-AU"/>
              </w:rPr>
              <w:t>Clause 92</w:t>
            </w:r>
          </w:p>
        </w:tc>
        <w:tc>
          <w:tcPr>
            <w:tcW w:w="3354" w:type="pct"/>
            <w:tcMar>
              <w:top w:w="57" w:type="dxa"/>
              <w:bottom w:w="57" w:type="dxa"/>
            </w:tcMar>
          </w:tcPr>
          <w:p w14:paraId="7A6FE6BE" w14:textId="3DED764F" w:rsidR="00510610" w:rsidRDefault="00510610" w:rsidP="00CB042A">
            <w:pPr>
              <w:spacing w:before="120" w:after="120"/>
              <w:rPr>
                <w:rFonts w:cstheme="minorHAnsi"/>
                <w:lang w:eastAsia="en-AU"/>
              </w:rPr>
            </w:pPr>
            <w:r w:rsidRPr="00724B12">
              <w:rPr>
                <w:rFonts w:cstheme="minorHAnsi"/>
                <w:lang w:val="en-AU" w:eastAsia="en-AU"/>
              </w:rPr>
              <w:t xml:space="preserve">The </w:t>
            </w:r>
            <w:r w:rsidR="009D3512">
              <w:rPr>
                <w:rFonts w:cstheme="minorHAnsi"/>
                <w:lang w:val="en-AU" w:eastAsia="en-AU"/>
              </w:rPr>
              <w:t>provider</w:t>
            </w:r>
            <w:r w:rsidRPr="00724B12">
              <w:rPr>
                <w:rFonts w:cstheme="minorHAnsi"/>
                <w:lang w:val="en-AU" w:eastAsia="en-AU"/>
              </w:rPr>
              <w:t xml:space="preserve"> must check </w:t>
            </w:r>
            <w:r w:rsidR="0012610B">
              <w:rPr>
                <w:rFonts w:cstheme="minorHAnsi"/>
                <w:lang w:val="en-AU" w:eastAsia="en-AU"/>
              </w:rPr>
              <w:t>to confirm</w:t>
            </w:r>
            <w:r w:rsidRPr="00724B12">
              <w:rPr>
                <w:rFonts w:cstheme="minorHAnsi"/>
                <w:lang w:val="en-AU" w:eastAsia="en-AU"/>
              </w:rPr>
              <w:t xml:space="preserve"> the job seeker meets the eligibility criteria for DES.</w:t>
            </w:r>
          </w:p>
          <w:p w14:paraId="267F8BE1" w14:textId="0BD7813C" w:rsidR="00510610" w:rsidRPr="00724B12" w:rsidRDefault="00510610" w:rsidP="00CB042A">
            <w:pPr>
              <w:spacing w:before="120" w:after="120"/>
              <w:rPr>
                <w:rFonts w:cstheme="minorHAnsi"/>
                <w:lang w:val="en-AU" w:eastAsia="en-AU"/>
              </w:rPr>
            </w:pPr>
            <w:r w:rsidRPr="00724B12">
              <w:rPr>
                <w:rFonts w:cstheme="minorHAnsi"/>
                <w:lang w:val="en-AU" w:eastAsia="en-AU"/>
              </w:rPr>
              <w:t xml:space="preserve">The </w:t>
            </w:r>
            <w:r w:rsidR="009D3512">
              <w:rPr>
                <w:rFonts w:cstheme="minorHAnsi"/>
                <w:lang w:val="en-AU" w:eastAsia="en-AU"/>
              </w:rPr>
              <w:t>provider</w:t>
            </w:r>
            <w:r w:rsidRPr="00724B12">
              <w:rPr>
                <w:rFonts w:cstheme="minorHAnsi"/>
                <w:lang w:val="en-AU" w:eastAsia="en-AU"/>
              </w:rPr>
              <w:t xml:space="preserve"> must also ensure that all information in the Job Seeker Classification Instrument (JSCI) is correct.</w:t>
            </w:r>
          </w:p>
        </w:tc>
      </w:tr>
      <w:tr w:rsidR="00510610" w:rsidRPr="00724B12" w14:paraId="7C97006E" w14:textId="77777777" w:rsidTr="00213141">
        <w:trPr>
          <w:jc w:val="center"/>
        </w:trPr>
        <w:tc>
          <w:tcPr>
            <w:tcW w:w="1646" w:type="pct"/>
            <w:tcBorders>
              <w:bottom w:val="single" w:sz="2" w:space="0" w:color="auto"/>
            </w:tcBorders>
            <w:tcMar>
              <w:top w:w="57" w:type="dxa"/>
              <w:bottom w:w="57" w:type="dxa"/>
            </w:tcMar>
          </w:tcPr>
          <w:p w14:paraId="789F85C0" w14:textId="1212363D" w:rsidR="00510610" w:rsidRPr="00724B12" w:rsidRDefault="00510610" w:rsidP="00BE43FF">
            <w:pPr>
              <w:pStyle w:val="ListParagraph"/>
              <w:keepNext/>
              <w:keepLines/>
              <w:numPr>
                <w:ilvl w:val="0"/>
                <w:numId w:val="15"/>
              </w:numPr>
              <w:spacing w:before="120" w:after="120"/>
              <w:ind w:left="357"/>
              <w:rPr>
                <w:rFonts w:cstheme="minorHAnsi"/>
                <w:b/>
                <w:lang w:val="en-AU" w:eastAsia="en-AU"/>
              </w:rPr>
            </w:pPr>
            <w:r w:rsidRPr="00724B12">
              <w:rPr>
                <w:rFonts w:cstheme="minorHAnsi"/>
                <w:b/>
                <w:lang w:val="en-AU" w:eastAsia="en-AU"/>
              </w:rPr>
              <w:lastRenderedPageBreak/>
              <w:t>Provider</w:t>
            </w:r>
          </w:p>
          <w:p w14:paraId="1ADB1B00" w14:textId="23A02923" w:rsidR="00510610" w:rsidRDefault="00F3055D" w:rsidP="00213141">
            <w:pPr>
              <w:pStyle w:val="ListParagraph"/>
              <w:keepNext/>
              <w:keepLines/>
              <w:spacing w:before="120" w:after="120"/>
              <w:ind w:left="357"/>
              <w:rPr>
                <w:rFonts w:cstheme="minorHAnsi"/>
                <w:lang w:eastAsia="en-AU"/>
              </w:rPr>
            </w:pPr>
            <w:r>
              <w:rPr>
                <w:rFonts w:cstheme="minorHAnsi"/>
                <w:lang w:val="en-AU" w:eastAsia="en-AU"/>
              </w:rPr>
              <w:t>U</w:t>
            </w:r>
            <w:r w:rsidR="00CB042A">
              <w:rPr>
                <w:rFonts w:cstheme="minorHAnsi"/>
                <w:lang w:val="en-AU" w:eastAsia="en-AU"/>
              </w:rPr>
              <w:t xml:space="preserve">ndertakes the Initial Interview, </w:t>
            </w:r>
            <w:r w:rsidR="00510610" w:rsidRPr="00724B12">
              <w:rPr>
                <w:rFonts w:cstheme="minorHAnsi"/>
                <w:lang w:val="en-AU" w:eastAsia="en-AU"/>
              </w:rPr>
              <w:t>provide</w:t>
            </w:r>
            <w:r w:rsidR="00CB042A">
              <w:rPr>
                <w:rFonts w:cstheme="minorHAnsi"/>
                <w:lang w:val="en-AU" w:eastAsia="en-AU"/>
              </w:rPr>
              <w:t>s</w:t>
            </w:r>
            <w:r w:rsidR="00510610" w:rsidRPr="00724B12">
              <w:rPr>
                <w:rFonts w:cstheme="minorHAnsi"/>
                <w:lang w:val="en-AU" w:eastAsia="en-AU"/>
              </w:rPr>
              <w:t xml:space="preserve"> specific information and </w:t>
            </w:r>
            <w:r w:rsidR="00E506CD">
              <w:rPr>
                <w:rFonts w:cstheme="minorHAnsi"/>
                <w:lang w:val="en-AU" w:eastAsia="en-AU"/>
              </w:rPr>
              <w:t>develops Job Plan</w:t>
            </w:r>
            <w:r w:rsidR="00510610" w:rsidRPr="00724B12">
              <w:rPr>
                <w:rFonts w:cstheme="minorHAnsi"/>
                <w:lang w:val="en-AU" w:eastAsia="en-AU"/>
              </w:rPr>
              <w:t>.</w:t>
            </w:r>
          </w:p>
          <w:p w14:paraId="21174C0B" w14:textId="7660DF70" w:rsidR="005346A4" w:rsidRPr="00724B12" w:rsidRDefault="005346A4" w:rsidP="00B9621A">
            <w:pPr>
              <w:spacing w:before="120" w:after="120"/>
              <w:rPr>
                <w:rFonts w:cstheme="minorHAnsi"/>
                <w:i/>
                <w:lang w:val="en-AU" w:eastAsia="en-AU"/>
              </w:rPr>
            </w:pPr>
            <w:r w:rsidRPr="00724B12">
              <w:rPr>
                <w:rFonts w:cstheme="minorHAnsi"/>
                <w:i/>
                <w:lang w:val="en-AU" w:eastAsia="en-AU"/>
              </w:rPr>
              <w:t>Grant Agreement Reference:</w:t>
            </w:r>
          </w:p>
          <w:p w14:paraId="15CD0895" w14:textId="77777777" w:rsidR="005346A4" w:rsidRDefault="005346A4" w:rsidP="00BE43FF">
            <w:pPr>
              <w:pStyle w:val="ListParagraph"/>
              <w:numPr>
                <w:ilvl w:val="0"/>
                <w:numId w:val="14"/>
              </w:numPr>
              <w:spacing w:before="120" w:after="120"/>
              <w:ind w:left="720"/>
              <w:rPr>
                <w:rFonts w:cstheme="minorHAnsi"/>
                <w:lang w:val="en-AU" w:eastAsia="en-AU"/>
              </w:rPr>
            </w:pPr>
            <w:r>
              <w:rPr>
                <w:rFonts w:cstheme="minorHAnsi"/>
                <w:lang w:val="en-AU" w:eastAsia="en-AU"/>
              </w:rPr>
              <w:t>Clause 92</w:t>
            </w:r>
          </w:p>
          <w:p w14:paraId="28853B21" w14:textId="77777777" w:rsidR="005346A4" w:rsidRPr="00213141" w:rsidRDefault="005346A4" w:rsidP="00B9621A">
            <w:pPr>
              <w:spacing w:before="120" w:after="120"/>
              <w:rPr>
                <w:rFonts w:cstheme="minorHAnsi"/>
                <w:i/>
                <w:lang w:eastAsia="en-AU"/>
              </w:rPr>
            </w:pPr>
            <w:r w:rsidRPr="00213141">
              <w:rPr>
                <w:rFonts w:cstheme="minorHAnsi"/>
                <w:i/>
                <w:lang w:eastAsia="en-AU"/>
              </w:rPr>
              <w:t>Document References:</w:t>
            </w:r>
          </w:p>
          <w:p w14:paraId="52B4EC6B" w14:textId="1578B99A" w:rsidR="00510610" w:rsidRPr="000833C3" w:rsidRDefault="005346A4" w:rsidP="00BE43FF">
            <w:pPr>
              <w:pStyle w:val="ListParagraph"/>
              <w:numPr>
                <w:ilvl w:val="0"/>
                <w:numId w:val="14"/>
              </w:numPr>
              <w:spacing w:before="120" w:after="120"/>
              <w:ind w:left="720"/>
              <w:rPr>
                <w:lang w:eastAsia="en-AU"/>
              </w:rPr>
            </w:pPr>
            <w:r w:rsidRPr="006F1110">
              <w:rPr>
                <w:rFonts w:cstheme="minorHAnsi"/>
                <w:lang w:eastAsia="en-AU"/>
              </w:rPr>
              <w:t>Job Plan</w:t>
            </w:r>
            <w:r w:rsidR="00266202">
              <w:rPr>
                <w:rFonts w:cstheme="minorHAnsi"/>
                <w:lang w:eastAsia="en-AU"/>
              </w:rPr>
              <w:t xml:space="preserve"> </w:t>
            </w:r>
            <w:r w:rsidR="00266202" w:rsidRPr="00213141">
              <w:rPr>
                <w:rFonts w:cstheme="minorHAnsi"/>
                <w:lang w:val="en-AU" w:eastAsia="en-AU"/>
              </w:rPr>
              <w:t>and</w:t>
            </w:r>
            <w:r w:rsidR="00266202">
              <w:rPr>
                <w:rFonts w:cstheme="minorHAnsi"/>
                <w:lang w:eastAsia="en-AU"/>
              </w:rPr>
              <w:t xml:space="preserve"> Setting Mutual Obligation Requirements</w:t>
            </w:r>
            <w:r w:rsidRPr="006F1110">
              <w:rPr>
                <w:rFonts w:cstheme="minorHAnsi"/>
                <w:lang w:eastAsia="en-AU"/>
              </w:rPr>
              <w:t xml:space="preserve"> Guideline</w:t>
            </w:r>
          </w:p>
        </w:tc>
        <w:tc>
          <w:tcPr>
            <w:tcW w:w="3354" w:type="pct"/>
            <w:tcBorders>
              <w:bottom w:val="single" w:sz="2" w:space="0" w:color="auto"/>
            </w:tcBorders>
            <w:tcMar>
              <w:top w:w="57" w:type="dxa"/>
              <w:bottom w:w="57" w:type="dxa"/>
            </w:tcMar>
          </w:tcPr>
          <w:p w14:paraId="01DEA336" w14:textId="6090174C" w:rsidR="00510610" w:rsidRPr="00724B12" w:rsidRDefault="00510610" w:rsidP="00B9621A">
            <w:pPr>
              <w:spacing w:before="120" w:after="120"/>
              <w:rPr>
                <w:rFonts w:cstheme="minorHAnsi"/>
                <w:lang w:val="en-AU" w:eastAsia="en-AU"/>
              </w:rPr>
            </w:pPr>
            <w:r w:rsidRPr="00724B12">
              <w:rPr>
                <w:rFonts w:cstheme="minorHAnsi"/>
                <w:lang w:val="en-AU" w:eastAsia="en-AU"/>
              </w:rPr>
              <w:t xml:space="preserve">At the Initial Interview, the </w:t>
            </w:r>
            <w:r w:rsidR="009D3512">
              <w:rPr>
                <w:rFonts w:cstheme="minorHAnsi"/>
                <w:lang w:val="en-AU" w:eastAsia="en-AU"/>
              </w:rPr>
              <w:t>provider</w:t>
            </w:r>
            <w:r w:rsidRPr="00724B12">
              <w:rPr>
                <w:rFonts w:cstheme="minorHAnsi"/>
                <w:lang w:val="en-AU" w:eastAsia="en-AU"/>
              </w:rPr>
              <w:t xml:space="preserve"> must:</w:t>
            </w:r>
          </w:p>
          <w:p w14:paraId="5527F607" w14:textId="3518818B"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 xml:space="preserve">check that they are talking to the correct </w:t>
            </w:r>
            <w:proofErr w:type="gramStart"/>
            <w:r w:rsidR="005E6801">
              <w:rPr>
                <w:rFonts w:cstheme="minorHAnsi"/>
                <w:lang w:val="en-AU" w:eastAsia="en-AU"/>
              </w:rPr>
              <w:t>person</w:t>
            </w:r>
            <w:r w:rsidRPr="00724B12">
              <w:rPr>
                <w:rFonts w:cstheme="minorHAnsi"/>
                <w:lang w:val="en-AU" w:eastAsia="en-AU"/>
              </w:rPr>
              <w:t>;</w:t>
            </w:r>
            <w:proofErr w:type="gramEnd"/>
            <w:r w:rsidRPr="00724B12">
              <w:rPr>
                <w:rFonts w:cstheme="minorHAnsi"/>
                <w:lang w:val="en-AU" w:eastAsia="en-AU"/>
              </w:rPr>
              <w:t xml:space="preserve"> </w:t>
            </w:r>
          </w:p>
          <w:p w14:paraId="79165936" w14:textId="4A57E928"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 xml:space="preserve">explain the types of services that may be provided in the relevant </w:t>
            </w:r>
            <w:proofErr w:type="gramStart"/>
            <w:r w:rsidRPr="00724B12">
              <w:rPr>
                <w:rFonts w:cstheme="minorHAnsi"/>
                <w:lang w:val="en-AU" w:eastAsia="en-AU"/>
              </w:rPr>
              <w:t>Program;</w:t>
            </w:r>
            <w:proofErr w:type="gramEnd"/>
          </w:p>
          <w:p w14:paraId="69696852" w14:textId="082E84BF"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explain the</w:t>
            </w:r>
            <w:r w:rsidR="0012610B" w:rsidRPr="00724B12">
              <w:rPr>
                <w:rFonts w:cstheme="minorHAnsi"/>
                <w:lang w:val="en-AU" w:eastAsia="en-AU"/>
              </w:rPr>
              <w:t xml:space="preserve"> </w:t>
            </w:r>
            <w:r w:rsidRPr="00724B12">
              <w:rPr>
                <w:rFonts w:cstheme="minorHAnsi"/>
                <w:lang w:val="en-AU" w:eastAsia="en-AU"/>
              </w:rPr>
              <w:t xml:space="preserve">Service Guarantee and the Code of </w:t>
            </w:r>
            <w:proofErr w:type="gramStart"/>
            <w:r w:rsidRPr="00724B12">
              <w:rPr>
                <w:rFonts w:cstheme="minorHAnsi"/>
                <w:lang w:val="en-AU" w:eastAsia="en-AU"/>
              </w:rPr>
              <w:t>Practice;</w:t>
            </w:r>
            <w:proofErr w:type="gramEnd"/>
          </w:p>
          <w:p w14:paraId="0BD40DCD" w14:textId="59539F97" w:rsidR="00510610" w:rsidRPr="00724B12" w:rsidRDefault="00510610" w:rsidP="00BE43FF">
            <w:pPr>
              <w:pStyle w:val="ListParagraph"/>
              <w:numPr>
                <w:ilvl w:val="0"/>
                <w:numId w:val="8"/>
              </w:numPr>
              <w:spacing w:before="120" w:after="120"/>
              <w:rPr>
                <w:rFonts w:cstheme="minorHAnsi"/>
                <w:lang w:val="en-AU" w:eastAsia="en-AU"/>
              </w:rPr>
            </w:pPr>
            <w:r w:rsidRPr="00724B12">
              <w:rPr>
                <w:rFonts w:cstheme="minorHAnsi"/>
                <w:lang w:val="en-AU" w:eastAsia="en-AU"/>
              </w:rPr>
              <w:t xml:space="preserve">explain to a job seeker with Mutual Obligation Requirements their rights and obligations under Social Security Law and the consequences of not meeting their </w:t>
            </w:r>
            <w:proofErr w:type="gramStart"/>
            <w:r w:rsidRPr="00724B12">
              <w:rPr>
                <w:rFonts w:cstheme="minorHAnsi"/>
                <w:lang w:val="en-AU" w:eastAsia="en-AU"/>
              </w:rPr>
              <w:t>obligations;</w:t>
            </w:r>
            <w:proofErr w:type="gramEnd"/>
          </w:p>
          <w:p w14:paraId="43087A35" w14:textId="7BA73F4B" w:rsidR="00510610" w:rsidRPr="006F1110" w:rsidRDefault="00510610" w:rsidP="00BE43FF">
            <w:pPr>
              <w:pStyle w:val="ListParagraph"/>
              <w:numPr>
                <w:ilvl w:val="0"/>
                <w:numId w:val="8"/>
              </w:numPr>
              <w:spacing w:before="120" w:after="120"/>
              <w:ind w:left="714" w:hanging="357"/>
              <w:rPr>
                <w:rFonts w:cstheme="minorHAnsi"/>
                <w:lang w:eastAsia="en-AU"/>
              </w:rPr>
            </w:pPr>
            <w:r w:rsidRPr="00724B12">
              <w:rPr>
                <w:rFonts w:cstheme="minorHAnsi"/>
                <w:lang w:val="en-AU" w:eastAsia="en-AU"/>
              </w:rPr>
              <w:t>explain to a Disability Support Pension (DSP) recipient under 35 years of age who is subject to Compulsory Requirements, their rights and obligations regarding compulsory activities</w:t>
            </w:r>
            <w:r w:rsidR="00E678A4">
              <w:rPr>
                <w:rFonts w:cstheme="minorHAnsi"/>
                <w:lang w:val="en-AU" w:eastAsia="en-AU"/>
              </w:rPr>
              <w:t>.</w:t>
            </w:r>
          </w:p>
          <w:p w14:paraId="702C8264" w14:textId="1D90EC56" w:rsidR="00510610" w:rsidRPr="00724B12" w:rsidRDefault="00510610" w:rsidP="00B9621A">
            <w:pPr>
              <w:spacing w:before="120" w:after="120"/>
              <w:rPr>
                <w:rFonts w:cstheme="minorHAnsi"/>
                <w:lang w:val="en-AU" w:eastAsia="en-AU"/>
              </w:rPr>
            </w:pPr>
            <w:r w:rsidRPr="00724B12">
              <w:rPr>
                <w:rFonts w:cstheme="minorHAnsi"/>
                <w:lang w:val="en-AU" w:eastAsia="en-AU"/>
              </w:rPr>
              <w:t xml:space="preserve">During the Initial </w:t>
            </w:r>
            <w:r w:rsidR="006514E9" w:rsidRPr="00724B12">
              <w:rPr>
                <w:rFonts w:cstheme="minorHAnsi"/>
                <w:lang w:val="en-AU" w:eastAsia="en-AU"/>
              </w:rPr>
              <w:t>Interview,</w:t>
            </w:r>
            <w:r w:rsidRPr="00724B12">
              <w:rPr>
                <w:rFonts w:cstheme="minorHAnsi"/>
                <w:lang w:val="en-AU" w:eastAsia="en-AU"/>
              </w:rPr>
              <w:t xml:space="preserve"> the </w:t>
            </w:r>
            <w:r w:rsidR="009D3512">
              <w:rPr>
                <w:rFonts w:cstheme="minorHAnsi"/>
                <w:lang w:val="en-AU" w:eastAsia="en-AU"/>
              </w:rPr>
              <w:t>provider</w:t>
            </w:r>
            <w:r w:rsidRPr="00724B12">
              <w:rPr>
                <w:rFonts w:cstheme="minorHAnsi"/>
                <w:lang w:val="en-AU" w:eastAsia="en-AU"/>
              </w:rPr>
              <w:t xml:space="preserve"> must negotiate a Job Plan with each </w:t>
            </w:r>
            <w:r w:rsidR="00E506CD">
              <w:rPr>
                <w:rFonts w:cstheme="minorHAnsi"/>
                <w:lang w:val="en-AU" w:eastAsia="en-AU"/>
              </w:rPr>
              <w:t>job seeker</w:t>
            </w:r>
            <w:r w:rsidRPr="00724B12">
              <w:rPr>
                <w:rFonts w:cstheme="minorHAnsi"/>
                <w:lang w:val="en-AU" w:eastAsia="en-AU"/>
              </w:rPr>
              <w:t xml:space="preserve">, which includes any Interventions required at that point. The Initial Interview must be conducted face-to-face. The </w:t>
            </w:r>
            <w:r w:rsidR="009D3512">
              <w:rPr>
                <w:rFonts w:cstheme="minorHAnsi"/>
                <w:lang w:val="en-AU" w:eastAsia="en-AU"/>
              </w:rPr>
              <w:t>provider</w:t>
            </w:r>
            <w:r w:rsidRPr="00724B12">
              <w:rPr>
                <w:rFonts w:cstheme="minorHAnsi"/>
                <w:lang w:val="en-AU" w:eastAsia="en-AU"/>
              </w:rPr>
              <w:t xml:space="preserve"> should discuss with the </w:t>
            </w:r>
            <w:r w:rsidR="00E506CD">
              <w:rPr>
                <w:rFonts w:cstheme="minorHAnsi"/>
                <w:lang w:val="en-AU" w:eastAsia="en-AU"/>
              </w:rPr>
              <w:t>job seeker</w:t>
            </w:r>
            <w:r w:rsidRPr="00724B12">
              <w:rPr>
                <w:rFonts w:cstheme="minorHAnsi"/>
                <w:lang w:val="en-AU" w:eastAsia="en-AU"/>
              </w:rPr>
              <w:t xml:space="preserve">, which mode of contact the </w:t>
            </w:r>
            <w:r w:rsidR="00E506CD">
              <w:rPr>
                <w:rFonts w:cstheme="minorHAnsi"/>
                <w:lang w:val="en-AU" w:eastAsia="en-AU"/>
              </w:rPr>
              <w:t>job seeker</w:t>
            </w:r>
            <w:r w:rsidR="00E506CD" w:rsidRPr="00724B12">
              <w:rPr>
                <w:rFonts w:cstheme="minorHAnsi"/>
                <w:lang w:val="en-AU" w:eastAsia="en-AU"/>
              </w:rPr>
              <w:t xml:space="preserve"> </w:t>
            </w:r>
            <w:r w:rsidRPr="00724B12">
              <w:rPr>
                <w:rFonts w:cstheme="minorHAnsi"/>
                <w:lang w:val="en-AU" w:eastAsia="en-AU"/>
              </w:rPr>
              <w:t>prefers to receive services.</w:t>
            </w:r>
          </w:p>
          <w:p w14:paraId="698FD358" w14:textId="77777777" w:rsidR="006930C5" w:rsidRDefault="00510610" w:rsidP="00B9621A">
            <w:pPr>
              <w:spacing w:before="120"/>
              <w:rPr>
                <w:rFonts w:cstheme="minorHAnsi"/>
                <w:lang w:val="en-AU" w:eastAsia="en-AU"/>
              </w:rPr>
            </w:pPr>
            <w:r w:rsidRPr="00724B12">
              <w:rPr>
                <w:rFonts w:cstheme="minorHAnsi"/>
                <w:lang w:val="en-AU" w:eastAsia="en-AU"/>
              </w:rPr>
              <w:t>Providers may choose to complete the appropriate résumé summary fields in the Department’s IT Systems.</w:t>
            </w:r>
          </w:p>
          <w:p w14:paraId="057535A0" w14:textId="60BAB0CE" w:rsidR="004D28E2" w:rsidRPr="00724B12" w:rsidRDefault="004D28E2" w:rsidP="00B9621A">
            <w:pPr>
              <w:spacing w:before="120"/>
              <w:rPr>
                <w:rFonts w:cstheme="minorHAnsi"/>
                <w:lang w:val="en-AU" w:eastAsia="en-AU"/>
              </w:rPr>
            </w:pPr>
            <w:r w:rsidRPr="004D28E2">
              <w:rPr>
                <w:rFonts w:cstheme="minorHAnsi"/>
                <w:lang w:eastAsia="en-AU"/>
              </w:rPr>
              <w:t>For Parent Pathways participants who attend the Initial Interview with their Parent Pathways Mentor, Providers are required to facilitate a Warm Handover. This includes taking account of, and building on, job seekers’ goals, progress and achievements in Parent Pathways when negotiating the Job Plan and identifying suitable activities.</w:t>
            </w:r>
          </w:p>
        </w:tc>
      </w:tr>
      <w:tr w:rsidR="00E506CD" w:rsidRPr="00724B12" w14:paraId="7EBFB6B2" w14:textId="77777777" w:rsidTr="00213141">
        <w:trPr>
          <w:jc w:val="center"/>
        </w:trPr>
        <w:tc>
          <w:tcPr>
            <w:tcW w:w="1646" w:type="pct"/>
            <w:tcBorders>
              <w:top w:val="single" w:sz="2" w:space="0" w:color="auto"/>
              <w:left w:val="single" w:sz="2" w:space="0" w:color="auto"/>
              <w:bottom w:val="single" w:sz="2" w:space="0" w:color="auto"/>
              <w:right w:val="single" w:sz="2" w:space="0" w:color="auto"/>
            </w:tcBorders>
            <w:tcMar>
              <w:top w:w="57" w:type="dxa"/>
              <w:bottom w:w="57" w:type="dxa"/>
            </w:tcMar>
          </w:tcPr>
          <w:p w14:paraId="2D0D9F6B" w14:textId="4DED478D" w:rsidR="00E506CD" w:rsidRPr="00724B12" w:rsidRDefault="00E506CD" w:rsidP="00BE43FF">
            <w:pPr>
              <w:pStyle w:val="ListParagraph"/>
              <w:numPr>
                <w:ilvl w:val="0"/>
                <w:numId w:val="15"/>
              </w:numPr>
              <w:spacing w:before="120" w:after="120"/>
              <w:rPr>
                <w:rFonts w:cstheme="minorHAnsi"/>
                <w:b/>
                <w:lang w:val="en-AU" w:eastAsia="en-AU"/>
              </w:rPr>
            </w:pPr>
            <w:r w:rsidRPr="00724B12">
              <w:rPr>
                <w:rFonts w:cstheme="minorHAnsi"/>
                <w:b/>
                <w:lang w:val="en-AU" w:eastAsia="en-AU"/>
              </w:rPr>
              <w:t>Provider</w:t>
            </w:r>
          </w:p>
          <w:p w14:paraId="7EA984D0" w14:textId="6BBD8B1D" w:rsidR="00E506CD" w:rsidRDefault="00F3055D" w:rsidP="00E506CD">
            <w:pPr>
              <w:pStyle w:val="ListParagraph"/>
              <w:spacing w:before="120" w:after="120"/>
              <w:ind w:left="360"/>
              <w:rPr>
                <w:rFonts w:cstheme="minorHAnsi"/>
                <w:lang w:val="en-AU" w:eastAsia="en-AU"/>
              </w:rPr>
            </w:pPr>
            <w:r>
              <w:rPr>
                <w:rFonts w:cstheme="minorHAnsi"/>
                <w:lang w:val="en-AU" w:eastAsia="en-AU"/>
              </w:rPr>
              <w:t>R</w:t>
            </w:r>
            <w:r w:rsidR="00E506CD" w:rsidRPr="00724B12">
              <w:rPr>
                <w:rFonts w:cstheme="minorHAnsi"/>
                <w:lang w:val="en-AU" w:eastAsia="en-AU"/>
              </w:rPr>
              <w:t>ecord</w:t>
            </w:r>
            <w:r w:rsidR="00E506CD">
              <w:rPr>
                <w:rFonts w:cstheme="minorHAnsi"/>
                <w:lang w:val="en-AU" w:eastAsia="en-AU"/>
              </w:rPr>
              <w:t>s</w:t>
            </w:r>
            <w:r w:rsidR="00E506CD" w:rsidRPr="00724B12">
              <w:rPr>
                <w:rFonts w:cstheme="minorHAnsi"/>
                <w:lang w:val="en-AU" w:eastAsia="en-AU"/>
              </w:rPr>
              <w:t xml:space="preserve"> attendance at Initial Interview on the Department’s IT Systems.</w:t>
            </w:r>
          </w:p>
          <w:p w14:paraId="48592190" w14:textId="77777777" w:rsidR="00E506CD" w:rsidRPr="00724B12" w:rsidRDefault="00E506CD" w:rsidP="00E506CD">
            <w:pPr>
              <w:spacing w:before="120"/>
              <w:rPr>
                <w:rFonts w:cstheme="minorHAnsi"/>
                <w:i/>
                <w:lang w:val="en-AU" w:eastAsia="en-AU"/>
              </w:rPr>
            </w:pPr>
            <w:r w:rsidRPr="00724B12">
              <w:rPr>
                <w:rFonts w:cstheme="minorHAnsi"/>
                <w:i/>
                <w:lang w:val="en-AU" w:eastAsia="en-AU"/>
              </w:rPr>
              <w:t>Grant Agreement Reference:</w:t>
            </w:r>
          </w:p>
          <w:p w14:paraId="606A416F" w14:textId="1E6970D9" w:rsidR="00E506CD" w:rsidRPr="00724B12" w:rsidDel="0012610B" w:rsidRDefault="00E506CD" w:rsidP="00BE43FF">
            <w:pPr>
              <w:pStyle w:val="ListParagraph"/>
              <w:numPr>
                <w:ilvl w:val="0"/>
                <w:numId w:val="14"/>
              </w:numPr>
              <w:spacing w:before="120" w:after="120"/>
              <w:ind w:left="720"/>
              <w:rPr>
                <w:rFonts w:cstheme="minorHAnsi"/>
                <w:b/>
                <w:lang w:val="en-AU" w:eastAsia="en-AU"/>
              </w:rPr>
            </w:pPr>
            <w:r w:rsidRPr="00F84E89">
              <w:rPr>
                <w:rFonts w:cstheme="minorHAnsi"/>
                <w:lang w:val="en-AU" w:eastAsia="en-AU"/>
              </w:rPr>
              <w:t>Clause 9</w:t>
            </w:r>
            <w:r>
              <w:rPr>
                <w:rFonts w:cstheme="minorHAnsi"/>
                <w:lang w:val="en-AU" w:eastAsia="en-AU"/>
              </w:rPr>
              <w:t>2</w:t>
            </w:r>
          </w:p>
        </w:tc>
        <w:tc>
          <w:tcPr>
            <w:tcW w:w="3354" w:type="pct"/>
            <w:tcBorders>
              <w:top w:val="single" w:sz="2" w:space="0" w:color="auto"/>
              <w:left w:val="single" w:sz="2" w:space="0" w:color="auto"/>
              <w:bottom w:val="single" w:sz="2" w:space="0" w:color="auto"/>
              <w:right w:val="single" w:sz="2" w:space="0" w:color="auto"/>
            </w:tcBorders>
            <w:tcMar>
              <w:top w:w="57" w:type="dxa"/>
              <w:bottom w:w="57" w:type="dxa"/>
            </w:tcMar>
          </w:tcPr>
          <w:p w14:paraId="675D3B7A" w14:textId="4E1AFF03" w:rsidR="00E506CD" w:rsidRPr="00724B12" w:rsidRDefault="00E506CD" w:rsidP="00E506CD">
            <w:pPr>
              <w:spacing w:before="120" w:after="120"/>
              <w:rPr>
                <w:rFonts w:cstheme="minorHAnsi"/>
                <w:lang w:val="en-AU" w:eastAsia="en-AU"/>
              </w:rPr>
            </w:pPr>
            <w:r w:rsidRPr="00724B12">
              <w:rPr>
                <w:rFonts w:cstheme="minorHAnsi"/>
                <w:lang w:val="en-AU" w:eastAsia="en-AU"/>
              </w:rPr>
              <w:t xml:space="preserve">Provider confirms attendance at the Initial Interview by recording that the Initial Interview was ‘attended’ by the job seeker in the Electronic </w:t>
            </w:r>
            <w:r>
              <w:rPr>
                <w:rFonts w:cstheme="minorHAnsi"/>
                <w:lang w:val="en-AU" w:eastAsia="en-AU"/>
              </w:rPr>
              <w:t>Calendar</w:t>
            </w:r>
            <w:r w:rsidRPr="00724B12">
              <w:rPr>
                <w:rFonts w:cstheme="minorHAnsi"/>
                <w:lang w:val="en-AU" w:eastAsia="en-AU"/>
              </w:rPr>
              <w:t xml:space="preserve"> in the Department’s IT Systems.</w:t>
            </w:r>
          </w:p>
        </w:tc>
      </w:tr>
      <w:tr w:rsidR="00C03704" w:rsidRPr="00724B12" w14:paraId="6243F4B4" w14:textId="77777777" w:rsidTr="00CB042A">
        <w:trPr>
          <w:jc w:val="center"/>
        </w:trPr>
        <w:tc>
          <w:tcPr>
            <w:tcW w:w="1646" w:type="pct"/>
            <w:tcBorders>
              <w:top w:val="single" w:sz="2" w:space="0" w:color="auto"/>
              <w:left w:val="single" w:sz="2" w:space="0" w:color="auto"/>
              <w:bottom w:val="single" w:sz="2" w:space="0" w:color="auto"/>
              <w:right w:val="single" w:sz="2" w:space="0" w:color="auto"/>
            </w:tcBorders>
            <w:tcMar>
              <w:top w:w="57" w:type="dxa"/>
              <w:bottom w:w="57" w:type="dxa"/>
            </w:tcMar>
          </w:tcPr>
          <w:p w14:paraId="7BAB3B12" w14:textId="77777777" w:rsidR="00C03704" w:rsidRPr="00724B12" w:rsidRDefault="00C03704" w:rsidP="00BE43FF">
            <w:pPr>
              <w:pStyle w:val="ListParagraph"/>
              <w:numPr>
                <w:ilvl w:val="0"/>
                <w:numId w:val="15"/>
              </w:numPr>
              <w:spacing w:before="120" w:after="120"/>
              <w:rPr>
                <w:rFonts w:cstheme="minorHAnsi"/>
                <w:b/>
                <w:lang w:val="en-AU" w:eastAsia="en-AU"/>
              </w:rPr>
            </w:pPr>
            <w:r w:rsidRPr="00724B12">
              <w:rPr>
                <w:rFonts w:cstheme="minorHAnsi"/>
                <w:b/>
                <w:lang w:val="en-AU" w:eastAsia="en-AU"/>
              </w:rPr>
              <w:t xml:space="preserve">Provider </w:t>
            </w:r>
          </w:p>
          <w:p w14:paraId="73061839" w14:textId="67D19D8B" w:rsidR="00C03704" w:rsidRPr="00724B12" w:rsidRDefault="00FB33FC" w:rsidP="00C03704">
            <w:pPr>
              <w:pStyle w:val="ListParagraph"/>
              <w:spacing w:before="120" w:after="120"/>
              <w:ind w:left="360"/>
              <w:rPr>
                <w:rFonts w:cstheme="minorHAnsi"/>
                <w:lang w:eastAsia="en-AU"/>
              </w:rPr>
            </w:pPr>
            <w:r>
              <w:rPr>
                <w:rFonts w:cstheme="minorHAnsi"/>
                <w:lang w:eastAsia="en-AU"/>
              </w:rPr>
              <w:t>R</w:t>
            </w:r>
            <w:r w:rsidRPr="00724B12">
              <w:rPr>
                <w:rFonts w:cstheme="minorHAnsi"/>
                <w:lang w:eastAsia="en-AU"/>
              </w:rPr>
              <w:t>ecords</w:t>
            </w:r>
            <w:r w:rsidR="00C03704" w:rsidRPr="00724B12">
              <w:rPr>
                <w:rFonts w:cstheme="minorHAnsi"/>
                <w:lang w:eastAsia="en-AU"/>
              </w:rPr>
              <w:t xml:space="preserve"> completion of the Initial Interview.</w:t>
            </w:r>
          </w:p>
          <w:p w14:paraId="4BDC381F" w14:textId="77777777" w:rsidR="00C03704" w:rsidRDefault="00C03704" w:rsidP="00C03704">
            <w:pPr>
              <w:rPr>
                <w:rFonts w:cstheme="minorHAnsi"/>
                <w:i/>
                <w:lang w:val="en-AU" w:eastAsia="en-AU"/>
              </w:rPr>
            </w:pPr>
            <w:r w:rsidRPr="00724B12">
              <w:rPr>
                <w:rFonts w:cstheme="minorHAnsi"/>
                <w:i/>
                <w:lang w:val="en-AU" w:eastAsia="en-AU"/>
              </w:rPr>
              <w:t>Grant Agreement Reference:</w:t>
            </w:r>
          </w:p>
          <w:p w14:paraId="48671C8E" w14:textId="1A3767D1" w:rsidR="00C03704" w:rsidRPr="00C03704" w:rsidRDefault="00C03704" w:rsidP="00BE43FF">
            <w:pPr>
              <w:pStyle w:val="ListParagraph"/>
              <w:numPr>
                <w:ilvl w:val="0"/>
                <w:numId w:val="14"/>
              </w:numPr>
              <w:spacing w:before="120" w:after="120"/>
              <w:ind w:left="720"/>
              <w:rPr>
                <w:rFonts w:cstheme="minorHAnsi"/>
                <w:lang w:val="en-AU" w:eastAsia="en-AU"/>
              </w:rPr>
            </w:pPr>
            <w:r w:rsidRPr="00DC26D9">
              <w:rPr>
                <w:rFonts w:cstheme="minorHAnsi"/>
                <w:lang w:val="en-AU" w:eastAsia="en-AU"/>
              </w:rPr>
              <w:t>Clause 92</w:t>
            </w:r>
          </w:p>
        </w:tc>
        <w:tc>
          <w:tcPr>
            <w:tcW w:w="3354" w:type="pct"/>
            <w:tcBorders>
              <w:top w:val="single" w:sz="2" w:space="0" w:color="auto"/>
              <w:left w:val="single" w:sz="2" w:space="0" w:color="auto"/>
              <w:bottom w:val="single" w:sz="2" w:space="0" w:color="auto"/>
              <w:right w:val="single" w:sz="2" w:space="0" w:color="auto"/>
            </w:tcBorders>
            <w:tcMar>
              <w:top w:w="57" w:type="dxa"/>
              <w:bottom w:w="57" w:type="dxa"/>
            </w:tcMar>
          </w:tcPr>
          <w:p w14:paraId="2E0C7F05" w14:textId="4FA9948A" w:rsidR="00C03704" w:rsidRDefault="00C03704" w:rsidP="00C03704">
            <w:pPr>
              <w:spacing w:before="120" w:after="120"/>
              <w:rPr>
                <w:rFonts w:cstheme="minorHAnsi"/>
                <w:lang w:eastAsia="en-AU"/>
              </w:rPr>
            </w:pPr>
            <w:r w:rsidRPr="00724B12">
              <w:rPr>
                <w:rFonts w:cstheme="minorHAnsi"/>
                <w:lang w:val="en-AU" w:eastAsia="en-AU"/>
              </w:rPr>
              <w:t xml:space="preserve">A </w:t>
            </w:r>
            <w:r>
              <w:rPr>
                <w:rFonts w:cstheme="minorHAnsi"/>
                <w:lang w:val="en-AU" w:eastAsia="en-AU"/>
              </w:rPr>
              <w:t>job seeker</w:t>
            </w:r>
            <w:r w:rsidRPr="00724B12">
              <w:rPr>
                <w:rFonts w:cstheme="minorHAnsi"/>
                <w:lang w:val="en-AU" w:eastAsia="en-AU"/>
              </w:rPr>
              <w:t xml:space="preserve"> can be Commenced into DES when:</w:t>
            </w:r>
          </w:p>
          <w:p w14:paraId="3071B5C3" w14:textId="37B452B7" w:rsidR="00C03704" w:rsidRPr="00724B12" w:rsidRDefault="00C03704" w:rsidP="00BE43FF">
            <w:pPr>
              <w:pStyle w:val="ListParagraph"/>
              <w:numPr>
                <w:ilvl w:val="0"/>
                <w:numId w:val="12"/>
              </w:numPr>
              <w:spacing w:before="120" w:after="120"/>
              <w:rPr>
                <w:rFonts w:cstheme="minorHAnsi"/>
                <w:lang w:val="en-AU" w:eastAsia="en-AU"/>
              </w:rPr>
            </w:pPr>
            <w:r w:rsidRPr="00724B12">
              <w:rPr>
                <w:rFonts w:cstheme="minorHAnsi"/>
                <w:lang w:val="en-AU" w:eastAsia="en-AU"/>
              </w:rPr>
              <w:t xml:space="preserve">a result of “Attended” </w:t>
            </w:r>
            <w:r>
              <w:rPr>
                <w:rFonts w:cstheme="minorHAnsi"/>
                <w:lang w:val="en-AU" w:eastAsia="en-AU"/>
              </w:rPr>
              <w:t xml:space="preserve">is recorded </w:t>
            </w:r>
            <w:r w:rsidRPr="00724B12">
              <w:rPr>
                <w:rFonts w:cstheme="minorHAnsi"/>
                <w:lang w:val="en-AU" w:eastAsia="en-AU"/>
              </w:rPr>
              <w:t>at the initial interview; and</w:t>
            </w:r>
          </w:p>
          <w:p w14:paraId="1556D69B" w14:textId="7F03ACB1" w:rsidR="00C03704" w:rsidRDefault="00C03704" w:rsidP="00BE43FF">
            <w:pPr>
              <w:pStyle w:val="ListParagraph"/>
              <w:numPr>
                <w:ilvl w:val="0"/>
                <w:numId w:val="12"/>
              </w:numPr>
              <w:spacing w:before="120" w:after="120"/>
              <w:rPr>
                <w:rFonts w:cstheme="minorHAnsi"/>
                <w:lang w:val="en-AU" w:eastAsia="en-AU"/>
              </w:rPr>
            </w:pPr>
            <w:r>
              <w:rPr>
                <w:rFonts w:cstheme="minorHAnsi"/>
                <w:lang w:val="en-AU" w:eastAsia="en-AU"/>
              </w:rPr>
              <w:t>t</w:t>
            </w:r>
            <w:r w:rsidRPr="00A344AA">
              <w:rPr>
                <w:rFonts w:cstheme="minorHAnsi"/>
                <w:lang w:val="en-AU" w:eastAsia="en-AU"/>
              </w:rPr>
              <w:t xml:space="preserve">he Job Plan has been approved by the </w:t>
            </w:r>
            <w:r w:rsidR="009D3512">
              <w:rPr>
                <w:rFonts w:cstheme="minorHAnsi"/>
                <w:lang w:val="en-AU" w:eastAsia="en-AU"/>
              </w:rPr>
              <w:t>provider</w:t>
            </w:r>
            <w:r>
              <w:rPr>
                <w:rFonts w:cstheme="minorHAnsi"/>
                <w:lang w:val="en-AU" w:eastAsia="en-AU"/>
              </w:rPr>
              <w:t xml:space="preserve"> or agreed online (via the Job Seeker Dashboard through the </w:t>
            </w:r>
            <w:r w:rsidR="00237D93" w:rsidRPr="00D8637A">
              <w:rPr>
                <w:rFonts w:cstheme="minorHAnsi"/>
                <w:lang w:val="en-AU" w:eastAsia="en-AU"/>
              </w:rPr>
              <w:t>Workforce Australia</w:t>
            </w:r>
            <w:r w:rsidR="00237D93" w:rsidRPr="00237D93">
              <w:rPr>
                <w:rFonts w:cstheme="minorHAnsi"/>
                <w:lang w:val="en-AU" w:eastAsia="en-AU"/>
              </w:rPr>
              <w:t xml:space="preserve"> </w:t>
            </w:r>
            <w:r w:rsidRPr="00237D93">
              <w:rPr>
                <w:rFonts w:cstheme="minorHAnsi"/>
                <w:lang w:val="en-AU" w:eastAsia="en-AU"/>
              </w:rPr>
              <w:t>website</w:t>
            </w:r>
            <w:r>
              <w:rPr>
                <w:rFonts w:cstheme="minorHAnsi"/>
                <w:lang w:val="en-AU" w:eastAsia="en-AU"/>
              </w:rPr>
              <w:t xml:space="preserve"> o</w:t>
            </w:r>
            <w:r w:rsidR="00DE0175">
              <w:rPr>
                <w:rFonts w:cstheme="minorHAnsi"/>
                <w:lang w:val="en-AU" w:eastAsia="en-AU"/>
              </w:rPr>
              <w:t>r</w:t>
            </w:r>
            <w:r>
              <w:rPr>
                <w:rFonts w:cstheme="minorHAnsi"/>
                <w:lang w:val="en-AU" w:eastAsia="en-AU"/>
              </w:rPr>
              <w:t xml:space="preserve"> the Job Seeker App) by the </w:t>
            </w:r>
            <w:r w:rsidR="005E6801">
              <w:rPr>
                <w:rFonts w:cstheme="minorHAnsi"/>
                <w:lang w:val="en-AU" w:eastAsia="en-AU"/>
              </w:rPr>
              <w:t>job seeker</w:t>
            </w:r>
            <w:r w:rsidRPr="00A344AA">
              <w:rPr>
                <w:rFonts w:cstheme="minorHAnsi"/>
                <w:lang w:val="en-AU" w:eastAsia="en-AU"/>
              </w:rPr>
              <w:t>.</w:t>
            </w:r>
          </w:p>
          <w:p w14:paraId="3F73A6D7" w14:textId="229D60DE" w:rsidR="00C03704" w:rsidRPr="00093316" w:rsidRDefault="00C03704" w:rsidP="00C03704">
            <w:pPr>
              <w:spacing w:before="120" w:after="120"/>
              <w:rPr>
                <w:lang w:val="en-AU" w:eastAsia="en-AU"/>
              </w:rPr>
            </w:pPr>
            <w:r w:rsidRPr="006F1110">
              <w:rPr>
                <w:lang w:val="en-AU" w:eastAsia="en-AU"/>
              </w:rPr>
              <w:t xml:space="preserve">Once the above has occurred the Department’s IT Systems will automatically Commence the </w:t>
            </w:r>
            <w:r>
              <w:rPr>
                <w:lang w:val="en-AU" w:eastAsia="en-AU"/>
              </w:rPr>
              <w:t xml:space="preserve">job seeker as a DES </w:t>
            </w:r>
            <w:r w:rsidR="008C37C4">
              <w:rPr>
                <w:lang w:val="en-AU" w:eastAsia="en-AU"/>
              </w:rPr>
              <w:t>participant</w:t>
            </w:r>
            <w:r w:rsidRPr="006F1110">
              <w:rPr>
                <w:lang w:val="en-AU" w:eastAsia="en-AU"/>
              </w:rPr>
              <w:t xml:space="preserve">. If the </w:t>
            </w:r>
            <w:r w:rsidR="005E6801">
              <w:rPr>
                <w:lang w:val="en-AU" w:eastAsia="en-AU"/>
              </w:rPr>
              <w:t>job seeker</w:t>
            </w:r>
            <w:r w:rsidR="005E6801" w:rsidRPr="006F1110">
              <w:rPr>
                <w:lang w:val="en-AU" w:eastAsia="en-AU"/>
              </w:rPr>
              <w:t xml:space="preserve"> </w:t>
            </w:r>
            <w:r w:rsidRPr="006F1110">
              <w:rPr>
                <w:lang w:val="en-AU" w:eastAsia="en-AU"/>
              </w:rPr>
              <w:t xml:space="preserve">is not </w:t>
            </w:r>
            <w:proofErr w:type="gramStart"/>
            <w:r w:rsidRPr="006F1110">
              <w:rPr>
                <w:lang w:val="en-AU" w:eastAsia="en-AU"/>
              </w:rPr>
              <w:t>auto-Commenced</w:t>
            </w:r>
            <w:proofErr w:type="gramEnd"/>
            <w:r w:rsidRPr="006F1110">
              <w:rPr>
                <w:lang w:val="en-AU" w:eastAsia="en-AU"/>
              </w:rPr>
              <w:t xml:space="preserve"> after the above processes</w:t>
            </w:r>
            <w:r w:rsidRPr="00DC26D9">
              <w:rPr>
                <w:lang w:val="en-AU" w:eastAsia="en-AU"/>
              </w:rPr>
              <w:t xml:space="preserve"> are complete, the Department’s IT Systems will generate an error message, which will need to be actioned by t</w:t>
            </w:r>
            <w:r w:rsidRPr="00093316">
              <w:rPr>
                <w:lang w:val="en-AU" w:eastAsia="en-AU"/>
              </w:rPr>
              <w:t xml:space="preserve">he </w:t>
            </w:r>
            <w:r w:rsidR="009D3512">
              <w:rPr>
                <w:lang w:val="en-AU" w:eastAsia="en-AU"/>
              </w:rPr>
              <w:t>provider</w:t>
            </w:r>
            <w:r w:rsidRPr="00093316">
              <w:rPr>
                <w:lang w:val="en-AU" w:eastAsia="en-AU"/>
              </w:rPr>
              <w:t>.</w:t>
            </w:r>
          </w:p>
          <w:p w14:paraId="52D4583A" w14:textId="587DF175" w:rsidR="00C03704" w:rsidRDefault="00C03704" w:rsidP="00C03704">
            <w:pPr>
              <w:spacing w:before="120" w:after="120"/>
              <w:rPr>
                <w:rFonts w:cstheme="minorHAnsi"/>
                <w:lang w:eastAsia="en-AU"/>
              </w:rPr>
            </w:pPr>
            <w:r w:rsidRPr="00724B12">
              <w:rPr>
                <w:rFonts w:cstheme="minorHAnsi"/>
                <w:lang w:val="en-AU" w:eastAsia="en-AU"/>
              </w:rPr>
              <w:t xml:space="preserve">Ideally, the </w:t>
            </w:r>
            <w:r w:rsidR="005E6801">
              <w:rPr>
                <w:rFonts w:cstheme="minorHAnsi"/>
                <w:lang w:val="en-AU" w:eastAsia="en-AU"/>
              </w:rPr>
              <w:t>job seeker</w:t>
            </w:r>
            <w:r w:rsidR="005E6801" w:rsidRPr="00724B12">
              <w:rPr>
                <w:rFonts w:cstheme="minorHAnsi"/>
                <w:lang w:val="en-AU" w:eastAsia="en-AU"/>
              </w:rPr>
              <w:t xml:space="preserve"> </w:t>
            </w:r>
            <w:r w:rsidRPr="00724B12">
              <w:rPr>
                <w:rFonts w:cstheme="minorHAnsi"/>
                <w:lang w:val="en-AU" w:eastAsia="en-AU"/>
              </w:rPr>
              <w:t xml:space="preserve">will be Commenced at the Initial Interview. If not, the </w:t>
            </w:r>
            <w:r w:rsidR="005E6801">
              <w:rPr>
                <w:rFonts w:cstheme="minorHAnsi"/>
                <w:lang w:val="en-AU" w:eastAsia="en-AU"/>
              </w:rPr>
              <w:t>job seeker</w:t>
            </w:r>
            <w:r w:rsidR="005E6801" w:rsidRPr="00724B12">
              <w:rPr>
                <w:rFonts w:cstheme="minorHAnsi"/>
                <w:lang w:val="en-AU" w:eastAsia="en-AU"/>
              </w:rPr>
              <w:t xml:space="preserve"> </w:t>
            </w:r>
            <w:r w:rsidRPr="00724B12">
              <w:rPr>
                <w:rFonts w:cstheme="minorHAnsi"/>
                <w:lang w:val="en-AU" w:eastAsia="en-AU"/>
              </w:rPr>
              <w:t>must be Commenced within five Business Days of Referral or Direct Registration</w:t>
            </w:r>
            <w:r w:rsidR="005E6801">
              <w:rPr>
                <w:rFonts w:cstheme="minorHAnsi"/>
                <w:lang w:val="en-AU" w:eastAsia="en-AU"/>
              </w:rPr>
              <w:t>.</w:t>
            </w:r>
            <w:r w:rsidRPr="00724B12">
              <w:rPr>
                <w:rFonts w:cstheme="minorHAnsi"/>
                <w:lang w:val="en-AU" w:eastAsia="en-AU"/>
              </w:rPr>
              <w:t xml:space="preserve"> The </w:t>
            </w:r>
            <w:r w:rsidR="008C37C4">
              <w:rPr>
                <w:rFonts w:cstheme="minorHAnsi"/>
                <w:lang w:val="en-AU" w:eastAsia="en-AU"/>
              </w:rPr>
              <w:t>participant</w:t>
            </w:r>
            <w:r w:rsidRPr="00724B12">
              <w:rPr>
                <w:rFonts w:cstheme="minorHAnsi"/>
                <w:lang w:val="en-AU" w:eastAsia="en-AU"/>
              </w:rPr>
              <w:t>’s Period of Service starts at this point.</w:t>
            </w:r>
          </w:p>
          <w:p w14:paraId="374985E8" w14:textId="10F4931D" w:rsidR="00C03704" w:rsidRDefault="00C03704" w:rsidP="00C03704">
            <w:pPr>
              <w:spacing w:before="120" w:after="120"/>
              <w:rPr>
                <w:rFonts w:cstheme="minorHAnsi"/>
                <w:lang w:eastAsia="en-AU"/>
              </w:rPr>
            </w:pPr>
            <w:r w:rsidRPr="00724B12">
              <w:rPr>
                <w:rFonts w:cstheme="minorHAnsi"/>
                <w:lang w:val="en-AU" w:eastAsia="en-AU"/>
              </w:rPr>
              <w:t xml:space="preserve">The </w:t>
            </w:r>
            <w:r w:rsidR="009D3512">
              <w:rPr>
                <w:rFonts w:cstheme="minorHAnsi"/>
                <w:lang w:val="en-AU" w:eastAsia="en-AU"/>
              </w:rPr>
              <w:t>provider</w:t>
            </w:r>
            <w:r w:rsidRPr="00724B12">
              <w:rPr>
                <w:rFonts w:cstheme="minorHAnsi"/>
                <w:lang w:val="en-AU" w:eastAsia="en-AU"/>
              </w:rPr>
              <w:t xml:space="preserve"> should contact the Department if a </w:t>
            </w:r>
            <w:r w:rsidR="008C37C4">
              <w:rPr>
                <w:rFonts w:cstheme="minorHAnsi"/>
                <w:lang w:val="en-AU" w:eastAsia="en-AU"/>
              </w:rPr>
              <w:t>participant</w:t>
            </w:r>
            <w:r w:rsidRPr="00724B12">
              <w:rPr>
                <w:rFonts w:cstheme="minorHAnsi"/>
                <w:lang w:val="en-AU" w:eastAsia="en-AU"/>
              </w:rPr>
              <w:t xml:space="preserve"> on their caseload has been incorrectly Commenced.</w:t>
            </w:r>
          </w:p>
          <w:p w14:paraId="1AA2F125" w14:textId="2B865C75" w:rsidR="00C03704" w:rsidRDefault="00C03704" w:rsidP="00213141">
            <w:pPr>
              <w:keepNext/>
              <w:keepLines/>
              <w:spacing w:before="120" w:after="120"/>
              <w:rPr>
                <w:rFonts w:cstheme="minorHAnsi"/>
                <w:lang w:val="en-AU" w:eastAsia="en-AU"/>
              </w:rPr>
            </w:pPr>
            <w:r w:rsidRPr="00724B12">
              <w:rPr>
                <w:rFonts w:cstheme="minorHAnsi"/>
                <w:b/>
                <w:lang w:val="en-AU" w:eastAsia="en-AU"/>
              </w:rPr>
              <w:lastRenderedPageBreak/>
              <w:t>Note:</w:t>
            </w:r>
            <w:r w:rsidRPr="00724B12">
              <w:rPr>
                <w:rFonts w:cstheme="minorHAnsi"/>
                <w:lang w:val="en-AU" w:eastAsia="en-AU"/>
              </w:rPr>
              <w:t xml:space="preserve"> Every endeavour must be made to Commence the </w:t>
            </w:r>
            <w:r w:rsidR="005E6801">
              <w:rPr>
                <w:rFonts w:cstheme="minorHAnsi"/>
                <w:lang w:val="en-AU" w:eastAsia="en-AU"/>
              </w:rPr>
              <w:t>job seeker</w:t>
            </w:r>
            <w:r w:rsidR="005E6801" w:rsidRPr="00724B12">
              <w:rPr>
                <w:rFonts w:cstheme="minorHAnsi"/>
                <w:lang w:val="en-AU" w:eastAsia="en-AU"/>
              </w:rPr>
              <w:t xml:space="preserve"> </w:t>
            </w:r>
            <w:r w:rsidRPr="00724B12">
              <w:rPr>
                <w:rFonts w:cstheme="minorHAnsi"/>
                <w:lang w:val="en-AU" w:eastAsia="en-AU"/>
              </w:rPr>
              <w:t xml:space="preserve">within five Business Days. For those </w:t>
            </w:r>
            <w:r w:rsidR="005E6801">
              <w:rPr>
                <w:rFonts w:cstheme="minorHAnsi"/>
                <w:lang w:val="en-AU" w:eastAsia="en-AU"/>
              </w:rPr>
              <w:t>job seekers</w:t>
            </w:r>
            <w:r w:rsidR="005E6801" w:rsidRPr="00724B12">
              <w:rPr>
                <w:rFonts w:cstheme="minorHAnsi"/>
                <w:lang w:val="en-AU" w:eastAsia="en-AU"/>
              </w:rPr>
              <w:t xml:space="preserve"> </w:t>
            </w:r>
            <w:r w:rsidRPr="00724B12">
              <w:rPr>
                <w:rFonts w:cstheme="minorHAnsi"/>
                <w:lang w:val="en-AU" w:eastAsia="en-AU"/>
              </w:rPr>
              <w:t xml:space="preserve">who Directly Register and must be referred to an ESAt before Commencement, every endeavour must be made to Commence the </w:t>
            </w:r>
            <w:r w:rsidR="008C37C4">
              <w:rPr>
                <w:rFonts w:cstheme="minorHAnsi"/>
                <w:lang w:val="en-AU" w:eastAsia="en-AU"/>
              </w:rPr>
              <w:t>participant</w:t>
            </w:r>
            <w:r w:rsidRPr="00724B12">
              <w:rPr>
                <w:rFonts w:cstheme="minorHAnsi"/>
                <w:lang w:val="en-AU" w:eastAsia="en-AU"/>
              </w:rPr>
              <w:t xml:space="preserve"> within five Business Days of the ESAt being submitted.</w:t>
            </w:r>
          </w:p>
          <w:p w14:paraId="36BF4196" w14:textId="0D2BEB9C" w:rsidR="00C03704" w:rsidRPr="00724B12" w:rsidRDefault="00C03704" w:rsidP="00C03704">
            <w:pPr>
              <w:spacing w:before="120" w:after="120"/>
              <w:rPr>
                <w:rFonts w:cstheme="minorHAnsi"/>
                <w:lang w:val="en-AU" w:eastAsia="en-AU"/>
              </w:rPr>
            </w:pPr>
            <w:r w:rsidRPr="00724B12">
              <w:rPr>
                <w:rFonts w:cstheme="minorHAnsi"/>
                <w:lang w:val="en-AU" w:eastAsia="en-AU"/>
              </w:rPr>
              <w:t xml:space="preserve">Where exceptional circumstances exist where the DES </w:t>
            </w:r>
            <w:r w:rsidR="009D3512">
              <w:rPr>
                <w:rFonts w:cstheme="minorHAnsi"/>
                <w:lang w:val="en-AU" w:eastAsia="en-AU"/>
              </w:rPr>
              <w:t>provider</w:t>
            </w:r>
            <w:r w:rsidRPr="00724B12">
              <w:rPr>
                <w:rFonts w:cstheme="minorHAnsi"/>
                <w:lang w:val="en-AU" w:eastAsia="en-AU"/>
              </w:rPr>
              <w:t xml:space="preserve"> is unable to Commence a job seeker within five business days, the </w:t>
            </w:r>
            <w:r w:rsidR="009D3512">
              <w:rPr>
                <w:rFonts w:cstheme="minorHAnsi"/>
                <w:lang w:val="en-AU" w:eastAsia="en-AU"/>
              </w:rPr>
              <w:t>provider</w:t>
            </w:r>
            <w:r w:rsidRPr="00724B12">
              <w:rPr>
                <w:rFonts w:cstheme="minorHAnsi"/>
                <w:lang w:val="en-AU" w:eastAsia="en-AU"/>
              </w:rPr>
              <w:t xml:space="preserve"> must keep adequate documentary evidence for the reason/s.</w:t>
            </w:r>
          </w:p>
        </w:tc>
      </w:tr>
    </w:tbl>
    <w:p w14:paraId="62F47CC4" w14:textId="574E426B" w:rsidR="0019274A" w:rsidRPr="00213141" w:rsidRDefault="00006226" w:rsidP="00213141">
      <w:pPr>
        <w:pStyle w:val="Heading2"/>
        <w:spacing w:before="120" w:after="120"/>
        <w:rPr>
          <w:sz w:val="24"/>
          <w:szCs w:val="28"/>
        </w:rPr>
      </w:pPr>
      <w:r w:rsidRPr="0009689A">
        <w:lastRenderedPageBreak/>
        <w:br w:type="page"/>
      </w:r>
      <w:bookmarkStart w:id="87" w:name="_Toc496019693"/>
      <w:bookmarkStart w:id="88" w:name="_Toc496019745"/>
      <w:bookmarkStart w:id="89" w:name="_Toc176964322"/>
      <w:r w:rsidR="00560689" w:rsidRPr="00213141">
        <w:rPr>
          <w:color w:val="auto"/>
          <w:sz w:val="24"/>
          <w:szCs w:val="28"/>
        </w:rPr>
        <w:lastRenderedPageBreak/>
        <w:t>Attachment A</w:t>
      </w:r>
      <w:bookmarkEnd w:id="87"/>
      <w:bookmarkEnd w:id="88"/>
      <w:r w:rsidR="00350DC6" w:rsidRPr="00213141">
        <w:rPr>
          <w:color w:val="auto"/>
          <w:sz w:val="24"/>
          <w:szCs w:val="28"/>
        </w:rPr>
        <w:t xml:space="preserve"> - </w:t>
      </w:r>
      <w:bookmarkStart w:id="90" w:name="_Toc459216233"/>
      <w:bookmarkStart w:id="91" w:name="_Toc473637614"/>
      <w:bookmarkStart w:id="92" w:name="_Toc496019694"/>
      <w:bookmarkStart w:id="93" w:name="_Toc496019746"/>
      <w:r w:rsidR="0019274A" w:rsidRPr="00213141">
        <w:rPr>
          <w:color w:val="auto"/>
          <w:sz w:val="24"/>
          <w:szCs w:val="28"/>
        </w:rPr>
        <w:t xml:space="preserve">DES TRWC 0-14 </w:t>
      </w:r>
      <w:r w:rsidR="00DA398F" w:rsidRPr="00213141">
        <w:rPr>
          <w:color w:val="auto"/>
          <w:sz w:val="24"/>
          <w:szCs w:val="28"/>
        </w:rPr>
        <w:t>and</w:t>
      </w:r>
      <w:r w:rsidR="0019274A" w:rsidRPr="00213141">
        <w:rPr>
          <w:color w:val="auto"/>
          <w:sz w:val="24"/>
          <w:szCs w:val="28"/>
        </w:rPr>
        <w:t xml:space="preserve"> PCW 0-14 </w:t>
      </w:r>
      <w:r w:rsidR="009D3512">
        <w:rPr>
          <w:color w:val="auto"/>
          <w:sz w:val="24"/>
          <w:szCs w:val="28"/>
        </w:rPr>
        <w:t>provider</w:t>
      </w:r>
      <w:r w:rsidR="0019274A" w:rsidRPr="00213141">
        <w:rPr>
          <w:color w:val="auto"/>
          <w:sz w:val="24"/>
          <w:szCs w:val="28"/>
        </w:rPr>
        <w:t xml:space="preserve"> Action Matrix</w:t>
      </w:r>
      <w:bookmarkEnd w:id="89"/>
      <w:bookmarkEnd w:id="90"/>
      <w:bookmarkEnd w:id="91"/>
      <w:bookmarkEnd w:id="92"/>
      <w:bookmarkEnd w:id="93"/>
    </w:p>
    <w:p w14:paraId="586369D5" w14:textId="0AE631B7" w:rsidR="0019274A" w:rsidRPr="00151B09" w:rsidRDefault="0019274A" w:rsidP="00B9621A">
      <w:pPr>
        <w:spacing w:before="120" w:after="120"/>
      </w:pPr>
      <w:r w:rsidRPr="00151B09">
        <w:t xml:space="preserve">This table shows the actions available to </w:t>
      </w:r>
      <w:r w:rsidR="009D3512">
        <w:t>provider</w:t>
      </w:r>
      <w:r w:rsidRPr="00151B09">
        <w:t>s when:</w:t>
      </w:r>
    </w:p>
    <w:p w14:paraId="78DFE92A" w14:textId="62BD1BA8" w:rsidR="0019274A" w:rsidRPr="00151B09" w:rsidRDefault="000B74E0" w:rsidP="00BE43FF">
      <w:pPr>
        <w:pStyle w:val="ListParagraph"/>
        <w:numPr>
          <w:ilvl w:val="0"/>
          <w:numId w:val="11"/>
        </w:numPr>
        <w:spacing w:before="120" w:after="120"/>
      </w:pPr>
      <w:r>
        <w:t>Jobseekers are R</w:t>
      </w:r>
      <w:r w:rsidR="0019274A" w:rsidRPr="00151B09">
        <w:t xml:space="preserve">eferred to DES with a Temporary Reduced Worker Capacity of 0-14 hours (TRWC 0-14) or Partial Capacity to Work </w:t>
      </w:r>
      <w:proofErr w:type="gramStart"/>
      <w:r w:rsidR="0019274A" w:rsidRPr="00151B09">
        <w:t xml:space="preserve">of </w:t>
      </w:r>
      <w:r w:rsidR="0019274A">
        <w:t> </w:t>
      </w:r>
      <w:r w:rsidR="0019274A" w:rsidRPr="00151B09">
        <w:t>0</w:t>
      </w:r>
      <w:proofErr w:type="gramEnd"/>
      <w:r w:rsidR="0019274A" w:rsidRPr="00151B09">
        <w:t>-14 hours (PCW 0-14)</w:t>
      </w:r>
    </w:p>
    <w:p w14:paraId="4100F9D4" w14:textId="77777777" w:rsidR="0019274A" w:rsidRDefault="0019274A" w:rsidP="00BE43FF">
      <w:pPr>
        <w:pStyle w:val="ListParagraph"/>
        <w:numPr>
          <w:ilvl w:val="0"/>
          <w:numId w:val="11"/>
        </w:numPr>
        <w:spacing w:before="120" w:after="120"/>
      </w:pPr>
      <w:r w:rsidRPr="00151B09">
        <w:t>Participants are reassessed during their DES Program as TRWC 0-14 or PCW 0-14</w:t>
      </w:r>
    </w:p>
    <w:p w14:paraId="1F842BDC" w14:textId="7D35A7CC" w:rsidR="0019274A" w:rsidRDefault="00054D51" w:rsidP="00B9621A">
      <w:pPr>
        <w:spacing w:before="120" w:after="120"/>
      </w:pPr>
      <w:r>
        <w:t xml:space="preserve">Generally, </w:t>
      </w:r>
      <w:r w:rsidRPr="00151B09">
        <w:t>PCW 0-7 jobseekers are ineligible for DES.</w:t>
      </w:r>
      <w:r>
        <w:t xml:space="preserve"> </w:t>
      </w:r>
      <w:r w:rsidR="000B74E0">
        <w:t xml:space="preserve">All PCW 8-14 and TRWC 0-14 </w:t>
      </w:r>
      <w:r w:rsidR="008C37C4">
        <w:t>participant</w:t>
      </w:r>
      <w:r w:rsidR="0019274A" w:rsidRPr="00151B09">
        <w:t>s ar</w:t>
      </w:r>
      <w:r w:rsidR="000B74E0">
        <w:t xml:space="preserve">e automatically suspended on a </w:t>
      </w:r>
      <w:r w:rsidR="009D3512">
        <w:t>provider</w:t>
      </w:r>
      <w:r w:rsidR="0019274A" w:rsidRPr="00151B09">
        <w:t xml:space="preserve">’s caseload and may choose to </w:t>
      </w:r>
      <w:r w:rsidR="000B74E0">
        <w:t>V</w:t>
      </w:r>
      <w:r w:rsidR="0019274A" w:rsidRPr="00151B09">
        <w:t>olunteer for DES.</w:t>
      </w:r>
    </w:p>
    <w:p w14:paraId="767B3050" w14:textId="29620EA0" w:rsidR="002336B3" w:rsidRDefault="002336B3" w:rsidP="004B3ED6"/>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17"/>
        <w:gridCol w:w="1276"/>
        <w:gridCol w:w="2273"/>
        <w:gridCol w:w="1838"/>
      </w:tblGrid>
      <w:tr w:rsidR="000D473B" w:rsidRPr="00C87BC7" w14:paraId="16BB71CD" w14:textId="77777777" w:rsidTr="00213141">
        <w:trPr>
          <w:jc w:val="center"/>
        </w:trPr>
        <w:tc>
          <w:tcPr>
            <w:tcW w:w="3256" w:type="dxa"/>
            <w:tcBorders>
              <w:left w:val="single" w:sz="4" w:space="0" w:color="auto"/>
              <w:bottom w:val="single" w:sz="4" w:space="0" w:color="auto"/>
              <w:right w:val="single" w:sz="4" w:space="0" w:color="auto"/>
            </w:tcBorders>
          </w:tcPr>
          <w:p w14:paraId="45D6B9A8" w14:textId="77777777" w:rsidR="000D473B" w:rsidRPr="00C87BC7" w:rsidRDefault="000D473B" w:rsidP="002D5DD9">
            <w:pPr>
              <w:spacing w:before="120" w:after="120"/>
            </w:pPr>
          </w:p>
        </w:tc>
        <w:tc>
          <w:tcPr>
            <w:tcW w:w="2693" w:type="dxa"/>
            <w:gridSpan w:val="2"/>
            <w:tcBorders>
              <w:left w:val="single" w:sz="4" w:space="0" w:color="auto"/>
            </w:tcBorders>
            <w:shd w:val="clear" w:color="auto" w:fill="auto"/>
          </w:tcPr>
          <w:p w14:paraId="42771FE6" w14:textId="443EFB2D" w:rsidR="000D473B" w:rsidRPr="00B009C6" w:rsidRDefault="000D473B" w:rsidP="00213141">
            <w:pPr>
              <w:spacing w:before="120" w:after="120"/>
              <w:jc w:val="center"/>
              <w:rPr>
                <w:b/>
              </w:rPr>
            </w:pPr>
            <w:r>
              <w:rPr>
                <w:b/>
              </w:rPr>
              <w:t>Partial Capacity to Work</w:t>
            </w:r>
          </w:p>
        </w:tc>
        <w:tc>
          <w:tcPr>
            <w:tcW w:w="4111" w:type="dxa"/>
            <w:gridSpan w:val="2"/>
            <w:shd w:val="clear" w:color="auto" w:fill="auto"/>
          </w:tcPr>
          <w:p w14:paraId="72CBFD25" w14:textId="3922BEEF" w:rsidR="000D473B" w:rsidRPr="00B009C6" w:rsidRDefault="000D473B" w:rsidP="00213141">
            <w:pPr>
              <w:spacing w:before="120" w:after="120"/>
              <w:jc w:val="center"/>
              <w:rPr>
                <w:b/>
              </w:rPr>
            </w:pPr>
            <w:r>
              <w:rPr>
                <w:b/>
              </w:rPr>
              <w:t>Temporary Reduced Work Capacity</w:t>
            </w:r>
          </w:p>
        </w:tc>
      </w:tr>
      <w:tr w:rsidR="000D473B" w:rsidRPr="00C87BC7" w14:paraId="3CF85667" w14:textId="77777777" w:rsidTr="00213141">
        <w:trPr>
          <w:jc w:val="center"/>
        </w:trPr>
        <w:tc>
          <w:tcPr>
            <w:tcW w:w="3256" w:type="dxa"/>
            <w:tcBorders>
              <w:top w:val="single" w:sz="4" w:space="0" w:color="auto"/>
            </w:tcBorders>
            <w:shd w:val="clear" w:color="auto" w:fill="auto"/>
          </w:tcPr>
          <w:p w14:paraId="1D67F0CB" w14:textId="53CFA825" w:rsidR="000D473B" w:rsidRPr="00C87BC7" w:rsidRDefault="000D473B" w:rsidP="000D473B">
            <w:pPr>
              <w:spacing w:before="120" w:after="120"/>
            </w:pPr>
            <w:r w:rsidRPr="00B009C6">
              <w:rPr>
                <w:b/>
              </w:rPr>
              <w:t>At Referral</w:t>
            </w:r>
            <w:r w:rsidRPr="00213141">
              <w:t xml:space="preserve"> (not yet Commenced)</w:t>
            </w:r>
          </w:p>
        </w:tc>
        <w:tc>
          <w:tcPr>
            <w:tcW w:w="1417" w:type="dxa"/>
          </w:tcPr>
          <w:p w14:paraId="378D6C4B" w14:textId="29D5C7D1" w:rsidR="000D473B" w:rsidRPr="00C87BC7" w:rsidRDefault="000D473B" w:rsidP="00213141">
            <w:pPr>
              <w:spacing w:before="120" w:after="120"/>
              <w:jc w:val="center"/>
            </w:pPr>
            <w:r w:rsidRPr="00B009C6">
              <w:rPr>
                <w:b/>
              </w:rPr>
              <w:t>PCW 0-7</w:t>
            </w:r>
          </w:p>
        </w:tc>
        <w:tc>
          <w:tcPr>
            <w:tcW w:w="1276" w:type="dxa"/>
          </w:tcPr>
          <w:p w14:paraId="47805D33" w14:textId="731776EE" w:rsidR="000D473B" w:rsidRPr="00C87BC7" w:rsidRDefault="000D473B" w:rsidP="00213141">
            <w:pPr>
              <w:spacing w:before="120" w:after="120"/>
              <w:jc w:val="center"/>
            </w:pPr>
            <w:r w:rsidRPr="00B009C6">
              <w:rPr>
                <w:b/>
              </w:rPr>
              <w:t>PCW 8-14</w:t>
            </w:r>
          </w:p>
        </w:tc>
        <w:tc>
          <w:tcPr>
            <w:tcW w:w="2273" w:type="dxa"/>
          </w:tcPr>
          <w:p w14:paraId="22845335" w14:textId="48332DF5" w:rsidR="000D473B" w:rsidRPr="00C87BC7" w:rsidRDefault="000D473B" w:rsidP="00213141">
            <w:pPr>
              <w:spacing w:before="120" w:after="120"/>
              <w:jc w:val="center"/>
            </w:pPr>
            <w:r w:rsidRPr="00B009C6">
              <w:rPr>
                <w:b/>
              </w:rPr>
              <w:t>TRWC 0-7</w:t>
            </w:r>
          </w:p>
        </w:tc>
        <w:tc>
          <w:tcPr>
            <w:tcW w:w="1838" w:type="dxa"/>
          </w:tcPr>
          <w:p w14:paraId="4978DE63" w14:textId="538357A0" w:rsidR="000D473B" w:rsidRPr="00C87BC7" w:rsidRDefault="000D473B" w:rsidP="00213141">
            <w:pPr>
              <w:spacing w:before="120" w:after="120"/>
              <w:jc w:val="center"/>
            </w:pPr>
            <w:r w:rsidRPr="00B009C6">
              <w:rPr>
                <w:b/>
              </w:rPr>
              <w:t>TRWC 8-14</w:t>
            </w:r>
          </w:p>
        </w:tc>
      </w:tr>
      <w:tr w:rsidR="004D3678" w:rsidRPr="00C87BC7" w14:paraId="1DDB9F5C" w14:textId="77777777" w:rsidTr="00213141">
        <w:trPr>
          <w:jc w:val="center"/>
        </w:trPr>
        <w:tc>
          <w:tcPr>
            <w:tcW w:w="3256" w:type="dxa"/>
            <w:tcBorders>
              <w:top w:val="single" w:sz="4" w:space="0" w:color="auto"/>
            </w:tcBorders>
            <w:shd w:val="clear" w:color="auto" w:fill="auto"/>
          </w:tcPr>
          <w:p w14:paraId="3009749B" w14:textId="0BDAEB61" w:rsidR="000D473B" w:rsidRPr="00C87BC7" w:rsidRDefault="004D3678" w:rsidP="00F60212">
            <w:pPr>
              <w:spacing w:before="120" w:after="120"/>
            </w:pPr>
            <w:r>
              <w:t>Person e</w:t>
            </w:r>
            <w:r w:rsidR="000D473B" w:rsidRPr="00C87BC7">
              <w:t>ligible to Volunteer</w:t>
            </w:r>
            <w:r>
              <w:t>?</w:t>
            </w:r>
          </w:p>
        </w:tc>
        <w:tc>
          <w:tcPr>
            <w:tcW w:w="1417" w:type="dxa"/>
          </w:tcPr>
          <w:p w14:paraId="0BE8ED03" w14:textId="2E834DB4" w:rsidR="000D473B" w:rsidRPr="00C87BC7" w:rsidRDefault="000D473B" w:rsidP="00213141">
            <w:pPr>
              <w:spacing w:before="120" w:after="120"/>
              <w:jc w:val="center"/>
            </w:pPr>
            <w:r w:rsidRPr="00C87BC7">
              <w:t>No</w:t>
            </w:r>
          </w:p>
        </w:tc>
        <w:tc>
          <w:tcPr>
            <w:tcW w:w="1276" w:type="dxa"/>
          </w:tcPr>
          <w:p w14:paraId="072BE68F" w14:textId="40425FA0" w:rsidR="000D473B" w:rsidRPr="00C87BC7" w:rsidRDefault="000D473B" w:rsidP="00213141">
            <w:pPr>
              <w:spacing w:before="120" w:after="120"/>
              <w:jc w:val="center"/>
            </w:pPr>
            <w:r w:rsidRPr="00C87BC7">
              <w:t>Yes</w:t>
            </w:r>
          </w:p>
        </w:tc>
        <w:tc>
          <w:tcPr>
            <w:tcW w:w="2273" w:type="dxa"/>
          </w:tcPr>
          <w:p w14:paraId="240FDC75" w14:textId="68FFC4DD" w:rsidR="000D473B" w:rsidRPr="00C87BC7" w:rsidRDefault="000D473B" w:rsidP="00213141">
            <w:pPr>
              <w:spacing w:before="120" w:after="120"/>
              <w:jc w:val="center"/>
            </w:pPr>
            <w:r w:rsidRPr="00C87BC7">
              <w:t>No</w:t>
            </w:r>
          </w:p>
        </w:tc>
        <w:tc>
          <w:tcPr>
            <w:tcW w:w="1838" w:type="dxa"/>
          </w:tcPr>
          <w:p w14:paraId="1C48546D" w14:textId="7ACAA22A" w:rsidR="000D473B" w:rsidRPr="00C87BC7" w:rsidRDefault="000D473B" w:rsidP="00213141">
            <w:pPr>
              <w:spacing w:before="120" w:after="120"/>
              <w:jc w:val="center"/>
            </w:pPr>
            <w:r w:rsidRPr="00C87BC7">
              <w:t>Yes</w:t>
            </w:r>
          </w:p>
        </w:tc>
      </w:tr>
      <w:tr w:rsidR="004D3678" w:rsidRPr="00C87BC7" w14:paraId="38413CF3" w14:textId="77777777" w:rsidTr="00213141">
        <w:trPr>
          <w:jc w:val="center"/>
        </w:trPr>
        <w:tc>
          <w:tcPr>
            <w:tcW w:w="3256" w:type="dxa"/>
            <w:shd w:val="clear" w:color="auto" w:fill="auto"/>
          </w:tcPr>
          <w:p w14:paraId="0D7D4406" w14:textId="68849891" w:rsidR="000D473B" w:rsidRPr="00C87BC7" w:rsidRDefault="004D3678" w:rsidP="00F60212">
            <w:pPr>
              <w:spacing w:before="120" w:after="120"/>
            </w:pPr>
            <w:r>
              <w:t xml:space="preserve">   If w</w:t>
            </w:r>
            <w:r w:rsidR="000D473B" w:rsidRPr="00C87BC7">
              <w:t>ish</w:t>
            </w:r>
            <w:r w:rsidR="000D473B">
              <w:t>es</w:t>
            </w:r>
            <w:r w:rsidR="000D473B" w:rsidRPr="00C87BC7">
              <w:t xml:space="preserve"> to Volunteer</w:t>
            </w:r>
          </w:p>
        </w:tc>
        <w:tc>
          <w:tcPr>
            <w:tcW w:w="1417" w:type="dxa"/>
          </w:tcPr>
          <w:p w14:paraId="1B82663F" w14:textId="6A517742" w:rsidR="000D473B" w:rsidRPr="00C87BC7" w:rsidRDefault="000D473B" w:rsidP="00213141">
            <w:pPr>
              <w:spacing w:before="120" w:after="120"/>
              <w:jc w:val="center"/>
            </w:pPr>
            <w:r w:rsidRPr="00C87BC7">
              <w:t>NA</w:t>
            </w:r>
          </w:p>
        </w:tc>
        <w:tc>
          <w:tcPr>
            <w:tcW w:w="1276" w:type="dxa"/>
          </w:tcPr>
          <w:p w14:paraId="378964CA" w14:textId="222715D6" w:rsidR="000D473B" w:rsidRPr="00C87BC7" w:rsidRDefault="000D473B" w:rsidP="00213141">
            <w:pPr>
              <w:spacing w:before="120" w:after="120"/>
              <w:jc w:val="center"/>
            </w:pPr>
            <w:r w:rsidRPr="00C87BC7">
              <w:t>Commence</w:t>
            </w:r>
          </w:p>
        </w:tc>
        <w:tc>
          <w:tcPr>
            <w:tcW w:w="2273" w:type="dxa"/>
          </w:tcPr>
          <w:p w14:paraId="52EBCCD8" w14:textId="4E380A20" w:rsidR="000D473B" w:rsidRPr="00C87BC7" w:rsidRDefault="000D473B" w:rsidP="00213141">
            <w:pPr>
              <w:spacing w:before="120" w:after="120"/>
              <w:jc w:val="center"/>
            </w:pPr>
            <w:r w:rsidRPr="00C87BC7">
              <w:t>NA</w:t>
            </w:r>
          </w:p>
        </w:tc>
        <w:tc>
          <w:tcPr>
            <w:tcW w:w="1838" w:type="dxa"/>
          </w:tcPr>
          <w:p w14:paraId="15E2C8E2" w14:textId="41E367A9" w:rsidR="000D473B" w:rsidRPr="00C87BC7" w:rsidRDefault="000D473B" w:rsidP="00213141">
            <w:pPr>
              <w:spacing w:before="120" w:after="120"/>
              <w:jc w:val="center"/>
            </w:pPr>
            <w:r w:rsidRPr="00C87BC7">
              <w:t>Commence</w:t>
            </w:r>
          </w:p>
        </w:tc>
      </w:tr>
      <w:tr w:rsidR="004D3678" w:rsidRPr="005E59D1" w14:paraId="38F209D1" w14:textId="77777777" w:rsidTr="00213141">
        <w:trPr>
          <w:jc w:val="center"/>
        </w:trPr>
        <w:tc>
          <w:tcPr>
            <w:tcW w:w="3256" w:type="dxa"/>
            <w:shd w:val="clear" w:color="auto" w:fill="auto"/>
          </w:tcPr>
          <w:p w14:paraId="39CC0E9E" w14:textId="41DDD296" w:rsidR="000D473B" w:rsidRPr="00C87BC7" w:rsidRDefault="004D3678" w:rsidP="00F60212">
            <w:pPr>
              <w:spacing w:before="120" w:after="120"/>
            </w:pPr>
            <w:r>
              <w:t xml:space="preserve">   If d</w:t>
            </w:r>
            <w:r w:rsidR="000D473B" w:rsidRPr="00C87BC7">
              <w:t>o</w:t>
            </w:r>
            <w:r w:rsidR="000D473B">
              <w:t>es</w:t>
            </w:r>
            <w:r w:rsidR="000D473B" w:rsidRPr="00C87BC7">
              <w:t xml:space="preserve"> not wish to Volunteer</w:t>
            </w:r>
          </w:p>
        </w:tc>
        <w:tc>
          <w:tcPr>
            <w:tcW w:w="1417" w:type="dxa"/>
          </w:tcPr>
          <w:p w14:paraId="5DD5149D" w14:textId="40ECE40A" w:rsidR="000D473B" w:rsidRPr="00C87BC7" w:rsidRDefault="000D473B" w:rsidP="00213141">
            <w:pPr>
              <w:spacing w:before="120" w:after="120"/>
              <w:jc w:val="center"/>
            </w:pPr>
            <w:r w:rsidRPr="00C87BC7">
              <w:t>NA</w:t>
            </w:r>
          </w:p>
        </w:tc>
        <w:tc>
          <w:tcPr>
            <w:tcW w:w="1276" w:type="dxa"/>
          </w:tcPr>
          <w:p w14:paraId="4898B5CF" w14:textId="2AA6C70C" w:rsidR="000D473B" w:rsidRPr="00C87BC7" w:rsidRDefault="000D473B" w:rsidP="00213141">
            <w:pPr>
              <w:spacing w:before="120" w:after="120"/>
              <w:jc w:val="center"/>
            </w:pPr>
            <w:r w:rsidRPr="00C87BC7">
              <w:t>Exit</w:t>
            </w:r>
          </w:p>
        </w:tc>
        <w:tc>
          <w:tcPr>
            <w:tcW w:w="2273" w:type="dxa"/>
          </w:tcPr>
          <w:p w14:paraId="47CFF816" w14:textId="1DCD24A4" w:rsidR="000D473B" w:rsidRPr="00C87BC7" w:rsidRDefault="000D473B" w:rsidP="00213141">
            <w:pPr>
              <w:spacing w:before="120" w:after="120"/>
              <w:jc w:val="center"/>
            </w:pPr>
            <w:r w:rsidRPr="00C87BC7">
              <w:t>NA</w:t>
            </w:r>
          </w:p>
        </w:tc>
        <w:tc>
          <w:tcPr>
            <w:tcW w:w="1838" w:type="dxa"/>
          </w:tcPr>
          <w:p w14:paraId="4A264356" w14:textId="6BC76222" w:rsidR="000D473B" w:rsidRPr="005E59D1" w:rsidRDefault="000D473B" w:rsidP="00213141">
            <w:pPr>
              <w:spacing w:before="120" w:after="120"/>
              <w:jc w:val="center"/>
            </w:pPr>
            <w:r w:rsidRPr="00C87BC7">
              <w:t>Exit</w:t>
            </w:r>
          </w:p>
        </w:tc>
      </w:tr>
      <w:tr w:rsidR="004D3678" w:rsidRPr="005E59D1" w14:paraId="03F16784" w14:textId="77777777" w:rsidTr="004D3678">
        <w:trPr>
          <w:jc w:val="center"/>
        </w:trPr>
        <w:tc>
          <w:tcPr>
            <w:tcW w:w="3256" w:type="dxa"/>
            <w:shd w:val="clear" w:color="auto" w:fill="auto"/>
          </w:tcPr>
          <w:p w14:paraId="19AEC845" w14:textId="77777777" w:rsidR="004D3678" w:rsidRDefault="004D3678" w:rsidP="004D3678">
            <w:pPr>
              <w:spacing w:before="120" w:after="120"/>
            </w:pPr>
          </w:p>
        </w:tc>
        <w:tc>
          <w:tcPr>
            <w:tcW w:w="1417" w:type="dxa"/>
          </w:tcPr>
          <w:p w14:paraId="6145C28A" w14:textId="77777777" w:rsidR="004D3678" w:rsidRPr="00C87BC7" w:rsidRDefault="004D3678" w:rsidP="000D473B">
            <w:pPr>
              <w:spacing w:before="120" w:after="120"/>
              <w:jc w:val="center"/>
            </w:pPr>
          </w:p>
        </w:tc>
        <w:tc>
          <w:tcPr>
            <w:tcW w:w="1276" w:type="dxa"/>
          </w:tcPr>
          <w:p w14:paraId="4C45048E" w14:textId="77777777" w:rsidR="004D3678" w:rsidRPr="00C87BC7" w:rsidRDefault="004D3678" w:rsidP="000D473B">
            <w:pPr>
              <w:spacing w:before="120" w:after="120"/>
              <w:jc w:val="center"/>
            </w:pPr>
          </w:p>
        </w:tc>
        <w:tc>
          <w:tcPr>
            <w:tcW w:w="2273" w:type="dxa"/>
          </w:tcPr>
          <w:p w14:paraId="0ECCAAA2" w14:textId="77777777" w:rsidR="004D3678" w:rsidRPr="00C87BC7" w:rsidRDefault="004D3678" w:rsidP="000D473B">
            <w:pPr>
              <w:spacing w:before="120" w:after="120"/>
              <w:jc w:val="center"/>
            </w:pPr>
          </w:p>
        </w:tc>
        <w:tc>
          <w:tcPr>
            <w:tcW w:w="1838" w:type="dxa"/>
          </w:tcPr>
          <w:p w14:paraId="5CBAC3AB" w14:textId="77777777" w:rsidR="004D3678" w:rsidRPr="00C87BC7" w:rsidRDefault="004D3678" w:rsidP="000D473B">
            <w:pPr>
              <w:spacing w:before="120" w:after="120"/>
              <w:jc w:val="center"/>
            </w:pPr>
          </w:p>
        </w:tc>
      </w:tr>
      <w:tr w:rsidR="000D473B" w:rsidRPr="00C87BC7" w14:paraId="4181AC49" w14:textId="77777777" w:rsidTr="00213141">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178B9A" w14:textId="1C9B3C06" w:rsidR="000D473B" w:rsidRPr="00C87BC7" w:rsidRDefault="000D473B" w:rsidP="002D5DD9">
            <w:pPr>
              <w:spacing w:before="120" w:after="120"/>
            </w:pPr>
            <w:r w:rsidRPr="00B009C6">
              <w:rPr>
                <w:b/>
              </w:rPr>
              <w:t>Assessed during the Program</w:t>
            </w:r>
          </w:p>
        </w:tc>
        <w:tc>
          <w:tcPr>
            <w:tcW w:w="1417" w:type="dxa"/>
            <w:tcBorders>
              <w:top w:val="single" w:sz="4" w:space="0" w:color="auto"/>
              <w:left w:val="single" w:sz="4" w:space="0" w:color="auto"/>
              <w:bottom w:val="single" w:sz="4" w:space="0" w:color="auto"/>
              <w:right w:val="single" w:sz="4" w:space="0" w:color="auto"/>
            </w:tcBorders>
          </w:tcPr>
          <w:p w14:paraId="1B536837" w14:textId="77777777" w:rsidR="000D473B" w:rsidRPr="00213141" w:rsidRDefault="000D473B" w:rsidP="002D5DD9">
            <w:pPr>
              <w:spacing w:before="120" w:after="120"/>
              <w:jc w:val="center"/>
              <w:rPr>
                <w:b/>
              </w:rPr>
            </w:pPr>
            <w:r w:rsidRPr="00213141">
              <w:rPr>
                <w:b/>
              </w:rPr>
              <w:t>PCW 0-7</w:t>
            </w:r>
          </w:p>
        </w:tc>
        <w:tc>
          <w:tcPr>
            <w:tcW w:w="1276" w:type="dxa"/>
            <w:tcBorders>
              <w:top w:val="single" w:sz="4" w:space="0" w:color="auto"/>
              <w:left w:val="single" w:sz="4" w:space="0" w:color="auto"/>
              <w:bottom w:val="single" w:sz="4" w:space="0" w:color="auto"/>
              <w:right w:val="single" w:sz="4" w:space="0" w:color="auto"/>
            </w:tcBorders>
          </w:tcPr>
          <w:p w14:paraId="69D1D494" w14:textId="77777777" w:rsidR="000D473B" w:rsidRPr="00213141" w:rsidRDefault="000D473B" w:rsidP="002D5DD9">
            <w:pPr>
              <w:spacing w:before="120" w:after="120"/>
              <w:jc w:val="center"/>
              <w:rPr>
                <w:b/>
              </w:rPr>
            </w:pPr>
            <w:r w:rsidRPr="00213141">
              <w:rPr>
                <w:b/>
              </w:rPr>
              <w:t>PCW 8-14</w:t>
            </w:r>
          </w:p>
        </w:tc>
        <w:tc>
          <w:tcPr>
            <w:tcW w:w="2273" w:type="dxa"/>
            <w:tcBorders>
              <w:top w:val="single" w:sz="4" w:space="0" w:color="auto"/>
              <w:left w:val="single" w:sz="4" w:space="0" w:color="auto"/>
              <w:bottom w:val="single" w:sz="4" w:space="0" w:color="auto"/>
              <w:right w:val="single" w:sz="4" w:space="0" w:color="auto"/>
            </w:tcBorders>
          </w:tcPr>
          <w:p w14:paraId="31D5205C" w14:textId="77777777" w:rsidR="000D473B" w:rsidRPr="00213141" w:rsidRDefault="000D473B" w:rsidP="002D5DD9">
            <w:pPr>
              <w:spacing w:before="120" w:after="120"/>
              <w:jc w:val="center"/>
              <w:rPr>
                <w:b/>
              </w:rPr>
            </w:pPr>
            <w:r w:rsidRPr="00213141">
              <w:rPr>
                <w:b/>
              </w:rPr>
              <w:t>TRWC 0-7</w:t>
            </w:r>
          </w:p>
        </w:tc>
        <w:tc>
          <w:tcPr>
            <w:tcW w:w="1838" w:type="dxa"/>
            <w:tcBorders>
              <w:top w:val="single" w:sz="4" w:space="0" w:color="auto"/>
              <w:left w:val="single" w:sz="4" w:space="0" w:color="auto"/>
              <w:bottom w:val="single" w:sz="4" w:space="0" w:color="auto"/>
              <w:right w:val="single" w:sz="4" w:space="0" w:color="auto"/>
            </w:tcBorders>
          </w:tcPr>
          <w:p w14:paraId="58474728" w14:textId="77777777" w:rsidR="000D473B" w:rsidRPr="00213141" w:rsidRDefault="000D473B" w:rsidP="002D5DD9">
            <w:pPr>
              <w:spacing w:before="120" w:after="120"/>
              <w:jc w:val="center"/>
              <w:rPr>
                <w:b/>
              </w:rPr>
            </w:pPr>
            <w:r w:rsidRPr="00213141">
              <w:rPr>
                <w:b/>
              </w:rPr>
              <w:t>TRWC 8-14</w:t>
            </w:r>
          </w:p>
        </w:tc>
      </w:tr>
      <w:tr w:rsidR="000D473B" w:rsidRPr="00C87BC7" w14:paraId="1F7FE8CC" w14:textId="77777777" w:rsidTr="00213141">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6BB55CC" w14:textId="54FA77B1" w:rsidR="000D473B" w:rsidRPr="00C87BC7" w:rsidRDefault="004D3678" w:rsidP="00F60212">
            <w:pPr>
              <w:spacing w:before="120" w:after="120"/>
            </w:pPr>
            <w:r>
              <w:t>Person e</w:t>
            </w:r>
            <w:r w:rsidR="000D473B" w:rsidRPr="00C87BC7">
              <w:t>ligible to Volunteer</w:t>
            </w:r>
            <w:r>
              <w:t>?</w:t>
            </w:r>
          </w:p>
        </w:tc>
        <w:tc>
          <w:tcPr>
            <w:tcW w:w="1417" w:type="dxa"/>
            <w:tcBorders>
              <w:top w:val="single" w:sz="4" w:space="0" w:color="auto"/>
              <w:left w:val="single" w:sz="4" w:space="0" w:color="auto"/>
              <w:bottom w:val="single" w:sz="4" w:space="0" w:color="auto"/>
              <w:right w:val="single" w:sz="4" w:space="0" w:color="auto"/>
            </w:tcBorders>
          </w:tcPr>
          <w:p w14:paraId="7BD72E73" w14:textId="77777777" w:rsidR="000D473B" w:rsidRPr="00C87BC7" w:rsidRDefault="000D473B" w:rsidP="000D473B">
            <w:pPr>
              <w:spacing w:before="120" w:after="120"/>
              <w:jc w:val="center"/>
            </w:pPr>
            <w:r w:rsidRPr="00C87BC7">
              <w:t>No</w:t>
            </w:r>
          </w:p>
        </w:tc>
        <w:tc>
          <w:tcPr>
            <w:tcW w:w="1276" w:type="dxa"/>
            <w:tcBorders>
              <w:top w:val="single" w:sz="4" w:space="0" w:color="auto"/>
              <w:left w:val="single" w:sz="4" w:space="0" w:color="auto"/>
              <w:bottom w:val="single" w:sz="4" w:space="0" w:color="auto"/>
              <w:right w:val="single" w:sz="4" w:space="0" w:color="auto"/>
            </w:tcBorders>
          </w:tcPr>
          <w:p w14:paraId="091DEC97" w14:textId="77777777" w:rsidR="000D473B" w:rsidRPr="00C87BC7" w:rsidRDefault="000D473B" w:rsidP="000D473B">
            <w:pPr>
              <w:spacing w:before="120" w:after="120"/>
              <w:jc w:val="center"/>
            </w:pPr>
            <w:r w:rsidRPr="00C87BC7">
              <w:t>Yes</w:t>
            </w:r>
          </w:p>
        </w:tc>
        <w:tc>
          <w:tcPr>
            <w:tcW w:w="2273" w:type="dxa"/>
            <w:tcBorders>
              <w:top w:val="single" w:sz="4" w:space="0" w:color="auto"/>
              <w:left w:val="single" w:sz="4" w:space="0" w:color="auto"/>
              <w:bottom w:val="single" w:sz="4" w:space="0" w:color="auto"/>
              <w:right w:val="single" w:sz="4" w:space="0" w:color="auto"/>
            </w:tcBorders>
          </w:tcPr>
          <w:p w14:paraId="5C0A053E" w14:textId="7CF9D41C" w:rsidR="000D473B" w:rsidRPr="00C87BC7" w:rsidRDefault="000D473B" w:rsidP="00F60212">
            <w:pPr>
              <w:spacing w:before="120" w:after="120"/>
              <w:jc w:val="center"/>
            </w:pPr>
            <w:r w:rsidRPr="00C87BC7">
              <w:t xml:space="preserve">Yes (at </w:t>
            </w:r>
            <w:r w:rsidR="009D3512">
              <w:t>provider</w:t>
            </w:r>
            <w:r w:rsidRPr="00C87BC7">
              <w:t>’s discretion)</w:t>
            </w:r>
          </w:p>
        </w:tc>
        <w:tc>
          <w:tcPr>
            <w:tcW w:w="1838" w:type="dxa"/>
            <w:tcBorders>
              <w:top w:val="single" w:sz="4" w:space="0" w:color="auto"/>
              <w:left w:val="single" w:sz="4" w:space="0" w:color="auto"/>
              <w:bottom w:val="single" w:sz="4" w:space="0" w:color="auto"/>
              <w:right w:val="single" w:sz="4" w:space="0" w:color="auto"/>
            </w:tcBorders>
          </w:tcPr>
          <w:p w14:paraId="0777F1B2" w14:textId="68DAB67C" w:rsidR="000D473B" w:rsidRPr="00C87BC7" w:rsidRDefault="000D473B">
            <w:pPr>
              <w:spacing w:before="120" w:after="120"/>
              <w:jc w:val="center"/>
            </w:pPr>
            <w:r w:rsidRPr="00C87BC7">
              <w:t>Yes</w:t>
            </w:r>
          </w:p>
        </w:tc>
      </w:tr>
      <w:tr w:rsidR="000D473B" w:rsidRPr="00C87BC7" w14:paraId="30FEE7CE" w14:textId="77777777" w:rsidTr="00213141">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9129741" w14:textId="4DEE34F0" w:rsidR="000D473B" w:rsidRPr="00C87BC7" w:rsidRDefault="004D3678" w:rsidP="00F60212">
            <w:pPr>
              <w:spacing w:before="120" w:after="120"/>
            </w:pPr>
            <w:r>
              <w:t xml:space="preserve">   If wi</w:t>
            </w:r>
            <w:r w:rsidR="000D473B" w:rsidRPr="00C87BC7">
              <w:t>sh</w:t>
            </w:r>
            <w:r w:rsidR="000D473B">
              <w:t>es</w:t>
            </w:r>
            <w:r w:rsidR="000D473B" w:rsidRPr="00C87BC7">
              <w:t xml:space="preserve"> to Volunteer</w:t>
            </w:r>
          </w:p>
        </w:tc>
        <w:tc>
          <w:tcPr>
            <w:tcW w:w="1417" w:type="dxa"/>
            <w:tcBorders>
              <w:top w:val="single" w:sz="4" w:space="0" w:color="auto"/>
              <w:left w:val="single" w:sz="4" w:space="0" w:color="auto"/>
              <w:bottom w:val="single" w:sz="4" w:space="0" w:color="auto"/>
              <w:right w:val="single" w:sz="4" w:space="0" w:color="auto"/>
            </w:tcBorders>
          </w:tcPr>
          <w:p w14:paraId="2941547C" w14:textId="03F39DD0" w:rsidR="000D473B" w:rsidRPr="00C87BC7" w:rsidRDefault="000D473B" w:rsidP="000D473B">
            <w:pPr>
              <w:spacing w:before="120" w:after="120"/>
              <w:jc w:val="center"/>
            </w:pPr>
            <w:r>
              <w:t>Exit</w:t>
            </w:r>
          </w:p>
        </w:tc>
        <w:tc>
          <w:tcPr>
            <w:tcW w:w="1276" w:type="dxa"/>
            <w:tcBorders>
              <w:top w:val="single" w:sz="4" w:space="0" w:color="auto"/>
              <w:left w:val="single" w:sz="4" w:space="0" w:color="auto"/>
              <w:bottom w:val="single" w:sz="4" w:space="0" w:color="auto"/>
              <w:right w:val="single" w:sz="4" w:space="0" w:color="auto"/>
            </w:tcBorders>
          </w:tcPr>
          <w:p w14:paraId="4A52D18B" w14:textId="3CD08061" w:rsidR="000D473B" w:rsidRPr="00C87BC7" w:rsidRDefault="000D473B" w:rsidP="000D473B">
            <w:pPr>
              <w:spacing w:before="120" w:after="120"/>
              <w:jc w:val="center"/>
            </w:pPr>
            <w:r w:rsidRPr="00C87BC7">
              <w:t>Enter Volunteer period</w:t>
            </w:r>
          </w:p>
        </w:tc>
        <w:tc>
          <w:tcPr>
            <w:tcW w:w="2273" w:type="dxa"/>
            <w:tcBorders>
              <w:top w:val="single" w:sz="4" w:space="0" w:color="auto"/>
              <w:left w:val="single" w:sz="4" w:space="0" w:color="auto"/>
              <w:bottom w:val="single" w:sz="4" w:space="0" w:color="auto"/>
              <w:right w:val="single" w:sz="4" w:space="0" w:color="auto"/>
            </w:tcBorders>
          </w:tcPr>
          <w:p w14:paraId="663D99AF" w14:textId="3CEE816C" w:rsidR="000D473B" w:rsidRPr="00C87BC7" w:rsidRDefault="000D473B" w:rsidP="00F60212">
            <w:pPr>
              <w:spacing w:before="120" w:after="120"/>
              <w:jc w:val="center"/>
            </w:pPr>
            <w:r w:rsidRPr="00C87BC7">
              <w:t xml:space="preserve">Enter Volunteer period (at </w:t>
            </w:r>
            <w:r w:rsidR="009D3512">
              <w:t>provider</w:t>
            </w:r>
            <w:r w:rsidRPr="00C87BC7">
              <w:t>’s discretion)</w:t>
            </w:r>
          </w:p>
        </w:tc>
        <w:tc>
          <w:tcPr>
            <w:tcW w:w="1838" w:type="dxa"/>
            <w:tcBorders>
              <w:top w:val="single" w:sz="4" w:space="0" w:color="auto"/>
              <w:left w:val="single" w:sz="4" w:space="0" w:color="auto"/>
              <w:bottom w:val="single" w:sz="4" w:space="0" w:color="auto"/>
              <w:right w:val="single" w:sz="4" w:space="0" w:color="auto"/>
            </w:tcBorders>
          </w:tcPr>
          <w:p w14:paraId="643DC6C2" w14:textId="39F2C4E0" w:rsidR="000D473B" w:rsidRPr="00C87BC7" w:rsidRDefault="000D473B">
            <w:pPr>
              <w:spacing w:before="120" w:after="120"/>
              <w:jc w:val="center"/>
            </w:pPr>
            <w:r w:rsidRPr="00C87BC7">
              <w:t>Enter Volunteer period</w:t>
            </w:r>
          </w:p>
        </w:tc>
      </w:tr>
      <w:tr w:rsidR="000D473B" w:rsidRPr="005E59D1" w14:paraId="08C725D5" w14:textId="77777777" w:rsidTr="00213141">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E0F8FD2" w14:textId="743FAA4F" w:rsidR="000D473B" w:rsidRPr="00C87BC7" w:rsidRDefault="004D3678" w:rsidP="00F60212">
            <w:pPr>
              <w:spacing w:before="120" w:after="120"/>
            </w:pPr>
            <w:r>
              <w:t xml:space="preserve">   If d</w:t>
            </w:r>
            <w:r w:rsidR="000D473B" w:rsidRPr="00C87BC7">
              <w:t>o</w:t>
            </w:r>
            <w:r w:rsidR="000D473B">
              <w:t>es</w:t>
            </w:r>
            <w:r w:rsidR="000D473B" w:rsidRPr="00C87BC7">
              <w:t xml:space="preserve"> not wish to Volunteer</w:t>
            </w:r>
          </w:p>
        </w:tc>
        <w:tc>
          <w:tcPr>
            <w:tcW w:w="1417" w:type="dxa"/>
            <w:tcBorders>
              <w:top w:val="single" w:sz="4" w:space="0" w:color="auto"/>
              <w:left w:val="single" w:sz="4" w:space="0" w:color="auto"/>
              <w:bottom w:val="single" w:sz="4" w:space="0" w:color="auto"/>
              <w:right w:val="single" w:sz="4" w:space="0" w:color="auto"/>
            </w:tcBorders>
          </w:tcPr>
          <w:p w14:paraId="760D37CA" w14:textId="5403C68B" w:rsidR="000D473B" w:rsidRPr="00C87BC7" w:rsidRDefault="000D473B" w:rsidP="000D473B">
            <w:pPr>
              <w:spacing w:before="120" w:after="120"/>
              <w:jc w:val="center"/>
            </w:pPr>
            <w:r>
              <w:t>Exit</w:t>
            </w:r>
          </w:p>
        </w:tc>
        <w:tc>
          <w:tcPr>
            <w:tcW w:w="1276" w:type="dxa"/>
            <w:tcBorders>
              <w:top w:val="single" w:sz="4" w:space="0" w:color="auto"/>
              <w:left w:val="single" w:sz="4" w:space="0" w:color="auto"/>
              <w:bottom w:val="single" w:sz="4" w:space="0" w:color="auto"/>
              <w:right w:val="single" w:sz="4" w:space="0" w:color="auto"/>
            </w:tcBorders>
          </w:tcPr>
          <w:p w14:paraId="74222BAD" w14:textId="77777777" w:rsidR="000D473B" w:rsidRPr="00C87BC7" w:rsidRDefault="000D473B" w:rsidP="000D473B">
            <w:pPr>
              <w:spacing w:before="120" w:after="120"/>
              <w:jc w:val="center"/>
            </w:pPr>
            <w:r w:rsidRPr="00C87BC7">
              <w:t>Exit</w:t>
            </w:r>
          </w:p>
        </w:tc>
        <w:tc>
          <w:tcPr>
            <w:tcW w:w="2273" w:type="dxa"/>
            <w:tcBorders>
              <w:top w:val="single" w:sz="4" w:space="0" w:color="auto"/>
              <w:left w:val="single" w:sz="4" w:space="0" w:color="auto"/>
              <w:bottom w:val="single" w:sz="4" w:space="0" w:color="auto"/>
              <w:right w:val="single" w:sz="4" w:space="0" w:color="auto"/>
            </w:tcBorders>
          </w:tcPr>
          <w:p w14:paraId="5DF2903F" w14:textId="18FCBA97" w:rsidR="000D473B" w:rsidRPr="00C87BC7" w:rsidRDefault="000D473B" w:rsidP="00F60212">
            <w:pPr>
              <w:spacing w:before="120" w:after="120"/>
              <w:jc w:val="center"/>
            </w:pPr>
            <w:r w:rsidRPr="00C87BC7">
              <w:t>Remain suspended</w:t>
            </w:r>
          </w:p>
        </w:tc>
        <w:tc>
          <w:tcPr>
            <w:tcW w:w="1838" w:type="dxa"/>
            <w:tcBorders>
              <w:top w:val="single" w:sz="4" w:space="0" w:color="auto"/>
              <w:left w:val="single" w:sz="4" w:space="0" w:color="auto"/>
              <w:bottom w:val="single" w:sz="4" w:space="0" w:color="auto"/>
              <w:right w:val="single" w:sz="4" w:space="0" w:color="auto"/>
            </w:tcBorders>
          </w:tcPr>
          <w:p w14:paraId="3D94993A" w14:textId="51A2FB00" w:rsidR="000D473B" w:rsidRPr="005E59D1" w:rsidRDefault="000D473B">
            <w:pPr>
              <w:spacing w:before="120" w:after="120"/>
              <w:jc w:val="center"/>
            </w:pPr>
            <w:r w:rsidRPr="00C87BC7">
              <w:t>Remain suspended</w:t>
            </w:r>
          </w:p>
        </w:tc>
      </w:tr>
    </w:tbl>
    <w:p w14:paraId="49C0BA01" w14:textId="1CC664D8" w:rsidR="004464B0" w:rsidRPr="00942C6E" w:rsidRDefault="004464B0" w:rsidP="00D8637A">
      <w:pPr>
        <w:pStyle w:val="Heading2"/>
        <w:spacing w:before="120" w:after="120"/>
      </w:pPr>
    </w:p>
    <w:sectPr w:rsidR="004464B0" w:rsidRPr="00942C6E" w:rsidSect="003D24B7">
      <w:headerReference w:type="even" r:id="rId17"/>
      <w:headerReference w:type="default" r:id="rId18"/>
      <w:footerReference w:type="default" r:id="rId19"/>
      <w:headerReference w:type="first" r:id="rId20"/>
      <w:pgSz w:w="11920" w:h="16840"/>
      <w:pgMar w:top="760" w:right="740" w:bottom="980" w:left="740"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879D" w14:textId="77777777" w:rsidR="00276FEE" w:rsidRDefault="00276FEE" w:rsidP="005C3030">
      <w:r>
        <w:separator/>
      </w:r>
    </w:p>
    <w:p w14:paraId="391A5BEA" w14:textId="77777777" w:rsidR="00276FEE" w:rsidRDefault="00276FEE" w:rsidP="00E73CA1"/>
  </w:endnote>
  <w:endnote w:type="continuationSeparator" w:id="0">
    <w:p w14:paraId="48C1850A" w14:textId="77777777" w:rsidR="00276FEE" w:rsidRDefault="00276FEE" w:rsidP="005C3030">
      <w:r>
        <w:continuationSeparator/>
      </w:r>
    </w:p>
    <w:p w14:paraId="43199BC9" w14:textId="77777777" w:rsidR="00276FEE" w:rsidRDefault="00276FEE" w:rsidP="00E7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93F2" w14:textId="1A4F427C" w:rsidR="009A24D6" w:rsidRPr="00502CE7" w:rsidRDefault="009A24D6" w:rsidP="004B3ED6">
    <w:pPr>
      <w:tabs>
        <w:tab w:val="center" w:pos="4513"/>
        <w:tab w:val="right" w:pos="9026"/>
      </w:tabs>
      <w:rPr>
        <w:sz w:val="16"/>
        <w:szCs w:val="16"/>
      </w:rPr>
    </w:pPr>
    <w:r w:rsidRPr="00502CE7">
      <w:rPr>
        <w:sz w:val="16"/>
        <w:szCs w:val="16"/>
      </w:rPr>
      <w:t>Eligibility, Referral and Commencement Guidelines V 1.</w:t>
    </w:r>
    <w:r w:rsidR="00690A9F" w:rsidRPr="00502CE7">
      <w:rPr>
        <w:sz w:val="16"/>
        <w:szCs w:val="16"/>
      </w:rPr>
      <w:t>10</w:t>
    </w:r>
  </w:p>
  <w:p w14:paraId="3AE5AEAF" w14:textId="71A155CB" w:rsidR="009A24D6" w:rsidRPr="00502CE7" w:rsidRDefault="009A24D6" w:rsidP="00E15C9B">
    <w:pPr>
      <w:tabs>
        <w:tab w:val="left" w:pos="2835"/>
        <w:tab w:val="center" w:pos="4513"/>
        <w:tab w:val="right" w:pos="9026"/>
      </w:tabs>
      <w:rPr>
        <w:noProof/>
        <w:sz w:val="16"/>
        <w:szCs w:val="16"/>
      </w:rPr>
    </w:pPr>
    <w:r w:rsidRPr="00502CE7">
      <w:rPr>
        <w:noProof/>
        <w:sz w:val="16"/>
        <w:szCs w:val="16"/>
      </w:rPr>
      <w:t xml:space="preserve">Arc Record Number: </w:t>
    </w:r>
    <w:r w:rsidR="00CB197F" w:rsidRPr="00502CE7">
      <w:rPr>
        <w:noProof/>
        <w:sz w:val="16"/>
        <w:szCs w:val="16"/>
      </w:rPr>
      <w:t>D24/1203218</w:t>
    </w:r>
  </w:p>
  <w:p w14:paraId="186B32CA" w14:textId="4E899A5F" w:rsidR="009A24D6" w:rsidRPr="00502CE7" w:rsidRDefault="009A24D6" w:rsidP="004B3ED6">
    <w:pPr>
      <w:tabs>
        <w:tab w:val="center" w:pos="4513"/>
        <w:tab w:val="right" w:pos="9026"/>
      </w:tabs>
      <w:jc w:val="right"/>
      <w:rPr>
        <w:sz w:val="16"/>
        <w:szCs w:val="16"/>
      </w:rPr>
    </w:pPr>
    <w:r w:rsidRPr="00502CE7">
      <w:rPr>
        <w:noProof/>
        <w:sz w:val="16"/>
        <w:szCs w:val="16"/>
      </w:rPr>
      <w:t xml:space="preserve">Effective date: 1 </w:t>
    </w:r>
    <w:r w:rsidR="00690A9F" w:rsidRPr="00502CE7">
      <w:rPr>
        <w:noProof/>
        <w:sz w:val="16"/>
        <w:szCs w:val="16"/>
      </w:rPr>
      <w:t>November</w:t>
    </w:r>
    <w:r w:rsidRPr="00502CE7">
      <w:rPr>
        <w:noProof/>
        <w:sz w:val="16"/>
        <w:szCs w:val="16"/>
      </w:rPr>
      <w:t>202</w:t>
    </w:r>
    <w:r w:rsidR="00690A9F" w:rsidRPr="00502CE7">
      <w:rPr>
        <w:noProof/>
        <w:sz w:val="16"/>
        <w:szCs w:val="16"/>
      </w:rPr>
      <w:t>4</w:t>
    </w:r>
  </w:p>
  <w:p w14:paraId="6388203C" w14:textId="361E0E38" w:rsidR="009A24D6" w:rsidRPr="00502CE7" w:rsidRDefault="00000000" w:rsidP="004B3ED6">
    <w:pPr>
      <w:pStyle w:val="Footer"/>
      <w:jc w:val="center"/>
      <w:rPr>
        <w:sz w:val="16"/>
        <w:szCs w:val="16"/>
      </w:rPr>
    </w:pPr>
    <w:sdt>
      <w:sdtPr>
        <w:rPr>
          <w:color w:val="7F7F7F" w:themeColor="text1" w:themeTint="80"/>
          <w:sz w:val="16"/>
          <w:szCs w:val="16"/>
          <w:highlight w:val="yellow"/>
        </w:rPr>
        <w:id w:val="-1426730884"/>
        <w:docPartObj>
          <w:docPartGallery w:val="Page Numbers (Bottom of Page)"/>
          <w:docPartUnique/>
        </w:docPartObj>
      </w:sdtPr>
      <w:sdtEndPr>
        <w:rPr>
          <w:noProof/>
          <w:color w:val="auto"/>
          <w:highlight w:val="none"/>
        </w:rPr>
      </w:sdtEndPr>
      <w:sdtContent>
        <w:r w:rsidR="009A24D6" w:rsidRPr="00502CE7">
          <w:rPr>
            <w:sz w:val="16"/>
            <w:szCs w:val="16"/>
          </w:rPr>
          <w:fldChar w:fldCharType="begin"/>
        </w:r>
        <w:r w:rsidR="009A24D6" w:rsidRPr="00502CE7">
          <w:rPr>
            <w:sz w:val="16"/>
            <w:szCs w:val="16"/>
          </w:rPr>
          <w:instrText xml:space="preserve"> PAGE   \* MERGEFORMAT </w:instrText>
        </w:r>
        <w:r w:rsidR="009A24D6" w:rsidRPr="00502CE7">
          <w:rPr>
            <w:sz w:val="16"/>
            <w:szCs w:val="16"/>
          </w:rPr>
          <w:fldChar w:fldCharType="separate"/>
        </w:r>
        <w:r w:rsidR="0006304A" w:rsidRPr="00502CE7">
          <w:rPr>
            <w:noProof/>
            <w:sz w:val="16"/>
            <w:szCs w:val="16"/>
          </w:rPr>
          <w:t>2</w:t>
        </w:r>
        <w:r w:rsidR="009A24D6" w:rsidRPr="00502CE7">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F498" w14:textId="1C0949C4" w:rsidR="009A24D6" w:rsidRPr="00502CE7" w:rsidRDefault="009A24D6" w:rsidP="004F638E">
    <w:pPr>
      <w:tabs>
        <w:tab w:val="left" w:pos="6394"/>
      </w:tabs>
      <w:rPr>
        <w:sz w:val="16"/>
        <w:szCs w:val="16"/>
      </w:rPr>
    </w:pPr>
    <w:r w:rsidRPr="00502CE7">
      <w:rPr>
        <w:sz w:val="16"/>
        <w:szCs w:val="16"/>
      </w:rPr>
      <w:t>Eligibility, Referral and Commencement Guidelines V1.</w:t>
    </w:r>
    <w:r w:rsidR="00690A9F" w:rsidRPr="00502CE7">
      <w:rPr>
        <w:sz w:val="16"/>
        <w:szCs w:val="16"/>
      </w:rPr>
      <w:t>10</w:t>
    </w:r>
    <w:r w:rsidRPr="00502CE7">
      <w:rPr>
        <w:sz w:val="16"/>
        <w:szCs w:val="16"/>
      </w:rPr>
      <w:tab/>
    </w:r>
  </w:p>
  <w:p w14:paraId="5BA0BA06" w14:textId="50452360" w:rsidR="009A24D6" w:rsidRPr="00502CE7" w:rsidRDefault="009A24D6" w:rsidP="00F84B58">
    <w:pPr>
      <w:tabs>
        <w:tab w:val="left" w:pos="2835"/>
        <w:tab w:val="center" w:pos="4513"/>
        <w:tab w:val="right" w:pos="9026"/>
      </w:tabs>
      <w:rPr>
        <w:noProof/>
        <w:sz w:val="16"/>
        <w:szCs w:val="16"/>
      </w:rPr>
    </w:pPr>
    <w:r w:rsidRPr="00502CE7">
      <w:rPr>
        <w:noProof/>
        <w:sz w:val="16"/>
        <w:szCs w:val="16"/>
      </w:rPr>
      <w:t xml:space="preserve">Arc Record Number: </w:t>
    </w:r>
    <w:r w:rsidR="00CB197F" w:rsidRPr="00502CE7">
      <w:rPr>
        <w:noProof/>
        <w:sz w:val="16"/>
        <w:szCs w:val="16"/>
      </w:rPr>
      <w:t>D24/1203218</w:t>
    </w:r>
  </w:p>
  <w:p w14:paraId="4EA64AA1" w14:textId="43C46A88" w:rsidR="009A24D6" w:rsidRPr="00502CE7" w:rsidRDefault="009A24D6" w:rsidP="00C71BDD">
    <w:pPr>
      <w:tabs>
        <w:tab w:val="center" w:pos="4513"/>
        <w:tab w:val="right" w:pos="9026"/>
      </w:tabs>
      <w:jc w:val="right"/>
      <w:rPr>
        <w:noProof/>
        <w:sz w:val="16"/>
        <w:szCs w:val="16"/>
      </w:rPr>
    </w:pPr>
    <w:r w:rsidRPr="00502CE7">
      <w:rPr>
        <w:noProof/>
        <w:sz w:val="16"/>
        <w:szCs w:val="16"/>
      </w:rPr>
      <w:t xml:space="preserve">Effective date: 1 </w:t>
    </w:r>
    <w:r w:rsidR="00690A9F" w:rsidRPr="00502CE7">
      <w:rPr>
        <w:noProof/>
        <w:sz w:val="16"/>
        <w:szCs w:val="16"/>
      </w:rPr>
      <w:t>November</w:t>
    </w:r>
    <w:r w:rsidRPr="00502CE7">
      <w:rPr>
        <w:noProof/>
        <w:sz w:val="16"/>
        <w:szCs w:val="16"/>
      </w:rPr>
      <w:t xml:space="preserve"> 202</w:t>
    </w:r>
    <w:r w:rsidR="00690A9F" w:rsidRPr="00502CE7">
      <w:rPr>
        <w:noProof/>
        <w:sz w:val="16"/>
        <w:szCs w:val="16"/>
      </w:rPr>
      <w:t>4</w:t>
    </w:r>
  </w:p>
  <w:p w14:paraId="1179756F" w14:textId="18CA79DE" w:rsidR="009A24D6" w:rsidRPr="00502CE7" w:rsidRDefault="009A24D6" w:rsidP="0080358E">
    <w:pPr>
      <w:tabs>
        <w:tab w:val="center" w:pos="4513"/>
        <w:tab w:val="right" w:pos="9026"/>
      </w:tabs>
      <w:jc w:val="center"/>
      <w:rPr>
        <w:sz w:val="16"/>
        <w:szCs w:val="16"/>
      </w:rPr>
    </w:pPr>
    <w:r w:rsidRPr="00502CE7">
      <w:rPr>
        <w:sz w:val="16"/>
        <w:szCs w:val="16"/>
      </w:rPr>
      <w:fldChar w:fldCharType="begin"/>
    </w:r>
    <w:r w:rsidRPr="00502CE7">
      <w:rPr>
        <w:sz w:val="16"/>
        <w:szCs w:val="16"/>
      </w:rPr>
      <w:instrText xml:space="preserve"> PAGE   \* MERGEFORMAT </w:instrText>
    </w:r>
    <w:r w:rsidRPr="00502CE7">
      <w:rPr>
        <w:sz w:val="16"/>
        <w:szCs w:val="16"/>
      </w:rPr>
      <w:fldChar w:fldCharType="separate"/>
    </w:r>
    <w:r w:rsidR="0006304A" w:rsidRPr="00502CE7">
      <w:rPr>
        <w:noProof/>
        <w:sz w:val="16"/>
        <w:szCs w:val="16"/>
      </w:rPr>
      <w:t>6</w:t>
    </w:r>
    <w:r w:rsidRPr="00502CE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2D83" w14:textId="77777777" w:rsidR="00276FEE" w:rsidRDefault="00276FEE" w:rsidP="00E73CA1">
      <w:r>
        <w:separator/>
      </w:r>
    </w:p>
  </w:footnote>
  <w:footnote w:type="continuationSeparator" w:id="0">
    <w:p w14:paraId="60B2F44A" w14:textId="77777777" w:rsidR="00276FEE" w:rsidRDefault="00276FEE" w:rsidP="005C3030">
      <w:r>
        <w:continuationSeparator/>
      </w:r>
    </w:p>
    <w:p w14:paraId="4C52B28B" w14:textId="77777777" w:rsidR="00276FEE" w:rsidRDefault="00276FEE" w:rsidP="00E7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7369" w14:textId="62268231" w:rsidR="009A24D6" w:rsidRDefault="009A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D07A" w14:textId="7A5D85F0" w:rsidR="009A24D6" w:rsidRDefault="009A2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D2A3" w14:textId="065ABD8D" w:rsidR="009A24D6" w:rsidRDefault="009A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05E"/>
    <w:multiLevelType w:val="hybridMultilevel"/>
    <w:tmpl w:val="30DE2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605B97"/>
    <w:multiLevelType w:val="hybridMultilevel"/>
    <w:tmpl w:val="140C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C021C"/>
    <w:multiLevelType w:val="hybridMultilevel"/>
    <w:tmpl w:val="5AD8A0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6E131B"/>
    <w:multiLevelType w:val="hybridMultilevel"/>
    <w:tmpl w:val="5DAA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93AC7"/>
    <w:multiLevelType w:val="hybridMultilevel"/>
    <w:tmpl w:val="3D1A64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C6C332E"/>
    <w:multiLevelType w:val="hybridMultilevel"/>
    <w:tmpl w:val="3D4288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91358"/>
    <w:multiLevelType w:val="hybridMultilevel"/>
    <w:tmpl w:val="88523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A62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765306B"/>
    <w:multiLevelType w:val="hybridMultilevel"/>
    <w:tmpl w:val="77CADC9C"/>
    <w:lvl w:ilvl="0" w:tplc="CA9C676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B349A6"/>
    <w:multiLevelType w:val="hybridMultilevel"/>
    <w:tmpl w:val="6C4AD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40283"/>
    <w:multiLevelType w:val="hybridMultilevel"/>
    <w:tmpl w:val="7872491E"/>
    <w:lvl w:ilvl="0" w:tplc="0C090001">
      <w:start w:val="1"/>
      <w:numFmt w:val="bullet"/>
      <w:lvlText w:val=""/>
      <w:lvlJc w:val="left"/>
      <w:pPr>
        <w:tabs>
          <w:tab w:val="num" w:pos="840"/>
        </w:tabs>
        <w:ind w:left="840" w:hanging="360"/>
      </w:pPr>
      <w:rPr>
        <w:rFonts w:ascii="Symbol" w:hAnsi="Symbol" w:hint="default"/>
      </w:rPr>
    </w:lvl>
    <w:lvl w:ilvl="1" w:tplc="12663102">
      <w:start w:val="1"/>
      <w:numFmt w:val="lowerLetter"/>
      <w:pStyle w:val="StyleHeading1"/>
      <w:lvlText w:val="%2."/>
      <w:lvlJc w:val="left"/>
      <w:pPr>
        <w:tabs>
          <w:tab w:val="num" w:pos="170"/>
        </w:tabs>
        <w:ind w:left="170" w:hanging="170"/>
      </w:pPr>
      <w:rPr>
        <w:rFonts w:ascii="Calibri" w:hAnsi="Calibri" w:hint="default"/>
        <w:b w:val="0"/>
        <w:i w:val="0"/>
        <w:color w:val="auto"/>
        <w:sz w:val="20"/>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2A9D0940"/>
    <w:multiLevelType w:val="hybridMultilevel"/>
    <w:tmpl w:val="2144A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5E6152"/>
    <w:multiLevelType w:val="hybridMultilevel"/>
    <w:tmpl w:val="AE301E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6053FB"/>
    <w:multiLevelType w:val="hybridMultilevel"/>
    <w:tmpl w:val="97E6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40033"/>
    <w:multiLevelType w:val="multilevel"/>
    <w:tmpl w:val="0FD0F0AA"/>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D72A57"/>
    <w:multiLevelType w:val="hybridMultilevel"/>
    <w:tmpl w:val="069A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71E8E"/>
    <w:multiLevelType w:val="hybridMultilevel"/>
    <w:tmpl w:val="B22A8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8C6325"/>
    <w:multiLevelType w:val="hybridMultilevel"/>
    <w:tmpl w:val="7D129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C570F"/>
    <w:multiLevelType w:val="multilevel"/>
    <w:tmpl w:val="316A2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F526A7C"/>
    <w:multiLevelType w:val="hybridMultilevel"/>
    <w:tmpl w:val="EDE8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92244"/>
    <w:multiLevelType w:val="hybridMultilevel"/>
    <w:tmpl w:val="D018A83E"/>
    <w:lvl w:ilvl="0" w:tplc="B9DCB756">
      <w:start w:val="1"/>
      <w:numFmt w:val="bullet"/>
      <w:pStyle w:val="StyleListBullet3Arial"/>
      <w:lvlText w:val=""/>
      <w:lvlJc w:val="left"/>
      <w:pPr>
        <w:tabs>
          <w:tab w:val="num" w:pos="926"/>
        </w:tabs>
        <w:ind w:left="92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D53EF"/>
    <w:multiLevelType w:val="hybridMultilevel"/>
    <w:tmpl w:val="7DE4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563F3"/>
    <w:multiLevelType w:val="hybridMultilevel"/>
    <w:tmpl w:val="35A8F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52CCD"/>
    <w:multiLevelType w:val="hybridMultilevel"/>
    <w:tmpl w:val="13363EA6"/>
    <w:lvl w:ilvl="0" w:tplc="C4FEC400">
      <w:numFmt w:val="bullet"/>
      <w:lvlText w:val=""/>
      <w:lvlJc w:val="left"/>
      <w:pPr>
        <w:tabs>
          <w:tab w:val="num" w:pos="720"/>
        </w:tabs>
        <w:ind w:left="720" w:hanging="360"/>
      </w:pPr>
      <w:rPr>
        <w:rFonts w:ascii="Symbol" w:eastAsia="Times New Roman" w:hAnsi="Symbol" w:cs="Aria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7908BE"/>
    <w:multiLevelType w:val="hybridMultilevel"/>
    <w:tmpl w:val="48E84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DD58C2"/>
    <w:multiLevelType w:val="hybridMultilevel"/>
    <w:tmpl w:val="8EA61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301C0"/>
    <w:multiLevelType w:val="hybridMultilevel"/>
    <w:tmpl w:val="0504B9D2"/>
    <w:lvl w:ilvl="0" w:tplc="BB38CE66">
      <w:start w:val="1"/>
      <w:numFmt w:val="lowerLetter"/>
      <w:pStyle w:val="Para"/>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7" w15:restartNumberingAfterBreak="0">
    <w:nsid w:val="61A42295"/>
    <w:multiLevelType w:val="hybridMultilevel"/>
    <w:tmpl w:val="CF1E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2161DC"/>
    <w:multiLevelType w:val="hybridMultilevel"/>
    <w:tmpl w:val="6FBC052A"/>
    <w:lvl w:ilvl="0" w:tplc="2444B55E">
      <w:start w:val="1"/>
      <w:numFmt w:val="bullet"/>
      <w:pStyle w:val="bulletbullets"/>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17FF2"/>
    <w:multiLevelType w:val="hybridMultilevel"/>
    <w:tmpl w:val="57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6444ECF"/>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0C57F0"/>
    <w:multiLevelType w:val="hybridMultilevel"/>
    <w:tmpl w:val="A08A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9518828">
    <w:abstractNumId w:val="8"/>
  </w:num>
  <w:num w:numId="2" w16cid:durableId="1735935012">
    <w:abstractNumId w:val="13"/>
  </w:num>
  <w:num w:numId="3" w16cid:durableId="188644771">
    <w:abstractNumId w:val="27"/>
  </w:num>
  <w:num w:numId="4" w16cid:durableId="390812760">
    <w:abstractNumId w:val="26"/>
  </w:num>
  <w:num w:numId="5" w16cid:durableId="1152284943">
    <w:abstractNumId w:val="7"/>
  </w:num>
  <w:num w:numId="6" w16cid:durableId="40980090">
    <w:abstractNumId w:val="28"/>
  </w:num>
  <w:num w:numId="7" w16cid:durableId="1953510007">
    <w:abstractNumId w:val="10"/>
  </w:num>
  <w:num w:numId="8" w16cid:durableId="410933737">
    <w:abstractNumId w:val="23"/>
  </w:num>
  <w:num w:numId="9" w16cid:durableId="194971184">
    <w:abstractNumId w:val="20"/>
  </w:num>
  <w:num w:numId="10" w16cid:durableId="2010912648">
    <w:abstractNumId w:val="3"/>
  </w:num>
  <w:num w:numId="11" w16cid:durableId="557404437">
    <w:abstractNumId w:val="5"/>
  </w:num>
  <w:num w:numId="12" w16cid:durableId="1762021016">
    <w:abstractNumId w:val="22"/>
  </w:num>
  <w:num w:numId="13" w16cid:durableId="1706172232">
    <w:abstractNumId w:val="2"/>
  </w:num>
  <w:num w:numId="14" w16cid:durableId="1168327846">
    <w:abstractNumId w:val="11"/>
  </w:num>
  <w:num w:numId="15" w16cid:durableId="755513676">
    <w:abstractNumId w:val="14"/>
  </w:num>
  <w:num w:numId="16" w16cid:durableId="1925340379">
    <w:abstractNumId w:val="16"/>
  </w:num>
  <w:num w:numId="17" w16cid:durableId="552035145">
    <w:abstractNumId w:val="24"/>
  </w:num>
  <w:num w:numId="18" w16cid:durableId="747384452">
    <w:abstractNumId w:val="30"/>
  </w:num>
  <w:num w:numId="19" w16cid:durableId="462501029">
    <w:abstractNumId w:val="0"/>
  </w:num>
  <w:num w:numId="20" w16cid:durableId="1040326297">
    <w:abstractNumId w:val="25"/>
  </w:num>
  <w:num w:numId="21" w16cid:durableId="280574182">
    <w:abstractNumId w:val="17"/>
  </w:num>
  <w:num w:numId="22" w16cid:durableId="254631990">
    <w:abstractNumId w:val="21"/>
  </w:num>
  <w:num w:numId="23" w16cid:durableId="1638876054">
    <w:abstractNumId w:val="6"/>
  </w:num>
  <w:num w:numId="24" w16cid:durableId="1402946447">
    <w:abstractNumId w:val="9"/>
  </w:num>
  <w:num w:numId="25" w16cid:durableId="1789156575">
    <w:abstractNumId w:val="15"/>
  </w:num>
  <w:num w:numId="26" w16cid:durableId="646864993">
    <w:abstractNumId w:val="12"/>
  </w:num>
  <w:num w:numId="27" w16cid:durableId="2111077155">
    <w:abstractNumId w:val="1"/>
  </w:num>
  <w:num w:numId="28" w16cid:durableId="1471745934">
    <w:abstractNumId w:val="4"/>
  </w:num>
  <w:num w:numId="29" w16cid:durableId="1393389677">
    <w:abstractNumId w:val="31"/>
  </w:num>
  <w:num w:numId="30" w16cid:durableId="1768228825">
    <w:abstractNumId w:val="19"/>
  </w:num>
  <w:num w:numId="31" w16cid:durableId="681277071">
    <w:abstractNumId w:val="29"/>
  </w:num>
  <w:num w:numId="32" w16cid:durableId="280457254">
    <w:abstractNumId w:val="18"/>
  </w:num>
  <w:num w:numId="33" w16cid:durableId="2082411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583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272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23133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5169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8752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827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218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34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176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8914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25927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4812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0335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4701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9656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3114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AE"/>
    <w:rsid w:val="00000DA4"/>
    <w:rsid w:val="00002B44"/>
    <w:rsid w:val="00002CD3"/>
    <w:rsid w:val="00003DB6"/>
    <w:rsid w:val="00005973"/>
    <w:rsid w:val="00006226"/>
    <w:rsid w:val="00011020"/>
    <w:rsid w:val="00013407"/>
    <w:rsid w:val="000134DE"/>
    <w:rsid w:val="00016286"/>
    <w:rsid w:val="00016861"/>
    <w:rsid w:val="00017194"/>
    <w:rsid w:val="00024800"/>
    <w:rsid w:val="00024842"/>
    <w:rsid w:val="00026162"/>
    <w:rsid w:val="00026472"/>
    <w:rsid w:val="000264B9"/>
    <w:rsid w:val="0002690F"/>
    <w:rsid w:val="00027292"/>
    <w:rsid w:val="00036728"/>
    <w:rsid w:val="000437A8"/>
    <w:rsid w:val="00045FFB"/>
    <w:rsid w:val="00051631"/>
    <w:rsid w:val="000545DB"/>
    <w:rsid w:val="00054D51"/>
    <w:rsid w:val="00055BFE"/>
    <w:rsid w:val="00055D91"/>
    <w:rsid w:val="00061284"/>
    <w:rsid w:val="0006304A"/>
    <w:rsid w:val="00063479"/>
    <w:rsid w:val="000646F8"/>
    <w:rsid w:val="00066E63"/>
    <w:rsid w:val="00071495"/>
    <w:rsid w:val="00073E0C"/>
    <w:rsid w:val="00074218"/>
    <w:rsid w:val="0007502B"/>
    <w:rsid w:val="000750B5"/>
    <w:rsid w:val="00082D0E"/>
    <w:rsid w:val="000830AE"/>
    <w:rsid w:val="000833C3"/>
    <w:rsid w:val="00087FB9"/>
    <w:rsid w:val="0009022F"/>
    <w:rsid w:val="00090EE7"/>
    <w:rsid w:val="000912F7"/>
    <w:rsid w:val="00092AFE"/>
    <w:rsid w:val="00093316"/>
    <w:rsid w:val="00093A0D"/>
    <w:rsid w:val="00093BC3"/>
    <w:rsid w:val="00094F74"/>
    <w:rsid w:val="00095059"/>
    <w:rsid w:val="000954D8"/>
    <w:rsid w:val="0009689A"/>
    <w:rsid w:val="00096DEC"/>
    <w:rsid w:val="000A2A4F"/>
    <w:rsid w:val="000A3942"/>
    <w:rsid w:val="000A3FD9"/>
    <w:rsid w:val="000A4141"/>
    <w:rsid w:val="000A5713"/>
    <w:rsid w:val="000A7C4C"/>
    <w:rsid w:val="000B0CDE"/>
    <w:rsid w:val="000B1C22"/>
    <w:rsid w:val="000B220C"/>
    <w:rsid w:val="000B2D21"/>
    <w:rsid w:val="000B32BA"/>
    <w:rsid w:val="000B4363"/>
    <w:rsid w:val="000B5541"/>
    <w:rsid w:val="000B717E"/>
    <w:rsid w:val="000B74E0"/>
    <w:rsid w:val="000B7D85"/>
    <w:rsid w:val="000B7E07"/>
    <w:rsid w:val="000C2532"/>
    <w:rsid w:val="000C299C"/>
    <w:rsid w:val="000C4F36"/>
    <w:rsid w:val="000C55BB"/>
    <w:rsid w:val="000C73D6"/>
    <w:rsid w:val="000C7EC3"/>
    <w:rsid w:val="000D0F02"/>
    <w:rsid w:val="000D1242"/>
    <w:rsid w:val="000D34E2"/>
    <w:rsid w:val="000D354B"/>
    <w:rsid w:val="000D473B"/>
    <w:rsid w:val="000D4D8E"/>
    <w:rsid w:val="000D571F"/>
    <w:rsid w:val="000D7B95"/>
    <w:rsid w:val="000E0DA6"/>
    <w:rsid w:val="000E7273"/>
    <w:rsid w:val="000E7468"/>
    <w:rsid w:val="000E7A18"/>
    <w:rsid w:val="000F2597"/>
    <w:rsid w:val="000F26EF"/>
    <w:rsid w:val="000F2B3B"/>
    <w:rsid w:val="000F3467"/>
    <w:rsid w:val="000F36D4"/>
    <w:rsid w:val="000F6E1D"/>
    <w:rsid w:val="00100CAA"/>
    <w:rsid w:val="00100E7C"/>
    <w:rsid w:val="0010374F"/>
    <w:rsid w:val="00103751"/>
    <w:rsid w:val="0010596A"/>
    <w:rsid w:val="00105ADD"/>
    <w:rsid w:val="00106D1B"/>
    <w:rsid w:val="00114135"/>
    <w:rsid w:val="00115532"/>
    <w:rsid w:val="00120B78"/>
    <w:rsid w:val="00122304"/>
    <w:rsid w:val="00125315"/>
    <w:rsid w:val="0012562E"/>
    <w:rsid w:val="0012610B"/>
    <w:rsid w:val="00126312"/>
    <w:rsid w:val="00132478"/>
    <w:rsid w:val="00132D00"/>
    <w:rsid w:val="00134AB6"/>
    <w:rsid w:val="00135608"/>
    <w:rsid w:val="001407AE"/>
    <w:rsid w:val="00141ED2"/>
    <w:rsid w:val="00143E77"/>
    <w:rsid w:val="0014525E"/>
    <w:rsid w:val="001464C1"/>
    <w:rsid w:val="001465D1"/>
    <w:rsid w:val="001477C8"/>
    <w:rsid w:val="001517DB"/>
    <w:rsid w:val="00151AC3"/>
    <w:rsid w:val="00152D1F"/>
    <w:rsid w:val="00160A1B"/>
    <w:rsid w:val="00164969"/>
    <w:rsid w:val="00167CBA"/>
    <w:rsid w:val="00170314"/>
    <w:rsid w:val="00170DA8"/>
    <w:rsid w:val="00173A1D"/>
    <w:rsid w:val="00176B0F"/>
    <w:rsid w:val="00177036"/>
    <w:rsid w:val="001801F6"/>
    <w:rsid w:val="001815E0"/>
    <w:rsid w:val="00183911"/>
    <w:rsid w:val="00183E5B"/>
    <w:rsid w:val="0018585F"/>
    <w:rsid w:val="001859AB"/>
    <w:rsid w:val="00185FCC"/>
    <w:rsid w:val="0018638D"/>
    <w:rsid w:val="001906E0"/>
    <w:rsid w:val="0019201B"/>
    <w:rsid w:val="001923BF"/>
    <w:rsid w:val="0019274A"/>
    <w:rsid w:val="00196189"/>
    <w:rsid w:val="001967F7"/>
    <w:rsid w:val="001968F6"/>
    <w:rsid w:val="00197032"/>
    <w:rsid w:val="001974FE"/>
    <w:rsid w:val="001A1E14"/>
    <w:rsid w:val="001A4253"/>
    <w:rsid w:val="001A436C"/>
    <w:rsid w:val="001A6C71"/>
    <w:rsid w:val="001A774E"/>
    <w:rsid w:val="001B4EA8"/>
    <w:rsid w:val="001B5141"/>
    <w:rsid w:val="001B5BD3"/>
    <w:rsid w:val="001B6FEA"/>
    <w:rsid w:val="001B7241"/>
    <w:rsid w:val="001B7CE1"/>
    <w:rsid w:val="001C73CB"/>
    <w:rsid w:val="001C753B"/>
    <w:rsid w:val="001D28BA"/>
    <w:rsid w:val="001D2B55"/>
    <w:rsid w:val="001D46B5"/>
    <w:rsid w:val="001D496D"/>
    <w:rsid w:val="001D5409"/>
    <w:rsid w:val="001D73F6"/>
    <w:rsid w:val="001E00B2"/>
    <w:rsid w:val="001E3CF5"/>
    <w:rsid w:val="001E6B17"/>
    <w:rsid w:val="001F31CD"/>
    <w:rsid w:val="001F5A03"/>
    <w:rsid w:val="001F73C3"/>
    <w:rsid w:val="001F770B"/>
    <w:rsid w:val="002031C1"/>
    <w:rsid w:val="002039D2"/>
    <w:rsid w:val="00205723"/>
    <w:rsid w:val="00207AC8"/>
    <w:rsid w:val="002107A1"/>
    <w:rsid w:val="00211E16"/>
    <w:rsid w:val="00213141"/>
    <w:rsid w:val="002139A9"/>
    <w:rsid w:val="00216BF0"/>
    <w:rsid w:val="00216CD2"/>
    <w:rsid w:val="002250DA"/>
    <w:rsid w:val="0022680C"/>
    <w:rsid w:val="002268D2"/>
    <w:rsid w:val="00231F55"/>
    <w:rsid w:val="00233597"/>
    <w:rsid w:val="002336B3"/>
    <w:rsid w:val="002349D9"/>
    <w:rsid w:val="002353C3"/>
    <w:rsid w:val="00236691"/>
    <w:rsid w:val="00237285"/>
    <w:rsid w:val="00237D58"/>
    <w:rsid w:val="00237D93"/>
    <w:rsid w:val="00240E85"/>
    <w:rsid w:val="00241B01"/>
    <w:rsid w:val="00242BB3"/>
    <w:rsid w:val="00244A86"/>
    <w:rsid w:val="00245629"/>
    <w:rsid w:val="00246D87"/>
    <w:rsid w:val="002508F4"/>
    <w:rsid w:val="002558E9"/>
    <w:rsid w:val="00256399"/>
    <w:rsid w:val="00256820"/>
    <w:rsid w:val="0025791D"/>
    <w:rsid w:val="00260307"/>
    <w:rsid w:val="00260873"/>
    <w:rsid w:val="00260D67"/>
    <w:rsid w:val="00261258"/>
    <w:rsid w:val="00261C68"/>
    <w:rsid w:val="0026462C"/>
    <w:rsid w:val="00264AFC"/>
    <w:rsid w:val="002652C2"/>
    <w:rsid w:val="002661DA"/>
    <w:rsid w:val="00266202"/>
    <w:rsid w:val="0026648A"/>
    <w:rsid w:val="0027047F"/>
    <w:rsid w:val="0027180E"/>
    <w:rsid w:val="00271E89"/>
    <w:rsid w:val="00274D3B"/>
    <w:rsid w:val="0027562A"/>
    <w:rsid w:val="00276FEE"/>
    <w:rsid w:val="00277811"/>
    <w:rsid w:val="00281882"/>
    <w:rsid w:val="00281CD5"/>
    <w:rsid w:val="00281D9A"/>
    <w:rsid w:val="0029124E"/>
    <w:rsid w:val="002925AD"/>
    <w:rsid w:val="00294B81"/>
    <w:rsid w:val="00295A97"/>
    <w:rsid w:val="002A0B75"/>
    <w:rsid w:val="002A0FE6"/>
    <w:rsid w:val="002A362B"/>
    <w:rsid w:val="002A3CED"/>
    <w:rsid w:val="002A693D"/>
    <w:rsid w:val="002A6F84"/>
    <w:rsid w:val="002B3235"/>
    <w:rsid w:val="002B33B9"/>
    <w:rsid w:val="002B3D3C"/>
    <w:rsid w:val="002B4780"/>
    <w:rsid w:val="002C04D3"/>
    <w:rsid w:val="002C086F"/>
    <w:rsid w:val="002C17C4"/>
    <w:rsid w:val="002C388F"/>
    <w:rsid w:val="002C46F6"/>
    <w:rsid w:val="002C7994"/>
    <w:rsid w:val="002D0085"/>
    <w:rsid w:val="002D032D"/>
    <w:rsid w:val="002D0778"/>
    <w:rsid w:val="002D2ED8"/>
    <w:rsid w:val="002D50AB"/>
    <w:rsid w:val="002D5DD9"/>
    <w:rsid w:val="002D7F87"/>
    <w:rsid w:val="002E08ED"/>
    <w:rsid w:val="002E2924"/>
    <w:rsid w:val="002E392F"/>
    <w:rsid w:val="002E59E7"/>
    <w:rsid w:val="002E6480"/>
    <w:rsid w:val="002E7FAA"/>
    <w:rsid w:val="002F0059"/>
    <w:rsid w:val="002F283B"/>
    <w:rsid w:val="002F351F"/>
    <w:rsid w:val="002F378C"/>
    <w:rsid w:val="002F4ACC"/>
    <w:rsid w:val="002F563B"/>
    <w:rsid w:val="002F6EFF"/>
    <w:rsid w:val="003002E8"/>
    <w:rsid w:val="0030286F"/>
    <w:rsid w:val="00303283"/>
    <w:rsid w:val="00306EBE"/>
    <w:rsid w:val="003150A4"/>
    <w:rsid w:val="003170D5"/>
    <w:rsid w:val="003221B0"/>
    <w:rsid w:val="00322EED"/>
    <w:rsid w:val="0032488B"/>
    <w:rsid w:val="00327E98"/>
    <w:rsid w:val="003321B3"/>
    <w:rsid w:val="00332E58"/>
    <w:rsid w:val="003347EB"/>
    <w:rsid w:val="00334C76"/>
    <w:rsid w:val="00334F15"/>
    <w:rsid w:val="003409C1"/>
    <w:rsid w:val="0034276F"/>
    <w:rsid w:val="00343BA0"/>
    <w:rsid w:val="00344E41"/>
    <w:rsid w:val="003467C2"/>
    <w:rsid w:val="003477F6"/>
    <w:rsid w:val="00350DC6"/>
    <w:rsid w:val="003516F6"/>
    <w:rsid w:val="00354C37"/>
    <w:rsid w:val="00356E25"/>
    <w:rsid w:val="00361F75"/>
    <w:rsid w:val="00364BC5"/>
    <w:rsid w:val="00371CE4"/>
    <w:rsid w:val="003748E6"/>
    <w:rsid w:val="00374AE5"/>
    <w:rsid w:val="00374E0B"/>
    <w:rsid w:val="00374E3A"/>
    <w:rsid w:val="003756D4"/>
    <w:rsid w:val="00376161"/>
    <w:rsid w:val="00376691"/>
    <w:rsid w:val="003769DC"/>
    <w:rsid w:val="00381626"/>
    <w:rsid w:val="003827FC"/>
    <w:rsid w:val="003830A2"/>
    <w:rsid w:val="0038438F"/>
    <w:rsid w:val="0038480A"/>
    <w:rsid w:val="00384AE7"/>
    <w:rsid w:val="00386757"/>
    <w:rsid w:val="0038751B"/>
    <w:rsid w:val="00387BD9"/>
    <w:rsid w:val="00390B8A"/>
    <w:rsid w:val="00392CC8"/>
    <w:rsid w:val="00394239"/>
    <w:rsid w:val="00395B35"/>
    <w:rsid w:val="00397D5B"/>
    <w:rsid w:val="00397EBD"/>
    <w:rsid w:val="003A0E6B"/>
    <w:rsid w:val="003A23C9"/>
    <w:rsid w:val="003A2A15"/>
    <w:rsid w:val="003A4508"/>
    <w:rsid w:val="003A46B3"/>
    <w:rsid w:val="003A4C32"/>
    <w:rsid w:val="003A6E56"/>
    <w:rsid w:val="003B1C46"/>
    <w:rsid w:val="003B4A29"/>
    <w:rsid w:val="003B61A5"/>
    <w:rsid w:val="003B6A82"/>
    <w:rsid w:val="003C09AB"/>
    <w:rsid w:val="003C158A"/>
    <w:rsid w:val="003C2736"/>
    <w:rsid w:val="003C4823"/>
    <w:rsid w:val="003C55BC"/>
    <w:rsid w:val="003D24B7"/>
    <w:rsid w:val="003D26D3"/>
    <w:rsid w:val="003D3899"/>
    <w:rsid w:val="003D47EE"/>
    <w:rsid w:val="003D49DF"/>
    <w:rsid w:val="003D5509"/>
    <w:rsid w:val="003D5581"/>
    <w:rsid w:val="003D6A67"/>
    <w:rsid w:val="003E0B65"/>
    <w:rsid w:val="003E16DF"/>
    <w:rsid w:val="003E1941"/>
    <w:rsid w:val="003E4D9F"/>
    <w:rsid w:val="003E5BA7"/>
    <w:rsid w:val="003E5F78"/>
    <w:rsid w:val="003E62A4"/>
    <w:rsid w:val="003F7368"/>
    <w:rsid w:val="003F742B"/>
    <w:rsid w:val="00403001"/>
    <w:rsid w:val="00405AFC"/>
    <w:rsid w:val="004069D9"/>
    <w:rsid w:val="004078C7"/>
    <w:rsid w:val="00407C86"/>
    <w:rsid w:val="0041097F"/>
    <w:rsid w:val="004114FD"/>
    <w:rsid w:val="00413701"/>
    <w:rsid w:val="00420ADF"/>
    <w:rsid w:val="00423262"/>
    <w:rsid w:val="004318B4"/>
    <w:rsid w:val="0043225B"/>
    <w:rsid w:val="00433C08"/>
    <w:rsid w:val="00436D02"/>
    <w:rsid w:val="0043750B"/>
    <w:rsid w:val="00440B03"/>
    <w:rsid w:val="00440C3A"/>
    <w:rsid w:val="00443D23"/>
    <w:rsid w:val="00444D46"/>
    <w:rsid w:val="00444E6C"/>
    <w:rsid w:val="00445207"/>
    <w:rsid w:val="00445548"/>
    <w:rsid w:val="004464B0"/>
    <w:rsid w:val="00446B51"/>
    <w:rsid w:val="004505F0"/>
    <w:rsid w:val="0045124F"/>
    <w:rsid w:val="00451CE9"/>
    <w:rsid w:val="00452052"/>
    <w:rsid w:val="00453660"/>
    <w:rsid w:val="00455082"/>
    <w:rsid w:val="0045550F"/>
    <w:rsid w:val="00456868"/>
    <w:rsid w:val="0045707A"/>
    <w:rsid w:val="00457287"/>
    <w:rsid w:val="0046137B"/>
    <w:rsid w:val="00462E44"/>
    <w:rsid w:val="00464CE7"/>
    <w:rsid w:val="00466592"/>
    <w:rsid w:val="00475900"/>
    <w:rsid w:val="00475AD0"/>
    <w:rsid w:val="00476B8D"/>
    <w:rsid w:val="00483036"/>
    <w:rsid w:val="00485F46"/>
    <w:rsid w:val="00490C26"/>
    <w:rsid w:val="004A2151"/>
    <w:rsid w:val="004A4550"/>
    <w:rsid w:val="004A4AAD"/>
    <w:rsid w:val="004B06DC"/>
    <w:rsid w:val="004B28CE"/>
    <w:rsid w:val="004B3ED6"/>
    <w:rsid w:val="004C24B6"/>
    <w:rsid w:val="004C5040"/>
    <w:rsid w:val="004C5589"/>
    <w:rsid w:val="004C7D61"/>
    <w:rsid w:val="004D07AF"/>
    <w:rsid w:val="004D28E2"/>
    <w:rsid w:val="004D32E8"/>
    <w:rsid w:val="004D341E"/>
    <w:rsid w:val="004D3678"/>
    <w:rsid w:val="004D66C2"/>
    <w:rsid w:val="004E0184"/>
    <w:rsid w:val="004E0784"/>
    <w:rsid w:val="004E2236"/>
    <w:rsid w:val="004E2723"/>
    <w:rsid w:val="004E4809"/>
    <w:rsid w:val="004E4B44"/>
    <w:rsid w:val="004E4CC1"/>
    <w:rsid w:val="004E612A"/>
    <w:rsid w:val="004E790F"/>
    <w:rsid w:val="004F044E"/>
    <w:rsid w:val="004F638E"/>
    <w:rsid w:val="004F76A2"/>
    <w:rsid w:val="00502CE7"/>
    <w:rsid w:val="00504DF5"/>
    <w:rsid w:val="00505529"/>
    <w:rsid w:val="00510610"/>
    <w:rsid w:val="0051088C"/>
    <w:rsid w:val="00512E71"/>
    <w:rsid w:val="005147AA"/>
    <w:rsid w:val="005169D7"/>
    <w:rsid w:val="00521E8C"/>
    <w:rsid w:val="0053059F"/>
    <w:rsid w:val="005321C1"/>
    <w:rsid w:val="0053331E"/>
    <w:rsid w:val="005346A4"/>
    <w:rsid w:val="0053495B"/>
    <w:rsid w:val="005358F8"/>
    <w:rsid w:val="00537664"/>
    <w:rsid w:val="005416AB"/>
    <w:rsid w:val="00543311"/>
    <w:rsid w:val="00546F9E"/>
    <w:rsid w:val="00553AC6"/>
    <w:rsid w:val="00554B3A"/>
    <w:rsid w:val="005559B4"/>
    <w:rsid w:val="00555F13"/>
    <w:rsid w:val="005563F2"/>
    <w:rsid w:val="00560689"/>
    <w:rsid w:val="0056106A"/>
    <w:rsid w:val="0056155B"/>
    <w:rsid w:val="00563089"/>
    <w:rsid w:val="005643D7"/>
    <w:rsid w:val="005644E4"/>
    <w:rsid w:val="00567867"/>
    <w:rsid w:val="0057009E"/>
    <w:rsid w:val="00573451"/>
    <w:rsid w:val="005756A8"/>
    <w:rsid w:val="005809C1"/>
    <w:rsid w:val="00580DCD"/>
    <w:rsid w:val="005811CD"/>
    <w:rsid w:val="0058148B"/>
    <w:rsid w:val="00581665"/>
    <w:rsid w:val="0058183F"/>
    <w:rsid w:val="005831E9"/>
    <w:rsid w:val="00583808"/>
    <w:rsid w:val="00585F6C"/>
    <w:rsid w:val="00591507"/>
    <w:rsid w:val="005926B7"/>
    <w:rsid w:val="00592821"/>
    <w:rsid w:val="005954D8"/>
    <w:rsid w:val="00596146"/>
    <w:rsid w:val="00597DAA"/>
    <w:rsid w:val="005A0D0E"/>
    <w:rsid w:val="005A1A27"/>
    <w:rsid w:val="005A42D0"/>
    <w:rsid w:val="005A5EEE"/>
    <w:rsid w:val="005B05F4"/>
    <w:rsid w:val="005B0760"/>
    <w:rsid w:val="005B2B5F"/>
    <w:rsid w:val="005B4598"/>
    <w:rsid w:val="005B4640"/>
    <w:rsid w:val="005C0A07"/>
    <w:rsid w:val="005C244C"/>
    <w:rsid w:val="005C260A"/>
    <w:rsid w:val="005C3030"/>
    <w:rsid w:val="005C4439"/>
    <w:rsid w:val="005C7EAA"/>
    <w:rsid w:val="005D2CA7"/>
    <w:rsid w:val="005D3F10"/>
    <w:rsid w:val="005D6CAD"/>
    <w:rsid w:val="005D742D"/>
    <w:rsid w:val="005E1497"/>
    <w:rsid w:val="005E17D8"/>
    <w:rsid w:val="005E24A9"/>
    <w:rsid w:val="005E2C59"/>
    <w:rsid w:val="005E6801"/>
    <w:rsid w:val="005F39E4"/>
    <w:rsid w:val="005F7D57"/>
    <w:rsid w:val="00604113"/>
    <w:rsid w:val="00606223"/>
    <w:rsid w:val="00612A66"/>
    <w:rsid w:val="00612D29"/>
    <w:rsid w:val="006137AF"/>
    <w:rsid w:val="00613C40"/>
    <w:rsid w:val="00614FC4"/>
    <w:rsid w:val="00622F42"/>
    <w:rsid w:val="00622FE0"/>
    <w:rsid w:val="006236D2"/>
    <w:rsid w:val="00623A81"/>
    <w:rsid w:val="00626A18"/>
    <w:rsid w:val="00630EC7"/>
    <w:rsid w:val="006323F1"/>
    <w:rsid w:val="00632F80"/>
    <w:rsid w:val="006353EF"/>
    <w:rsid w:val="006371CA"/>
    <w:rsid w:val="00637432"/>
    <w:rsid w:val="00641D03"/>
    <w:rsid w:val="00642627"/>
    <w:rsid w:val="00643E36"/>
    <w:rsid w:val="006441DD"/>
    <w:rsid w:val="00644387"/>
    <w:rsid w:val="00645743"/>
    <w:rsid w:val="00647411"/>
    <w:rsid w:val="00651299"/>
    <w:rsid w:val="00651433"/>
    <w:rsid w:val="006514E9"/>
    <w:rsid w:val="0065367F"/>
    <w:rsid w:val="00653EAD"/>
    <w:rsid w:val="00654B5F"/>
    <w:rsid w:val="00655C5F"/>
    <w:rsid w:val="00657301"/>
    <w:rsid w:val="00662B30"/>
    <w:rsid w:val="0067089B"/>
    <w:rsid w:val="006758AD"/>
    <w:rsid w:val="00675C13"/>
    <w:rsid w:val="006838CF"/>
    <w:rsid w:val="00683EB7"/>
    <w:rsid w:val="00684D84"/>
    <w:rsid w:val="00685384"/>
    <w:rsid w:val="00685CF8"/>
    <w:rsid w:val="00687B29"/>
    <w:rsid w:val="00690385"/>
    <w:rsid w:val="006903F1"/>
    <w:rsid w:val="00690A9F"/>
    <w:rsid w:val="00691229"/>
    <w:rsid w:val="00691663"/>
    <w:rsid w:val="006930C5"/>
    <w:rsid w:val="006942F9"/>
    <w:rsid w:val="00696E02"/>
    <w:rsid w:val="006A1C71"/>
    <w:rsid w:val="006A21F5"/>
    <w:rsid w:val="006A23BB"/>
    <w:rsid w:val="006A4D3E"/>
    <w:rsid w:val="006A657C"/>
    <w:rsid w:val="006A7000"/>
    <w:rsid w:val="006B0A6D"/>
    <w:rsid w:val="006B0F86"/>
    <w:rsid w:val="006B1EAB"/>
    <w:rsid w:val="006B2279"/>
    <w:rsid w:val="006B32CA"/>
    <w:rsid w:val="006B6C31"/>
    <w:rsid w:val="006C09BB"/>
    <w:rsid w:val="006C276A"/>
    <w:rsid w:val="006C3473"/>
    <w:rsid w:val="006C5240"/>
    <w:rsid w:val="006C58BC"/>
    <w:rsid w:val="006C7444"/>
    <w:rsid w:val="006D006E"/>
    <w:rsid w:val="006D054F"/>
    <w:rsid w:val="006D2BA3"/>
    <w:rsid w:val="006D48A2"/>
    <w:rsid w:val="006D5584"/>
    <w:rsid w:val="006D7E56"/>
    <w:rsid w:val="006D7F53"/>
    <w:rsid w:val="006E1EF7"/>
    <w:rsid w:val="006E2466"/>
    <w:rsid w:val="006E481A"/>
    <w:rsid w:val="006E7049"/>
    <w:rsid w:val="006F1110"/>
    <w:rsid w:val="006F25F7"/>
    <w:rsid w:val="006F37BB"/>
    <w:rsid w:val="006F4B4A"/>
    <w:rsid w:val="006F4E08"/>
    <w:rsid w:val="006F6F71"/>
    <w:rsid w:val="006F7F8C"/>
    <w:rsid w:val="007023B6"/>
    <w:rsid w:val="007047CA"/>
    <w:rsid w:val="00704BB7"/>
    <w:rsid w:val="0070570F"/>
    <w:rsid w:val="00705CEC"/>
    <w:rsid w:val="00706AB9"/>
    <w:rsid w:val="00710631"/>
    <w:rsid w:val="007106AB"/>
    <w:rsid w:val="00714C15"/>
    <w:rsid w:val="00721EEF"/>
    <w:rsid w:val="00721FA8"/>
    <w:rsid w:val="00723D38"/>
    <w:rsid w:val="00725282"/>
    <w:rsid w:val="00727A04"/>
    <w:rsid w:val="00727CA9"/>
    <w:rsid w:val="0073253D"/>
    <w:rsid w:val="00732D2E"/>
    <w:rsid w:val="0073361F"/>
    <w:rsid w:val="00733697"/>
    <w:rsid w:val="00734360"/>
    <w:rsid w:val="0073442C"/>
    <w:rsid w:val="00734E8A"/>
    <w:rsid w:val="00737086"/>
    <w:rsid w:val="007447ED"/>
    <w:rsid w:val="007467BE"/>
    <w:rsid w:val="0074776D"/>
    <w:rsid w:val="00750320"/>
    <w:rsid w:val="00751356"/>
    <w:rsid w:val="007519FA"/>
    <w:rsid w:val="007535D0"/>
    <w:rsid w:val="00760CB8"/>
    <w:rsid w:val="0076207B"/>
    <w:rsid w:val="007640C3"/>
    <w:rsid w:val="007700C0"/>
    <w:rsid w:val="007716F3"/>
    <w:rsid w:val="00771EDA"/>
    <w:rsid w:val="0077240E"/>
    <w:rsid w:val="00772858"/>
    <w:rsid w:val="00772E1A"/>
    <w:rsid w:val="00772FB2"/>
    <w:rsid w:val="0077405C"/>
    <w:rsid w:val="007745CE"/>
    <w:rsid w:val="00774E9F"/>
    <w:rsid w:val="00775B90"/>
    <w:rsid w:val="007763C7"/>
    <w:rsid w:val="00776623"/>
    <w:rsid w:val="0077700F"/>
    <w:rsid w:val="0078132D"/>
    <w:rsid w:val="00782D85"/>
    <w:rsid w:val="007833CD"/>
    <w:rsid w:val="007842C8"/>
    <w:rsid w:val="007853A5"/>
    <w:rsid w:val="007859E0"/>
    <w:rsid w:val="007876A5"/>
    <w:rsid w:val="0078781E"/>
    <w:rsid w:val="00794C2C"/>
    <w:rsid w:val="00794E41"/>
    <w:rsid w:val="007958A8"/>
    <w:rsid w:val="00796790"/>
    <w:rsid w:val="007A3717"/>
    <w:rsid w:val="007A3BA6"/>
    <w:rsid w:val="007A4DB5"/>
    <w:rsid w:val="007A51D0"/>
    <w:rsid w:val="007A6DE5"/>
    <w:rsid w:val="007A73DA"/>
    <w:rsid w:val="007B0164"/>
    <w:rsid w:val="007B08DE"/>
    <w:rsid w:val="007B463A"/>
    <w:rsid w:val="007B56C9"/>
    <w:rsid w:val="007B70CB"/>
    <w:rsid w:val="007B727B"/>
    <w:rsid w:val="007B76A3"/>
    <w:rsid w:val="007C0388"/>
    <w:rsid w:val="007C1B39"/>
    <w:rsid w:val="007C2D9C"/>
    <w:rsid w:val="007C38C8"/>
    <w:rsid w:val="007D2906"/>
    <w:rsid w:val="007D42F5"/>
    <w:rsid w:val="007D4611"/>
    <w:rsid w:val="007D6214"/>
    <w:rsid w:val="007E0AF2"/>
    <w:rsid w:val="007E29BF"/>
    <w:rsid w:val="007E3A86"/>
    <w:rsid w:val="007E5533"/>
    <w:rsid w:val="007E582C"/>
    <w:rsid w:val="007E6D5D"/>
    <w:rsid w:val="007E72A6"/>
    <w:rsid w:val="007F044F"/>
    <w:rsid w:val="007F44C5"/>
    <w:rsid w:val="007F489C"/>
    <w:rsid w:val="007F525B"/>
    <w:rsid w:val="007F598A"/>
    <w:rsid w:val="007F5C6C"/>
    <w:rsid w:val="007F5D13"/>
    <w:rsid w:val="0080358E"/>
    <w:rsid w:val="00803D96"/>
    <w:rsid w:val="00804794"/>
    <w:rsid w:val="00806DF6"/>
    <w:rsid w:val="00810041"/>
    <w:rsid w:val="00814BC7"/>
    <w:rsid w:val="008152AB"/>
    <w:rsid w:val="008259E6"/>
    <w:rsid w:val="0083005D"/>
    <w:rsid w:val="008310F7"/>
    <w:rsid w:val="008313AF"/>
    <w:rsid w:val="008331D9"/>
    <w:rsid w:val="0083606C"/>
    <w:rsid w:val="00836E41"/>
    <w:rsid w:val="00837DEE"/>
    <w:rsid w:val="008435D2"/>
    <w:rsid w:val="00845952"/>
    <w:rsid w:val="00845F70"/>
    <w:rsid w:val="00846CAD"/>
    <w:rsid w:val="00850BC9"/>
    <w:rsid w:val="008525C7"/>
    <w:rsid w:val="00853219"/>
    <w:rsid w:val="00856BB2"/>
    <w:rsid w:val="00860221"/>
    <w:rsid w:val="00862C94"/>
    <w:rsid w:val="00865ACE"/>
    <w:rsid w:val="00865DA8"/>
    <w:rsid w:val="0086746B"/>
    <w:rsid w:val="0086790D"/>
    <w:rsid w:val="00871B68"/>
    <w:rsid w:val="008764C0"/>
    <w:rsid w:val="0087715E"/>
    <w:rsid w:val="00877DC8"/>
    <w:rsid w:val="008826AF"/>
    <w:rsid w:val="00882768"/>
    <w:rsid w:val="008839A9"/>
    <w:rsid w:val="0088517A"/>
    <w:rsid w:val="0088785F"/>
    <w:rsid w:val="00890FBA"/>
    <w:rsid w:val="00893405"/>
    <w:rsid w:val="008937E5"/>
    <w:rsid w:val="008948D8"/>
    <w:rsid w:val="00895487"/>
    <w:rsid w:val="00896C0F"/>
    <w:rsid w:val="00897D45"/>
    <w:rsid w:val="008A008E"/>
    <w:rsid w:val="008A0A95"/>
    <w:rsid w:val="008A1094"/>
    <w:rsid w:val="008A1DCD"/>
    <w:rsid w:val="008A63EB"/>
    <w:rsid w:val="008B0B64"/>
    <w:rsid w:val="008B6B4D"/>
    <w:rsid w:val="008B7255"/>
    <w:rsid w:val="008C027B"/>
    <w:rsid w:val="008C08E7"/>
    <w:rsid w:val="008C0F00"/>
    <w:rsid w:val="008C1276"/>
    <w:rsid w:val="008C15CC"/>
    <w:rsid w:val="008C1780"/>
    <w:rsid w:val="008C334A"/>
    <w:rsid w:val="008C37C4"/>
    <w:rsid w:val="008C47B8"/>
    <w:rsid w:val="008C6A03"/>
    <w:rsid w:val="008C7B11"/>
    <w:rsid w:val="008C7EBE"/>
    <w:rsid w:val="008D1D66"/>
    <w:rsid w:val="008D2A56"/>
    <w:rsid w:val="008D3B41"/>
    <w:rsid w:val="008D5F25"/>
    <w:rsid w:val="008E3734"/>
    <w:rsid w:val="008E4A26"/>
    <w:rsid w:val="008E5B07"/>
    <w:rsid w:val="008E778C"/>
    <w:rsid w:val="008F3BDF"/>
    <w:rsid w:val="008F425B"/>
    <w:rsid w:val="008F5CA8"/>
    <w:rsid w:val="008F6050"/>
    <w:rsid w:val="008F63C4"/>
    <w:rsid w:val="00901E6E"/>
    <w:rsid w:val="009035FE"/>
    <w:rsid w:val="00904F63"/>
    <w:rsid w:val="00906BCB"/>
    <w:rsid w:val="0090703C"/>
    <w:rsid w:val="00910302"/>
    <w:rsid w:val="009120C3"/>
    <w:rsid w:val="00912319"/>
    <w:rsid w:val="00912CC7"/>
    <w:rsid w:val="00915338"/>
    <w:rsid w:val="009158B9"/>
    <w:rsid w:val="009159F8"/>
    <w:rsid w:val="0091648F"/>
    <w:rsid w:val="00917131"/>
    <w:rsid w:val="00921D20"/>
    <w:rsid w:val="009246EF"/>
    <w:rsid w:val="00924C68"/>
    <w:rsid w:val="00927761"/>
    <w:rsid w:val="0093022D"/>
    <w:rsid w:val="00931425"/>
    <w:rsid w:val="0093245F"/>
    <w:rsid w:val="00932FD0"/>
    <w:rsid w:val="00940035"/>
    <w:rsid w:val="00942C6E"/>
    <w:rsid w:val="009440F5"/>
    <w:rsid w:val="0094613E"/>
    <w:rsid w:val="00951D40"/>
    <w:rsid w:val="009546FD"/>
    <w:rsid w:val="00954ADA"/>
    <w:rsid w:val="0095604D"/>
    <w:rsid w:val="009572E6"/>
    <w:rsid w:val="00960E4C"/>
    <w:rsid w:val="00961FDB"/>
    <w:rsid w:val="0096646E"/>
    <w:rsid w:val="00967E1B"/>
    <w:rsid w:val="0097037D"/>
    <w:rsid w:val="009742DB"/>
    <w:rsid w:val="00976648"/>
    <w:rsid w:val="00980C05"/>
    <w:rsid w:val="009813C2"/>
    <w:rsid w:val="00981DDC"/>
    <w:rsid w:val="009824EC"/>
    <w:rsid w:val="00982626"/>
    <w:rsid w:val="00984812"/>
    <w:rsid w:val="00984B3B"/>
    <w:rsid w:val="00987017"/>
    <w:rsid w:val="0098750F"/>
    <w:rsid w:val="00990660"/>
    <w:rsid w:val="00990A5B"/>
    <w:rsid w:val="00993C4A"/>
    <w:rsid w:val="00994E01"/>
    <w:rsid w:val="00996A76"/>
    <w:rsid w:val="00996FF7"/>
    <w:rsid w:val="00997DC3"/>
    <w:rsid w:val="009A0CDB"/>
    <w:rsid w:val="009A24D6"/>
    <w:rsid w:val="009A29D8"/>
    <w:rsid w:val="009A3A46"/>
    <w:rsid w:val="009A3B88"/>
    <w:rsid w:val="009A3D0D"/>
    <w:rsid w:val="009A4489"/>
    <w:rsid w:val="009A4BBA"/>
    <w:rsid w:val="009A668D"/>
    <w:rsid w:val="009A67E1"/>
    <w:rsid w:val="009B0244"/>
    <w:rsid w:val="009B079C"/>
    <w:rsid w:val="009B09ED"/>
    <w:rsid w:val="009B1B98"/>
    <w:rsid w:val="009B34D8"/>
    <w:rsid w:val="009B3578"/>
    <w:rsid w:val="009B59C0"/>
    <w:rsid w:val="009C07FF"/>
    <w:rsid w:val="009C2009"/>
    <w:rsid w:val="009C27A6"/>
    <w:rsid w:val="009C2D3A"/>
    <w:rsid w:val="009C6A64"/>
    <w:rsid w:val="009D15AA"/>
    <w:rsid w:val="009D1F3B"/>
    <w:rsid w:val="009D2C50"/>
    <w:rsid w:val="009D3512"/>
    <w:rsid w:val="009D5C02"/>
    <w:rsid w:val="009D5D30"/>
    <w:rsid w:val="009D758A"/>
    <w:rsid w:val="009D75E7"/>
    <w:rsid w:val="009E013F"/>
    <w:rsid w:val="009E2B45"/>
    <w:rsid w:val="009E2DC9"/>
    <w:rsid w:val="009E5654"/>
    <w:rsid w:val="009E59E9"/>
    <w:rsid w:val="009E6CB5"/>
    <w:rsid w:val="009F093C"/>
    <w:rsid w:val="009F166E"/>
    <w:rsid w:val="009F1B40"/>
    <w:rsid w:val="009F30C5"/>
    <w:rsid w:val="009F6B5C"/>
    <w:rsid w:val="00A004EE"/>
    <w:rsid w:val="00A00DD8"/>
    <w:rsid w:val="00A011BC"/>
    <w:rsid w:val="00A02270"/>
    <w:rsid w:val="00A03C5A"/>
    <w:rsid w:val="00A050BA"/>
    <w:rsid w:val="00A10409"/>
    <w:rsid w:val="00A116A5"/>
    <w:rsid w:val="00A11944"/>
    <w:rsid w:val="00A11E7C"/>
    <w:rsid w:val="00A12818"/>
    <w:rsid w:val="00A266CF"/>
    <w:rsid w:val="00A30E66"/>
    <w:rsid w:val="00A3205A"/>
    <w:rsid w:val="00A32355"/>
    <w:rsid w:val="00A325F6"/>
    <w:rsid w:val="00A336FB"/>
    <w:rsid w:val="00A33A81"/>
    <w:rsid w:val="00A33BBC"/>
    <w:rsid w:val="00A344AA"/>
    <w:rsid w:val="00A405AD"/>
    <w:rsid w:val="00A427CC"/>
    <w:rsid w:val="00A4392D"/>
    <w:rsid w:val="00A43DEF"/>
    <w:rsid w:val="00A4420A"/>
    <w:rsid w:val="00A460B8"/>
    <w:rsid w:val="00A53640"/>
    <w:rsid w:val="00A54FF2"/>
    <w:rsid w:val="00A60619"/>
    <w:rsid w:val="00A61616"/>
    <w:rsid w:val="00A61708"/>
    <w:rsid w:val="00A62D3F"/>
    <w:rsid w:val="00A63149"/>
    <w:rsid w:val="00A666E6"/>
    <w:rsid w:val="00A707BA"/>
    <w:rsid w:val="00A72479"/>
    <w:rsid w:val="00A746AF"/>
    <w:rsid w:val="00A755EB"/>
    <w:rsid w:val="00A77F32"/>
    <w:rsid w:val="00A80960"/>
    <w:rsid w:val="00A81E3A"/>
    <w:rsid w:val="00A82460"/>
    <w:rsid w:val="00A82A0A"/>
    <w:rsid w:val="00A84108"/>
    <w:rsid w:val="00A8586D"/>
    <w:rsid w:val="00A86D4E"/>
    <w:rsid w:val="00A92505"/>
    <w:rsid w:val="00A92918"/>
    <w:rsid w:val="00A92D51"/>
    <w:rsid w:val="00A94BCF"/>
    <w:rsid w:val="00A9522C"/>
    <w:rsid w:val="00A95609"/>
    <w:rsid w:val="00A97393"/>
    <w:rsid w:val="00AA59AD"/>
    <w:rsid w:val="00AA66F0"/>
    <w:rsid w:val="00AB0277"/>
    <w:rsid w:val="00AB08EA"/>
    <w:rsid w:val="00AB39AD"/>
    <w:rsid w:val="00AB4705"/>
    <w:rsid w:val="00AC0697"/>
    <w:rsid w:val="00AC64E6"/>
    <w:rsid w:val="00AC69D4"/>
    <w:rsid w:val="00AD1678"/>
    <w:rsid w:val="00AD1712"/>
    <w:rsid w:val="00AD1BE3"/>
    <w:rsid w:val="00AD25F1"/>
    <w:rsid w:val="00AD3A19"/>
    <w:rsid w:val="00AD5370"/>
    <w:rsid w:val="00AD5F7C"/>
    <w:rsid w:val="00AD6B28"/>
    <w:rsid w:val="00AD7C81"/>
    <w:rsid w:val="00AE09BD"/>
    <w:rsid w:val="00AE0A75"/>
    <w:rsid w:val="00AE0EE1"/>
    <w:rsid w:val="00AE1C92"/>
    <w:rsid w:val="00AE3A25"/>
    <w:rsid w:val="00AF194B"/>
    <w:rsid w:val="00AF37E9"/>
    <w:rsid w:val="00AF5190"/>
    <w:rsid w:val="00B0073C"/>
    <w:rsid w:val="00B009C6"/>
    <w:rsid w:val="00B02CB9"/>
    <w:rsid w:val="00B06938"/>
    <w:rsid w:val="00B119E5"/>
    <w:rsid w:val="00B14A67"/>
    <w:rsid w:val="00B155F1"/>
    <w:rsid w:val="00B15D16"/>
    <w:rsid w:val="00B16EE3"/>
    <w:rsid w:val="00B1775C"/>
    <w:rsid w:val="00B22674"/>
    <w:rsid w:val="00B227F3"/>
    <w:rsid w:val="00B245C6"/>
    <w:rsid w:val="00B24DFC"/>
    <w:rsid w:val="00B27732"/>
    <w:rsid w:val="00B279B1"/>
    <w:rsid w:val="00B30248"/>
    <w:rsid w:val="00B312B4"/>
    <w:rsid w:val="00B36349"/>
    <w:rsid w:val="00B37BEE"/>
    <w:rsid w:val="00B40998"/>
    <w:rsid w:val="00B40DCE"/>
    <w:rsid w:val="00B4136A"/>
    <w:rsid w:val="00B41F2A"/>
    <w:rsid w:val="00B428DC"/>
    <w:rsid w:val="00B431A3"/>
    <w:rsid w:val="00B4358A"/>
    <w:rsid w:val="00B44138"/>
    <w:rsid w:val="00B5046D"/>
    <w:rsid w:val="00B52438"/>
    <w:rsid w:val="00B52560"/>
    <w:rsid w:val="00B53427"/>
    <w:rsid w:val="00B53838"/>
    <w:rsid w:val="00B53BFD"/>
    <w:rsid w:val="00B60C1D"/>
    <w:rsid w:val="00B60DDF"/>
    <w:rsid w:val="00B633D6"/>
    <w:rsid w:val="00B63DB5"/>
    <w:rsid w:val="00B64BB0"/>
    <w:rsid w:val="00B7063E"/>
    <w:rsid w:val="00B71BEF"/>
    <w:rsid w:val="00B72A08"/>
    <w:rsid w:val="00B72E6B"/>
    <w:rsid w:val="00B72E6F"/>
    <w:rsid w:val="00B737FC"/>
    <w:rsid w:val="00B75FA7"/>
    <w:rsid w:val="00B761EC"/>
    <w:rsid w:val="00B769B7"/>
    <w:rsid w:val="00B76EC8"/>
    <w:rsid w:val="00B811DF"/>
    <w:rsid w:val="00B821A8"/>
    <w:rsid w:val="00B83167"/>
    <w:rsid w:val="00B84108"/>
    <w:rsid w:val="00B85238"/>
    <w:rsid w:val="00B85A1F"/>
    <w:rsid w:val="00B926D7"/>
    <w:rsid w:val="00B931AF"/>
    <w:rsid w:val="00B9329D"/>
    <w:rsid w:val="00B93716"/>
    <w:rsid w:val="00B93F16"/>
    <w:rsid w:val="00B940C6"/>
    <w:rsid w:val="00B95493"/>
    <w:rsid w:val="00B95BAE"/>
    <w:rsid w:val="00B9621A"/>
    <w:rsid w:val="00B9745C"/>
    <w:rsid w:val="00BA0691"/>
    <w:rsid w:val="00BA13B3"/>
    <w:rsid w:val="00BA29A4"/>
    <w:rsid w:val="00BA2FA9"/>
    <w:rsid w:val="00BA3C5C"/>
    <w:rsid w:val="00BA422D"/>
    <w:rsid w:val="00BA4E28"/>
    <w:rsid w:val="00BA5970"/>
    <w:rsid w:val="00BA6FE3"/>
    <w:rsid w:val="00BA7EE7"/>
    <w:rsid w:val="00BB0847"/>
    <w:rsid w:val="00BB336C"/>
    <w:rsid w:val="00BB3A9B"/>
    <w:rsid w:val="00BB4967"/>
    <w:rsid w:val="00BB5272"/>
    <w:rsid w:val="00BB6801"/>
    <w:rsid w:val="00BB7763"/>
    <w:rsid w:val="00BB7A8B"/>
    <w:rsid w:val="00BC1F91"/>
    <w:rsid w:val="00BC5B9E"/>
    <w:rsid w:val="00BC6423"/>
    <w:rsid w:val="00BC663B"/>
    <w:rsid w:val="00BC7001"/>
    <w:rsid w:val="00BC7056"/>
    <w:rsid w:val="00BD3C75"/>
    <w:rsid w:val="00BD528F"/>
    <w:rsid w:val="00BD5DD6"/>
    <w:rsid w:val="00BE0430"/>
    <w:rsid w:val="00BE3480"/>
    <w:rsid w:val="00BE34CF"/>
    <w:rsid w:val="00BE43FF"/>
    <w:rsid w:val="00BE7BD2"/>
    <w:rsid w:val="00BF047B"/>
    <w:rsid w:val="00BF6504"/>
    <w:rsid w:val="00C03704"/>
    <w:rsid w:val="00C04B0F"/>
    <w:rsid w:val="00C06E0D"/>
    <w:rsid w:val="00C078E5"/>
    <w:rsid w:val="00C12851"/>
    <w:rsid w:val="00C2154D"/>
    <w:rsid w:val="00C233EA"/>
    <w:rsid w:val="00C24236"/>
    <w:rsid w:val="00C24E71"/>
    <w:rsid w:val="00C32252"/>
    <w:rsid w:val="00C323BC"/>
    <w:rsid w:val="00C34D3A"/>
    <w:rsid w:val="00C405F5"/>
    <w:rsid w:val="00C425BC"/>
    <w:rsid w:val="00C4378C"/>
    <w:rsid w:val="00C46010"/>
    <w:rsid w:val="00C47287"/>
    <w:rsid w:val="00C5021F"/>
    <w:rsid w:val="00C54E12"/>
    <w:rsid w:val="00C55BA1"/>
    <w:rsid w:val="00C56638"/>
    <w:rsid w:val="00C57352"/>
    <w:rsid w:val="00C609E9"/>
    <w:rsid w:val="00C62EE8"/>
    <w:rsid w:val="00C631B7"/>
    <w:rsid w:val="00C65466"/>
    <w:rsid w:val="00C71BDD"/>
    <w:rsid w:val="00C71C7C"/>
    <w:rsid w:val="00C75DFA"/>
    <w:rsid w:val="00C82FE7"/>
    <w:rsid w:val="00C84331"/>
    <w:rsid w:val="00C85862"/>
    <w:rsid w:val="00C86F37"/>
    <w:rsid w:val="00C921A8"/>
    <w:rsid w:val="00C92A44"/>
    <w:rsid w:val="00C96BD5"/>
    <w:rsid w:val="00C96D9B"/>
    <w:rsid w:val="00C9704C"/>
    <w:rsid w:val="00C97A01"/>
    <w:rsid w:val="00C97BD7"/>
    <w:rsid w:val="00CA036A"/>
    <w:rsid w:val="00CA0DE9"/>
    <w:rsid w:val="00CA4DCA"/>
    <w:rsid w:val="00CA6C29"/>
    <w:rsid w:val="00CA72D7"/>
    <w:rsid w:val="00CA7FAA"/>
    <w:rsid w:val="00CB042A"/>
    <w:rsid w:val="00CB197F"/>
    <w:rsid w:val="00CB1C98"/>
    <w:rsid w:val="00CB36EC"/>
    <w:rsid w:val="00CB4FD0"/>
    <w:rsid w:val="00CB64EA"/>
    <w:rsid w:val="00CB73A8"/>
    <w:rsid w:val="00CC064D"/>
    <w:rsid w:val="00CC6261"/>
    <w:rsid w:val="00CC6EA4"/>
    <w:rsid w:val="00CD1246"/>
    <w:rsid w:val="00CD3930"/>
    <w:rsid w:val="00CE2CD3"/>
    <w:rsid w:val="00CE32A0"/>
    <w:rsid w:val="00CE3437"/>
    <w:rsid w:val="00CE4139"/>
    <w:rsid w:val="00CE42DB"/>
    <w:rsid w:val="00CE479F"/>
    <w:rsid w:val="00CF014A"/>
    <w:rsid w:val="00CF0A21"/>
    <w:rsid w:val="00CF1835"/>
    <w:rsid w:val="00CF4FCE"/>
    <w:rsid w:val="00CF5083"/>
    <w:rsid w:val="00CF5420"/>
    <w:rsid w:val="00CF637E"/>
    <w:rsid w:val="00D00722"/>
    <w:rsid w:val="00D02483"/>
    <w:rsid w:val="00D0670A"/>
    <w:rsid w:val="00D101C8"/>
    <w:rsid w:val="00D149CB"/>
    <w:rsid w:val="00D14D46"/>
    <w:rsid w:val="00D15B07"/>
    <w:rsid w:val="00D16E5A"/>
    <w:rsid w:val="00D17CBB"/>
    <w:rsid w:val="00D2121F"/>
    <w:rsid w:val="00D22806"/>
    <w:rsid w:val="00D22F04"/>
    <w:rsid w:val="00D234A8"/>
    <w:rsid w:val="00D25034"/>
    <w:rsid w:val="00D26DAB"/>
    <w:rsid w:val="00D34386"/>
    <w:rsid w:val="00D36374"/>
    <w:rsid w:val="00D371A1"/>
    <w:rsid w:val="00D37674"/>
    <w:rsid w:val="00D42BC0"/>
    <w:rsid w:val="00D453C9"/>
    <w:rsid w:val="00D46C37"/>
    <w:rsid w:val="00D51276"/>
    <w:rsid w:val="00D51744"/>
    <w:rsid w:val="00D52084"/>
    <w:rsid w:val="00D5478D"/>
    <w:rsid w:val="00D5479D"/>
    <w:rsid w:val="00D6008B"/>
    <w:rsid w:val="00D608D0"/>
    <w:rsid w:val="00D61766"/>
    <w:rsid w:val="00D648A5"/>
    <w:rsid w:val="00D657E9"/>
    <w:rsid w:val="00D73A67"/>
    <w:rsid w:val="00D77A75"/>
    <w:rsid w:val="00D77D49"/>
    <w:rsid w:val="00D85CB4"/>
    <w:rsid w:val="00D8637A"/>
    <w:rsid w:val="00D939E3"/>
    <w:rsid w:val="00D9553B"/>
    <w:rsid w:val="00DA0768"/>
    <w:rsid w:val="00DA2150"/>
    <w:rsid w:val="00DA2203"/>
    <w:rsid w:val="00DA2C48"/>
    <w:rsid w:val="00DA398F"/>
    <w:rsid w:val="00DA5720"/>
    <w:rsid w:val="00DB165C"/>
    <w:rsid w:val="00DB305E"/>
    <w:rsid w:val="00DB4206"/>
    <w:rsid w:val="00DB5447"/>
    <w:rsid w:val="00DB63C0"/>
    <w:rsid w:val="00DB7E84"/>
    <w:rsid w:val="00DC03B7"/>
    <w:rsid w:val="00DC04E2"/>
    <w:rsid w:val="00DC1FF2"/>
    <w:rsid w:val="00DC26D9"/>
    <w:rsid w:val="00DC5A3B"/>
    <w:rsid w:val="00DD042A"/>
    <w:rsid w:val="00DE0175"/>
    <w:rsid w:val="00DE2447"/>
    <w:rsid w:val="00DE4C40"/>
    <w:rsid w:val="00DE5747"/>
    <w:rsid w:val="00DE5FBB"/>
    <w:rsid w:val="00DE6DE7"/>
    <w:rsid w:val="00DE6F66"/>
    <w:rsid w:val="00DE7846"/>
    <w:rsid w:val="00DE7D5F"/>
    <w:rsid w:val="00DF494D"/>
    <w:rsid w:val="00DF6C05"/>
    <w:rsid w:val="00E04706"/>
    <w:rsid w:val="00E060EE"/>
    <w:rsid w:val="00E11E35"/>
    <w:rsid w:val="00E15C9B"/>
    <w:rsid w:val="00E170F8"/>
    <w:rsid w:val="00E2178E"/>
    <w:rsid w:val="00E22CE3"/>
    <w:rsid w:val="00E24FC8"/>
    <w:rsid w:val="00E25706"/>
    <w:rsid w:val="00E276AD"/>
    <w:rsid w:val="00E27A2F"/>
    <w:rsid w:val="00E31442"/>
    <w:rsid w:val="00E314BC"/>
    <w:rsid w:val="00E332A7"/>
    <w:rsid w:val="00E34025"/>
    <w:rsid w:val="00E344BC"/>
    <w:rsid w:val="00E34BF8"/>
    <w:rsid w:val="00E34DE1"/>
    <w:rsid w:val="00E40F52"/>
    <w:rsid w:val="00E43618"/>
    <w:rsid w:val="00E44794"/>
    <w:rsid w:val="00E506CD"/>
    <w:rsid w:val="00E51A87"/>
    <w:rsid w:val="00E53979"/>
    <w:rsid w:val="00E53FD3"/>
    <w:rsid w:val="00E54D52"/>
    <w:rsid w:val="00E551BF"/>
    <w:rsid w:val="00E656C0"/>
    <w:rsid w:val="00E678A4"/>
    <w:rsid w:val="00E719C1"/>
    <w:rsid w:val="00E73CA1"/>
    <w:rsid w:val="00E74628"/>
    <w:rsid w:val="00E74BF7"/>
    <w:rsid w:val="00E752B6"/>
    <w:rsid w:val="00E816E2"/>
    <w:rsid w:val="00E81C1A"/>
    <w:rsid w:val="00E835BC"/>
    <w:rsid w:val="00E83C74"/>
    <w:rsid w:val="00E86BEA"/>
    <w:rsid w:val="00E87B3A"/>
    <w:rsid w:val="00E87F48"/>
    <w:rsid w:val="00E92EEE"/>
    <w:rsid w:val="00E9679E"/>
    <w:rsid w:val="00EA11EF"/>
    <w:rsid w:val="00EA141E"/>
    <w:rsid w:val="00EA19CC"/>
    <w:rsid w:val="00EA333B"/>
    <w:rsid w:val="00EA564B"/>
    <w:rsid w:val="00EA56BE"/>
    <w:rsid w:val="00EA5E43"/>
    <w:rsid w:val="00EB1740"/>
    <w:rsid w:val="00EB1B01"/>
    <w:rsid w:val="00EB1BAD"/>
    <w:rsid w:val="00EB1C44"/>
    <w:rsid w:val="00EB1ED7"/>
    <w:rsid w:val="00EB27F5"/>
    <w:rsid w:val="00EB32EA"/>
    <w:rsid w:val="00EB3DF0"/>
    <w:rsid w:val="00EB4721"/>
    <w:rsid w:val="00EB7150"/>
    <w:rsid w:val="00EC26D2"/>
    <w:rsid w:val="00EC2F7A"/>
    <w:rsid w:val="00EC7CEC"/>
    <w:rsid w:val="00EE0972"/>
    <w:rsid w:val="00EE1C0B"/>
    <w:rsid w:val="00EE61F9"/>
    <w:rsid w:val="00EE736C"/>
    <w:rsid w:val="00EF060E"/>
    <w:rsid w:val="00EF0D58"/>
    <w:rsid w:val="00EF25CC"/>
    <w:rsid w:val="00EF2D5C"/>
    <w:rsid w:val="00EF4B8D"/>
    <w:rsid w:val="00F00AE0"/>
    <w:rsid w:val="00F01513"/>
    <w:rsid w:val="00F105B0"/>
    <w:rsid w:val="00F10B4E"/>
    <w:rsid w:val="00F116E8"/>
    <w:rsid w:val="00F11F25"/>
    <w:rsid w:val="00F11F65"/>
    <w:rsid w:val="00F17EFE"/>
    <w:rsid w:val="00F20663"/>
    <w:rsid w:val="00F20BF8"/>
    <w:rsid w:val="00F22770"/>
    <w:rsid w:val="00F24026"/>
    <w:rsid w:val="00F255C5"/>
    <w:rsid w:val="00F255F7"/>
    <w:rsid w:val="00F3055D"/>
    <w:rsid w:val="00F31154"/>
    <w:rsid w:val="00F31241"/>
    <w:rsid w:val="00F3345F"/>
    <w:rsid w:val="00F33EC8"/>
    <w:rsid w:val="00F366EC"/>
    <w:rsid w:val="00F405D9"/>
    <w:rsid w:val="00F41063"/>
    <w:rsid w:val="00F41B75"/>
    <w:rsid w:val="00F42DDC"/>
    <w:rsid w:val="00F4327D"/>
    <w:rsid w:val="00F454D1"/>
    <w:rsid w:val="00F50937"/>
    <w:rsid w:val="00F509F2"/>
    <w:rsid w:val="00F53864"/>
    <w:rsid w:val="00F53A73"/>
    <w:rsid w:val="00F55E40"/>
    <w:rsid w:val="00F60212"/>
    <w:rsid w:val="00F6197A"/>
    <w:rsid w:val="00F61CDB"/>
    <w:rsid w:val="00F63C25"/>
    <w:rsid w:val="00F64859"/>
    <w:rsid w:val="00F7115F"/>
    <w:rsid w:val="00F723CA"/>
    <w:rsid w:val="00F738B6"/>
    <w:rsid w:val="00F7508E"/>
    <w:rsid w:val="00F757CA"/>
    <w:rsid w:val="00F75ED5"/>
    <w:rsid w:val="00F81989"/>
    <w:rsid w:val="00F8279E"/>
    <w:rsid w:val="00F82C80"/>
    <w:rsid w:val="00F83591"/>
    <w:rsid w:val="00F83A34"/>
    <w:rsid w:val="00F84239"/>
    <w:rsid w:val="00F84B58"/>
    <w:rsid w:val="00F857DA"/>
    <w:rsid w:val="00F86DBC"/>
    <w:rsid w:val="00F903D0"/>
    <w:rsid w:val="00F91F16"/>
    <w:rsid w:val="00F927BE"/>
    <w:rsid w:val="00F949DB"/>
    <w:rsid w:val="00F954AC"/>
    <w:rsid w:val="00F9700D"/>
    <w:rsid w:val="00FA3417"/>
    <w:rsid w:val="00FB20B8"/>
    <w:rsid w:val="00FB33FC"/>
    <w:rsid w:val="00FB4526"/>
    <w:rsid w:val="00FB6C07"/>
    <w:rsid w:val="00FB7A56"/>
    <w:rsid w:val="00FC0295"/>
    <w:rsid w:val="00FC0A43"/>
    <w:rsid w:val="00FC1E23"/>
    <w:rsid w:val="00FC25EC"/>
    <w:rsid w:val="00FC3382"/>
    <w:rsid w:val="00FD0E5F"/>
    <w:rsid w:val="00FD2624"/>
    <w:rsid w:val="00FD2D0B"/>
    <w:rsid w:val="00FD5750"/>
    <w:rsid w:val="00FD5D71"/>
    <w:rsid w:val="00FD6C39"/>
    <w:rsid w:val="00FE292F"/>
    <w:rsid w:val="00FE38A4"/>
    <w:rsid w:val="00FF03B4"/>
    <w:rsid w:val="00FF3A56"/>
    <w:rsid w:val="00FF4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58"/>
    <w:pPr>
      <w:spacing w:after="0" w:line="240" w:lineRule="auto"/>
    </w:pPr>
    <w:rPr>
      <w:spacing w:val="-1"/>
      <w:position w:val="1"/>
    </w:rPr>
  </w:style>
  <w:style w:type="paragraph" w:styleId="Heading1">
    <w:name w:val="heading 1"/>
    <w:basedOn w:val="Heading2"/>
    <w:next w:val="Normal"/>
    <w:link w:val="Heading1Char"/>
    <w:qFormat/>
    <w:rsid w:val="00242BB3"/>
    <w:pPr>
      <w:outlineLvl w:val="0"/>
    </w:pPr>
    <w:rPr>
      <w:sz w:val="36"/>
    </w:rPr>
  </w:style>
  <w:style w:type="paragraph" w:styleId="Heading2">
    <w:name w:val="heading 2"/>
    <w:basedOn w:val="Normal"/>
    <w:next w:val="Normal"/>
    <w:link w:val="Heading2Char"/>
    <w:qFormat/>
    <w:rsid w:val="007467BE"/>
    <w:pPr>
      <w:widowControl/>
      <w:outlineLvl w:val="1"/>
    </w:pPr>
    <w:rPr>
      <w:rFonts w:ascii="Calibri" w:eastAsia="Times New Roman" w:hAnsi="Calibri" w:cs="Times New Roman"/>
      <w:b/>
      <w:color w:val="4070AA"/>
      <w:szCs w:val="36"/>
      <w:lang w:val="en-AU" w:eastAsia="en-AU"/>
    </w:rPr>
  </w:style>
  <w:style w:type="paragraph" w:styleId="Heading3">
    <w:name w:val="heading 3"/>
    <w:basedOn w:val="Normal"/>
    <w:next w:val="Normal"/>
    <w:link w:val="Heading3Char"/>
    <w:qFormat/>
    <w:rsid w:val="004B3ED6"/>
    <w:pPr>
      <w:keepNext/>
      <w:widowControl/>
      <w:outlineLvl w:val="2"/>
    </w:pPr>
    <w:rPr>
      <w:rFonts w:eastAsia="Calibri" w:cs="Arial"/>
      <w:b/>
      <w:bCs/>
      <w:szCs w:val="26"/>
      <w:lang w:val="en-AU" w:eastAsia="en-AU"/>
    </w:rPr>
  </w:style>
  <w:style w:type="paragraph" w:styleId="Heading4">
    <w:name w:val="heading 4"/>
    <w:basedOn w:val="Normal"/>
    <w:next w:val="Normal"/>
    <w:link w:val="Heading4Char"/>
    <w:qFormat/>
    <w:rsid w:val="00BD528F"/>
    <w:pPr>
      <w:keepNext/>
      <w:widowControl/>
      <w:spacing w:before="240" w:after="60"/>
      <w:outlineLvl w:val="3"/>
    </w:pPr>
    <w:rPr>
      <w:rFonts w:eastAsia="Times New Roman" w:cstheme="minorHAnsi"/>
      <w:b/>
      <w:bCs/>
      <w:sz w:val="24"/>
      <w:szCs w:val="24"/>
      <w:lang w:val="en-AU" w:eastAsia="en-AU"/>
    </w:rPr>
  </w:style>
  <w:style w:type="paragraph" w:styleId="Heading6">
    <w:name w:val="heading 6"/>
    <w:basedOn w:val="Normal"/>
    <w:next w:val="Normal"/>
    <w:link w:val="Heading6Char"/>
    <w:uiPriority w:val="9"/>
    <w:semiHidden/>
    <w:unhideWhenUsed/>
    <w:qFormat/>
    <w:rsid w:val="00A5364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66E63"/>
    <w:rPr>
      <w:rFonts w:ascii="Tahoma" w:hAnsi="Tahoma" w:cs="Tahoma"/>
      <w:sz w:val="16"/>
      <w:szCs w:val="16"/>
    </w:rPr>
  </w:style>
  <w:style w:type="character" w:customStyle="1" w:styleId="BalloonTextChar">
    <w:name w:val="Balloon Text Char"/>
    <w:basedOn w:val="DefaultParagraphFont"/>
    <w:link w:val="BalloonText"/>
    <w:rsid w:val="00066E63"/>
    <w:rPr>
      <w:rFonts w:ascii="Tahoma" w:hAnsi="Tahoma" w:cs="Tahoma"/>
      <w:sz w:val="16"/>
      <w:szCs w:val="16"/>
    </w:rPr>
  </w:style>
  <w:style w:type="paragraph" w:styleId="Header">
    <w:name w:val="header"/>
    <w:basedOn w:val="Normal"/>
    <w:link w:val="HeaderChar"/>
    <w:unhideWhenUsed/>
    <w:rsid w:val="00066E63"/>
    <w:pPr>
      <w:tabs>
        <w:tab w:val="center" w:pos="4513"/>
        <w:tab w:val="right" w:pos="9026"/>
      </w:tabs>
    </w:pPr>
  </w:style>
  <w:style w:type="character" w:customStyle="1" w:styleId="HeaderChar">
    <w:name w:val="Header Char"/>
    <w:basedOn w:val="DefaultParagraphFont"/>
    <w:link w:val="Header"/>
    <w:uiPriority w:val="99"/>
    <w:rsid w:val="00066E63"/>
  </w:style>
  <w:style w:type="paragraph" w:styleId="Footer">
    <w:name w:val="footer"/>
    <w:basedOn w:val="Normal"/>
    <w:link w:val="FooterChar"/>
    <w:uiPriority w:val="99"/>
    <w:unhideWhenUsed/>
    <w:rsid w:val="00066E63"/>
    <w:pPr>
      <w:tabs>
        <w:tab w:val="center" w:pos="4513"/>
        <w:tab w:val="right" w:pos="9026"/>
      </w:tabs>
    </w:pPr>
  </w:style>
  <w:style w:type="character" w:customStyle="1" w:styleId="FooterChar">
    <w:name w:val="Footer Char"/>
    <w:basedOn w:val="DefaultParagraphFont"/>
    <w:link w:val="Footer"/>
    <w:uiPriority w:val="99"/>
    <w:rsid w:val="00066E63"/>
  </w:style>
  <w:style w:type="character" w:styleId="CommentReference">
    <w:name w:val="annotation reference"/>
    <w:basedOn w:val="DefaultParagraphFont"/>
    <w:rsid w:val="00073E0C"/>
    <w:rPr>
      <w:sz w:val="16"/>
      <w:szCs w:val="16"/>
    </w:rPr>
  </w:style>
  <w:style w:type="paragraph" w:styleId="CommentText">
    <w:name w:val="annotation text"/>
    <w:basedOn w:val="Normal"/>
    <w:link w:val="CommentTextChar"/>
    <w:rsid w:val="00073E0C"/>
    <w:pPr>
      <w:widowControl/>
    </w:pPr>
    <w:rPr>
      <w:rFonts w:ascii="Calibri" w:eastAsia="Times New Roman" w:hAnsi="Calibri" w:cs="Times New Roman"/>
      <w:sz w:val="20"/>
      <w:szCs w:val="20"/>
      <w:lang w:val="en-AU" w:eastAsia="en-AU"/>
    </w:rPr>
  </w:style>
  <w:style w:type="character" w:customStyle="1" w:styleId="CommentTextChar">
    <w:name w:val="Comment Text Char"/>
    <w:basedOn w:val="DefaultParagraphFont"/>
    <w:link w:val="CommentText"/>
    <w:rsid w:val="00073E0C"/>
    <w:rPr>
      <w:rFonts w:ascii="Calibri" w:eastAsia="Times New Roman" w:hAnsi="Calibri" w:cs="Times New Roman"/>
      <w:sz w:val="20"/>
      <w:szCs w:val="20"/>
      <w:lang w:val="en-AU" w:eastAsia="en-AU"/>
    </w:rPr>
  </w:style>
  <w:style w:type="table" w:styleId="TableGrid">
    <w:name w:val="Table Grid"/>
    <w:basedOn w:val="TableNormal"/>
    <w:uiPriority w:val="59"/>
    <w:rsid w:val="0068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FF7"/>
    <w:pPr>
      <w:ind w:left="720"/>
      <w:contextualSpacing/>
    </w:pPr>
  </w:style>
  <w:style w:type="character" w:customStyle="1" w:styleId="Heading1Char">
    <w:name w:val="Heading 1 Char"/>
    <w:basedOn w:val="DefaultParagraphFont"/>
    <w:link w:val="Heading1"/>
    <w:rsid w:val="00242BB3"/>
    <w:rPr>
      <w:rFonts w:ascii="Calibri" w:eastAsia="Times New Roman" w:hAnsi="Calibri" w:cs="Times New Roman"/>
      <w:b/>
      <w:color w:val="4070AA"/>
      <w:sz w:val="36"/>
      <w:szCs w:val="36"/>
      <w:lang w:val="en-AU" w:eastAsia="en-AU"/>
    </w:rPr>
  </w:style>
  <w:style w:type="character" w:customStyle="1" w:styleId="Heading2Char">
    <w:name w:val="Heading 2 Char"/>
    <w:basedOn w:val="DefaultParagraphFont"/>
    <w:link w:val="Heading2"/>
    <w:rsid w:val="007467BE"/>
    <w:rPr>
      <w:rFonts w:ascii="Calibri" w:eastAsia="Times New Roman" w:hAnsi="Calibri" w:cs="Times New Roman"/>
      <w:b/>
      <w:color w:val="4070AA"/>
      <w:sz w:val="24"/>
      <w:szCs w:val="36"/>
      <w:lang w:val="en-AU" w:eastAsia="en-AU"/>
    </w:rPr>
  </w:style>
  <w:style w:type="character" w:customStyle="1" w:styleId="Heading3Char">
    <w:name w:val="Heading 3 Char"/>
    <w:basedOn w:val="DefaultParagraphFont"/>
    <w:link w:val="Heading3"/>
    <w:rsid w:val="004B3ED6"/>
    <w:rPr>
      <w:rFonts w:eastAsia="Calibri" w:cs="Arial"/>
      <w:b/>
      <w:bCs/>
      <w:sz w:val="24"/>
      <w:szCs w:val="26"/>
      <w:lang w:val="en-AU" w:eastAsia="en-AU"/>
    </w:rPr>
  </w:style>
  <w:style w:type="character" w:customStyle="1" w:styleId="Heading4Char">
    <w:name w:val="Heading 4 Char"/>
    <w:basedOn w:val="DefaultParagraphFont"/>
    <w:link w:val="Heading4"/>
    <w:rsid w:val="00BD528F"/>
    <w:rPr>
      <w:rFonts w:eastAsia="Times New Roman" w:cstheme="minorHAnsi"/>
      <w:b/>
      <w:bCs/>
      <w:spacing w:val="-1"/>
      <w:position w:val="1"/>
      <w:sz w:val="24"/>
      <w:szCs w:val="24"/>
      <w:lang w:val="en-AU" w:eastAsia="en-AU"/>
    </w:rPr>
  </w:style>
  <w:style w:type="numbering" w:customStyle="1" w:styleId="NoList1">
    <w:name w:val="No List1"/>
    <w:next w:val="NoList"/>
    <w:uiPriority w:val="99"/>
    <w:semiHidden/>
    <w:unhideWhenUsed/>
    <w:rsid w:val="00B312B4"/>
  </w:style>
  <w:style w:type="table" w:customStyle="1" w:styleId="TableGrid1">
    <w:name w:val="Table Grid1"/>
    <w:basedOn w:val="TableNormal"/>
    <w:next w:val="TableGrid"/>
    <w:rsid w:val="00B312B4"/>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12B4"/>
    <w:rPr>
      <w:color w:val="0000FF"/>
      <w:u w:val="single"/>
    </w:rPr>
  </w:style>
  <w:style w:type="paragraph" w:customStyle="1" w:styleId="TableText9pt">
    <w:name w:val="Table Text (9 pt)"/>
    <w:basedOn w:val="Normal"/>
    <w:rsid w:val="00B312B4"/>
    <w:pPr>
      <w:widowControl/>
      <w:spacing w:before="60" w:after="60" w:line="221" w:lineRule="atLeast"/>
    </w:pPr>
    <w:rPr>
      <w:rFonts w:ascii="Times New Roman" w:eastAsia="Times New Roman" w:hAnsi="Times New Roman" w:cs="Times New Roman"/>
      <w:sz w:val="18"/>
      <w:szCs w:val="20"/>
    </w:rPr>
  </w:style>
  <w:style w:type="paragraph" w:customStyle="1" w:styleId="Para">
    <w:name w:val="Para"/>
    <w:next w:val="Normal"/>
    <w:link w:val="ParaChar"/>
    <w:rsid w:val="00B312B4"/>
    <w:pPr>
      <w:numPr>
        <w:numId w:val="4"/>
      </w:numPr>
      <w:spacing w:after="120" w:line="240" w:lineRule="auto"/>
    </w:pPr>
    <w:rPr>
      <w:rFonts w:ascii="Calibri" w:eastAsia="Times New Roman" w:hAnsi="Calibri" w:cs="Times New Roman"/>
      <w:color w:val="000000"/>
      <w:szCs w:val="20"/>
      <w:lang w:val="en-AU" w:eastAsia="en-AU"/>
    </w:rPr>
  </w:style>
  <w:style w:type="paragraph" w:customStyle="1" w:styleId="SubclauseTailDefinitionBody">
    <w:name w:val="Subclause Tail &amp; Definition Body"/>
    <w:basedOn w:val="Normal"/>
    <w:next w:val="Normal"/>
    <w:link w:val="SubclauseTailDefinitionBodyChar"/>
    <w:rsid w:val="00B312B4"/>
    <w:pPr>
      <w:widowControl/>
      <w:spacing w:before="120" w:after="120"/>
      <w:ind w:left="567"/>
    </w:pPr>
    <w:rPr>
      <w:rFonts w:ascii="Calibri" w:eastAsia="Times New Roman" w:hAnsi="Calibri" w:cs="Times New Roman"/>
      <w:szCs w:val="24"/>
      <w:lang w:val="en-AU" w:eastAsia="en-AU"/>
    </w:rPr>
  </w:style>
  <w:style w:type="character" w:customStyle="1" w:styleId="SubclauseTailDefinitionBodyChar">
    <w:name w:val="Subclause Tail &amp; Definition Body Char"/>
    <w:basedOn w:val="DefaultParagraphFont"/>
    <w:link w:val="SubclauseTailDefinitionBody"/>
    <w:rsid w:val="00B312B4"/>
    <w:rPr>
      <w:rFonts w:ascii="Calibri" w:eastAsia="Times New Roman" w:hAnsi="Calibri" w:cs="Times New Roman"/>
      <w:szCs w:val="24"/>
      <w:lang w:val="en-AU" w:eastAsia="en-AU"/>
    </w:rPr>
  </w:style>
  <w:style w:type="character" w:customStyle="1" w:styleId="ParaChar">
    <w:name w:val="Para Char"/>
    <w:basedOn w:val="DefaultParagraphFont"/>
    <w:link w:val="Para"/>
    <w:rsid w:val="00B312B4"/>
    <w:rPr>
      <w:rFonts w:ascii="Calibri" w:eastAsia="Times New Roman" w:hAnsi="Calibri" w:cs="Times New Roman"/>
      <w:color w:val="000000"/>
      <w:szCs w:val="20"/>
      <w:lang w:val="en-AU" w:eastAsia="en-AU"/>
    </w:rPr>
  </w:style>
  <w:style w:type="paragraph" w:styleId="TOC1">
    <w:name w:val="toc 1"/>
    <w:basedOn w:val="Normal"/>
    <w:next w:val="Normal"/>
    <w:autoRedefine/>
    <w:uiPriority w:val="39"/>
    <w:rsid w:val="00927761"/>
    <w:pPr>
      <w:widowControl/>
      <w:tabs>
        <w:tab w:val="right" w:pos="9230"/>
      </w:tabs>
      <w:spacing w:before="120" w:after="120"/>
      <w:ind w:left="426" w:hanging="426"/>
    </w:pPr>
    <w:rPr>
      <w:rFonts w:ascii="Calibri" w:eastAsia="Times New Roman" w:hAnsi="Calibri" w:cs="Times New Roman"/>
      <w:szCs w:val="24"/>
      <w:lang w:val="en-AU" w:eastAsia="en-AU"/>
    </w:rPr>
  </w:style>
  <w:style w:type="paragraph" w:styleId="TOC2">
    <w:name w:val="toc 2"/>
    <w:basedOn w:val="Normal"/>
    <w:next w:val="Normal"/>
    <w:autoRedefine/>
    <w:uiPriority w:val="39"/>
    <w:rsid w:val="003A6E56"/>
    <w:pPr>
      <w:widowControl/>
      <w:tabs>
        <w:tab w:val="right" w:pos="9214"/>
      </w:tabs>
    </w:pPr>
    <w:rPr>
      <w:rFonts w:ascii="Calibri" w:eastAsia="Times New Roman" w:hAnsi="Calibri" w:cs="Times New Roman"/>
      <w:szCs w:val="24"/>
      <w:lang w:val="en-AU" w:eastAsia="en-AU"/>
    </w:rPr>
  </w:style>
  <w:style w:type="paragraph" w:styleId="CommentSubject">
    <w:name w:val="annotation subject"/>
    <w:basedOn w:val="CommentText"/>
    <w:next w:val="CommentText"/>
    <w:link w:val="CommentSubjectChar"/>
    <w:semiHidden/>
    <w:rsid w:val="00B312B4"/>
    <w:rPr>
      <w:b/>
      <w:bCs/>
    </w:rPr>
  </w:style>
  <w:style w:type="character" w:customStyle="1" w:styleId="CommentSubjectChar">
    <w:name w:val="Comment Subject Char"/>
    <w:basedOn w:val="CommentTextChar"/>
    <w:link w:val="CommentSubject"/>
    <w:semiHidden/>
    <w:rsid w:val="00B312B4"/>
    <w:rPr>
      <w:rFonts w:ascii="Calibri" w:eastAsia="Times New Roman" w:hAnsi="Calibri" w:cs="Times New Roman"/>
      <w:b/>
      <w:bCs/>
      <w:sz w:val="20"/>
      <w:szCs w:val="20"/>
      <w:lang w:val="en-AU" w:eastAsia="en-AU"/>
    </w:rPr>
  </w:style>
  <w:style w:type="paragraph" w:customStyle="1" w:styleId="TableNormalText">
    <w:name w:val="TableNormalText"/>
    <w:next w:val="Normal"/>
    <w:semiHidden/>
    <w:rsid w:val="00B312B4"/>
    <w:pPr>
      <w:widowControl/>
      <w:spacing w:after="120" w:line="240" w:lineRule="auto"/>
    </w:pPr>
    <w:rPr>
      <w:rFonts w:ascii="Calibri" w:eastAsia="Times New Roman" w:hAnsi="Calibri" w:cs="Times New Roman"/>
      <w:szCs w:val="20"/>
      <w:lang w:val="en-AU"/>
    </w:rPr>
  </w:style>
  <w:style w:type="character" w:styleId="PageNumber">
    <w:name w:val="page number"/>
    <w:basedOn w:val="DefaultParagraphFont"/>
    <w:rsid w:val="00B312B4"/>
  </w:style>
  <w:style w:type="numbering" w:styleId="111111">
    <w:name w:val="Outline List 2"/>
    <w:basedOn w:val="NoList"/>
    <w:rsid w:val="00B312B4"/>
    <w:pPr>
      <w:numPr>
        <w:numId w:val="5"/>
      </w:numPr>
    </w:pPr>
  </w:style>
  <w:style w:type="paragraph" w:customStyle="1" w:styleId="bulletbullets">
    <w:name w:val="bullet (bullets)"/>
    <w:basedOn w:val="Normal"/>
    <w:link w:val="bulletbulletsCharChar"/>
    <w:rsid w:val="00B312B4"/>
    <w:pPr>
      <w:widowControl/>
      <w:numPr>
        <w:numId w:val="6"/>
      </w:numPr>
      <w:suppressAutoHyphens/>
      <w:autoSpaceDE w:val="0"/>
      <w:autoSpaceDN w:val="0"/>
      <w:adjustRightInd w:val="0"/>
      <w:spacing w:after="120" w:line="288" w:lineRule="auto"/>
      <w:textAlignment w:val="center"/>
    </w:pPr>
    <w:rPr>
      <w:rFonts w:ascii="Trebuchet MS" w:eastAsia="Times New Roman" w:hAnsi="Trebuchet MS" w:cs="Myriad Pro Light"/>
      <w:color w:val="000000"/>
      <w:szCs w:val="20"/>
      <w:lang w:val="en-GB" w:eastAsia="en-AU"/>
    </w:rPr>
  </w:style>
  <w:style w:type="paragraph" w:customStyle="1" w:styleId="tableH1headings">
    <w:name w:val="table H1 (headings)"/>
    <w:basedOn w:val="Normal"/>
    <w:rsid w:val="00B312B4"/>
    <w:pPr>
      <w:widowControl/>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 w:val="left" w:pos="9978"/>
      </w:tabs>
      <w:suppressAutoHyphens/>
      <w:autoSpaceDE w:val="0"/>
      <w:autoSpaceDN w:val="0"/>
      <w:adjustRightInd w:val="0"/>
      <w:spacing w:after="113" w:line="240" w:lineRule="atLeast"/>
      <w:textAlignment w:val="baseline"/>
    </w:pPr>
    <w:rPr>
      <w:rFonts w:ascii="Trebuchet MS" w:eastAsia="Times New Roman" w:hAnsi="Trebuchet MS" w:cs="Myriad Pro"/>
      <w:b/>
      <w:color w:val="FFFFFF"/>
      <w:sz w:val="20"/>
      <w:szCs w:val="20"/>
      <w:lang w:val="en-AU" w:eastAsia="en-AU"/>
    </w:rPr>
  </w:style>
  <w:style w:type="character" w:customStyle="1" w:styleId="bulletbulletsCharChar">
    <w:name w:val="bullet (bullets) Char Char"/>
    <w:basedOn w:val="DefaultParagraphFont"/>
    <w:link w:val="bulletbullets"/>
    <w:rsid w:val="00B312B4"/>
    <w:rPr>
      <w:rFonts w:ascii="Trebuchet MS" w:eastAsia="Times New Roman" w:hAnsi="Trebuchet MS" w:cs="Myriad Pro Light"/>
      <w:color w:val="000000"/>
      <w:spacing w:val="-1"/>
      <w:position w:val="1"/>
      <w:szCs w:val="20"/>
      <w:lang w:val="en-GB" w:eastAsia="en-AU"/>
    </w:rPr>
  </w:style>
  <w:style w:type="paragraph" w:customStyle="1" w:styleId="StyleHeading1">
    <w:name w:val="Style Heading 1"/>
    <w:basedOn w:val="Normal"/>
    <w:rsid w:val="00B312B4"/>
    <w:pPr>
      <w:widowControl/>
      <w:numPr>
        <w:ilvl w:val="1"/>
        <w:numId w:val="7"/>
      </w:numPr>
      <w:spacing w:after="120"/>
    </w:pPr>
    <w:rPr>
      <w:rFonts w:ascii="Calibri" w:eastAsia="Times New Roman" w:hAnsi="Calibri" w:cs="Times New Roman"/>
      <w:szCs w:val="20"/>
      <w:lang w:val="en-AU"/>
    </w:rPr>
  </w:style>
  <w:style w:type="paragraph" w:customStyle="1" w:styleId="StyleListBullet3Arial">
    <w:name w:val="Style List Bullet 3 + Arial"/>
    <w:basedOn w:val="Normal"/>
    <w:rsid w:val="00B312B4"/>
    <w:pPr>
      <w:widowControl/>
      <w:numPr>
        <w:numId w:val="9"/>
      </w:numPr>
    </w:pPr>
    <w:rPr>
      <w:rFonts w:ascii="Calibri" w:eastAsia="Times New Roman" w:hAnsi="Calibri" w:cs="Times New Roman"/>
      <w:szCs w:val="24"/>
      <w:lang w:val="en-AU" w:eastAsia="en-AU"/>
    </w:rPr>
  </w:style>
  <w:style w:type="character" w:styleId="FollowedHyperlink">
    <w:name w:val="FollowedHyperlink"/>
    <w:basedOn w:val="DefaultParagraphFont"/>
    <w:rsid w:val="00B312B4"/>
    <w:rPr>
      <w:color w:val="800080"/>
      <w:u w:val="single"/>
    </w:rPr>
  </w:style>
  <w:style w:type="paragraph" w:customStyle="1" w:styleId="NormalCalibri">
    <w:name w:val="Normal + Calibri"/>
    <w:basedOn w:val="Normal"/>
    <w:rsid w:val="00B312B4"/>
    <w:pPr>
      <w:widowControl/>
    </w:pPr>
    <w:rPr>
      <w:rFonts w:ascii="Calibri" w:eastAsia="Times New Roman" w:hAnsi="Calibri" w:cs="Arial"/>
      <w:b/>
      <w:sz w:val="28"/>
      <w:szCs w:val="28"/>
      <w:lang w:val="en-AU"/>
    </w:rPr>
  </w:style>
  <w:style w:type="paragraph" w:customStyle="1" w:styleId="HeadingAppendix">
    <w:name w:val="Heading Appendix"/>
    <w:basedOn w:val="Heading1"/>
    <w:rsid w:val="00B312B4"/>
    <w:pPr>
      <w:keepNext/>
      <w:tabs>
        <w:tab w:val="num" w:pos="360"/>
      </w:tabs>
      <w:spacing w:before="240" w:after="60"/>
      <w:ind w:left="283" w:hanging="283"/>
      <w:outlineLvl w:val="9"/>
    </w:pPr>
    <w:rPr>
      <w:rFonts w:ascii="Arial" w:hAnsi="Arial"/>
      <w:i/>
      <w:caps/>
      <w:color w:val="auto"/>
      <w:kern w:val="28"/>
      <w:sz w:val="28"/>
      <w:szCs w:val="20"/>
      <w:lang w:eastAsia="en-US"/>
    </w:rPr>
  </w:style>
  <w:style w:type="paragraph" w:customStyle="1" w:styleId="Default">
    <w:name w:val="Default"/>
    <w:rsid w:val="00E40F52"/>
    <w:pPr>
      <w:widowControl/>
      <w:autoSpaceDE w:val="0"/>
      <w:autoSpaceDN w:val="0"/>
      <w:adjustRightInd w:val="0"/>
      <w:spacing w:after="0" w:line="240" w:lineRule="auto"/>
    </w:pPr>
    <w:rPr>
      <w:rFonts w:ascii="Calibri" w:hAnsi="Calibri" w:cs="Calibri"/>
      <w:color w:val="000000"/>
      <w:sz w:val="24"/>
      <w:szCs w:val="24"/>
      <w:lang w:val="en-AU"/>
    </w:rPr>
  </w:style>
  <w:style w:type="paragraph" w:styleId="TOC3">
    <w:name w:val="toc 3"/>
    <w:basedOn w:val="Normal"/>
    <w:next w:val="Normal"/>
    <w:autoRedefine/>
    <w:uiPriority w:val="39"/>
    <w:unhideWhenUsed/>
    <w:rsid w:val="00303283"/>
    <w:pPr>
      <w:tabs>
        <w:tab w:val="right" w:pos="9230"/>
      </w:tabs>
      <w:spacing w:after="100"/>
      <w:ind w:left="482"/>
    </w:pPr>
  </w:style>
  <w:style w:type="paragraph" w:styleId="TOCHeading">
    <w:name w:val="TOC Heading"/>
    <w:basedOn w:val="Heading1"/>
    <w:next w:val="Normal"/>
    <w:uiPriority w:val="39"/>
    <w:semiHidden/>
    <w:unhideWhenUsed/>
    <w:qFormat/>
    <w:rsid w:val="003B61A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itle">
    <w:name w:val="Title"/>
    <w:basedOn w:val="Heading1"/>
    <w:next w:val="Normal"/>
    <w:link w:val="TitleChar"/>
    <w:uiPriority w:val="10"/>
    <w:qFormat/>
    <w:rsid w:val="005C3030"/>
    <w:pPr>
      <w:spacing w:before="1440"/>
      <w:jc w:val="center"/>
    </w:pPr>
    <w:rPr>
      <w:color w:val="000000" w:themeColor="text1"/>
      <w:sz w:val="52"/>
      <w:szCs w:val="52"/>
    </w:rPr>
  </w:style>
  <w:style w:type="character" w:customStyle="1" w:styleId="TitleChar">
    <w:name w:val="Title Char"/>
    <w:basedOn w:val="DefaultParagraphFont"/>
    <w:link w:val="Title"/>
    <w:uiPriority w:val="10"/>
    <w:rsid w:val="005C3030"/>
    <w:rPr>
      <w:rFonts w:ascii="Calibri" w:eastAsia="Times New Roman" w:hAnsi="Calibri" w:cs="Times New Roman"/>
      <w:b/>
      <w:color w:val="000000" w:themeColor="text1"/>
      <w:spacing w:val="-1"/>
      <w:position w:val="1"/>
      <w:sz w:val="52"/>
      <w:szCs w:val="52"/>
      <w:lang w:val="en-AU" w:eastAsia="en-AU"/>
    </w:rPr>
  </w:style>
  <w:style w:type="character" w:styleId="BookTitle">
    <w:name w:val="Book Title"/>
    <w:uiPriority w:val="33"/>
    <w:qFormat/>
    <w:rsid w:val="0019274A"/>
    <w:rPr>
      <w:i/>
      <w:iCs/>
      <w:smallCaps/>
      <w:spacing w:val="5"/>
    </w:rPr>
  </w:style>
  <w:style w:type="paragraph" w:styleId="NoSpacing">
    <w:name w:val="No Spacing"/>
    <w:uiPriority w:val="1"/>
    <w:qFormat/>
    <w:rsid w:val="00CF4FCE"/>
    <w:pPr>
      <w:spacing w:after="0" w:line="240" w:lineRule="auto"/>
    </w:pPr>
    <w:rPr>
      <w:sz w:val="24"/>
    </w:rPr>
  </w:style>
  <w:style w:type="paragraph" w:styleId="Revision">
    <w:name w:val="Revision"/>
    <w:hidden/>
    <w:uiPriority w:val="99"/>
    <w:semiHidden/>
    <w:rsid w:val="00CC064D"/>
    <w:pPr>
      <w:widowControl/>
      <w:spacing w:after="0" w:line="240" w:lineRule="auto"/>
    </w:pPr>
    <w:rPr>
      <w:sz w:val="24"/>
    </w:rPr>
  </w:style>
  <w:style w:type="paragraph" w:customStyle="1" w:styleId="Disclaimer">
    <w:name w:val="Disclaimer"/>
    <w:basedOn w:val="Normal"/>
    <w:link w:val="DisclaimerChar"/>
    <w:rsid w:val="00C323BC"/>
    <w:pPr>
      <w:widowControl/>
      <w:spacing w:before="5280"/>
    </w:pPr>
    <w:rPr>
      <w:rFonts w:ascii="Calibri" w:eastAsia="Times New Roman" w:hAnsi="Calibri" w:cs="Times New Roman"/>
      <w:sz w:val="20"/>
      <w:szCs w:val="20"/>
      <w:lang w:val="en-AU" w:eastAsia="en-AU"/>
    </w:rPr>
  </w:style>
  <w:style w:type="character" w:customStyle="1" w:styleId="DisclaimerChar">
    <w:name w:val="Disclaimer Char"/>
    <w:basedOn w:val="DefaultParagraphFont"/>
    <w:link w:val="Disclaimer"/>
    <w:rsid w:val="00C323BC"/>
    <w:rPr>
      <w:rFonts w:ascii="Calibri" w:eastAsia="Times New Roman" w:hAnsi="Calibri" w:cs="Times New Roman"/>
      <w:sz w:val="20"/>
      <w:szCs w:val="20"/>
      <w:lang w:val="en-AU" w:eastAsia="en-AU"/>
    </w:rPr>
  </w:style>
  <w:style w:type="paragraph" w:styleId="FootnoteText">
    <w:name w:val="footnote text"/>
    <w:basedOn w:val="Normal"/>
    <w:link w:val="FootnoteTextChar"/>
    <w:uiPriority w:val="99"/>
    <w:unhideWhenUsed/>
    <w:rsid w:val="00853219"/>
    <w:rPr>
      <w:sz w:val="20"/>
      <w:szCs w:val="20"/>
    </w:rPr>
  </w:style>
  <w:style w:type="character" w:customStyle="1" w:styleId="FootnoteTextChar">
    <w:name w:val="Footnote Text Char"/>
    <w:basedOn w:val="DefaultParagraphFont"/>
    <w:link w:val="FootnoteText"/>
    <w:uiPriority w:val="99"/>
    <w:rsid w:val="00853219"/>
    <w:rPr>
      <w:spacing w:val="-1"/>
      <w:position w:val="1"/>
      <w:sz w:val="20"/>
      <w:szCs w:val="20"/>
    </w:rPr>
  </w:style>
  <w:style w:type="character" w:styleId="FootnoteReference">
    <w:name w:val="footnote reference"/>
    <w:basedOn w:val="DefaultParagraphFont"/>
    <w:uiPriority w:val="99"/>
    <w:semiHidden/>
    <w:unhideWhenUsed/>
    <w:rsid w:val="00853219"/>
    <w:rPr>
      <w:vertAlign w:val="superscript"/>
    </w:rPr>
  </w:style>
  <w:style w:type="paragraph" w:styleId="TOC4">
    <w:name w:val="toc 4"/>
    <w:basedOn w:val="Normal"/>
    <w:next w:val="Normal"/>
    <w:autoRedefine/>
    <w:uiPriority w:val="39"/>
    <w:unhideWhenUsed/>
    <w:rsid w:val="00236691"/>
    <w:pPr>
      <w:spacing w:after="100"/>
      <w:ind w:left="660"/>
    </w:pPr>
  </w:style>
  <w:style w:type="character" w:styleId="Strong">
    <w:name w:val="Strong"/>
    <w:basedOn w:val="DefaultParagraphFont"/>
    <w:qFormat/>
    <w:rsid w:val="00D2121F"/>
    <w:rPr>
      <w:rFonts w:ascii="Calibri" w:hAnsi="Calibri"/>
      <w:b/>
      <w:bCs/>
      <w:color w:val="1869B2"/>
      <w:sz w:val="24"/>
    </w:rPr>
  </w:style>
  <w:style w:type="character" w:customStyle="1" w:styleId="Heading6Char">
    <w:name w:val="Heading 6 Char"/>
    <w:basedOn w:val="DefaultParagraphFont"/>
    <w:link w:val="Heading6"/>
    <w:uiPriority w:val="9"/>
    <w:semiHidden/>
    <w:rsid w:val="00A53640"/>
    <w:rPr>
      <w:rFonts w:asciiTheme="majorHAnsi" w:eastAsiaTheme="majorEastAsia" w:hAnsiTheme="majorHAnsi" w:cstheme="majorBidi"/>
      <w:color w:val="243F60" w:themeColor="accent1" w:themeShade="7F"/>
      <w:spacing w:val="-1"/>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2241">
      <w:bodyDiv w:val="1"/>
      <w:marLeft w:val="0"/>
      <w:marRight w:val="0"/>
      <w:marTop w:val="0"/>
      <w:marBottom w:val="0"/>
      <w:divBdr>
        <w:top w:val="none" w:sz="0" w:space="0" w:color="auto"/>
        <w:left w:val="none" w:sz="0" w:space="0" w:color="auto"/>
        <w:bottom w:val="none" w:sz="0" w:space="0" w:color="auto"/>
        <w:right w:val="none" w:sz="0" w:space="0" w:color="auto"/>
      </w:divBdr>
    </w:div>
    <w:div w:id="367609005">
      <w:bodyDiv w:val="1"/>
      <w:marLeft w:val="0"/>
      <w:marRight w:val="0"/>
      <w:marTop w:val="0"/>
      <w:marBottom w:val="0"/>
      <w:divBdr>
        <w:top w:val="none" w:sz="0" w:space="0" w:color="auto"/>
        <w:left w:val="none" w:sz="0" w:space="0" w:color="auto"/>
        <w:bottom w:val="none" w:sz="0" w:space="0" w:color="auto"/>
        <w:right w:val="none" w:sz="0" w:space="0" w:color="auto"/>
      </w:divBdr>
    </w:div>
    <w:div w:id="461382053">
      <w:bodyDiv w:val="1"/>
      <w:marLeft w:val="0"/>
      <w:marRight w:val="0"/>
      <w:marTop w:val="0"/>
      <w:marBottom w:val="0"/>
      <w:divBdr>
        <w:top w:val="none" w:sz="0" w:space="0" w:color="auto"/>
        <w:left w:val="none" w:sz="0" w:space="0" w:color="auto"/>
        <w:bottom w:val="none" w:sz="0" w:space="0" w:color="auto"/>
        <w:right w:val="none" w:sz="0" w:space="0" w:color="auto"/>
      </w:divBdr>
    </w:div>
    <w:div w:id="660547898">
      <w:bodyDiv w:val="1"/>
      <w:marLeft w:val="0"/>
      <w:marRight w:val="0"/>
      <w:marTop w:val="0"/>
      <w:marBottom w:val="0"/>
      <w:divBdr>
        <w:top w:val="none" w:sz="0" w:space="0" w:color="auto"/>
        <w:left w:val="none" w:sz="0" w:space="0" w:color="auto"/>
        <w:bottom w:val="none" w:sz="0" w:space="0" w:color="auto"/>
        <w:right w:val="none" w:sz="0" w:space="0" w:color="auto"/>
      </w:divBdr>
    </w:div>
    <w:div w:id="727807226">
      <w:bodyDiv w:val="1"/>
      <w:marLeft w:val="0"/>
      <w:marRight w:val="0"/>
      <w:marTop w:val="0"/>
      <w:marBottom w:val="0"/>
      <w:divBdr>
        <w:top w:val="none" w:sz="0" w:space="0" w:color="auto"/>
        <w:left w:val="none" w:sz="0" w:space="0" w:color="auto"/>
        <w:bottom w:val="none" w:sz="0" w:space="0" w:color="auto"/>
        <w:right w:val="none" w:sz="0" w:space="0" w:color="auto"/>
      </w:divBdr>
    </w:div>
    <w:div w:id="794982303">
      <w:bodyDiv w:val="1"/>
      <w:marLeft w:val="0"/>
      <w:marRight w:val="0"/>
      <w:marTop w:val="0"/>
      <w:marBottom w:val="0"/>
      <w:divBdr>
        <w:top w:val="none" w:sz="0" w:space="0" w:color="auto"/>
        <w:left w:val="none" w:sz="0" w:space="0" w:color="auto"/>
        <w:bottom w:val="none" w:sz="0" w:space="0" w:color="auto"/>
        <w:right w:val="none" w:sz="0" w:space="0" w:color="auto"/>
      </w:divBdr>
    </w:div>
    <w:div w:id="1144353182">
      <w:bodyDiv w:val="1"/>
      <w:marLeft w:val="0"/>
      <w:marRight w:val="0"/>
      <w:marTop w:val="0"/>
      <w:marBottom w:val="0"/>
      <w:divBdr>
        <w:top w:val="none" w:sz="0" w:space="0" w:color="auto"/>
        <w:left w:val="none" w:sz="0" w:space="0" w:color="auto"/>
        <w:bottom w:val="none" w:sz="0" w:space="0" w:color="auto"/>
        <w:right w:val="none" w:sz="0" w:space="0" w:color="auto"/>
      </w:divBdr>
    </w:div>
    <w:div w:id="1325284170">
      <w:bodyDiv w:val="1"/>
      <w:marLeft w:val="0"/>
      <w:marRight w:val="0"/>
      <w:marTop w:val="0"/>
      <w:marBottom w:val="0"/>
      <w:divBdr>
        <w:top w:val="none" w:sz="0" w:space="0" w:color="auto"/>
        <w:left w:val="none" w:sz="0" w:space="0" w:color="auto"/>
        <w:bottom w:val="none" w:sz="0" w:space="0" w:color="auto"/>
        <w:right w:val="none" w:sz="0" w:space="0" w:color="auto"/>
      </w:divBdr>
    </w:div>
    <w:div w:id="140988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sn.gov.au/sites/SecureSitePortal/Documents/Current/Disability%20Employment%20Services%20Deed%202010%20-%202012%20Programs%20A%20and%20B.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sn.gov.au/sites/SecureSitePortal/Documents/Current/Disability%20Employment%20Services%20Deed%202010%20-%202012%20Programs%20A%20and%20B.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dis.gov.au/about-us/policies/access-information/participant-information-access-reques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gov.au/sites/SecureSitePortal/Documents/Current/Disability%20Employment%20Services%20Deed%202010%20-%202012%20Programs%20A%20and%20B.htm" TargetMode="External"/><Relationship Id="rId5" Type="http://schemas.openxmlformats.org/officeDocument/2006/relationships/webSettings" Target="webSettings.xml"/><Relationship Id="rId15" Type="http://schemas.openxmlformats.org/officeDocument/2006/relationships/hyperlink" Target="mailto:INFORMATION.ACCESS@NDIS.gov.au" TargetMode="External"/><Relationship Id="rId10" Type="http://schemas.openxmlformats.org/officeDocument/2006/relationships/hyperlink" Target="https://ecsn.gov.au/sites/SecureSitePortal/Documents/Current/Disability%20Employment%20Services%20Deed%202010%20-%202012%20Programs%20A%20and%20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OCUS.RESPONSE.TEAM@servicesaustrali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5E75-ACF1-422F-A6D5-CFF5827E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8245</Words>
  <Characters>44846</Characters>
  <Application>Microsoft Office Word</Application>
  <DocSecurity>0</DocSecurity>
  <Lines>953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2024-11-15T02:44:00Z</dcterms:created>
  <dcterms:modified xsi:type="dcterms:W3CDTF">2024-11-15T02:44:00Z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v=2022.1;a=SHA256;h=2A9CF8A097E2E70BDA9453DDC61FBF56A74E33203FC1BBE9956D0761A30843B2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EAA6785FC09D4216AC329EBF63D15A25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2023-02-09T02:54:58Z</vt:lpwstr>
  </property>
  <property fmtid="{D5CDD505-2E9C-101B-9397-08002B2CF9AE}" pid="13" name="MSIP_Label_eb34d90b-fc41-464d-af60-f74d721d0790_SetDate">
    <vt:lpwstr>2023-02-09T02:54:58Z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718143623239BC5EAEFB9849CB84C3B0</vt:lpwstr>
  </property>
  <property fmtid="{D5CDD505-2E9C-101B-9397-08002B2CF9AE}" pid="22" name="MSIP_Label_79d889eb-932f-4752-8739-64d25806ef64_SetDate">
    <vt:lpwstr>2022-05-30T04:47:53Z</vt:lpwstr>
  </property>
  <property fmtid="{D5CDD505-2E9C-101B-9397-08002B2CF9AE}" pid="23" name="PM_Hash_Salt">
    <vt:lpwstr>F8F28ECFDBD837EC745631EA5EDEBE9E</vt:lpwstr>
  </property>
  <property fmtid="{D5CDD505-2E9C-101B-9397-08002B2CF9AE}" pid="24" name="PM_Hash_SHA1">
    <vt:lpwstr>40D9C420E4F282AE2E4087F76671599A51E12A0B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_OriginatorUserAccountName_SHA256">
    <vt:lpwstr>56084DE7D87471392F5BD2235C8043EAEC8018D05D094D5A8468DE8533D8A2CE</vt:lpwstr>
  </property>
  <property fmtid="{D5CDD505-2E9C-101B-9397-08002B2CF9AE}" pid="29" name="MSIP_Label_79d889eb-932f-4752-8739-64d25806ef64_SiteId">
    <vt:lpwstr>dd0cfd15-4558-4b12-8bad-ea26984fc417</vt:lpwstr>
  </property>
  <property fmtid="{D5CDD505-2E9C-101B-9397-08002B2CF9AE}" pid="30" name="PM_OriginatorDomainName_SHA256">
    <vt:lpwstr>E83A2A66C4061446A7E3732E8D44762184B6B377D962B96C83DC624302585857</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6390ea3d-1192-4142-8e36-038eab894a43</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06c074e7882c4b1f8be49351def0edcc</vt:lpwstr>
  </property>
  <property fmtid="{D5CDD505-2E9C-101B-9397-08002B2CF9AE}" pid="41" name="PMUuid">
    <vt:lpwstr>v=2022.2;d=gov.au;g=46DD6D7C-8107-577B-BC6E-F348953B2E44</vt:lpwstr>
  </property>
  <property fmtid="{D5CDD505-2E9C-101B-9397-08002B2CF9AE}" pid="42" name="PM_Caveats_Count">
    <vt:lpwstr>0</vt:lpwstr>
  </property>
</Properties>
</file>