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63679" w14:textId="1A364D44" w:rsidR="00F743B7" w:rsidRDefault="00F743B7" w:rsidP="003B0099">
      <w:pPr>
        <w:pStyle w:val="BodyText"/>
      </w:pPr>
    </w:p>
    <w:p w14:paraId="6BD4B73E" w14:textId="77777777" w:rsidR="00F743B7" w:rsidRDefault="00201EEA" w:rsidP="003B0099">
      <w:pPr>
        <w:pStyle w:val="BodyText"/>
        <w:ind w:left="3001"/>
        <w:rPr>
          <w:rFonts w:ascii="Times New Roman"/>
          <w:sz w:val="200"/>
          <w:szCs w:val="200"/>
        </w:rPr>
      </w:pPr>
      <w:r>
        <w:pict w14:anchorId="4B0E6B62">
          <v:shape id="_x0000_i1026" type="#_x0000_t75" alt="Department of Social Services" style="width:173.4pt;height:94.2pt;visibility:visible;mso-wrap-style:square">
            <v:imagedata r:id="rId8" o:title="Department of Social Services"/>
          </v:shape>
        </w:pict>
      </w:r>
    </w:p>
    <w:p w14:paraId="5A86A5F4" w14:textId="77777777" w:rsidR="00766402" w:rsidRPr="00766402" w:rsidRDefault="00766402" w:rsidP="003B0099">
      <w:pPr>
        <w:pStyle w:val="BodyText"/>
        <w:ind w:left="3001"/>
      </w:pPr>
    </w:p>
    <w:p w14:paraId="7A997926" w14:textId="77777777" w:rsidR="00F743B7" w:rsidRDefault="00CE14DC" w:rsidP="003B0099">
      <w:pPr>
        <w:pStyle w:val="BodyText"/>
        <w:rPr>
          <w:rFonts w:ascii="Times New Roman"/>
          <w:sz w:val="23"/>
        </w:rPr>
      </w:pPr>
      <w:r>
        <w:rPr>
          <w:noProof/>
          <w:lang w:eastAsia="en-AU"/>
        </w:rPr>
        <mc:AlternateContent>
          <mc:Choice Requires="wps">
            <w:drawing>
              <wp:inline distT="0" distB="0" distL="0" distR="0" wp14:anchorId="033A7A34" wp14:editId="756ECA12">
                <wp:extent cx="5768975" cy="38100"/>
                <wp:effectExtent l="0" t="0" r="3175" b="0"/>
                <wp:docPr id="8" name="Rectangle 6" title="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38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B8A51D" id="Rectangle 6" o:spid="_x0000_s1026" alt="Title: Line" style="width:454.25pt;height: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" fillcolor="black" stroked="f">
                <w10:anchorlock/>
              </v:rect>
            </w:pict>
          </mc:Fallback>
        </mc:AlternateContent>
      </w:r>
    </w:p>
    <w:p w14:paraId="6CC99C24" w14:textId="77777777" w:rsidR="00F743B7" w:rsidRDefault="00F743B7" w:rsidP="004F4205">
      <w:pPr>
        <w:pStyle w:val="BodyText"/>
      </w:pPr>
    </w:p>
    <w:p w14:paraId="0D77FC4E" w14:textId="77777777" w:rsidR="00F743B7" w:rsidRDefault="008949D6">
      <w:pPr>
        <w:spacing w:before="250" w:line="396" w:lineRule="auto"/>
        <w:ind w:left="1822" w:right="2805"/>
        <w:jc w:val="center"/>
        <w:rPr>
          <w:b/>
          <w:sz w:val="32"/>
        </w:rPr>
      </w:pPr>
      <w:r>
        <w:rPr>
          <w:b/>
          <w:sz w:val="32"/>
        </w:rPr>
        <w:t>Operational Guidelines for the National Disability Advocacy Program</w:t>
      </w:r>
    </w:p>
    <w:p w14:paraId="4F16ED1D" w14:textId="77777777" w:rsidR="00F743B7" w:rsidRDefault="00F743B7" w:rsidP="004F4205">
      <w:pPr>
        <w:pStyle w:val="BodyText"/>
      </w:pPr>
    </w:p>
    <w:p w14:paraId="3D9354E4" w14:textId="6DBFE4A3" w:rsidR="00F743B7" w:rsidRDefault="008949D6">
      <w:pPr>
        <w:ind w:left="1822" w:right="2801"/>
        <w:jc w:val="center"/>
        <w:rPr>
          <w:b/>
          <w:sz w:val="32"/>
        </w:rPr>
      </w:pPr>
      <w:r>
        <w:rPr>
          <w:b/>
          <w:sz w:val="32"/>
        </w:rPr>
        <w:t>(</w:t>
      </w:r>
      <w:r w:rsidR="001C143F">
        <w:rPr>
          <w:b/>
          <w:sz w:val="32"/>
        </w:rPr>
        <w:t>September 2024</w:t>
      </w:r>
      <w:r>
        <w:rPr>
          <w:b/>
          <w:sz w:val="32"/>
        </w:rPr>
        <w:t>)</w:t>
      </w:r>
    </w:p>
    <w:p w14:paraId="582C831F" w14:textId="77777777" w:rsidR="00F743B7" w:rsidRDefault="00CE14DC" w:rsidP="003B0099">
      <w:pPr>
        <w:pStyle w:val="BodyText"/>
        <w:rPr>
          <w:sz w:val="17"/>
        </w:rPr>
      </w:pPr>
      <w:r>
        <w:rPr>
          <w:noProof/>
          <w:lang w:eastAsia="en-AU"/>
        </w:rPr>
        <mc:AlternateContent>
          <mc:Choice Requires="wps">
            <w:drawing>
              <wp:inline distT="0" distB="0" distL="0" distR="0" wp14:anchorId="364B02B0" wp14:editId="76B2E4F0">
                <wp:extent cx="5768975" cy="38100"/>
                <wp:effectExtent l="0" t="0" r="3175" b="0"/>
                <wp:docPr id="7" name="Rectangle 5" title="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38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EFB8B4" id="Rectangle 5" o:spid="_x0000_s1026" alt="Title: Line" style="width:454.25pt;height: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" fillcolor="black" stroked="f">
                <w10:anchorlock/>
              </v:rect>
            </w:pict>
          </mc:Fallback>
        </mc:AlternateContent>
      </w:r>
    </w:p>
    <w:p w14:paraId="3EAF235D" w14:textId="77777777" w:rsidR="00F743B7" w:rsidRDefault="00F743B7">
      <w:pPr>
        <w:rPr>
          <w:sz w:val="17"/>
        </w:rPr>
        <w:sectPr w:rsidR="00F743B7">
          <w:footerReference w:type="default" r:id="rId9"/>
          <w:type w:val="continuous"/>
          <w:pgSz w:w="11910" w:h="16840"/>
          <w:pgMar w:top="1580" w:right="260" w:bottom="1740" w:left="1240" w:header="720" w:footer="1552" w:gutter="0"/>
          <w:pgNumType w:start="1"/>
          <w:cols w:space="720"/>
        </w:sectPr>
      </w:pPr>
    </w:p>
    <w:p w14:paraId="5FEC7E3A" w14:textId="77777777" w:rsidR="00F743B7" w:rsidRDefault="008949D6">
      <w:pPr>
        <w:spacing w:before="89"/>
        <w:ind w:left="1477"/>
        <w:rPr>
          <w:b/>
          <w:sz w:val="32"/>
        </w:rPr>
      </w:pPr>
      <w:r>
        <w:rPr>
          <w:b/>
          <w:sz w:val="32"/>
        </w:rPr>
        <w:lastRenderedPageBreak/>
        <w:t>THIS PAGE LEFT INTENTIONALLY BLANK</w:t>
      </w:r>
    </w:p>
    <w:p w14:paraId="0EB34FF0" w14:textId="77777777" w:rsidR="00F743B7" w:rsidRDefault="00F743B7">
      <w:pPr>
        <w:rPr>
          <w:sz w:val="32"/>
        </w:rPr>
        <w:sectPr w:rsidR="00F743B7">
          <w:pgSz w:w="11910" w:h="16840"/>
          <w:pgMar w:top="1580" w:right="260" w:bottom="1780" w:left="1240" w:header="0" w:footer="1552" w:gutter="0"/>
          <w:cols w:space="720"/>
        </w:sectPr>
      </w:pPr>
    </w:p>
    <w:p w14:paraId="149EB83D" w14:textId="77777777" w:rsidR="00F743B7" w:rsidRDefault="00F743B7">
      <w:pPr>
        <w:sectPr w:rsidR="00F743B7">
          <w:pgSz w:w="11910" w:h="16840"/>
          <w:pgMar w:top="1340" w:right="260" w:bottom="2057" w:left="1240" w:header="0" w:footer="1552" w:gutter="0"/>
          <w:cols w:space="720"/>
        </w:sectPr>
      </w:pPr>
    </w:p>
    <w:bookmarkStart w:id="0" w:name="_Toc144895231" w:displacedByCustomXml="next"/>
    <w:sdt>
      <w:sdtPr>
        <w:rPr>
          <w:b w:val="0"/>
          <w:bCs w:val="0"/>
          <w:sz w:val="22"/>
          <w:szCs w:val="22"/>
        </w:rPr>
        <w:id w:val="2118710886"/>
        <w:docPartObj>
          <w:docPartGallery w:val="Table of Contents"/>
          <w:docPartUnique/>
        </w:docPartObj>
      </w:sdtPr>
      <w:sdtEndPr>
        <w:rPr>
          <w:noProof/>
        </w:rPr>
      </w:sdtEndPr>
      <w:sdtContent>
        <w:p w14:paraId="280EC584" w14:textId="77777777" w:rsidR="00C5306F" w:rsidRDefault="00C5306F" w:rsidP="001F4A9C">
          <w:pPr>
            <w:pStyle w:val="Heading1"/>
            <w:numPr>
              <w:ilvl w:val="0"/>
              <w:numId w:val="0"/>
            </w:numPr>
            <w:ind w:left="360" w:hanging="360"/>
          </w:pPr>
          <w:r>
            <w:t>Table of Contents</w:t>
          </w:r>
          <w:bookmarkEnd w:id="0"/>
        </w:p>
        <w:p w14:paraId="49BB7673" w14:textId="33763417" w:rsidR="000544CB" w:rsidRDefault="00C5306F">
          <w:pPr>
            <w:pStyle w:val="TOC1"/>
            <w:tabs>
              <w:tab w:val="right" w:leader="dot" w:pos="9524"/>
            </w:tabs>
            <w:rPr>
              <w:rFonts w:asciiTheme="minorHAnsi" w:eastAsiaTheme="minorEastAsia" w:hAnsiTheme="minorHAnsi" w:cstheme="minorBidi"/>
              <w:b w:val="0"/>
              <w:bCs w:val="0"/>
              <w:noProof/>
              <w:lang w:eastAsia="en-AU"/>
            </w:rPr>
          </w:pPr>
          <w:r>
            <w:fldChar w:fldCharType="begin"/>
          </w:r>
          <w:r>
            <w:instrText xml:space="preserve"> TOC \o "1-3" \h \z \u </w:instrText>
          </w:r>
          <w:r>
            <w:fldChar w:fldCharType="separate"/>
          </w:r>
          <w:hyperlink w:anchor="_Toc144895231" w:history="1">
            <w:r w:rsidR="000544CB" w:rsidRPr="00271597">
              <w:rPr>
                <w:rStyle w:val="Hyperlink"/>
                <w:noProof/>
              </w:rPr>
              <w:t>Table of Contents</w:t>
            </w:r>
            <w:r w:rsidR="000544CB">
              <w:rPr>
                <w:noProof/>
                <w:webHidden/>
              </w:rPr>
              <w:tab/>
            </w:r>
            <w:r w:rsidR="000544CB">
              <w:rPr>
                <w:noProof/>
                <w:webHidden/>
              </w:rPr>
              <w:fldChar w:fldCharType="begin"/>
            </w:r>
            <w:r w:rsidR="000544CB">
              <w:rPr>
                <w:noProof/>
                <w:webHidden/>
              </w:rPr>
              <w:instrText xml:space="preserve"> PAGEREF _Toc144895231 \h </w:instrText>
            </w:r>
            <w:r w:rsidR="000544CB">
              <w:rPr>
                <w:noProof/>
                <w:webHidden/>
              </w:rPr>
            </w:r>
            <w:r w:rsidR="000544CB">
              <w:rPr>
                <w:noProof/>
                <w:webHidden/>
              </w:rPr>
              <w:fldChar w:fldCharType="separate"/>
            </w:r>
            <w:r w:rsidR="00354132">
              <w:rPr>
                <w:noProof/>
                <w:webHidden/>
              </w:rPr>
              <w:t>3</w:t>
            </w:r>
            <w:r w:rsidR="000544CB">
              <w:rPr>
                <w:noProof/>
                <w:webHidden/>
              </w:rPr>
              <w:fldChar w:fldCharType="end"/>
            </w:r>
          </w:hyperlink>
        </w:p>
        <w:p w14:paraId="37BBF51E" w14:textId="51E29233" w:rsidR="000544CB" w:rsidRDefault="00201EEA">
          <w:pPr>
            <w:pStyle w:val="TOC1"/>
            <w:tabs>
              <w:tab w:val="right" w:leader="dot" w:pos="9524"/>
            </w:tabs>
            <w:rPr>
              <w:rFonts w:asciiTheme="minorHAnsi" w:eastAsiaTheme="minorEastAsia" w:hAnsiTheme="minorHAnsi" w:cstheme="minorBidi"/>
              <w:b w:val="0"/>
              <w:bCs w:val="0"/>
              <w:noProof/>
              <w:lang w:eastAsia="en-AU"/>
            </w:rPr>
          </w:pPr>
          <w:hyperlink w:anchor="_Toc144895232" w:history="1">
            <w:r w:rsidR="000544CB" w:rsidRPr="00271597">
              <w:rPr>
                <w:rStyle w:val="Hyperlink"/>
                <w:noProof/>
                <w:w w:val="99"/>
              </w:rPr>
              <w:t>1.</w:t>
            </w:r>
            <w:r w:rsidR="000544CB">
              <w:rPr>
                <w:rFonts w:asciiTheme="minorHAnsi" w:eastAsiaTheme="minorEastAsia" w:hAnsiTheme="minorHAnsi" w:cstheme="minorBidi"/>
                <w:b w:val="0"/>
                <w:bCs w:val="0"/>
                <w:noProof/>
                <w:lang w:eastAsia="en-AU"/>
              </w:rPr>
              <w:tab/>
            </w:r>
            <w:r w:rsidR="000544CB" w:rsidRPr="00271597">
              <w:rPr>
                <w:rStyle w:val="Hyperlink"/>
                <w:noProof/>
              </w:rPr>
              <w:t>Introduction</w:t>
            </w:r>
            <w:r w:rsidR="000544CB">
              <w:rPr>
                <w:noProof/>
                <w:webHidden/>
              </w:rPr>
              <w:tab/>
            </w:r>
            <w:r w:rsidR="000544CB">
              <w:rPr>
                <w:noProof/>
                <w:webHidden/>
              </w:rPr>
              <w:fldChar w:fldCharType="begin"/>
            </w:r>
            <w:r w:rsidR="000544CB">
              <w:rPr>
                <w:noProof/>
                <w:webHidden/>
              </w:rPr>
              <w:instrText xml:space="preserve"> PAGEREF _Toc144895232 \h </w:instrText>
            </w:r>
            <w:r w:rsidR="000544CB">
              <w:rPr>
                <w:noProof/>
                <w:webHidden/>
              </w:rPr>
            </w:r>
            <w:r w:rsidR="000544CB">
              <w:rPr>
                <w:noProof/>
                <w:webHidden/>
              </w:rPr>
              <w:fldChar w:fldCharType="separate"/>
            </w:r>
            <w:r w:rsidR="00354132">
              <w:rPr>
                <w:noProof/>
                <w:webHidden/>
              </w:rPr>
              <w:t>5</w:t>
            </w:r>
            <w:r w:rsidR="000544CB">
              <w:rPr>
                <w:noProof/>
                <w:webHidden/>
              </w:rPr>
              <w:fldChar w:fldCharType="end"/>
            </w:r>
          </w:hyperlink>
        </w:p>
        <w:p w14:paraId="40B7437C" w14:textId="7C53BFC8" w:rsidR="000544CB" w:rsidRDefault="00201EEA">
          <w:pPr>
            <w:pStyle w:val="TOC2"/>
            <w:tabs>
              <w:tab w:val="left" w:pos="1320"/>
              <w:tab w:val="right" w:leader="dot" w:pos="9524"/>
            </w:tabs>
            <w:rPr>
              <w:rFonts w:asciiTheme="minorHAnsi" w:eastAsiaTheme="minorEastAsia" w:hAnsiTheme="minorHAnsi" w:cstheme="minorBidi"/>
              <w:noProof/>
              <w:lang w:eastAsia="en-AU"/>
            </w:rPr>
          </w:pPr>
          <w:hyperlink w:anchor="_Toc144895233" w:history="1">
            <w:r w:rsidR="000544CB" w:rsidRPr="00271597">
              <w:rPr>
                <w:rStyle w:val="Hyperlink"/>
                <w:noProof/>
                <w:spacing w:val="-1"/>
                <w:w w:val="99"/>
              </w:rPr>
              <w:t>1.1</w:t>
            </w:r>
            <w:r w:rsidR="000544CB">
              <w:rPr>
                <w:rFonts w:asciiTheme="minorHAnsi" w:eastAsiaTheme="minorEastAsia" w:hAnsiTheme="minorHAnsi" w:cstheme="minorBidi"/>
                <w:noProof/>
                <w:lang w:eastAsia="en-AU"/>
              </w:rPr>
              <w:tab/>
            </w:r>
            <w:r w:rsidR="000544CB" w:rsidRPr="00271597">
              <w:rPr>
                <w:rStyle w:val="Hyperlink"/>
                <w:noProof/>
              </w:rPr>
              <w:t>Program</w:t>
            </w:r>
            <w:r w:rsidR="000544CB" w:rsidRPr="00271597">
              <w:rPr>
                <w:rStyle w:val="Hyperlink"/>
                <w:noProof/>
                <w:spacing w:val="-1"/>
              </w:rPr>
              <w:t xml:space="preserve"> </w:t>
            </w:r>
            <w:r w:rsidR="000544CB" w:rsidRPr="00271597">
              <w:rPr>
                <w:rStyle w:val="Hyperlink"/>
                <w:noProof/>
              </w:rPr>
              <w:t>Description</w:t>
            </w:r>
            <w:r w:rsidR="000544CB">
              <w:rPr>
                <w:noProof/>
                <w:webHidden/>
              </w:rPr>
              <w:tab/>
            </w:r>
            <w:r w:rsidR="000544CB">
              <w:rPr>
                <w:noProof/>
                <w:webHidden/>
              </w:rPr>
              <w:fldChar w:fldCharType="begin"/>
            </w:r>
            <w:r w:rsidR="000544CB">
              <w:rPr>
                <w:noProof/>
                <w:webHidden/>
              </w:rPr>
              <w:instrText xml:space="preserve"> PAGEREF _Toc144895233 \h </w:instrText>
            </w:r>
            <w:r w:rsidR="000544CB">
              <w:rPr>
                <w:noProof/>
                <w:webHidden/>
              </w:rPr>
            </w:r>
            <w:r w:rsidR="000544CB">
              <w:rPr>
                <w:noProof/>
                <w:webHidden/>
              </w:rPr>
              <w:fldChar w:fldCharType="separate"/>
            </w:r>
            <w:r w:rsidR="00354132">
              <w:rPr>
                <w:noProof/>
                <w:webHidden/>
              </w:rPr>
              <w:t>5</w:t>
            </w:r>
            <w:r w:rsidR="000544CB">
              <w:rPr>
                <w:noProof/>
                <w:webHidden/>
              </w:rPr>
              <w:fldChar w:fldCharType="end"/>
            </w:r>
          </w:hyperlink>
        </w:p>
        <w:p w14:paraId="51A4BFBE" w14:textId="4B7AEE65" w:rsidR="000544CB" w:rsidRDefault="00201EEA">
          <w:pPr>
            <w:pStyle w:val="TOC2"/>
            <w:tabs>
              <w:tab w:val="left" w:pos="1320"/>
              <w:tab w:val="right" w:leader="dot" w:pos="9524"/>
            </w:tabs>
            <w:rPr>
              <w:rFonts w:asciiTheme="minorHAnsi" w:eastAsiaTheme="minorEastAsia" w:hAnsiTheme="minorHAnsi" w:cstheme="minorBidi"/>
              <w:noProof/>
              <w:lang w:eastAsia="en-AU"/>
            </w:rPr>
          </w:pPr>
          <w:hyperlink w:anchor="_Toc144895234" w:history="1">
            <w:r w:rsidR="000544CB" w:rsidRPr="00271597">
              <w:rPr>
                <w:rStyle w:val="Hyperlink"/>
                <w:noProof/>
                <w:spacing w:val="-1"/>
                <w:w w:val="99"/>
              </w:rPr>
              <w:t>1.1</w:t>
            </w:r>
            <w:r w:rsidR="000544CB">
              <w:rPr>
                <w:rFonts w:asciiTheme="minorHAnsi" w:eastAsiaTheme="minorEastAsia" w:hAnsiTheme="minorHAnsi" w:cstheme="minorBidi"/>
                <w:noProof/>
                <w:lang w:eastAsia="en-AU"/>
              </w:rPr>
              <w:tab/>
            </w:r>
            <w:r w:rsidR="000544CB" w:rsidRPr="00271597">
              <w:rPr>
                <w:rStyle w:val="Hyperlink"/>
                <w:noProof/>
              </w:rPr>
              <w:t>Why is disability advocacy</w:t>
            </w:r>
            <w:r w:rsidR="000544CB" w:rsidRPr="00271597">
              <w:rPr>
                <w:rStyle w:val="Hyperlink"/>
                <w:noProof/>
                <w:spacing w:val="-17"/>
              </w:rPr>
              <w:t xml:space="preserve"> </w:t>
            </w:r>
            <w:r w:rsidR="000544CB" w:rsidRPr="00271597">
              <w:rPr>
                <w:rStyle w:val="Hyperlink"/>
                <w:noProof/>
              </w:rPr>
              <w:t>important?</w:t>
            </w:r>
            <w:r w:rsidR="000544CB">
              <w:rPr>
                <w:noProof/>
                <w:webHidden/>
              </w:rPr>
              <w:tab/>
            </w:r>
            <w:r w:rsidR="000544CB">
              <w:rPr>
                <w:noProof/>
                <w:webHidden/>
              </w:rPr>
              <w:fldChar w:fldCharType="begin"/>
            </w:r>
            <w:r w:rsidR="000544CB">
              <w:rPr>
                <w:noProof/>
                <w:webHidden/>
              </w:rPr>
              <w:instrText xml:space="preserve"> PAGEREF _Toc144895234 \h </w:instrText>
            </w:r>
            <w:r w:rsidR="000544CB">
              <w:rPr>
                <w:noProof/>
                <w:webHidden/>
              </w:rPr>
            </w:r>
            <w:r w:rsidR="000544CB">
              <w:rPr>
                <w:noProof/>
                <w:webHidden/>
              </w:rPr>
              <w:fldChar w:fldCharType="separate"/>
            </w:r>
            <w:r w:rsidR="00354132">
              <w:rPr>
                <w:noProof/>
                <w:webHidden/>
              </w:rPr>
              <w:t>5</w:t>
            </w:r>
            <w:r w:rsidR="000544CB">
              <w:rPr>
                <w:noProof/>
                <w:webHidden/>
              </w:rPr>
              <w:fldChar w:fldCharType="end"/>
            </w:r>
          </w:hyperlink>
        </w:p>
        <w:p w14:paraId="385CB1BE" w14:textId="342DAEB9" w:rsidR="000544CB" w:rsidRDefault="00201EEA">
          <w:pPr>
            <w:pStyle w:val="TOC2"/>
            <w:tabs>
              <w:tab w:val="left" w:pos="1320"/>
              <w:tab w:val="right" w:leader="dot" w:pos="9524"/>
            </w:tabs>
            <w:rPr>
              <w:rFonts w:asciiTheme="minorHAnsi" w:eastAsiaTheme="minorEastAsia" w:hAnsiTheme="minorHAnsi" w:cstheme="minorBidi"/>
              <w:noProof/>
              <w:lang w:eastAsia="en-AU"/>
            </w:rPr>
          </w:pPr>
          <w:hyperlink w:anchor="_Toc144895235" w:history="1">
            <w:r w:rsidR="000544CB" w:rsidRPr="00271597">
              <w:rPr>
                <w:rStyle w:val="Hyperlink"/>
                <w:noProof/>
                <w:spacing w:val="-1"/>
                <w:w w:val="99"/>
              </w:rPr>
              <w:t>1.2</w:t>
            </w:r>
            <w:r w:rsidR="000544CB">
              <w:rPr>
                <w:rFonts w:asciiTheme="minorHAnsi" w:eastAsiaTheme="minorEastAsia" w:hAnsiTheme="minorHAnsi" w:cstheme="minorBidi"/>
                <w:noProof/>
                <w:lang w:eastAsia="en-AU"/>
              </w:rPr>
              <w:tab/>
            </w:r>
            <w:r w:rsidR="000544CB" w:rsidRPr="00271597">
              <w:rPr>
                <w:rStyle w:val="Hyperlink"/>
                <w:noProof/>
              </w:rPr>
              <w:t>Who is the primary</w:t>
            </w:r>
            <w:r w:rsidR="000544CB" w:rsidRPr="00271597">
              <w:rPr>
                <w:rStyle w:val="Hyperlink"/>
                <w:noProof/>
                <w:spacing w:val="-8"/>
              </w:rPr>
              <w:t xml:space="preserve"> </w:t>
            </w:r>
            <w:r w:rsidR="000544CB" w:rsidRPr="00271597">
              <w:rPr>
                <w:rStyle w:val="Hyperlink"/>
                <w:noProof/>
              </w:rPr>
              <w:t>client?</w:t>
            </w:r>
            <w:r w:rsidR="000544CB">
              <w:rPr>
                <w:noProof/>
                <w:webHidden/>
              </w:rPr>
              <w:tab/>
            </w:r>
            <w:r w:rsidR="000544CB">
              <w:rPr>
                <w:noProof/>
                <w:webHidden/>
              </w:rPr>
              <w:fldChar w:fldCharType="begin"/>
            </w:r>
            <w:r w:rsidR="000544CB">
              <w:rPr>
                <w:noProof/>
                <w:webHidden/>
              </w:rPr>
              <w:instrText xml:space="preserve"> PAGEREF _Toc144895235 \h </w:instrText>
            </w:r>
            <w:r w:rsidR="000544CB">
              <w:rPr>
                <w:noProof/>
                <w:webHidden/>
              </w:rPr>
            </w:r>
            <w:r w:rsidR="000544CB">
              <w:rPr>
                <w:noProof/>
                <w:webHidden/>
              </w:rPr>
              <w:fldChar w:fldCharType="separate"/>
            </w:r>
            <w:r w:rsidR="00354132">
              <w:rPr>
                <w:noProof/>
                <w:webHidden/>
              </w:rPr>
              <w:t>5</w:t>
            </w:r>
            <w:r w:rsidR="000544CB">
              <w:rPr>
                <w:noProof/>
                <w:webHidden/>
              </w:rPr>
              <w:fldChar w:fldCharType="end"/>
            </w:r>
          </w:hyperlink>
        </w:p>
        <w:p w14:paraId="571B9812" w14:textId="02507EC4" w:rsidR="000544CB" w:rsidRDefault="00201EEA">
          <w:pPr>
            <w:pStyle w:val="TOC1"/>
            <w:tabs>
              <w:tab w:val="right" w:leader="dot" w:pos="9524"/>
            </w:tabs>
            <w:rPr>
              <w:rFonts w:asciiTheme="minorHAnsi" w:eastAsiaTheme="minorEastAsia" w:hAnsiTheme="minorHAnsi" w:cstheme="minorBidi"/>
              <w:b w:val="0"/>
              <w:bCs w:val="0"/>
              <w:noProof/>
              <w:lang w:eastAsia="en-AU"/>
            </w:rPr>
          </w:pPr>
          <w:hyperlink w:anchor="_Toc144895236" w:history="1">
            <w:r w:rsidR="000544CB" w:rsidRPr="00271597">
              <w:rPr>
                <w:rStyle w:val="Hyperlink"/>
                <w:noProof/>
                <w:w w:val="99"/>
              </w:rPr>
              <w:t>2.</w:t>
            </w:r>
            <w:r w:rsidR="000544CB">
              <w:rPr>
                <w:rFonts w:asciiTheme="minorHAnsi" w:eastAsiaTheme="minorEastAsia" w:hAnsiTheme="minorHAnsi" w:cstheme="minorBidi"/>
                <w:b w:val="0"/>
                <w:bCs w:val="0"/>
                <w:noProof/>
                <w:lang w:eastAsia="en-AU"/>
              </w:rPr>
              <w:tab/>
            </w:r>
            <w:r w:rsidR="000544CB" w:rsidRPr="00271597">
              <w:rPr>
                <w:rStyle w:val="Hyperlink"/>
                <w:noProof/>
              </w:rPr>
              <w:t>Advocacy</w:t>
            </w:r>
            <w:r w:rsidR="000544CB" w:rsidRPr="00271597">
              <w:rPr>
                <w:rStyle w:val="Hyperlink"/>
                <w:noProof/>
                <w:spacing w:val="-6"/>
              </w:rPr>
              <w:t xml:space="preserve"> </w:t>
            </w:r>
            <w:r w:rsidR="000544CB" w:rsidRPr="00271597">
              <w:rPr>
                <w:rStyle w:val="Hyperlink"/>
                <w:noProof/>
              </w:rPr>
              <w:t>services</w:t>
            </w:r>
            <w:r w:rsidR="000544CB">
              <w:rPr>
                <w:noProof/>
                <w:webHidden/>
              </w:rPr>
              <w:tab/>
            </w:r>
            <w:r w:rsidR="000544CB">
              <w:rPr>
                <w:noProof/>
                <w:webHidden/>
              </w:rPr>
              <w:fldChar w:fldCharType="begin"/>
            </w:r>
            <w:r w:rsidR="000544CB">
              <w:rPr>
                <w:noProof/>
                <w:webHidden/>
              </w:rPr>
              <w:instrText xml:space="preserve"> PAGEREF _Toc144895236 \h </w:instrText>
            </w:r>
            <w:r w:rsidR="000544CB">
              <w:rPr>
                <w:noProof/>
                <w:webHidden/>
              </w:rPr>
            </w:r>
            <w:r w:rsidR="000544CB">
              <w:rPr>
                <w:noProof/>
                <w:webHidden/>
              </w:rPr>
              <w:fldChar w:fldCharType="separate"/>
            </w:r>
            <w:r w:rsidR="00354132">
              <w:rPr>
                <w:noProof/>
                <w:webHidden/>
              </w:rPr>
              <w:t>5</w:t>
            </w:r>
            <w:r w:rsidR="000544CB">
              <w:rPr>
                <w:noProof/>
                <w:webHidden/>
              </w:rPr>
              <w:fldChar w:fldCharType="end"/>
            </w:r>
          </w:hyperlink>
        </w:p>
        <w:p w14:paraId="58A5C068" w14:textId="7AE0DF86" w:rsidR="000544CB" w:rsidRDefault="00201EEA">
          <w:pPr>
            <w:pStyle w:val="TOC1"/>
            <w:tabs>
              <w:tab w:val="right" w:leader="dot" w:pos="9524"/>
            </w:tabs>
            <w:rPr>
              <w:rFonts w:asciiTheme="minorHAnsi" w:eastAsiaTheme="minorEastAsia" w:hAnsiTheme="minorHAnsi" w:cstheme="minorBidi"/>
              <w:b w:val="0"/>
              <w:bCs w:val="0"/>
              <w:noProof/>
              <w:lang w:eastAsia="en-AU"/>
            </w:rPr>
          </w:pPr>
          <w:hyperlink w:anchor="_Toc144895237" w:history="1">
            <w:r w:rsidR="000544CB" w:rsidRPr="00271597">
              <w:rPr>
                <w:rStyle w:val="Hyperlink"/>
                <w:noProof/>
                <w:w w:val="99"/>
              </w:rPr>
              <w:t>3.</w:t>
            </w:r>
            <w:r w:rsidR="000544CB">
              <w:rPr>
                <w:rFonts w:asciiTheme="minorHAnsi" w:eastAsiaTheme="minorEastAsia" w:hAnsiTheme="minorHAnsi" w:cstheme="minorBidi"/>
                <w:b w:val="0"/>
                <w:bCs w:val="0"/>
                <w:noProof/>
                <w:lang w:eastAsia="en-AU"/>
              </w:rPr>
              <w:tab/>
            </w:r>
            <w:r w:rsidR="000544CB" w:rsidRPr="00271597">
              <w:rPr>
                <w:rStyle w:val="Hyperlink"/>
                <w:noProof/>
              </w:rPr>
              <w:t>Eligible organisations and</w:t>
            </w:r>
            <w:r w:rsidR="000544CB" w:rsidRPr="00271597">
              <w:rPr>
                <w:rStyle w:val="Hyperlink"/>
                <w:noProof/>
                <w:spacing w:val="-2"/>
              </w:rPr>
              <w:t xml:space="preserve"> </w:t>
            </w:r>
            <w:r w:rsidR="000544CB" w:rsidRPr="00271597">
              <w:rPr>
                <w:rStyle w:val="Hyperlink"/>
                <w:noProof/>
              </w:rPr>
              <w:t>activities</w:t>
            </w:r>
            <w:r w:rsidR="000544CB">
              <w:rPr>
                <w:noProof/>
                <w:webHidden/>
              </w:rPr>
              <w:tab/>
            </w:r>
            <w:r w:rsidR="000544CB">
              <w:rPr>
                <w:noProof/>
                <w:webHidden/>
              </w:rPr>
              <w:fldChar w:fldCharType="begin"/>
            </w:r>
            <w:r w:rsidR="000544CB">
              <w:rPr>
                <w:noProof/>
                <w:webHidden/>
              </w:rPr>
              <w:instrText xml:space="preserve"> PAGEREF _Toc144895237 \h </w:instrText>
            </w:r>
            <w:r w:rsidR="000544CB">
              <w:rPr>
                <w:noProof/>
                <w:webHidden/>
              </w:rPr>
            </w:r>
            <w:r w:rsidR="000544CB">
              <w:rPr>
                <w:noProof/>
                <w:webHidden/>
              </w:rPr>
              <w:fldChar w:fldCharType="separate"/>
            </w:r>
            <w:r w:rsidR="00354132">
              <w:rPr>
                <w:noProof/>
                <w:webHidden/>
              </w:rPr>
              <w:t>6</w:t>
            </w:r>
            <w:r w:rsidR="000544CB">
              <w:rPr>
                <w:noProof/>
                <w:webHidden/>
              </w:rPr>
              <w:fldChar w:fldCharType="end"/>
            </w:r>
          </w:hyperlink>
        </w:p>
        <w:p w14:paraId="69D335C3" w14:textId="4087FD66" w:rsidR="000544CB" w:rsidRDefault="00201EEA">
          <w:pPr>
            <w:pStyle w:val="TOC2"/>
            <w:tabs>
              <w:tab w:val="left" w:pos="1320"/>
              <w:tab w:val="right" w:leader="dot" w:pos="9524"/>
            </w:tabs>
            <w:rPr>
              <w:rFonts w:asciiTheme="minorHAnsi" w:eastAsiaTheme="minorEastAsia" w:hAnsiTheme="minorHAnsi" w:cstheme="minorBidi"/>
              <w:noProof/>
              <w:lang w:eastAsia="en-AU"/>
            </w:rPr>
          </w:pPr>
          <w:hyperlink w:anchor="_Toc144895238" w:history="1">
            <w:r w:rsidR="000544CB" w:rsidRPr="00271597">
              <w:rPr>
                <w:rStyle w:val="Hyperlink"/>
                <w:noProof/>
                <w:spacing w:val="-1"/>
                <w:w w:val="99"/>
              </w:rPr>
              <w:t>3.1</w:t>
            </w:r>
            <w:r w:rsidR="000544CB">
              <w:rPr>
                <w:rFonts w:asciiTheme="minorHAnsi" w:eastAsiaTheme="minorEastAsia" w:hAnsiTheme="minorHAnsi" w:cstheme="minorBidi"/>
                <w:noProof/>
                <w:lang w:eastAsia="en-AU"/>
              </w:rPr>
              <w:tab/>
            </w:r>
            <w:r w:rsidR="000544CB" w:rsidRPr="00271597">
              <w:rPr>
                <w:rStyle w:val="Hyperlink"/>
                <w:noProof/>
              </w:rPr>
              <w:t>Eligible</w:t>
            </w:r>
            <w:r w:rsidR="000544CB" w:rsidRPr="00271597">
              <w:rPr>
                <w:rStyle w:val="Hyperlink"/>
                <w:noProof/>
                <w:spacing w:val="1"/>
              </w:rPr>
              <w:t xml:space="preserve"> </w:t>
            </w:r>
            <w:r w:rsidR="000544CB" w:rsidRPr="00271597">
              <w:rPr>
                <w:rStyle w:val="Hyperlink"/>
                <w:noProof/>
              </w:rPr>
              <w:t>organisations</w:t>
            </w:r>
            <w:r w:rsidR="000544CB">
              <w:rPr>
                <w:noProof/>
                <w:webHidden/>
              </w:rPr>
              <w:tab/>
            </w:r>
            <w:r w:rsidR="000544CB">
              <w:rPr>
                <w:noProof/>
                <w:webHidden/>
              </w:rPr>
              <w:fldChar w:fldCharType="begin"/>
            </w:r>
            <w:r w:rsidR="000544CB">
              <w:rPr>
                <w:noProof/>
                <w:webHidden/>
              </w:rPr>
              <w:instrText xml:space="preserve"> PAGEREF _Toc144895238 \h </w:instrText>
            </w:r>
            <w:r w:rsidR="000544CB">
              <w:rPr>
                <w:noProof/>
                <w:webHidden/>
              </w:rPr>
            </w:r>
            <w:r w:rsidR="000544CB">
              <w:rPr>
                <w:noProof/>
                <w:webHidden/>
              </w:rPr>
              <w:fldChar w:fldCharType="separate"/>
            </w:r>
            <w:r w:rsidR="00354132">
              <w:rPr>
                <w:noProof/>
                <w:webHidden/>
              </w:rPr>
              <w:t>6</w:t>
            </w:r>
            <w:r w:rsidR="000544CB">
              <w:rPr>
                <w:noProof/>
                <w:webHidden/>
              </w:rPr>
              <w:fldChar w:fldCharType="end"/>
            </w:r>
          </w:hyperlink>
        </w:p>
        <w:p w14:paraId="66C26DD4" w14:textId="74FF41FD" w:rsidR="000544CB" w:rsidRDefault="00201EEA">
          <w:pPr>
            <w:pStyle w:val="TOC2"/>
            <w:tabs>
              <w:tab w:val="left" w:pos="1320"/>
              <w:tab w:val="right" w:leader="dot" w:pos="9524"/>
            </w:tabs>
            <w:rPr>
              <w:rFonts w:asciiTheme="minorHAnsi" w:eastAsiaTheme="minorEastAsia" w:hAnsiTheme="minorHAnsi" w:cstheme="minorBidi"/>
              <w:noProof/>
              <w:lang w:eastAsia="en-AU"/>
            </w:rPr>
          </w:pPr>
          <w:hyperlink w:anchor="_Toc144895239" w:history="1">
            <w:r w:rsidR="000544CB" w:rsidRPr="00271597">
              <w:rPr>
                <w:rStyle w:val="Hyperlink"/>
                <w:noProof/>
                <w:spacing w:val="-1"/>
                <w:w w:val="99"/>
              </w:rPr>
              <w:t>3.2</w:t>
            </w:r>
            <w:r w:rsidR="000544CB">
              <w:rPr>
                <w:rFonts w:asciiTheme="minorHAnsi" w:eastAsiaTheme="minorEastAsia" w:hAnsiTheme="minorHAnsi" w:cstheme="minorBidi"/>
                <w:noProof/>
                <w:lang w:eastAsia="en-AU"/>
              </w:rPr>
              <w:tab/>
            </w:r>
            <w:r w:rsidR="000544CB" w:rsidRPr="00271597">
              <w:rPr>
                <w:rStyle w:val="Hyperlink"/>
                <w:noProof/>
              </w:rPr>
              <w:t>Target groups</w:t>
            </w:r>
            <w:r w:rsidR="000544CB">
              <w:rPr>
                <w:noProof/>
                <w:webHidden/>
              </w:rPr>
              <w:tab/>
            </w:r>
            <w:r w:rsidR="000544CB">
              <w:rPr>
                <w:noProof/>
                <w:webHidden/>
              </w:rPr>
              <w:fldChar w:fldCharType="begin"/>
            </w:r>
            <w:r w:rsidR="000544CB">
              <w:rPr>
                <w:noProof/>
                <w:webHidden/>
              </w:rPr>
              <w:instrText xml:space="preserve"> PAGEREF _Toc144895239 \h </w:instrText>
            </w:r>
            <w:r w:rsidR="000544CB">
              <w:rPr>
                <w:noProof/>
                <w:webHidden/>
              </w:rPr>
            </w:r>
            <w:r w:rsidR="000544CB">
              <w:rPr>
                <w:noProof/>
                <w:webHidden/>
              </w:rPr>
              <w:fldChar w:fldCharType="separate"/>
            </w:r>
            <w:r w:rsidR="00354132">
              <w:rPr>
                <w:noProof/>
                <w:webHidden/>
              </w:rPr>
              <w:t>7</w:t>
            </w:r>
            <w:r w:rsidR="000544CB">
              <w:rPr>
                <w:noProof/>
                <w:webHidden/>
              </w:rPr>
              <w:fldChar w:fldCharType="end"/>
            </w:r>
          </w:hyperlink>
        </w:p>
        <w:p w14:paraId="4BFC3EBF" w14:textId="5A400EDE" w:rsidR="000544CB" w:rsidRDefault="00201EEA">
          <w:pPr>
            <w:pStyle w:val="TOC2"/>
            <w:tabs>
              <w:tab w:val="left" w:pos="1320"/>
              <w:tab w:val="right" w:leader="dot" w:pos="9524"/>
            </w:tabs>
            <w:rPr>
              <w:rFonts w:asciiTheme="minorHAnsi" w:eastAsiaTheme="minorEastAsia" w:hAnsiTheme="minorHAnsi" w:cstheme="minorBidi"/>
              <w:noProof/>
              <w:lang w:eastAsia="en-AU"/>
            </w:rPr>
          </w:pPr>
          <w:hyperlink w:anchor="_Toc144895240" w:history="1">
            <w:r w:rsidR="000544CB" w:rsidRPr="00271597">
              <w:rPr>
                <w:rStyle w:val="Hyperlink"/>
                <w:noProof/>
                <w:spacing w:val="-1"/>
                <w:w w:val="99"/>
              </w:rPr>
              <w:t>3.3</w:t>
            </w:r>
            <w:r w:rsidR="000544CB">
              <w:rPr>
                <w:rFonts w:asciiTheme="minorHAnsi" w:eastAsiaTheme="minorEastAsia" w:hAnsiTheme="minorHAnsi" w:cstheme="minorBidi"/>
                <w:noProof/>
                <w:lang w:eastAsia="en-AU"/>
              </w:rPr>
              <w:tab/>
            </w:r>
            <w:r w:rsidR="000544CB" w:rsidRPr="00271597">
              <w:rPr>
                <w:rStyle w:val="Hyperlink"/>
                <w:noProof/>
              </w:rPr>
              <w:t>Eligible</w:t>
            </w:r>
            <w:r w:rsidR="000544CB" w:rsidRPr="00271597">
              <w:rPr>
                <w:rStyle w:val="Hyperlink"/>
                <w:noProof/>
                <w:spacing w:val="1"/>
              </w:rPr>
              <w:t xml:space="preserve"> </w:t>
            </w:r>
            <w:r w:rsidR="000544CB" w:rsidRPr="00271597">
              <w:rPr>
                <w:rStyle w:val="Hyperlink"/>
                <w:noProof/>
              </w:rPr>
              <w:t>activities</w:t>
            </w:r>
            <w:r w:rsidR="000544CB">
              <w:rPr>
                <w:noProof/>
                <w:webHidden/>
              </w:rPr>
              <w:tab/>
            </w:r>
            <w:r w:rsidR="000544CB">
              <w:rPr>
                <w:noProof/>
                <w:webHidden/>
              </w:rPr>
              <w:fldChar w:fldCharType="begin"/>
            </w:r>
            <w:r w:rsidR="000544CB">
              <w:rPr>
                <w:noProof/>
                <w:webHidden/>
              </w:rPr>
              <w:instrText xml:space="preserve"> PAGEREF _Toc144895240 \h </w:instrText>
            </w:r>
            <w:r w:rsidR="000544CB">
              <w:rPr>
                <w:noProof/>
                <w:webHidden/>
              </w:rPr>
            </w:r>
            <w:r w:rsidR="000544CB">
              <w:rPr>
                <w:noProof/>
                <w:webHidden/>
              </w:rPr>
              <w:fldChar w:fldCharType="separate"/>
            </w:r>
            <w:r w:rsidR="00354132">
              <w:rPr>
                <w:noProof/>
                <w:webHidden/>
              </w:rPr>
              <w:t>7</w:t>
            </w:r>
            <w:r w:rsidR="000544CB">
              <w:rPr>
                <w:noProof/>
                <w:webHidden/>
              </w:rPr>
              <w:fldChar w:fldCharType="end"/>
            </w:r>
          </w:hyperlink>
        </w:p>
        <w:p w14:paraId="27001256" w14:textId="7022C0F8" w:rsidR="000544CB" w:rsidRDefault="00201EEA">
          <w:pPr>
            <w:pStyle w:val="TOC2"/>
            <w:tabs>
              <w:tab w:val="left" w:pos="1320"/>
              <w:tab w:val="right" w:leader="dot" w:pos="9524"/>
            </w:tabs>
            <w:rPr>
              <w:rFonts w:asciiTheme="minorHAnsi" w:eastAsiaTheme="minorEastAsia" w:hAnsiTheme="minorHAnsi" w:cstheme="minorBidi"/>
              <w:noProof/>
              <w:lang w:eastAsia="en-AU"/>
            </w:rPr>
          </w:pPr>
          <w:hyperlink w:anchor="_Toc144895241" w:history="1">
            <w:r w:rsidR="000544CB" w:rsidRPr="00271597">
              <w:rPr>
                <w:rStyle w:val="Hyperlink"/>
                <w:noProof/>
                <w:spacing w:val="-1"/>
                <w:w w:val="99"/>
              </w:rPr>
              <w:t>3.4</w:t>
            </w:r>
            <w:r w:rsidR="000544CB">
              <w:rPr>
                <w:rFonts w:asciiTheme="minorHAnsi" w:eastAsiaTheme="minorEastAsia" w:hAnsiTheme="minorHAnsi" w:cstheme="minorBidi"/>
                <w:noProof/>
                <w:lang w:eastAsia="en-AU"/>
              </w:rPr>
              <w:tab/>
            </w:r>
            <w:r w:rsidR="000544CB" w:rsidRPr="00271597">
              <w:rPr>
                <w:rStyle w:val="Hyperlink"/>
                <w:noProof/>
              </w:rPr>
              <w:t>Ineligible</w:t>
            </w:r>
            <w:r w:rsidR="000544CB" w:rsidRPr="00271597">
              <w:rPr>
                <w:rStyle w:val="Hyperlink"/>
                <w:noProof/>
                <w:spacing w:val="-2"/>
              </w:rPr>
              <w:t xml:space="preserve"> </w:t>
            </w:r>
            <w:r w:rsidR="000544CB" w:rsidRPr="00271597">
              <w:rPr>
                <w:rStyle w:val="Hyperlink"/>
                <w:noProof/>
              </w:rPr>
              <w:t>activities</w:t>
            </w:r>
            <w:r w:rsidR="000544CB">
              <w:rPr>
                <w:noProof/>
                <w:webHidden/>
              </w:rPr>
              <w:tab/>
            </w:r>
            <w:r w:rsidR="000544CB">
              <w:rPr>
                <w:noProof/>
                <w:webHidden/>
              </w:rPr>
              <w:fldChar w:fldCharType="begin"/>
            </w:r>
            <w:r w:rsidR="000544CB">
              <w:rPr>
                <w:noProof/>
                <w:webHidden/>
              </w:rPr>
              <w:instrText xml:space="preserve"> PAGEREF _Toc144895241 \h </w:instrText>
            </w:r>
            <w:r w:rsidR="000544CB">
              <w:rPr>
                <w:noProof/>
                <w:webHidden/>
              </w:rPr>
            </w:r>
            <w:r w:rsidR="000544CB">
              <w:rPr>
                <w:noProof/>
                <w:webHidden/>
              </w:rPr>
              <w:fldChar w:fldCharType="separate"/>
            </w:r>
            <w:r w:rsidR="00354132">
              <w:rPr>
                <w:noProof/>
                <w:webHidden/>
              </w:rPr>
              <w:t>8</w:t>
            </w:r>
            <w:r w:rsidR="000544CB">
              <w:rPr>
                <w:noProof/>
                <w:webHidden/>
              </w:rPr>
              <w:fldChar w:fldCharType="end"/>
            </w:r>
          </w:hyperlink>
        </w:p>
        <w:p w14:paraId="48CC24C4" w14:textId="61BE758B" w:rsidR="000544CB" w:rsidRDefault="00201EEA">
          <w:pPr>
            <w:pStyle w:val="TOC1"/>
            <w:tabs>
              <w:tab w:val="right" w:leader="dot" w:pos="9524"/>
            </w:tabs>
            <w:rPr>
              <w:rFonts w:asciiTheme="minorHAnsi" w:eastAsiaTheme="minorEastAsia" w:hAnsiTheme="minorHAnsi" w:cstheme="minorBidi"/>
              <w:b w:val="0"/>
              <w:bCs w:val="0"/>
              <w:noProof/>
              <w:lang w:eastAsia="en-AU"/>
            </w:rPr>
          </w:pPr>
          <w:hyperlink w:anchor="_Toc144895242" w:history="1">
            <w:r w:rsidR="000544CB" w:rsidRPr="00271597">
              <w:rPr>
                <w:rStyle w:val="Hyperlink"/>
                <w:noProof/>
                <w:w w:val="99"/>
              </w:rPr>
              <w:t>4.</w:t>
            </w:r>
            <w:r w:rsidR="000544CB">
              <w:rPr>
                <w:rFonts w:asciiTheme="minorHAnsi" w:eastAsiaTheme="minorEastAsia" w:hAnsiTheme="minorHAnsi" w:cstheme="minorBidi"/>
                <w:b w:val="0"/>
                <w:bCs w:val="0"/>
                <w:noProof/>
                <w:lang w:eastAsia="en-AU"/>
              </w:rPr>
              <w:tab/>
            </w:r>
            <w:r w:rsidR="000544CB" w:rsidRPr="00271597">
              <w:rPr>
                <w:rStyle w:val="Hyperlink"/>
                <w:noProof/>
              </w:rPr>
              <w:t>Access to disability advocacy</w:t>
            </w:r>
            <w:r w:rsidR="000544CB" w:rsidRPr="00271597">
              <w:rPr>
                <w:rStyle w:val="Hyperlink"/>
                <w:noProof/>
                <w:spacing w:val="-9"/>
              </w:rPr>
              <w:t xml:space="preserve"> </w:t>
            </w:r>
            <w:r w:rsidR="000544CB" w:rsidRPr="00271597">
              <w:rPr>
                <w:rStyle w:val="Hyperlink"/>
                <w:noProof/>
              </w:rPr>
              <w:t>support</w:t>
            </w:r>
            <w:r w:rsidR="000544CB">
              <w:rPr>
                <w:noProof/>
                <w:webHidden/>
              </w:rPr>
              <w:tab/>
            </w:r>
            <w:r w:rsidR="000544CB">
              <w:rPr>
                <w:noProof/>
                <w:webHidden/>
              </w:rPr>
              <w:fldChar w:fldCharType="begin"/>
            </w:r>
            <w:r w:rsidR="000544CB">
              <w:rPr>
                <w:noProof/>
                <w:webHidden/>
              </w:rPr>
              <w:instrText xml:space="preserve"> PAGEREF _Toc144895242 \h </w:instrText>
            </w:r>
            <w:r w:rsidR="000544CB">
              <w:rPr>
                <w:noProof/>
                <w:webHidden/>
              </w:rPr>
            </w:r>
            <w:r w:rsidR="000544CB">
              <w:rPr>
                <w:noProof/>
                <w:webHidden/>
              </w:rPr>
              <w:fldChar w:fldCharType="separate"/>
            </w:r>
            <w:r w:rsidR="00354132">
              <w:rPr>
                <w:noProof/>
                <w:webHidden/>
              </w:rPr>
              <w:t>8</w:t>
            </w:r>
            <w:r w:rsidR="000544CB">
              <w:rPr>
                <w:noProof/>
                <w:webHidden/>
              </w:rPr>
              <w:fldChar w:fldCharType="end"/>
            </w:r>
          </w:hyperlink>
        </w:p>
        <w:p w14:paraId="5AAB3D88" w14:textId="1FE90A34" w:rsidR="000544CB" w:rsidRDefault="00201EEA">
          <w:pPr>
            <w:pStyle w:val="TOC2"/>
            <w:tabs>
              <w:tab w:val="left" w:pos="1320"/>
              <w:tab w:val="right" w:leader="dot" w:pos="9524"/>
            </w:tabs>
            <w:rPr>
              <w:rFonts w:asciiTheme="minorHAnsi" w:eastAsiaTheme="minorEastAsia" w:hAnsiTheme="minorHAnsi" w:cstheme="minorBidi"/>
              <w:noProof/>
              <w:lang w:eastAsia="en-AU"/>
            </w:rPr>
          </w:pPr>
          <w:hyperlink w:anchor="_Toc144895243" w:history="1">
            <w:r w:rsidR="000544CB" w:rsidRPr="00271597">
              <w:rPr>
                <w:rStyle w:val="Hyperlink"/>
                <w:noProof/>
                <w:spacing w:val="-1"/>
                <w:w w:val="99"/>
              </w:rPr>
              <w:t>4.1</w:t>
            </w:r>
            <w:r w:rsidR="000544CB">
              <w:rPr>
                <w:rFonts w:asciiTheme="minorHAnsi" w:eastAsiaTheme="minorEastAsia" w:hAnsiTheme="minorHAnsi" w:cstheme="minorBidi"/>
                <w:noProof/>
                <w:lang w:eastAsia="en-AU"/>
              </w:rPr>
              <w:tab/>
            </w:r>
            <w:r w:rsidR="000544CB" w:rsidRPr="00271597">
              <w:rPr>
                <w:rStyle w:val="Hyperlink"/>
                <w:noProof/>
              </w:rPr>
              <w:t>Service capacity and waitlisting</w:t>
            </w:r>
            <w:r w:rsidR="000544CB">
              <w:rPr>
                <w:noProof/>
                <w:webHidden/>
              </w:rPr>
              <w:tab/>
            </w:r>
            <w:r w:rsidR="000544CB">
              <w:rPr>
                <w:noProof/>
                <w:webHidden/>
              </w:rPr>
              <w:fldChar w:fldCharType="begin"/>
            </w:r>
            <w:r w:rsidR="000544CB">
              <w:rPr>
                <w:noProof/>
                <w:webHidden/>
              </w:rPr>
              <w:instrText xml:space="preserve"> PAGEREF _Toc144895243 \h </w:instrText>
            </w:r>
            <w:r w:rsidR="000544CB">
              <w:rPr>
                <w:noProof/>
                <w:webHidden/>
              </w:rPr>
            </w:r>
            <w:r w:rsidR="000544CB">
              <w:rPr>
                <w:noProof/>
                <w:webHidden/>
              </w:rPr>
              <w:fldChar w:fldCharType="separate"/>
            </w:r>
            <w:r w:rsidR="00354132">
              <w:rPr>
                <w:noProof/>
                <w:webHidden/>
              </w:rPr>
              <w:t>8</w:t>
            </w:r>
            <w:r w:rsidR="000544CB">
              <w:rPr>
                <w:noProof/>
                <w:webHidden/>
              </w:rPr>
              <w:fldChar w:fldCharType="end"/>
            </w:r>
          </w:hyperlink>
        </w:p>
        <w:p w14:paraId="76646B6F" w14:textId="0DF1986F" w:rsidR="000544CB" w:rsidRDefault="00201EEA">
          <w:pPr>
            <w:pStyle w:val="TOC2"/>
            <w:tabs>
              <w:tab w:val="left" w:pos="1320"/>
              <w:tab w:val="right" w:leader="dot" w:pos="9524"/>
            </w:tabs>
            <w:rPr>
              <w:rFonts w:asciiTheme="minorHAnsi" w:eastAsiaTheme="minorEastAsia" w:hAnsiTheme="minorHAnsi" w:cstheme="minorBidi"/>
              <w:noProof/>
              <w:lang w:eastAsia="en-AU"/>
            </w:rPr>
          </w:pPr>
          <w:hyperlink w:anchor="_Toc144895244" w:history="1">
            <w:r w:rsidR="000544CB" w:rsidRPr="00271597">
              <w:rPr>
                <w:rStyle w:val="Hyperlink"/>
                <w:noProof/>
                <w:spacing w:val="-1"/>
                <w:w w:val="99"/>
              </w:rPr>
              <w:t>4.2</w:t>
            </w:r>
            <w:r w:rsidR="000544CB">
              <w:rPr>
                <w:rFonts w:asciiTheme="minorHAnsi" w:eastAsiaTheme="minorEastAsia" w:hAnsiTheme="minorHAnsi" w:cstheme="minorBidi"/>
                <w:noProof/>
                <w:lang w:eastAsia="en-AU"/>
              </w:rPr>
              <w:tab/>
            </w:r>
            <w:r w:rsidR="000544CB" w:rsidRPr="00271597">
              <w:rPr>
                <w:rStyle w:val="Hyperlink"/>
                <w:noProof/>
              </w:rPr>
              <w:t>Promotion of</w:t>
            </w:r>
            <w:r w:rsidR="000544CB" w:rsidRPr="00271597">
              <w:rPr>
                <w:rStyle w:val="Hyperlink"/>
                <w:noProof/>
                <w:spacing w:val="-3"/>
              </w:rPr>
              <w:t xml:space="preserve"> </w:t>
            </w:r>
            <w:r w:rsidR="000544CB" w:rsidRPr="00271597">
              <w:rPr>
                <w:rStyle w:val="Hyperlink"/>
                <w:noProof/>
              </w:rPr>
              <w:t>services</w:t>
            </w:r>
            <w:r w:rsidR="000544CB">
              <w:rPr>
                <w:noProof/>
                <w:webHidden/>
              </w:rPr>
              <w:tab/>
            </w:r>
            <w:r w:rsidR="000544CB">
              <w:rPr>
                <w:noProof/>
                <w:webHidden/>
              </w:rPr>
              <w:fldChar w:fldCharType="begin"/>
            </w:r>
            <w:r w:rsidR="000544CB">
              <w:rPr>
                <w:noProof/>
                <w:webHidden/>
              </w:rPr>
              <w:instrText xml:space="preserve"> PAGEREF _Toc144895244 \h </w:instrText>
            </w:r>
            <w:r w:rsidR="000544CB">
              <w:rPr>
                <w:noProof/>
                <w:webHidden/>
              </w:rPr>
            </w:r>
            <w:r w:rsidR="000544CB">
              <w:rPr>
                <w:noProof/>
                <w:webHidden/>
              </w:rPr>
              <w:fldChar w:fldCharType="separate"/>
            </w:r>
            <w:r w:rsidR="00354132">
              <w:rPr>
                <w:noProof/>
                <w:webHidden/>
              </w:rPr>
              <w:t>9</w:t>
            </w:r>
            <w:r w:rsidR="000544CB">
              <w:rPr>
                <w:noProof/>
                <w:webHidden/>
              </w:rPr>
              <w:fldChar w:fldCharType="end"/>
            </w:r>
          </w:hyperlink>
        </w:p>
        <w:p w14:paraId="057A8A26" w14:textId="08879592" w:rsidR="000544CB" w:rsidRDefault="00201EEA">
          <w:pPr>
            <w:pStyle w:val="TOC2"/>
            <w:tabs>
              <w:tab w:val="left" w:pos="1320"/>
              <w:tab w:val="right" w:leader="dot" w:pos="9524"/>
            </w:tabs>
            <w:rPr>
              <w:rFonts w:asciiTheme="minorHAnsi" w:eastAsiaTheme="minorEastAsia" w:hAnsiTheme="minorHAnsi" w:cstheme="minorBidi"/>
              <w:noProof/>
              <w:lang w:eastAsia="en-AU"/>
            </w:rPr>
          </w:pPr>
          <w:hyperlink w:anchor="_Toc144895245" w:history="1">
            <w:r w:rsidR="000544CB" w:rsidRPr="00271597">
              <w:rPr>
                <w:rStyle w:val="Hyperlink"/>
                <w:noProof/>
                <w:spacing w:val="-1"/>
                <w:w w:val="99"/>
              </w:rPr>
              <w:t>4.3</w:t>
            </w:r>
            <w:r w:rsidR="000544CB">
              <w:rPr>
                <w:rFonts w:asciiTheme="minorHAnsi" w:eastAsiaTheme="minorEastAsia" w:hAnsiTheme="minorHAnsi" w:cstheme="minorBidi"/>
                <w:noProof/>
                <w:lang w:eastAsia="en-AU"/>
              </w:rPr>
              <w:tab/>
            </w:r>
            <w:r w:rsidR="000544CB" w:rsidRPr="00271597">
              <w:rPr>
                <w:rStyle w:val="Hyperlink"/>
                <w:noProof/>
              </w:rPr>
              <w:t>Specialised disability advocacy providers</w:t>
            </w:r>
            <w:r w:rsidR="000544CB">
              <w:rPr>
                <w:noProof/>
                <w:webHidden/>
              </w:rPr>
              <w:tab/>
            </w:r>
            <w:r w:rsidR="000544CB">
              <w:rPr>
                <w:noProof/>
                <w:webHidden/>
              </w:rPr>
              <w:fldChar w:fldCharType="begin"/>
            </w:r>
            <w:r w:rsidR="000544CB">
              <w:rPr>
                <w:noProof/>
                <w:webHidden/>
              </w:rPr>
              <w:instrText xml:space="preserve"> PAGEREF _Toc144895245 \h </w:instrText>
            </w:r>
            <w:r w:rsidR="000544CB">
              <w:rPr>
                <w:noProof/>
                <w:webHidden/>
              </w:rPr>
            </w:r>
            <w:r w:rsidR="000544CB">
              <w:rPr>
                <w:noProof/>
                <w:webHidden/>
              </w:rPr>
              <w:fldChar w:fldCharType="separate"/>
            </w:r>
            <w:r w:rsidR="00354132">
              <w:rPr>
                <w:noProof/>
                <w:webHidden/>
              </w:rPr>
              <w:t>9</w:t>
            </w:r>
            <w:r w:rsidR="000544CB">
              <w:rPr>
                <w:noProof/>
                <w:webHidden/>
              </w:rPr>
              <w:fldChar w:fldCharType="end"/>
            </w:r>
          </w:hyperlink>
        </w:p>
        <w:p w14:paraId="49127AFE" w14:textId="0D710DE6" w:rsidR="000544CB" w:rsidRDefault="00201EEA">
          <w:pPr>
            <w:pStyle w:val="TOC2"/>
            <w:tabs>
              <w:tab w:val="left" w:pos="1320"/>
              <w:tab w:val="right" w:leader="dot" w:pos="9524"/>
            </w:tabs>
            <w:rPr>
              <w:rFonts w:asciiTheme="minorHAnsi" w:eastAsiaTheme="minorEastAsia" w:hAnsiTheme="minorHAnsi" w:cstheme="minorBidi"/>
              <w:noProof/>
              <w:lang w:eastAsia="en-AU"/>
            </w:rPr>
          </w:pPr>
          <w:hyperlink w:anchor="_Toc144895246" w:history="1">
            <w:r w:rsidR="000544CB" w:rsidRPr="00271597">
              <w:rPr>
                <w:rStyle w:val="Hyperlink"/>
                <w:noProof/>
                <w:spacing w:val="-1"/>
                <w:w w:val="99"/>
              </w:rPr>
              <w:t>4.4</w:t>
            </w:r>
            <w:r w:rsidR="000544CB">
              <w:rPr>
                <w:rFonts w:asciiTheme="minorHAnsi" w:eastAsiaTheme="minorEastAsia" w:hAnsiTheme="minorHAnsi" w:cstheme="minorBidi"/>
                <w:noProof/>
                <w:lang w:eastAsia="en-AU"/>
              </w:rPr>
              <w:tab/>
            </w:r>
            <w:r w:rsidR="000544CB" w:rsidRPr="00271597">
              <w:rPr>
                <w:rStyle w:val="Hyperlink"/>
                <w:noProof/>
              </w:rPr>
              <w:t>Aboriginal and Torres Strait Islander</w:t>
            </w:r>
            <w:r w:rsidR="000544CB" w:rsidRPr="00271597">
              <w:rPr>
                <w:rStyle w:val="Hyperlink"/>
                <w:noProof/>
                <w:spacing w:val="-4"/>
              </w:rPr>
              <w:t xml:space="preserve"> </w:t>
            </w:r>
            <w:r w:rsidR="000544CB" w:rsidRPr="00271597">
              <w:rPr>
                <w:rStyle w:val="Hyperlink"/>
                <w:noProof/>
              </w:rPr>
              <w:t>access</w:t>
            </w:r>
            <w:r w:rsidR="000544CB">
              <w:rPr>
                <w:noProof/>
                <w:webHidden/>
              </w:rPr>
              <w:tab/>
            </w:r>
            <w:r w:rsidR="000544CB">
              <w:rPr>
                <w:noProof/>
                <w:webHidden/>
              </w:rPr>
              <w:fldChar w:fldCharType="begin"/>
            </w:r>
            <w:r w:rsidR="000544CB">
              <w:rPr>
                <w:noProof/>
                <w:webHidden/>
              </w:rPr>
              <w:instrText xml:space="preserve"> PAGEREF _Toc144895246 \h </w:instrText>
            </w:r>
            <w:r w:rsidR="000544CB">
              <w:rPr>
                <w:noProof/>
                <w:webHidden/>
              </w:rPr>
            </w:r>
            <w:r w:rsidR="000544CB">
              <w:rPr>
                <w:noProof/>
                <w:webHidden/>
              </w:rPr>
              <w:fldChar w:fldCharType="separate"/>
            </w:r>
            <w:r w:rsidR="00354132">
              <w:rPr>
                <w:noProof/>
                <w:webHidden/>
              </w:rPr>
              <w:t>9</w:t>
            </w:r>
            <w:r w:rsidR="000544CB">
              <w:rPr>
                <w:noProof/>
                <w:webHidden/>
              </w:rPr>
              <w:fldChar w:fldCharType="end"/>
            </w:r>
          </w:hyperlink>
        </w:p>
        <w:p w14:paraId="65053C09" w14:textId="32E638F8" w:rsidR="000544CB" w:rsidRDefault="00201EEA">
          <w:pPr>
            <w:pStyle w:val="TOC2"/>
            <w:tabs>
              <w:tab w:val="left" w:pos="1320"/>
              <w:tab w:val="right" w:leader="dot" w:pos="9524"/>
            </w:tabs>
            <w:rPr>
              <w:rFonts w:asciiTheme="minorHAnsi" w:eastAsiaTheme="minorEastAsia" w:hAnsiTheme="minorHAnsi" w:cstheme="minorBidi"/>
              <w:noProof/>
              <w:lang w:eastAsia="en-AU"/>
            </w:rPr>
          </w:pPr>
          <w:hyperlink w:anchor="_Toc144895247" w:history="1">
            <w:r w:rsidR="000544CB" w:rsidRPr="00271597">
              <w:rPr>
                <w:rStyle w:val="Hyperlink"/>
                <w:noProof/>
                <w:spacing w:val="-1"/>
                <w:w w:val="99"/>
              </w:rPr>
              <w:t>4.5</w:t>
            </w:r>
            <w:r w:rsidR="000544CB">
              <w:rPr>
                <w:rFonts w:asciiTheme="minorHAnsi" w:eastAsiaTheme="minorEastAsia" w:hAnsiTheme="minorHAnsi" w:cstheme="minorBidi"/>
                <w:noProof/>
                <w:lang w:eastAsia="en-AU"/>
              </w:rPr>
              <w:tab/>
            </w:r>
            <w:r w:rsidR="000544CB" w:rsidRPr="00271597">
              <w:rPr>
                <w:rStyle w:val="Hyperlink"/>
                <w:noProof/>
              </w:rPr>
              <w:t>Culturally and Linguistically Diverse background</w:t>
            </w:r>
            <w:r w:rsidR="000544CB" w:rsidRPr="00271597">
              <w:rPr>
                <w:rStyle w:val="Hyperlink"/>
                <w:noProof/>
                <w:spacing w:val="-4"/>
              </w:rPr>
              <w:t xml:space="preserve"> </w:t>
            </w:r>
            <w:r w:rsidR="000544CB" w:rsidRPr="00271597">
              <w:rPr>
                <w:rStyle w:val="Hyperlink"/>
                <w:noProof/>
              </w:rPr>
              <w:t>access</w:t>
            </w:r>
            <w:r w:rsidR="000544CB">
              <w:rPr>
                <w:noProof/>
                <w:webHidden/>
              </w:rPr>
              <w:tab/>
            </w:r>
            <w:r w:rsidR="000544CB">
              <w:rPr>
                <w:noProof/>
                <w:webHidden/>
              </w:rPr>
              <w:fldChar w:fldCharType="begin"/>
            </w:r>
            <w:r w:rsidR="000544CB">
              <w:rPr>
                <w:noProof/>
                <w:webHidden/>
              </w:rPr>
              <w:instrText xml:space="preserve"> PAGEREF _Toc144895247 \h </w:instrText>
            </w:r>
            <w:r w:rsidR="000544CB">
              <w:rPr>
                <w:noProof/>
                <w:webHidden/>
              </w:rPr>
            </w:r>
            <w:r w:rsidR="000544CB">
              <w:rPr>
                <w:noProof/>
                <w:webHidden/>
              </w:rPr>
              <w:fldChar w:fldCharType="separate"/>
            </w:r>
            <w:r w:rsidR="00354132">
              <w:rPr>
                <w:noProof/>
                <w:webHidden/>
              </w:rPr>
              <w:t>9</w:t>
            </w:r>
            <w:r w:rsidR="000544CB">
              <w:rPr>
                <w:noProof/>
                <w:webHidden/>
              </w:rPr>
              <w:fldChar w:fldCharType="end"/>
            </w:r>
          </w:hyperlink>
        </w:p>
        <w:p w14:paraId="14DD1657" w14:textId="1AF0FF27" w:rsidR="000544CB" w:rsidRDefault="00201EEA">
          <w:pPr>
            <w:pStyle w:val="TOC2"/>
            <w:tabs>
              <w:tab w:val="left" w:pos="1320"/>
              <w:tab w:val="right" w:leader="dot" w:pos="9524"/>
            </w:tabs>
            <w:rPr>
              <w:rFonts w:asciiTheme="minorHAnsi" w:eastAsiaTheme="minorEastAsia" w:hAnsiTheme="minorHAnsi" w:cstheme="minorBidi"/>
              <w:noProof/>
              <w:lang w:eastAsia="en-AU"/>
            </w:rPr>
          </w:pPr>
          <w:hyperlink w:anchor="_Toc144895248" w:history="1">
            <w:r w:rsidR="000544CB" w:rsidRPr="00271597">
              <w:rPr>
                <w:rStyle w:val="Hyperlink"/>
                <w:noProof/>
                <w:spacing w:val="-1"/>
                <w:w w:val="99"/>
              </w:rPr>
              <w:t>4.6</w:t>
            </w:r>
            <w:r w:rsidR="000544CB">
              <w:rPr>
                <w:rFonts w:asciiTheme="minorHAnsi" w:eastAsiaTheme="minorEastAsia" w:hAnsiTheme="minorHAnsi" w:cstheme="minorBidi"/>
                <w:noProof/>
                <w:lang w:eastAsia="en-AU"/>
              </w:rPr>
              <w:tab/>
            </w:r>
            <w:r w:rsidR="000544CB" w:rsidRPr="00271597">
              <w:rPr>
                <w:rStyle w:val="Hyperlink"/>
                <w:noProof/>
              </w:rPr>
              <w:t>LGBTQIA+ access</w:t>
            </w:r>
            <w:r w:rsidR="000544CB">
              <w:rPr>
                <w:noProof/>
                <w:webHidden/>
              </w:rPr>
              <w:tab/>
            </w:r>
            <w:r w:rsidR="000544CB">
              <w:rPr>
                <w:noProof/>
                <w:webHidden/>
              </w:rPr>
              <w:fldChar w:fldCharType="begin"/>
            </w:r>
            <w:r w:rsidR="000544CB">
              <w:rPr>
                <w:noProof/>
                <w:webHidden/>
              </w:rPr>
              <w:instrText xml:space="preserve"> PAGEREF _Toc144895248 \h </w:instrText>
            </w:r>
            <w:r w:rsidR="000544CB">
              <w:rPr>
                <w:noProof/>
                <w:webHidden/>
              </w:rPr>
            </w:r>
            <w:r w:rsidR="000544CB">
              <w:rPr>
                <w:noProof/>
                <w:webHidden/>
              </w:rPr>
              <w:fldChar w:fldCharType="separate"/>
            </w:r>
            <w:r w:rsidR="00354132">
              <w:rPr>
                <w:noProof/>
                <w:webHidden/>
              </w:rPr>
              <w:t>9</w:t>
            </w:r>
            <w:r w:rsidR="000544CB">
              <w:rPr>
                <w:noProof/>
                <w:webHidden/>
              </w:rPr>
              <w:fldChar w:fldCharType="end"/>
            </w:r>
          </w:hyperlink>
        </w:p>
        <w:p w14:paraId="00AEBEC2" w14:textId="057827B2" w:rsidR="000544CB" w:rsidRDefault="00201EEA">
          <w:pPr>
            <w:pStyle w:val="TOC2"/>
            <w:tabs>
              <w:tab w:val="left" w:pos="1320"/>
              <w:tab w:val="right" w:leader="dot" w:pos="9524"/>
            </w:tabs>
            <w:rPr>
              <w:rFonts w:asciiTheme="minorHAnsi" w:eastAsiaTheme="minorEastAsia" w:hAnsiTheme="minorHAnsi" w:cstheme="minorBidi"/>
              <w:noProof/>
              <w:lang w:eastAsia="en-AU"/>
            </w:rPr>
          </w:pPr>
          <w:hyperlink w:anchor="_Toc144895249" w:history="1">
            <w:r w:rsidR="000544CB" w:rsidRPr="00271597">
              <w:rPr>
                <w:rStyle w:val="Hyperlink"/>
                <w:noProof/>
                <w:spacing w:val="-1"/>
                <w:w w:val="99"/>
              </w:rPr>
              <w:t>4.7</w:t>
            </w:r>
            <w:r w:rsidR="000544CB">
              <w:rPr>
                <w:rFonts w:asciiTheme="minorHAnsi" w:eastAsiaTheme="minorEastAsia" w:hAnsiTheme="minorHAnsi" w:cstheme="minorBidi"/>
                <w:noProof/>
                <w:lang w:eastAsia="en-AU"/>
              </w:rPr>
              <w:tab/>
            </w:r>
            <w:r w:rsidR="000544CB" w:rsidRPr="00271597">
              <w:rPr>
                <w:rStyle w:val="Hyperlink"/>
                <w:noProof/>
              </w:rPr>
              <w:t>Providing advocacy support outside the service</w:t>
            </w:r>
            <w:r w:rsidR="000544CB" w:rsidRPr="00271597">
              <w:rPr>
                <w:rStyle w:val="Hyperlink"/>
                <w:noProof/>
                <w:spacing w:val="-10"/>
              </w:rPr>
              <w:t xml:space="preserve"> </w:t>
            </w:r>
            <w:r w:rsidR="000544CB" w:rsidRPr="00271597">
              <w:rPr>
                <w:rStyle w:val="Hyperlink"/>
                <w:noProof/>
              </w:rPr>
              <w:t>area</w:t>
            </w:r>
            <w:r w:rsidR="000544CB">
              <w:rPr>
                <w:noProof/>
                <w:webHidden/>
              </w:rPr>
              <w:tab/>
            </w:r>
            <w:r w:rsidR="000544CB">
              <w:rPr>
                <w:noProof/>
                <w:webHidden/>
              </w:rPr>
              <w:fldChar w:fldCharType="begin"/>
            </w:r>
            <w:r w:rsidR="000544CB">
              <w:rPr>
                <w:noProof/>
                <w:webHidden/>
              </w:rPr>
              <w:instrText xml:space="preserve"> PAGEREF _Toc144895249 \h </w:instrText>
            </w:r>
            <w:r w:rsidR="000544CB">
              <w:rPr>
                <w:noProof/>
                <w:webHidden/>
              </w:rPr>
            </w:r>
            <w:r w:rsidR="000544CB">
              <w:rPr>
                <w:noProof/>
                <w:webHidden/>
              </w:rPr>
              <w:fldChar w:fldCharType="separate"/>
            </w:r>
            <w:r w:rsidR="00354132">
              <w:rPr>
                <w:noProof/>
                <w:webHidden/>
              </w:rPr>
              <w:t>10</w:t>
            </w:r>
            <w:r w:rsidR="000544CB">
              <w:rPr>
                <w:noProof/>
                <w:webHidden/>
              </w:rPr>
              <w:fldChar w:fldCharType="end"/>
            </w:r>
          </w:hyperlink>
        </w:p>
        <w:p w14:paraId="4AD8BFF7" w14:textId="69F8534A" w:rsidR="000544CB" w:rsidRDefault="00201EEA">
          <w:pPr>
            <w:pStyle w:val="TOC2"/>
            <w:tabs>
              <w:tab w:val="left" w:pos="1320"/>
              <w:tab w:val="right" w:leader="dot" w:pos="9524"/>
            </w:tabs>
            <w:rPr>
              <w:rFonts w:asciiTheme="minorHAnsi" w:eastAsiaTheme="minorEastAsia" w:hAnsiTheme="minorHAnsi" w:cstheme="minorBidi"/>
              <w:noProof/>
              <w:lang w:eastAsia="en-AU"/>
            </w:rPr>
          </w:pPr>
          <w:hyperlink w:anchor="_Toc144895250" w:history="1">
            <w:r w:rsidR="000544CB" w:rsidRPr="00271597">
              <w:rPr>
                <w:rStyle w:val="Hyperlink"/>
                <w:noProof/>
                <w:spacing w:val="-1"/>
                <w:w w:val="99"/>
              </w:rPr>
              <w:t>4.8</w:t>
            </w:r>
            <w:r w:rsidR="000544CB">
              <w:rPr>
                <w:rFonts w:asciiTheme="minorHAnsi" w:eastAsiaTheme="minorEastAsia" w:hAnsiTheme="minorHAnsi" w:cstheme="minorBidi"/>
                <w:noProof/>
                <w:lang w:eastAsia="en-AU"/>
              </w:rPr>
              <w:tab/>
            </w:r>
            <w:r w:rsidR="000544CB" w:rsidRPr="00271597">
              <w:rPr>
                <w:rStyle w:val="Hyperlink"/>
                <w:noProof/>
              </w:rPr>
              <w:t>Rural and remote</w:t>
            </w:r>
            <w:r w:rsidR="000544CB" w:rsidRPr="00271597">
              <w:rPr>
                <w:rStyle w:val="Hyperlink"/>
                <w:noProof/>
                <w:spacing w:val="-4"/>
              </w:rPr>
              <w:t xml:space="preserve"> </w:t>
            </w:r>
            <w:r w:rsidR="000544CB" w:rsidRPr="00271597">
              <w:rPr>
                <w:rStyle w:val="Hyperlink"/>
                <w:noProof/>
              </w:rPr>
              <w:t>access</w:t>
            </w:r>
            <w:r w:rsidR="000544CB">
              <w:rPr>
                <w:noProof/>
                <w:webHidden/>
              </w:rPr>
              <w:tab/>
            </w:r>
            <w:r w:rsidR="000544CB">
              <w:rPr>
                <w:noProof/>
                <w:webHidden/>
              </w:rPr>
              <w:fldChar w:fldCharType="begin"/>
            </w:r>
            <w:r w:rsidR="000544CB">
              <w:rPr>
                <w:noProof/>
                <w:webHidden/>
              </w:rPr>
              <w:instrText xml:space="preserve"> PAGEREF _Toc144895250 \h </w:instrText>
            </w:r>
            <w:r w:rsidR="000544CB">
              <w:rPr>
                <w:noProof/>
                <w:webHidden/>
              </w:rPr>
            </w:r>
            <w:r w:rsidR="000544CB">
              <w:rPr>
                <w:noProof/>
                <w:webHidden/>
              </w:rPr>
              <w:fldChar w:fldCharType="separate"/>
            </w:r>
            <w:r w:rsidR="00354132">
              <w:rPr>
                <w:noProof/>
                <w:webHidden/>
              </w:rPr>
              <w:t>10</w:t>
            </w:r>
            <w:r w:rsidR="000544CB">
              <w:rPr>
                <w:noProof/>
                <w:webHidden/>
              </w:rPr>
              <w:fldChar w:fldCharType="end"/>
            </w:r>
          </w:hyperlink>
        </w:p>
        <w:p w14:paraId="78493601" w14:textId="7C2FE706" w:rsidR="000544CB" w:rsidRDefault="00201EEA">
          <w:pPr>
            <w:pStyle w:val="TOC2"/>
            <w:tabs>
              <w:tab w:val="left" w:pos="1320"/>
              <w:tab w:val="right" w:leader="dot" w:pos="9524"/>
            </w:tabs>
            <w:rPr>
              <w:rFonts w:asciiTheme="minorHAnsi" w:eastAsiaTheme="minorEastAsia" w:hAnsiTheme="minorHAnsi" w:cstheme="minorBidi"/>
              <w:noProof/>
              <w:lang w:eastAsia="en-AU"/>
            </w:rPr>
          </w:pPr>
          <w:hyperlink w:anchor="_Toc144895251" w:history="1">
            <w:r w:rsidR="000544CB" w:rsidRPr="00271597">
              <w:rPr>
                <w:rStyle w:val="Hyperlink"/>
                <w:noProof/>
                <w:spacing w:val="-1"/>
                <w:w w:val="99"/>
              </w:rPr>
              <w:t>4.9</w:t>
            </w:r>
            <w:r w:rsidR="000544CB">
              <w:rPr>
                <w:rFonts w:asciiTheme="minorHAnsi" w:eastAsiaTheme="minorEastAsia" w:hAnsiTheme="minorHAnsi" w:cstheme="minorBidi"/>
                <w:noProof/>
                <w:lang w:eastAsia="en-AU"/>
              </w:rPr>
              <w:tab/>
            </w:r>
            <w:r w:rsidR="000544CB" w:rsidRPr="00271597">
              <w:rPr>
                <w:rStyle w:val="Hyperlink"/>
                <w:noProof/>
              </w:rPr>
              <w:t>Subcontracting</w:t>
            </w:r>
            <w:r w:rsidR="000544CB">
              <w:rPr>
                <w:noProof/>
                <w:webHidden/>
              </w:rPr>
              <w:tab/>
            </w:r>
            <w:r w:rsidR="000544CB">
              <w:rPr>
                <w:noProof/>
                <w:webHidden/>
              </w:rPr>
              <w:fldChar w:fldCharType="begin"/>
            </w:r>
            <w:r w:rsidR="000544CB">
              <w:rPr>
                <w:noProof/>
                <w:webHidden/>
              </w:rPr>
              <w:instrText xml:space="preserve"> PAGEREF _Toc144895251 \h </w:instrText>
            </w:r>
            <w:r w:rsidR="000544CB">
              <w:rPr>
                <w:noProof/>
                <w:webHidden/>
              </w:rPr>
            </w:r>
            <w:r w:rsidR="000544CB">
              <w:rPr>
                <w:noProof/>
                <w:webHidden/>
              </w:rPr>
              <w:fldChar w:fldCharType="separate"/>
            </w:r>
            <w:r w:rsidR="00354132">
              <w:rPr>
                <w:noProof/>
                <w:webHidden/>
              </w:rPr>
              <w:t>10</w:t>
            </w:r>
            <w:r w:rsidR="000544CB">
              <w:rPr>
                <w:noProof/>
                <w:webHidden/>
              </w:rPr>
              <w:fldChar w:fldCharType="end"/>
            </w:r>
          </w:hyperlink>
        </w:p>
        <w:p w14:paraId="2BA9B069" w14:textId="36317CD5" w:rsidR="000544CB" w:rsidRDefault="00201EEA">
          <w:pPr>
            <w:pStyle w:val="TOC2"/>
            <w:tabs>
              <w:tab w:val="left" w:pos="1320"/>
              <w:tab w:val="right" w:leader="dot" w:pos="9524"/>
            </w:tabs>
            <w:rPr>
              <w:rFonts w:asciiTheme="minorHAnsi" w:eastAsiaTheme="minorEastAsia" w:hAnsiTheme="minorHAnsi" w:cstheme="minorBidi"/>
              <w:noProof/>
              <w:lang w:eastAsia="en-AU"/>
            </w:rPr>
          </w:pPr>
          <w:hyperlink w:anchor="_Toc144895252" w:history="1">
            <w:r w:rsidR="000544CB" w:rsidRPr="00271597">
              <w:rPr>
                <w:rStyle w:val="Hyperlink"/>
                <w:noProof/>
                <w:spacing w:val="-1"/>
                <w:w w:val="99"/>
              </w:rPr>
              <w:t>4.10</w:t>
            </w:r>
            <w:r w:rsidR="000544CB">
              <w:rPr>
                <w:rFonts w:asciiTheme="minorHAnsi" w:eastAsiaTheme="minorEastAsia" w:hAnsiTheme="minorHAnsi" w:cstheme="minorBidi"/>
                <w:noProof/>
                <w:lang w:eastAsia="en-AU"/>
              </w:rPr>
              <w:tab/>
            </w:r>
            <w:r w:rsidR="000544CB" w:rsidRPr="00271597">
              <w:rPr>
                <w:rStyle w:val="Hyperlink"/>
                <w:noProof/>
              </w:rPr>
              <w:t>Closure of an agency</w:t>
            </w:r>
            <w:r w:rsidR="000544CB">
              <w:rPr>
                <w:noProof/>
                <w:webHidden/>
              </w:rPr>
              <w:tab/>
            </w:r>
            <w:r w:rsidR="000544CB">
              <w:rPr>
                <w:noProof/>
                <w:webHidden/>
              </w:rPr>
              <w:fldChar w:fldCharType="begin"/>
            </w:r>
            <w:r w:rsidR="000544CB">
              <w:rPr>
                <w:noProof/>
                <w:webHidden/>
              </w:rPr>
              <w:instrText xml:space="preserve"> PAGEREF _Toc144895252 \h </w:instrText>
            </w:r>
            <w:r w:rsidR="000544CB">
              <w:rPr>
                <w:noProof/>
                <w:webHidden/>
              </w:rPr>
            </w:r>
            <w:r w:rsidR="000544CB">
              <w:rPr>
                <w:noProof/>
                <w:webHidden/>
              </w:rPr>
              <w:fldChar w:fldCharType="separate"/>
            </w:r>
            <w:r w:rsidR="00354132">
              <w:rPr>
                <w:noProof/>
                <w:webHidden/>
              </w:rPr>
              <w:t>10</w:t>
            </w:r>
            <w:r w:rsidR="000544CB">
              <w:rPr>
                <w:noProof/>
                <w:webHidden/>
              </w:rPr>
              <w:fldChar w:fldCharType="end"/>
            </w:r>
          </w:hyperlink>
        </w:p>
        <w:p w14:paraId="27E1834A" w14:textId="3A2535B2" w:rsidR="000544CB" w:rsidRDefault="00201EEA">
          <w:pPr>
            <w:pStyle w:val="TOC2"/>
            <w:tabs>
              <w:tab w:val="left" w:pos="1320"/>
              <w:tab w:val="right" w:leader="dot" w:pos="9524"/>
            </w:tabs>
            <w:rPr>
              <w:rFonts w:asciiTheme="minorHAnsi" w:eastAsiaTheme="minorEastAsia" w:hAnsiTheme="minorHAnsi" w:cstheme="minorBidi"/>
              <w:noProof/>
              <w:lang w:eastAsia="en-AU"/>
            </w:rPr>
          </w:pPr>
          <w:hyperlink w:anchor="_Toc144895253" w:history="1">
            <w:r w:rsidR="000544CB" w:rsidRPr="00271597">
              <w:rPr>
                <w:rStyle w:val="Hyperlink"/>
                <w:noProof/>
                <w:spacing w:val="-1"/>
                <w:w w:val="99"/>
              </w:rPr>
              <w:t>4.11</w:t>
            </w:r>
            <w:r w:rsidR="000544CB">
              <w:rPr>
                <w:rFonts w:asciiTheme="minorHAnsi" w:eastAsiaTheme="minorEastAsia" w:hAnsiTheme="minorHAnsi" w:cstheme="minorBidi"/>
                <w:noProof/>
                <w:lang w:eastAsia="en-AU"/>
              </w:rPr>
              <w:tab/>
            </w:r>
            <w:r w:rsidR="000544CB" w:rsidRPr="00271597">
              <w:rPr>
                <w:rStyle w:val="Hyperlink"/>
                <w:noProof/>
              </w:rPr>
              <w:t>Interpreting</w:t>
            </w:r>
            <w:r w:rsidR="000544CB" w:rsidRPr="00271597">
              <w:rPr>
                <w:rStyle w:val="Hyperlink"/>
                <w:noProof/>
                <w:spacing w:val="-2"/>
              </w:rPr>
              <w:t xml:space="preserve"> </w:t>
            </w:r>
            <w:r w:rsidR="000544CB" w:rsidRPr="00271597">
              <w:rPr>
                <w:rStyle w:val="Hyperlink"/>
                <w:noProof/>
              </w:rPr>
              <w:t>services</w:t>
            </w:r>
            <w:r w:rsidR="000544CB">
              <w:rPr>
                <w:noProof/>
                <w:webHidden/>
              </w:rPr>
              <w:tab/>
            </w:r>
            <w:r w:rsidR="000544CB">
              <w:rPr>
                <w:noProof/>
                <w:webHidden/>
              </w:rPr>
              <w:fldChar w:fldCharType="begin"/>
            </w:r>
            <w:r w:rsidR="000544CB">
              <w:rPr>
                <w:noProof/>
                <w:webHidden/>
              </w:rPr>
              <w:instrText xml:space="preserve"> PAGEREF _Toc144895253 \h </w:instrText>
            </w:r>
            <w:r w:rsidR="000544CB">
              <w:rPr>
                <w:noProof/>
                <w:webHidden/>
              </w:rPr>
            </w:r>
            <w:r w:rsidR="000544CB">
              <w:rPr>
                <w:noProof/>
                <w:webHidden/>
              </w:rPr>
              <w:fldChar w:fldCharType="separate"/>
            </w:r>
            <w:r w:rsidR="00354132">
              <w:rPr>
                <w:noProof/>
                <w:webHidden/>
              </w:rPr>
              <w:t>10</w:t>
            </w:r>
            <w:r w:rsidR="000544CB">
              <w:rPr>
                <w:noProof/>
                <w:webHidden/>
              </w:rPr>
              <w:fldChar w:fldCharType="end"/>
            </w:r>
          </w:hyperlink>
        </w:p>
        <w:p w14:paraId="11766AE1" w14:textId="00475695" w:rsidR="000544CB" w:rsidRDefault="00201EEA">
          <w:pPr>
            <w:pStyle w:val="TOC1"/>
            <w:tabs>
              <w:tab w:val="right" w:leader="dot" w:pos="9524"/>
            </w:tabs>
            <w:rPr>
              <w:rFonts w:asciiTheme="minorHAnsi" w:eastAsiaTheme="minorEastAsia" w:hAnsiTheme="minorHAnsi" w:cstheme="minorBidi"/>
              <w:b w:val="0"/>
              <w:bCs w:val="0"/>
              <w:noProof/>
              <w:lang w:eastAsia="en-AU"/>
            </w:rPr>
          </w:pPr>
          <w:hyperlink w:anchor="_Toc144895254" w:history="1">
            <w:r w:rsidR="000544CB" w:rsidRPr="00271597">
              <w:rPr>
                <w:rStyle w:val="Hyperlink"/>
                <w:noProof/>
                <w:w w:val="99"/>
              </w:rPr>
              <w:t>5.</w:t>
            </w:r>
            <w:r w:rsidR="000544CB">
              <w:rPr>
                <w:rFonts w:asciiTheme="minorHAnsi" w:eastAsiaTheme="minorEastAsia" w:hAnsiTheme="minorHAnsi" w:cstheme="minorBidi"/>
                <w:b w:val="0"/>
                <w:bCs w:val="0"/>
                <w:noProof/>
                <w:lang w:eastAsia="en-AU"/>
              </w:rPr>
              <w:tab/>
            </w:r>
            <w:r w:rsidR="000544CB" w:rsidRPr="00271597">
              <w:rPr>
                <w:rStyle w:val="Hyperlink"/>
                <w:noProof/>
              </w:rPr>
              <w:t>Key legislative requirements, standards and guidelines</w:t>
            </w:r>
            <w:r w:rsidR="000544CB">
              <w:rPr>
                <w:noProof/>
                <w:webHidden/>
              </w:rPr>
              <w:tab/>
            </w:r>
            <w:r w:rsidR="000544CB">
              <w:rPr>
                <w:noProof/>
                <w:webHidden/>
              </w:rPr>
              <w:fldChar w:fldCharType="begin"/>
            </w:r>
            <w:r w:rsidR="000544CB">
              <w:rPr>
                <w:noProof/>
                <w:webHidden/>
              </w:rPr>
              <w:instrText xml:space="preserve"> PAGEREF _Toc144895254 \h </w:instrText>
            </w:r>
            <w:r w:rsidR="000544CB">
              <w:rPr>
                <w:noProof/>
                <w:webHidden/>
              </w:rPr>
            </w:r>
            <w:r w:rsidR="000544CB">
              <w:rPr>
                <w:noProof/>
                <w:webHidden/>
              </w:rPr>
              <w:fldChar w:fldCharType="separate"/>
            </w:r>
            <w:r w:rsidR="00354132">
              <w:rPr>
                <w:noProof/>
                <w:webHidden/>
              </w:rPr>
              <w:t>11</w:t>
            </w:r>
            <w:r w:rsidR="000544CB">
              <w:rPr>
                <w:noProof/>
                <w:webHidden/>
              </w:rPr>
              <w:fldChar w:fldCharType="end"/>
            </w:r>
          </w:hyperlink>
        </w:p>
        <w:p w14:paraId="06EEE7AC" w14:textId="376DB137" w:rsidR="000544CB" w:rsidRDefault="00201EEA">
          <w:pPr>
            <w:pStyle w:val="TOC2"/>
            <w:tabs>
              <w:tab w:val="left" w:pos="1320"/>
              <w:tab w:val="right" w:leader="dot" w:pos="9524"/>
            </w:tabs>
            <w:rPr>
              <w:rFonts w:asciiTheme="minorHAnsi" w:eastAsiaTheme="minorEastAsia" w:hAnsiTheme="minorHAnsi" w:cstheme="minorBidi"/>
              <w:noProof/>
              <w:lang w:eastAsia="en-AU"/>
            </w:rPr>
          </w:pPr>
          <w:hyperlink w:anchor="_Toc144895255" w:history="1">
            <w:r w:rsidR="000544CB" w:rsidRPr="00271597">
              <w:rPr>
                <w:rStyle w:val="Hyperlink"/>
                <w:noProof/>
                <w:spacing w:val="-1"/>
                <w:w w:val="99"/>
              </w:rPr>
              <w:t>5.1</w:t>
            </w:r>
            <w:r w:rsidR="000544CB">
              <w:rPr>
                <w:rFonts w:asciiTheme="minorHAnsi" w:eastAsiaTheme="minorEastAsia" w:hAnsiTheme="minorHAnsi" w:cstheme="minorBidi"/>
                <w:noProof/>
                <w:lang w:eastAsia="en-AU"/>
              </w:rPr>
              <w:tab/>
            </w:r>
            <w:r w:rsidR="000544CB" w:rsidRPr="00271597">
              <w:rPr>
                <w:rStyle w:val="Hyperlink"/>
                <w:noProof/>
              </w:rPr>
              <w:t>NDAP Quality Assurance (QA)</w:t>
            </w:r>
            <w:r w:rsidR="000544CB" w:rsidRPr="00271597">
              <w:rPr>
                <w:rStyle w:val="Hyperlink"/>
                <w:noProof/>
                <w:spacing w:val="-5"/>
              </w:rPr>
              <w:t xml:space="preserve"> </w:t>
            </w:r>
            <w:r w:rsidR="000544CB" w:rsidRPr="00271597">
              <w:rPr>
                <w:rStyle w:val="Hyperlink"/>
                <w:noProof/>
              </w:rPr>
              <w:t>System</w:t>
            </w:r>
            <w:r w:rsidR="000544CB">
              <w:rPr>
                <w:noProof/>
                <w:webHidden/>
              </w:rPr>
              <w:tab/>
            </w:r>
            <w:r w:rsidR="000544CB">
              <w:rPr>
                <w:noProof/>
                <w:webHidden/>
              </w:rPr>
              <w:fldChar w:fldCharType="begin"/>
            </w:r>
            <w:r w:rsidR="000544CB">
              <w:rPr>
                <w:noProof/>
                <w:webHidden/>
              </w:rPr>
              <w:instrText xml:space="preserve"> PAGEREF _Toc144895255 \h </w:instrText>
            </w:r>
            <w:r w:rsidR="000544CB">
              <w:rPr>
                <w:noProof/>
                <w:webHidden/>
              </w:rPr>
            </w:r>
            <w:r w:rsidR="000544CB">
              <w:rPr>
                <w:noProof/>
                <w:webHidden/>
              </w:rPr>
              <w:fldChar w:fldCharType="separate"/>
            </w:r>
            <w:r w:rsidR="00354132">
              <w:rPr>
                <w:noProof/>
                <w:webHidden/>
              </w:rPr>
              <w:t>12</w:t>
            </w:r>
            <w:r w:rsidR="000544CB">
              <w:rPr>
                <w:noProof/>
                <w:webHidden/>
              </w:rPr>
              <w:fldChar w:fldCharType="end"/>
            </w:r>
          </w:hyperlink>
        </w:p>
        <w:p w14:paraId="163A723A" w14:textId="20AE1940" w:rsidR="000544CB" w:rsidRDefault="00201EEA">
          <w:pPr>
            <w:pStyle w:val="TOC1"/>
            <w:tabs>
              <w:tab w:val="right" w:leader="dot" w:pos="9524"/>
            </w:tabs>
            <w:rPr>
              <w:rFonts w:asciiTheme="minorHAnsi" w:eastAsiaTheme="minorEastAsia" w:hAnsiTheme="minorHAnsi" w:cstheme="minorBidi"/>
              <w:b w:val="0"/>
              <w:bCs w:val="0"/>
              <w:noProof/>
              <w:lang w:eastAsia="en-AU"/>
            </w:rPr>
          </w:pPr>
          <w:hyperlink w:anchor="_Toc144895256" w:history="1">
            <w:r w:rsidR="000544CB" w:rsidRPr="00271597">
              <w:rPr>
                <w:rStyle w:val="Hyperlink"/>
                <w:noProof/>
                <w:w w:val="99"/>
              </w:rPr>
              <w:t>6.</w:t>
            </w:r>
            <w:r w:rsidR="000544CB">
              <w:rPr>
                <w:rFonts w:asciiTheme="minorHAnsi" w:eastAsiaTheme="minorEastAsia" w:hAnsiTheme="minorHAnsi" w:cstheme="minorBidi"/>
                <w:b w:val="0"/>
                <w:bCs w:val="0"/>
                <w:noProof/>
                <w:lang w:eastAsia="en-AU"/>
              </w:rPr>
              <w:tab/>
            </w:r>
            <w:r w:rsidR="000544CB" w:rsidRPr="00271597">
              <w:rPr>
                <w:rStyle w:val="Hyperlink"/>
                <w:noProof/>
              </w:rPr>
              <w:t>Privacy</w:t>
            </w:r>
            <w:r w:rsidR="000544CB">
              <w:rPr>
                <w:noProof/>
                <w:webHidden/>
              </w:rPr>
              <w:tab/>
            </w:r>
            <w:r w:rsidR="000544CB">
              <w:rPr>
                <w:noProof/>
                <w:webHidden/>
              </w:rPr>
              <w:fldChar w:fldCharType="begin"/>
            </w:r>
            <w:r w:rsidR="000544CB">
              <w:rPr>
                <w:noProof/>
                <w:webHidden/>
              </w:rPr>
              <w:instrText xml:space="preserve"> PAGEREF _Toc144895256 \h </w:instrText>
            </w:r>
            <w:r w:rsidR="000544CB">
              <w:rPr>
                <w:noProof/>
                <w:webHidden/>
              </w:rPr>
            </w:r>
            <w:r w:rsidR="000544CB">
              <w:rPr>
                <w:noProof/>
                <w:webHidden/>
              </w:rPr>
              <w:fldChar w:fldCharType="separate"/>
            </w:r>
            <w:r w:rsidR="00354132">
              <w:rPr>
                <w:noProof/>
                <w:webHidden/>
              </w:rPr>
              <w:t>13</w:t>
            </w:r>
            <w:r w:rsidR="000544CB">
              <w:rPr>
                <w:noProof/>
                <w:webHidden/>
              </w:rPr>
              <w:fldChar w:fldCharType="end"/>
            </w:r>
          </w:hyperlink>
        </w:p>
        <w:p w14:paraId="5B3CCC26" w14:textId="1D2728EC" w:rsidR="000544CB" w:rsidRDefault="00201EEA">
          <w:pPr>
            <w:pStyle w:val="TOC1"/>
            <w:tabs>
              <w:tab w:val="right" w:leader="dot" w:pos="9524"/>
            </w:tabs>
            <w:rPr>
              <w:rFonts w:asciiTheme="minorHAnsi" w:eastAsiaTheme="minorEastAsia" w:hAnsiTheme="minorHAnsi" w:cstheme="minorBidi"/>
              <w:b w:val="0"/>
              <w:bCs w:val="0"/>
              <w:noProof/>
              <w:lang w:eastAsia="en-AU"/>
            </w:rPr>
          </w:pPr>
          <w:hyperlink w:anchor="_Toc144895257" w:history="1">
            <w:r w:rsidR="000544CB" w:rsidRPr="00271597">
              <w:rPr>
                <w:rStyle w:val="Hyperlink"/>
                <w:noProof/>
                <w:w w:val="99"/>
              </w:rPr>
              <w:t>7.</w:t>
            </w:r>
            <w:r w:rsidR="000544CB">
              <w:rPr>
                <w:rFonts w:asciiTheme="minorHAnsi" w:eastAsiaTheme="minorEastAsia" w:hAnsiTheme="minorHAnsi" w:cstheme="minorBidi"/>
                <w:b w:val="0"/>
                <w:bCs w:val="0"/>
                <w:noProof/>
                <w:lang w:eastAsia="en-AU"/>
              </w:rPr>
              <w:tab/>
            </w:r>
            <w:r w:rsidR="000544CB" w:rsidRPr="00271597">
              <w:rPr>
                <w:rStyle w:val="Hyperlink"/>
                <w:noProof/>
              </w:rPr>
              <w:t>Information technology</w:t>
            </w:r>
            <w:r w:rsidR="000544CB">
              <w:rPr>
                <w:noProof/>
                <w:webHidden/>
              </w:rPr>
              <w:tab/>
            </w:r>
            <w:r w:rsidR="000544CB">
              <w:rPr>
                <w:noProof/>
                <w:webHidden/>
              </w:rPr>
              <w:fldChar w:fldCharType="begin"/>
            </w:r>
            <w:r w:rsidR="000544CB">
              <w:rPr>
                <w:noProof/>
                <w:webHidden/>
              </w:rPr>
              <w:instrText xml:space="preserve"> PAGEREF _Toc144895257 \h </w:instrText>
            </w:r>
            <w:r w:rsidR="000544CB">
              <w:rPr>
                <w:noProof/>
                <w:webHidden/>
              </w:rPr>
            </w:r>
            <w:r w:rsidR="000544CB">
              <w:rPr>
                <w:noProof/>
                <w:webHidden/>
              </w:rPr>
              <w:fldChar w:fldCharType="separate"/>
            </w:r>
            <w:r w:rsidR="00354132">
              <w:rPr>
                <w:noProof/>
                <w:webHidden/>
              </w:rPr>
              <w:t>13</w:t>
            </w:r>
            <w:r w:rsidR="000544CB">
              <w:rPr>
                <w:noProof/>
                <w:webHidden/>
              </w:rPr>
              <w:fldChar w:fldCharType="end"/>
            </w:r>
          </w:hyperlink>
        </w:p>
        <w:p w14:paraId="4670A6AB" w14:textId="425A5E29" w:rsidR="000544CB" w:rsidRDefault="00201EEA">
          <w:pPr>
            <w:pStyle w:val="TOC1"/>
            <w:tabs>
              <w:tab w:val="right" w:leader="dot" w:pos="9524"/>
            </w:tabs>
            <w:rPr>
              <w:rFonts w:asciiTheme="minorHAnsi" w:eastAsiaTheme="minorEastAsia" w:hAnsiTheme="minorHAnsi" w:cstheme="minorBidi"/>
              <w:b w:val="0"/>
              <w:bCs w:val="0"/>
              <w:noProof/>
              <w:lang w:eastAsia="en-AU"/>
            </w:rPr>
          </w:pPr>
          <w:hyperlink w:anchor="_Toc144895258" w:history="1">
            <w:r w:rsidR="000544CB" w:rsidRPr="00271597">
              <w:rPr>
                <w:rStyle w:val="Hyperlink"/>
                <w:noProof/>
                <w:w w:val="99"/>
              </w:rPr>
              <w:t>8.</w:t>
            </w:r>
            <w:r w:rsidR="000544CB">
              <w:rPr>
                <w:rFonts w:asciiTheme="minorHAnsi" w:eastAsiaTheme="minorEastAsia" w:hAnsiTheme="minorHAnsi" w:cstheme="minorBidi"/>
                <w:b w:val="0"/>
                <w:bCs w:val="0"/>
                <w:noProof/>
                <w:lang w:eastAsia="en-AU"/>
              </w:rPr>
              <w:tab/>
            </w:r>
            <w:r w:rsidR="000544CB" w:rsidRPr="00271597">
              <w:rPr>
                <w:rStyle w:val="Hyperlink"/>
                <w:noProof/>
              </w:rPr>
              <w:t>Activity performance reporting</w:t>
            </w:r>
            <w:r w:rsidR="000544CB">
              <w:rPr>
                <w:noProof/>
                <w:webHidden/>
              </w:rPr>
              <w:tab/>
            </w:r>
            <w:r w:rsidR="000544CB">
              <w:rPr>
                <w:noProof/>
                <w:webHidden/>
              </w:rPr>
              <w:fldChar w:fldCharType="begin"/>
            </w:r>
            <w:r w:rsidR="000544CB">
              <w:rPr>
                <w:noProof/>
                <w:webHidden/>
              </w:rPr>
              <w:instrText xml:space="preserve"> PAGEREF _Toc144895258 \h </w:instrText>
            </w:r>
            <w:r w:rsidR="000544CB">
              <w:rPr>
                <w:noProof/>
                <w:webHidden/>
              </w:rPr>
            </w:r>
            <w:r w:rsidR="000544CB">
              <w:rPr>
                <w:noProof/>
                <w:webHidden/>
              </w:rPr>
              <w:fldChar w:fldCharType="separate"/>
            </w:r>
            <w:r w:rsidR="00354132">
              <w:rPr>
                <w:noProof/>
                <w:webHidden/>
              </w:rPr>
              <w:t>13</w:t>
            </w:r>
            <w:r w:rsidR="000544CB">
              <w:rPr>
                <w:noProof/>
                <w:webHidden/>
              </w:rPr>
              <w:fldChar w:fldCharType="end"/>
            </w:r>
          </w:hyperlink>
        </w:p>
        <w:p w14:paraId="6AB6D84B" w14:textId="346DD0DD" w:rsidR="000544CB" w:rsidRDefault="00201EEA">
          <w:pPr>
            <w:pStyle w:val="TOC2"/>
            <w:tabs>
              <w:tab w:val="left" w:pos="1320"/>
              <w:tab w:val="right" w:leader="dot" w:pos="9524"/>
            </w:tabs>
            <w:rPr>
              <w:rFonts w:asciiTheme="minorHAnsi" w:eastAsiaTheme="minorEastAsia" w:hAnsiTheme="minorHAnsi" w:cstheme="minorBidi"/>
              <w:noProof/>
              <w:lang w:eastAsia="en-AU"/>
            </w:rPr>
          </w:pPr>
          <w:hyperlink w:anchor="_Toc144895259" w:history="1">
            <w:r w:rsidR="000544CB" w:rsidRPr="00271597">
              <w:rPr>
                <w:rStyle w:val="Hyperlink"/>
                <w:noProof/>
                <w:spacing w:val="-1"/>
                <w:w w:val="99"/>
              </w:rPr>
              <w:t>8.1</w:t>
            </w:r>
            <w:r w:rsidR="000544CB">
              <w:rPr>
                <w:rFonts w:asciiTheme="minorHAnsi" w:eastAsiaTheme="minorEastAsia" w:hAnsiTheme="minorHAnsi" w:cstheme="minorBidi"/>
                <w:noProof/>
                <w:lang w:eastAsia="en-AU"/>
              </w:rPr>
              <w:tab/>
            </w:r>
            <w:r w:rsidR="000544CB" w:rsidRPr="00271597">
              <w:rPr>
                <w:rStyle w:val="Hyperlink"/>
                <w:noProof/>
              </w:rPr>
              <w:t>Activity Work Plan (AWP)</w:t>
            </w:r>
            <w:r w:rsidR="000544CB">
              <w:rPr>
                <w:noProof/>
                <w:webHidden/>
              </w:rPr>
              <w:tab/>
            </w:r>
            <w:r w:rsidR="000544CB">
              <w:rPr>
                <w:noProof/>
                <w:webHidden/>
              </w:rPr>
              <w:fldChar w:fldCharType="begin"/>
            </w:r>
            <w:r w:rsidR="000544CB">
              <w:rPr>
                <w:noProof/>
                <w:webHidden/>
              </w:rPr>
              <w:instrText xml:space="preserve"> PAGEREF _Toc144895259 \h </w:instrText>
            </w:r>
            <w:r w:rsidR="000544CB">
              <w:rPr>
                <w:noProof/>
                <w:webHidden/>
              </w:rPr>
            </w:r>
            <w:r w:rsidR="000544CB">
              <w:rPr>
                <w:noProof/>
                <w:webHidden/>
              </w:rPr>
              <w:fldChar w:fldCharType="separate"/>
            </w:r>
            <w:r w:rsidR="00354132">
              <w:rPr>
                <w:noProof/>
                <w:webHidden/>
              </w:rPr>
              <w:t>14</w:t>
            </w:r>
            <w:r w:rsidR="000544CB">
              <w:rPr>
                <w:noProof/>
                <w:webHidden/>
              </w:rPr>
              <w:fldChar w:fldCharType="end"/>
            </w:r>
          </w:hyperlink>
        </w:p>
        <w:p w14:paraId="03949DDA" w14:textId="365DB356" w:rsidR="000544CB" w:rsidRDefault="00201EEA">
          <w:pPr>
            <w:pStyle w:val="TOC2"/>
            <w:tabs>
              <w:tab w:val="left" w:pos="1320"/>
              <w:tab w:val="right" w:leader="dot" w:pos="9524"/>
            </w:tabs>
            <w:rPr>
              <w:rFonts w:asciiTheme="minorHAnsi" w:eastAsiaTheme="minorEastAsia" w:hAnsiTheme="minorHAnsi" w:cstheme="minorBidi"/>
              <w:noProof/>
              <w:lang w:eastAsia="en-AU"/>
            </w:rPr>
          </w:pPr>
          <w:hyperlink w:anchor="_Toc144895260" w:history="1">
            <w:r w:rsidR="000544CB" w:rsidRPr="00271597">
              <w:rPr>
                <w:rStyle w:val="Hyperlink"/>
                <w:noProof/>
                <w:spacing w:val="-1"/>
                <w:w w:val="99"/>
              </w:rPr>
              <w:t>8.2</w:t>
            </w:r>
            <w:r w:rsidR="000544CB">
              <w:rPr>
                <w:rFonts w:asciiTheme="minorHAnsi" w:eastAsiaTheme="minorEastAsia" w:hAnsiTheme="minorHAnsi" w:cstheme="minorBidi"/>
                <w:noProof/>
                <w:lang w:eastAsia="en-AU"/>
              </w:rPr>
              <w:tab/>
            </w:r>
            <w:r w:rsidR="000544CB" w:rsidRPr="00271597">
              <w:rPr>
                <w:rStyle w:val="Hyperlink"/>
                <w:noProof/>
              </w:rPr>
              <w:t>Six monthly performance reporting</w:t>
            </w:r>
            <w:r w:rsidR="000544CB">
              <w:rPr>
                <w:noProof/>
                <w:webHidden/>
              </w:rPr>
              <w:tab/>
            </w:r>
            <w:r w:rsidR="000544CB">
              <w:rPr>
                <w:noProof/>
                <w:webHidden/>
              </w:rPr>
              <w:fldChar w:fldCharType="begin"/>
            </w:r>
            <w:r w:rsidR="000544CB">
              <w:rPr>
                <w:noProof/>
                <w:webHidden/>
              </w:rPr>
              <w:instrText xml:space="preserve"> PAGEREF _Toc144895260 \h </w:instrText>
            </w:r>
            <w:r w:rsidR="000544CB">
              <w:rPr>
                <w:noProof/>
                <w:webHidden/>
              </w:rPr>
            </w:r>
            <w:r w:rsidR="000544CB">
              <w:rPr>
                <w:noProof/>
                <w:webHidden/>
              </w:rPr>
              <w:fldChar w:fldCharType="separate"/>
            </w:r>
            <w:r w:rsidR="00354132">
              <w:rPr>
                <w:noProof/>
                <w:webHidden/>
              </w:rPr>
              <w:t>14</w:t>
            </w:r>
            <w:r w:rsidR="000544CB">
              <w:rPr>
                <w:noProof/>
                <w:webHidden/>
              </w:rPr>
              <w:fldChar w:fldCharType="end"/>
            </w:r>
          </w:hyperlink>
        </w:p>
        <w:p w14:paraId="7778572F" w14:textId="30891BC8" w:rsidR="000544CB" w:rsidRDefault="00201EEA">
          <w:pPr>
            <w:pStyle w:val="TOC2"/>
            <w:tabs>
              <w:tab w:val="left" w:pos="1320"/>
              <w:tab w:val="right" w:leader="dot" w:pos="9524"/>
            </w:tabs>
            <w:rPr>
              <w:rFonts w:asciiTheme="minorHAnsi" w:eastAsiaTheme="minorEastAsia" w:hAnsiTheme="minorHAnsi" w:cstheme="minorBidi"/>
              <w:noProof/>
              <w:lang w:eastAsia="en-AU"/>
            </w:rPr>
          </w:pPr>
          <w:hyperlink w:anchor="_Toc144895261" w:history="1">
            <w:r w:rsidR="000544CB" w:rsidRPr="00271597">
              <w:rPr>
                <w:rStyle w:val="Hyperlink"/>
                <w:noProof/>
                <w:spacing w:val="-1"/>
                <w:w w:val="99"/>
              </w:rPr>
              <w:t>8.3</w:t>
            </w:r>
            <w:r w:rsidR="000544CB">
              <w:rPr>
                <w:rFonts w:asciiTheme="minorHAnsi" w:eastAsiaTheme="minorEastAsia" w:hAnsiTheme="minorHAnsi" w:cstheme="minorBidi"/>
                <w:noProof/>
                <w:lang w:eastAsia="en-AU"/>
              </w:rPr>
              <w:tab/>
            </w:r>
            <w:r w:rsidR="000544CB" w:rsidRPr="00271597">
              <w:rPr>
                <w:rStyle w:val="Hyperlink"/>
                <w:noProof/>
              </w:rPr>
              <w:t>Partnership approach</w:t>
            </w:r>
            <w:r w:rsidR="000544CB">
              <w:rPr>
                <w:noProof/>
                <w:webHidden/>
              </w:rPr>
              <w:tab/>
            </w:r>
            <w:r w:rsidR="000544CB">
              <w:rPr>
                <w:noProof/>
                <w:webHidden/>
              </w:rPr>
              <w:fldChar w:fldCharType="begin"/>
            </w:r>
            <w:r w:rsidR="000544CB">
              <w:rPr>
                <w:noProof/>
                <w:webHidden/>
              </w:rPr>
              <w:instrText xml:space="preserve"> PAGEREF _Toc144895261 \h </w:instrText>
            </w:r>
            <w:r w:rsidR="000544CB">
              <w:rPr>
                <w:noProof/>
                <w:webHidden/>
              </w:rPr>
            </w:r>
            <w:r w:rsidR="000544CB">
              <w:rPr>
                <w:noProof/>
                <w:webHidden/>
              </w:rPr>
              <w:fldChar w:fldCharType="separate"/>
            </w:r>
            <w:r w:rsidR="00354132">
              <w:rPr>
                <w:noProof/>
                <w:webHidden/>
              </w:rPr>
              <w:t>15</w:t>
            </w:r>
            <w:r w:rsidR="000544CB">
              <w:rPr>
                <w:noProof/>
                <w:webHidden/>
              </w:rPr>
              <w:fldChar w:fldCharType="end"/>
            </w:r>
          </w:hyperlink>
        </w:p>
        <w:p w14:paraId="5EB59F9B" w14:textId="4EFF1057" w:rsidR="000544CB" w:rsidRDefault="00201EEA">
          <w:pPr>
            <w:pStyle w:val="TOC2"/>
            <w:tabs>
              <w:tab w:val="left" w:pos="1320"/>
              <w:tab w:val="right" w:leader="dot" w:pos="9524"/>
            </w:tabs>
            <w:rPr>
              <w:rFonts w:asciiTheme="minorHAnsi" w:eastAsiaTheme="minorEastAsia" w:hAnsiTheme="minorHAnsi" w:cstheme="minorBidi"/>
              <w:noProof/>
              <w:lang w:eastAsia="en-AU"/>
            </w:rPr>
          </w:pPr>
          <w:hyperlink w:anchor="_Toc144895262" w:history="1">
            <w:r w:rsidR="000544CB" w:rsidRPr="00271597">
              <w:rPr>
                <w:rStyle w:val="Hyperlink"/>
                <w:noProof/>
                <w:spacing w:val="-1"/>
                <w:w w:val="99"/>
              </w:rPr>
              <w:t>8.4</w:t>
            </w:r>
            <w:r w:rsidR="000544CB">
              <w:rPr>
                <w:rFonts w:asciiTheme="minorHAnsi" w:eastAsiaTheme="minorEastAsia" w:hAnsiTheme="minorHAnsi" w:cstheme="minorBidi"/>
                <w:noProof/>
                <w:lang w:eastAsia="en-AU"/>
              </w:rPr>
              <w:tab/>
            </w:r>
            <w:r w:rsidR="000544CB" w:rsidRPr="00271597">
              <w:rPr>
                <w:rStyle w:val="Hyperlink"/>
                <w:noProof/>
              </w:rPr>
              <w:t>Financial Acquittal Report</w:t>
            </w:r>
            <w:r w:rsidR="000544CB">
              <w:rPr>
                <w:noProof/>
                <w:webHidden/>
              </w:rPr>
              <w:tab/>
            </w:r>
            <w:r w:rsidR="000544CB">
              <w:rPr>
                <w:noProof/>
                <w:webHidden/>
              </w:rPr>
              <w:fldChar w:fldCharType="begin"/>
            </w:r>
            <w:r w:rsidR="000544CB">
              <w:rPr>
                <w:noProof/>
                <w:webHidden/>
              </w:rPr>
              <w:instrText xml:space="preserve"> PAGEREF _Toc144895262 \h </w:instrText>
            </w:r>
            <w:r w:rsidR="000544CB">
              <w:rPr>
                <w:noProof/>
                <w:webHidden/>
              </w:rPr>
            </w:r>
            <w:r w:rsidR="000544CB">
              <w:rPr>
                <w:noProof/>
                <w:webHidden/>
              </w:rPr>
              <w:fldChar w:fldCharType="separate"/>
            </w:r>
            <w:r w:rsidR="00354132">
              <w:rPr>
                <w:noProof/>
                <w:webHidden/>
              </w:rPr>
              <w:t>16</w:t>
            </w:r>
            <w:r w:rsidR="000544CB">
              <w:rPr>
                <w:noProof/>
                <w:webHidden/>
              </w:rPr>
              <w:fldChar w:fldCharType="end"/>
            </w:r>
          </w:hyperlink>
        </w:p>
        <w:p w14:paraId="78B8EF1F" w14:textId="13D74539" w:rsidR="000544CB" w:rsidRDefault="00201EEA">
          <w:pPr>
            <w:pStyle w:val="TOC2"/>
            <w:tabs>
              <w:tab w:val="left" w:pos="1320"/>
              <w:tab w:val="right" w:leader="dot" w:pos="9524"/>
            </w:tabs>
            <w:rPr>
              <w:rFonts w:asciiTheme="minorHAnsi" w:eastAsiaTheme="minorEastAsia" w:hAnsiTheme="minorHAnsi" w:cstheme="minorBidi"/>
              <w:noProof/>
              <w:lang w:eastAsia="en-AU"/>
            </w:rPr>
          </w:pPr>
          <w:hyperlink w:anchor="_Toc144895263" w:history="1">
            <w:r w:rsidR="000544CB" w:rsidRPr="00271597">
              <w:rPr>
                <w:rStyle w:val="Hyperlink"/>
                <w:noProof/>
                <w:spacing w:val="-1"/>
                <w:w w:val="99"/>
              </w:rPr>
              <w:t>8.5</w:t>
            </w:r>
            <w:r w:rsidR="000544CB">
              <w:rPr>
                <w:rFonts w:asciiTheme="minorHAnsi" w:eastAsiaTheme="minorEastAsia" w:hAnsiTheme="minorHAnsi" w:cstheme="minorBidi"/>
                <w:noProof/>
                <w:lang w:eastAsia="en-AU"/>
              </w:rPr>
              <w:tab/>
            </w:r>
            <w:r w:rsidR="000544CB" w:rsidRPr="00271597">
              <w:rPr>
                <w:rStyle w:val="Hyperlink"/>
                <w:noProof/>
              </w:rPr>
              <w:t>Reporting milestones</w:t>
            </w:r>
            <w:r w:rsidR="000544CB">
              <w:rPr>
                <w:noProof/>
                <w:webHidden/>
              </w:rPr>
              <w:tab/>
            </w:r>
            <w:r w:rsidR="000544CB">
              <w:rPr>
                <w:noProof/>
                <w:webHidden/>
              </w:rPr>
              <w:fldChar w:fldCharType="begin"/>
            </w:r>
            <w:r w:rsidR="000544CB">
              <w:rPr>
                <w:noProof/>
                <w:webHidden/>
              </w:rPr>
              <w:instrText xml:space="preserve"> PAGEREF _Toc144895263 \h </w:instrText>
            </w:r>
            <w:r w:rsidR="000544CB">
              <w:rPr>
                <w:noProof/>
                <w:webHidden/>
              </w:rPr>
            </w:r>
            <w:r w:rsidR="000544CB">
              <w:rPr>
                <w:noProof/>
                <w:webHidden/>
              </w:rPr>
              <w:fldChar w:fldCharType="separate"/>
            </w:r>
            <w:r w:rsidR="00354132">
              <w:rPr>
                <w:noProof/>
                <w:webHidden/>
              </w:rPr>
              <w:t>16</w:t>
            </w:r>
            <w:r w:rsidR="000544CB">
              <w:rPr>
                <w:noProof/>
                <w:webHidden/>
              </w:rPr>
              <w:fldChar w:fldCharType="end"/>
            </w:r>
          </w:hyperlink>
        </w:p>
        <w:p w14:paraId="69BA7517" w14:textId="1634CCE7" w:rsidR="000544CB" w:rsidRDefault="00201EEA">
          <w:pPr>
            <w:pStyle w:val="TOC2"/>
            <w:tabs>
              <w:tab w:val="left" w:pos="1320"/>
              <w:tab w:val="right" w:leader="dot" w:pos="9524"/>
            </w:tabs>
            <w:rPr>
              <w:rFonts w:asciiTheme="minorHAnsi" w:eastAsiaTheme="minorEastAsia" w:hAnsiTheme="minorHAnsi" w:cstheme="minorBidi"/>
              <w:noProof/>
              <w:lang w:eastAsia="en-AU"/>
            </w:rPr>
          </w:pPr>
          <w:hyperlink w:anchor="_Toc144895264" w:history="1">
            <w:r w:rsidR="000544CB" w:rsidRPr="00271597">
              <w:rPr>
                <w:rStyle w:val="Hyperlink"/>
                <w:noProof/>
                <w:spacing w:val="-1"/>
                <w:w w:val="99"/>
              </w:rPr>
              <w:t>8.6</w:t>
            </w:r>
            <w:r w:rsidR="000544CB">
              <w:rPr>
                <w:rFonts w:asciiTheme="minorHAnsi" w:eastAsiaTheme="minorEastAsia" w:hAnsiTheme="minorHAnsi" w:cstheme="minorBidi"/>
                <w:noProof/>
                <w:lang w:eastAsia="en-AU"/>
              </w:rPr>
              <w:tab/>
            </w:r>
            <w:r w:rsidR="000544CB" w:rsidRPr="00271597">
              <w:rPr>
                <w:rStyle w:val="Hyperlink"/>
                <w:noProof/>
              </w:rPr>
              <w:t>Reporting</w:t>
            </w:r>
            <w:r w:rsidR="000544CB" w:rsidRPr="00271597">
              <w:rPr>
                <w:rStyle w:val="Hyperlink"/>
                <w:noProof/>
                <w:spacing w:val="-2"/>
              </w:rPr>
              <w:t xml:space="preserve"> </w:t>
            </w:r>
            <w:r w:rsidR="000544CB" w:rsidRPr="00271597">
              <w:rPr>
                <w:rStyle w:val="Hyperlink"/>
                <w:noProof/>
              </w:rPr>
              <w:t>targets</w:t>
            </w:r>
            <w:r w:rsidR="000544CB">
              <w:rPr>
                <w:noProof/>
                <w:webHidden/>
              </w:rPr>
              <w:tab/>
            </w:r>
            <w:r w:rsidR="000544CB">
              <w:rPr>
                <w:noProof/>
                <w:webHidden/>
              </w:rPr>
              <w:fldChar w:fldCharType="begin"/>
            </w:r>
            <w:r w:rsidR="000544CB">
              <w:rPr>
                <w:noProof/>
                <w:webHidden/>
              </w:rPr>
              <w:instrText xml:space="preserve"> PAGEREF _Toc144895264 \h </w:instrText>
            </w:r>
            <w:r w:rsidR="000544CB">
              <w:rPr>
                <w:noProof/>
                <w:webHidden/>
              </w:rPr>
            </w:r>
            <w:r w:rsidR="000544CB">
              <w:rPr>
                <w:noProof/>
                <w:webHidden/>
              </w:rPr>
              <w:fldChar w:fldCharType="separate"/>
            </w:r>
            <w:r w:rsidR="00354132">
              <w:rPr>
                <w:noProof/>
                <w:webHidden/>
              </w:rPr>
              <w:t>17</w:t>
            </w:r>
            <w:r w:rsidR="000544CB">
              <w:rPr>
                <w:noProof/>
                <w:webHidden/>
              </w:rPr>
              <w:fldChar w:fldCharType="end"/>
            </w:r>
          </w:hyperlink>
        </w:p>
        <w:p w14:paraId="312AE4E0" w14:textId="22FA63FB" w:rsidR="000544CB" w:rsidRDefault="00201EEA">
          <w:pPr>
            <w:pStyle w:val="TOC1"/>
            <w:tabs>
              <w:tab w:val="right" w:leader="dot" w:pos="9524"/>
            </w:tabs>
            <w:rPr>
              <w:rFonts w:asciiTheme="minorHAnsi" w:eastAsiaTheme="minorEastAsia" w:hAnsiTheme="minorHAnsi" w:cstheme="minorBidi"/>
              <w:b w:val="0"/>
              <w:bCs w:val="0"/>
              <w:noProof/>
              <w:lang w:eastAsia="en-AU"/>
            </w:rPr>
          </w:pPr>
          <w:hyperlink w:anchor="_Toc144895265" w:history="1">
            <w:r w:rsidR="000544CB" w:rsidRPr="00271597">
              <w:rPr>
                <w:rStyle w:val="Hyperlink"/>
                <w:noProof/>
                <w:w w:val="99"/>
              </w:rPr>
              <w:t>9.</w:t>
            </w:r>
            <w:r w:rsidR="000544CB">
              <w:rPr>
                <w:rFonts w:asciiTheme="minorHAnsi" w:eastAsiaTheme="minorEastAsia" w:hAnsiTheme="minorHAnsi" w:cstheme="minorBidi"/>
                <w:b w:val="0"/>
                <w:bCs w:val="0"/>
                <w:noProof/>
                <w:lang w:eastAsia="en-AU"/>
              </w:rPr>
              <w:tab/>
            </w:r>
            <w:r w:rsidR="000544CB" w:rsidRPr="00271597">
              <w:rPr>
                <w:rStyle w:val="Hyperlink"/>
                <w:noProof/>
              </w:rPr>
              <w:t>Dealing with conflicts of</w:t>
            </w:r>
            <w:r w:rsidR="000544CB" w:rsidRPr="00271597">
              <w:rPr>
                <w:rStyle w:val="Hyperlink"/>
                <w:noProof/>
                <w:spacing w:val="-9"/>
              </w:rPr>
              <w:t xml:space="preserve"> </w:t>
            </w:r>
            <w:r w:rsidR="000544CB" w:rsidRPr="00271597">
              <w:rPr>
                <w:rStyle w:val="Hyperlink"/>
                <w:noProof/>
              </w:rPr>
              <w:t>interest</w:t>
            </w:r>
            <w:r w:rsidR="000544CB">
              <w:rPr>
                <w:noProof/>
                <w:webHidden/>
              </w:rPr>
              <w:tab/>
            </w:r>
            <w:r w:rsidR="000544CB">
              <w:rPr>
                <w:noProof/>
                <w:webHidden/>
              </w:rPr>
              <w:fldChar w:fldCharType="begin"/>
            </w:r>
            <w:r w:rsidR="000544CB">
              <w:rPr>
                <w:noProof/>
                <w:webHidden/>
              </w:rPr>
              <w:instrText xml:space="preserve"> PAGEREF _Toc144895265 \h </w:instrText>
            </w:r>
            <w:r w:rsidR="000544CB">
              <w:rPr>
                <w:noProof/>
                <w:webHidden/>
              </w:rPr>
            </w:r>
            <w:r w:rsidR="000544CB">
              <w:rPr>
                <w:noProof/>
                <w:webHidden/>
              </w:rPr>
              <w:fldChar w:fldCharType="separate"/>
            </w:r>
            <w:r w:rsidR="00354132">
              <w:rPr>
                <w:noProof/>
                <w:webHidden/>
              </w:rPr>
              <w:t>17</w:t>
            </w:r>
            <w:r w:rsidR="000544CB">
              <w:rPr>
                <w:noProof/>
                <w:webHidden/>
              </w:rPr>
              <w:fldChar w:fldCharType="end"/>
            </w:r>
          </w:hyperlink>
        </w:p>
        <w:p w14:paraId="559B1FF8" w14:textId="26829E77" w:rsidR="000544CB" w:rsidRDefault="00201EEA">
          <w:pPr>
            <w:pStyle w:val="TOC1"/>
            <w:tabs>
              <w:tab w:val="left" w:pos="1052"/>
              <w:tab w:val="right" w:leader="dot" w:pos="9524"/>
            </w:tabs>
            <w:rPr>
              <w:rFonts w:asciiTheme="minorHAnsi" w:eastAsiaTheme="minorEastAsia" w:hAnsiTheme="minorHAnsi" w:cstheme="minorBidi"/>
              <w:b w:val="0"/>
              <w:bCs w:val="0"/>
              <w:noProof/>
              <w:lang w:eastAsia="en-AU"/>
            </w:rPr>
          </w:pPr>
          <w:hyperlink w:anchor="_Toc144895266" w:history="1">
            <w:r w:rsidR="000544CB" w:rsidRPr="00271597">
              <w:rPr>
                <w:rStyle w:val="Hyperlink"/>
                <w:noProof/>
                <w:w w:val="99"/>
              </w:rPr>
              <w:t>10.</w:t>
            </w:r>
            <w:r w:rsidR="000544CB">
              <w:rPr>
                <w:rFonts w:asciiTheme="minorHAnsi" w:eastAsiaTheme="minorEastAsia" w:hAnsiTheme="minorHAnsi" w:cstheme="minorBidi"/>
                <w:b w:val="0"/>
                <w:bCs w:val="0"/>
                <w:noProof/>
                <w:lang w:eastAsia="en-AU"/>
              </w:rPr>
              <w:tab/>
            </w:r>
            <w:r w:rsidR="000544CB" w:rsidRPr="00271597">
              <w:rPr>
                <w:rStyle w:val="Hyperlink"/>
                <w:noProof/>
              </w:rPr>
              <w:t>Complaints about disability advocacy providers</w:t>
            </w:r>
            <w:r w:rsidR="000544CB">
              <w:rPr>
                <w:noProof/>
                <w:webHidden/>
              </w:rPr>
              <w:tab/>
            </w:r>
            <w:r w:rsidR="000544CB">
              <w:rPr>
                <w:noProof/>
                <w:webHidden/>
              </w:rPr>
              <w:fldChar w:fldCharType="begin"/>
            </w:r>
            <w:r w:rsidR="000544CB">
              <w:rPr>
                <w:noProof/>
                <w:webHidden/>
              </w:rPr>
              <w:instrText xml:space="preserve"> PAGEREF _Toc144895266 \h </w:instrText>
            </w:r>
            <w:r w:rsidR="000544CB">
              <w:rPr>
                <w:noProof/>
                <w:webHidden/>
              </w:rPr>
            </w:r>
            <w:r w:rsidR="000544CB">
              <w:rPr>
                <w:noProof/>
                <w:webHidden/>
              </w:rPr>
              <w:fldChar w:fldCharType="separate"/>
            </w:r>
            <w:r w:rsidR="00354132">
              <w:rPr>
                <w:noProof/>
                <w:webHidden/>
              </w:rPr>
              <w:t>17</w:t>
            </w:r>
            <w:r w:rsidR="000544CB">
              <w:rPr>
                <w:noProof/>
                <w:webHidden/>
              </w:rPr>
              <w:fldChar w:fldCharType="end"/>
            </w:r>
          </w:hyperlink>
        </w:p>
        <w:p w14:paraId="3B264895" w14:textId="0AC5E5E1" w:rsidR="000544CB" w:rsidRDefault="00201EEA">
          <w:pPr>
            <w:pStyle w:val="TOC1"/>
            <w:tabs>
              <w:tab w:val="left" w:pos="1052"/>
              <w:tab w:val="right" w:leader="dot" w:pos="9524"/>
            </w:tabs>
            <w:rPr>
              <w:rFonts w:asciiTheme="minorHAnsi" w:eastAsiaTheme="minorEastAsia" w:hAnsiTheme="minorHAnsi" w:cstheme="minorBidi"/>
              <w:b w:val="0"/>
              <w:bCs w:val="0"/>
              <w:noProof/>
              <w:lang w:eastAsia="en-AU"/>
            </w:rPr>
          </w:pPr>
          <w:hyperlink w:anchor="_Toc144895267" w:history="1">
            <w:r w:rsidR="000544CB" w:rsidRPr="00271597">
              <w:rPr>
                <w:rStyle w:val="Hyperlink"/>
                <w:noProof/>
                <w:w w:val="99"/>
              </w:rPr>
              <w:t>11.</w:t>
            </w:r>
            <w:r w:rsidR="000544CB">
              <w:rPr>
                <w:rFonts w:asciiTheme="minorHAnsi" w:eastAsiaTheme="minorEastAsia" w:hAnsiTheme="minorHAnsi" w:cstheme="minorBidi"/>
                <w:b w:val="0"/>
                <w:bCs w:val="0"/>
                <w:noProof/>
                <w:lang w:eastAsia="en-AU"/>
              </w:rPr>
              <w:tab/>
            </w:r>
            <w:r w:rsidR="000544CB" w:rsidRPr="00271597">
              <w:rPr>
                <w:rStyle w:val="Hyperlink"/>
                <w:noProof/>
              </w:rPr>
              <w:t>Serious incidents</w:t>
            </w:r>
            <w:r w:rsidR="000544CB">
              <w:rPr>
                <w:noProof/>
                <w:webHidden/>
              </w:rPr>
              <w:tab/>
            </w:r>
            <w:r w:rsidR="000544CB">
              <w:rPr>
                <w:noProof/>
                <w:webHidden/>
              </w:rPr>
              <w:fldChar w:fldCharType="begin"/>
            </w:r>
            <w:r w:rsidR="000544CB">
              <w:rPr>
                <w:noProof/>
                <w:webHidden/>
              </w:rPr>
              <w:instrText xml:space="preserve"> PAGEREF _Toc144895267 \h </w:instrText>
            </w:r>
            <w:r w:rsidR="000544CB">
              <w:rPr>
                <w:noProof/>
                <w:webHidden/>
              </w:rPr>
            </w:r>
            <w:r w:rsidR="000544CB">
              <w:rPr>
                <w:noProof/>
                <w:webHidden/>
              </w:rPr>
              <w:fldChar w:fldCharType="separate"/>
            </w:r>
            <w:r w:rsidR="00354132">
              <w:rPr>
                <w:noProof/>
                <w:webHidden/>
              </w:rPr>
              <w:t>18</w:t>
            </w:r>
            <w:r w:rsidR="000544CB">
              <w:rPr>
                <w:noProof/>
                <w:webHidden/>
              </w:rPr>
              <w:fldChar w:fldCharType="end"/>
            </w:r>
          </w:hyperlink>
        </w:p>
        <w:p w14:paraId="46BB4DA7" w14:textId="4790CF4F" w:rsidR="000544CB" w:rsidRDefault="00201EEA">
          <w:pPr>
            <w:pStyle w:val="TOC1"/>
            <w:tabs>
              <w:tab w:val="left" w:pos="1052"/>
              <w:tab w:val="right" w:leader="dot" w:pos="9524"/>
            </w:tabs>
            <w:rPr>
              <w:rFonts w:asciiTheme="minorHAnsi" w:eastAsiaTheme="minorEastAsia" w:hAnsiTheme="minorHAnsi" w:cstheme="minorBidi"/>
              <w:b w:val="0"/>
              <w:bCs w:val="0"/>
              <w:noProof/>
              <w:lang w:eastAsia="en-AU"/>
            </w:rPr>
          </w:pPr>
          <w:hyperlink w:anchor="_Toc144895268" w:history="1">
            <w:r w:rsidR="000544CB" w:rsidRPr="00271597">
              <w:rPr>
                <w:rStyle w:val="Hyperlink"/>
                <w:noProof/>
                <w:w w:val="99"/>
              </w:rPr>
              <w:t>12.</w:t>
            </w:r>
            <w:r w:rsidR="000544CB">
              <w:rPr>
                <w:rFonts w:asciiTheme="minorHAnsi" w:eastAsiaTheme="minorEastAsia" w:hAnsiTheme="minorHAnsi" w:cstheme="minorBidi"/>
                <w:b w:val="0"/>
                <w:bCs w:val="0"/>
                <w:noProof/>
                <w:lang w:eastAsia="en-AU"/>
              </w:rPr>
              <w:tab/>
            </w:r>
            <w:r w:rsidR="000544CB" w:rsidRPr="00271597">
              <w:rPr>
                <w:rStyle w:val="Hyperlink"/>
                <w:noProof/>
              </w:rPr>
              <w:t>Acknowledgement of</w:t>
            </w:r>
            <w:r w:rsidR="000544CB" w:rsidRPr="00271597">
              <w:rPr>
                <w:rStyle w:val="Hyperlink"/>
                <w:noProof/>
                <w:spacing w:val="-3"/>
              </w:rPr>
              <w:t xml:space="preserve"> </w:t>
            </w:r>
            <w:r w:rsidR="000544CB" w:rsidRPr="00271597">
              <w:rPr>
                <w:rStyle w:val="Hyperlink"/>
                <w:noProof/>
              </w:rPr>
              <w:t>support</w:t>
            </w:r>
            <w:r w:rsidR="000544CB">
              <w:rPr>
                <w:noProof/>
                <w:webHidden/>
              </w:rPr>
              <w:tab/>
            </w:r>
            <w:r w:rsidR="000544CB">
              <w:rPr>
                <w:noProof/>
                <w:webHidden/>
              </w:rPr>
              <w:fldChar w:fldCharType="begin"/>
            </w:r>
            <w:r w:rsidR="000544CB">
              <w:rPr>
                <w:noProof/>
                <w:webHidden/>
              </w:rPr>
              <w:instrText xml:space="preserve"> PAGEREF _Toc144895268 \h </w:instrText>
            </w:r>
            <w:r w:rsidR="000544CB">
              <w:rPr>
                <w:noProof/>
                <w:webHidden/>
              </w:rPr>
            </w:r>
            <w:r w:rsidR="000544CB">
              <w:rPr>
                <w:noProof/>
                <w:webHidden/>
              </w:rPr>
              <w:fldChar w:fldCharType="separate"/>
            </w:r>
            <w:r w:rsidR="00354132">
              <w:rPr>
                <w:noProof/>
                <w:webHidden/>
              </w:rPr>
              <w:t>19</w:t>
            </w:r>
            <w:r w:rsidR="000544CB">
              <w:rPr>
                <w:noProof/>
                <w:webHidden/>
              </w:rPr>
              <w:fldChar w:fldCharType="end"/>
            </w:r>
          </w:hyperlink>
        </w:p>
        <w:p w14:paraId="1A9ECB20" w14:textId="2990A1DB" w:rsidR="000544CB" w:rsidRDefault="00201EEA">
          <w:pPr>
            <w:pStyle w:val="TOC1"/>
            <w:tabs>
              <w:tab w:val="left" w:pos="1052"/>
              <w:tab w:val="right" w:leader="dot" w:pos="9524"/>
            </w:tabs>
            <w:rPr>
              <w:rFonts w:asciiTheme="minorHAnsi" w:eastAsiaTheme="minorEastAsia" w:hAnsiTheme="minorHAnsi" w:cstheme="minorBidi"/>
              <w:b w:val="0"/>
              <w:bCs w:val="0"/>
              <w:noProof/>
              <w:lang w:eastAsia="en-AU"/>
            </w:rPr>
          </w:pPr>
          <w:hyperlink w:anchor="_Toc144895269" w:history="1">
            <w:r w:rsidR="000544CB" w:rsidRPr="00271597">
              <w:rPr>
                <w:rStyle w:val="Hyperlink"/>
                <w:noProof/>
                <w:w w:val="99"/>
              </w:rPr>
              <w:t>13.</w:t>
            </w:r>
            <w:r w:rsidR="000544CB">
              <w:rPr>
                <w:rFonts w:asciiTheme="minorHAnsi" w:eastAsiaTheme="minorEastAsia" w:hAnsiTheme="minorHAnsi" w:cstheme="minorBidi"/>
                <w:b w:val="0"/>
                <w:bCs w:val="0"/>
                <w:noProof/>
                <w:lang w:eastAsia="en-AU"/>
              </w:rPr>
              <w:tab/>
            </w:r>
            <w:r w:rsidR="000544CB" w:rsidRPr="00271597">
              <w:rPr>
                <w:rStyle w:val="Hyperlink"/>
                <w:noProof/>
              </w:rPr>
              <w:t>Contact</w:t>
            </w:r>
            <w:r w:rsidR="000544CB" w:rsidRPr="00271597">
              <w:rPr>
                <w:rStyle w:val="Hyperlink"/>
                <w:noProof/>
                <w:spacing w:val="-3"/>
              </w:rPr>
              <w:t xml:space="preserve"> </w:t>
            </w:r>
            <w:r w:rsidR="000544CB" w:rsidRPr="00271597">
              <w:rPr>
                <w:rStyle w:val="Hyperlink"/>
                <w:noProof/>
              </w:rPr>
              <w:t>information</w:t>
            </w:r>
            <w:r w:rsidR="000544CB">
              <w:rPr>
                <w:noProof/>
                <w:webHidden/>
              </w:rPr>
              <w:tab/>
            </w:r>
            <w:r w:rsidR="000544CB">
              <w:rPr>
                <w:noProof/>
                <w:webHidden/>
              </w:rPr>
              <w:fldChar w:fldCharType="begin"/>
            </w:r>
            <w:r w:rsidR="000544CB">
              <w:rPr>
                <w:noProof/>
                <w:webHidden/>
              </w:rPr>
              <w:instrText xml:space="preserve"> PAGEREF _Toc144895269 \h </w:instrText>
            </w:r>
            <w:r w:rsidR="000544CB">
              <w:rPr>
                <w:noProof/>
                <w:webHidden/>
              </w:rPr>
            </w:r>
            <w:r w:rsidR="000544CB">
              <w:rPr>
                <w:noProof/>
                <w:webHidden/>
              </w:rPr>
              <w:fldChar w:fldCharType="separate"/>
            </w:r>
            <w:r w:rsidR="00354132">
              <w:rPr>
                <w:noProof/>
                <w:webHidden/>
              </w:rPr>
              <w:t>19</w:t>
            </w:r>
            <w:r w:rsidR="000544CB">
              <w:rPr>
                <w:noProof/>
                <w:webHidden/>
              </w:rPr>
              <w:fldChar w:fldCharType="end"/>
            </w:r>
          </w:hyperlink>
        </w:p>
        <w:p w14:paraId="58E33ABA" w14:textId="481F3E25" w:rsidR="000544CB" w:rsidRDefault="00201EEA">
          <w:pPr>
            <w:pStyle w:val="TOC1"/>
            <w:tabs>
              <w:tab w:val="right" w:leader="dot" w:pos="9524"/>
            </w:tabs>
            <w:rPr>
              <w:rFonts w:asciiTheme="minorHAnsi" w:eastAsiaTheme="minorEastAsia" w:hAnsiTheme="minorHAnsi" w:cstheme="minorBidi"/>
              <w:b w:val="0"/>
              <w:bCs w:val="0"/>
              <w:noProof/>
              <w:lang w:eastAsia="en-AU"/>
            </w:rPr>
          </w:pPr>
          <w:hyperlink w:anchor="_Toc144895270" w:history="1">
            <w:r w:rsidR="000544CB" w:rsidRPr="00271597">
              <w:rPr>
                <w:rStyle w:val="Hyperlink"/>
                <w:noProof/>
              </w:rPr>
              <w:t>Attachment A – Definition and models of advocacy</w:t>
            </w:r>
            <w:r w:rsidR="000544CB">
              <w:rPr>
                <w:noProof/>
                <w:webHidden/>
              </w:rPr>
              <w:tab/>
            </w:r>
            <w:r w:rsidR="000544CB">
              <w:rPr>
                <w:noProof/>
                <w:webHidden/>
              </w:rPr>
              <w:fldChar w:fldCharType="begin"/>
            </w:r>
            <w:r w:rsidR="000544CB">
              <w:rPr>
                <w:noProof/>
                <w:webHidden/>
              </w:rPr>
              <w:instrText xml:space="preserve"> PAGEREF _Toc144895270 \h </w:instrText>
            </w:r>
            <w:r w:rsidR="000544CB">
              <w:rPr>
                <w:noProof/>
                <w:webHidden/>
              </w:rPr>
            </w:r>
            <w:r w:rsidR="000544CB">
              <w:rPr>
                <w:noProof/>
                <w:webHidden/>
              </w:rPr>
              <w:fldChar w:fldCharType="separate"/>
            </w:r>
            <w:r w:rsidR="00354132">
              <w:rPr>
                <w:noProof/>
                <w:webHidden/>
              </w:rPr>
              <w:t>20</w:t>
            </w:r>
            <w:r w:rsidR="000544CB">
              <w:rPr>
                <w:noProof/>
                <w:webHidden/>
              </w:rPr>
              <w:fldChar w:fldCharType="end"/>
            </w:r>
          </w:hyperlink>
        </w:p>
        <w:p w14:paraId="2050E2F0" w14:textId="1DB34A9C" w:rsidR="000544CB" w:rsidRDefault="00201EEA">
          <w:pPr>
            <w:pStyle w:val="TOC3"/>
            <w:tabs>
              <w:tab w:val="right" w:leader="dot" w:pos="9524"/>
            </w:tabs>
            <w:rPr>
              <w:rFonts w:asciiTheme="minorHAnsi" w:eastAsiaTheme="minorEastAsia" w:hAnsiTheme="minorHAnsi" w:cstheme="minorBidi"/>
              <w:noProof/>
              <w:lang w:eastAsia="en-AU"/>
            </w:rPr>
          </w:pPr>
          <w:hyperlink w:anchor="_Toc144895271" w:history="1">
            <w:r w:rsidR="000544CB" w:rsidRPr="00271597">
              <w:rPr>
                <w:rStyle w:val="Hyperlink"/>
                <w:noProof/>
              </w:rPr>
              <w:t>Advocacy service</w:t>
            </w:r>
            <w:r w:rsidR="000544CB">
              <w:rPr>
                <w:noProof/>
                <w:webHidden/>
              </w:rPr>
              <w:tab/>
            </w:r>
            <w:r w:rsidR="000544CB">
              <w:rPr>
                <w:noProof/>
                <w:webHidden/>
              </w:rPr>
              <w:fldChar w:fldCharType="begin"/>
            </w:r>
            <w:r w:rsidR="000544CB">
              <w:rPr>
                <w:noProof/>
                <w:webHidden/>
              </w:rPr>
              <w:instrText xml:space="preserve"> PAGEREF _Toc144895271 \h </w:instrText>
            </w:r>
            <w:r w:rsidR="000544CB">
              <w:rPr>
                <w:noProof/>
                <w:webHidden/>
              </w:rPr>
            </w:r>
            <w:r w:rsidR="000544CB">
              <w:rPr>
                <w:noProof/>
                <w:webHidden/>
              </w:rPr>
              <w:fldChar w:fldCharType="separate"/>
            </w:r>
            <w:r w:rsidR="00354132">
              <w:rPr>
                <w:noProof/>
                <w:webHidden/>
              </w:rPr>
              <w:t>20</w:t>
            </w:r>
            <w:r w:rsidR="000544CB">
              <w:rPr>
                <w:noProof/>
                <w:webHidden/>
              </w:rPr>
              <w:fldChar w:fldCharType="end"/>
            </w:r>
          </w:hyperlink>
        </w:p>
        <w:p w14:paraId="5A1EE435" w14:textId="3816DB45" w:rsidR="000544CB" w:rsidRDefault="00201EEA">
          <w:pPr>
            <w:pStyle w:val="TOC3"/>
            <w:tabs>
              <w:tab w:val="right" w:leader="dot" w:pos="9524"/>
            </w:tabs>
            <w:rPr>
              <w:rFonts w:asciiTheme="minorHAnsi" w:eastAsiaTheme="minorEastAsia" w:hAnsiTheme="minorHAnsi" w:cstheme="minorBidi"/>
              <w:noProof/>
              <w:lang w:eastAsia="en-AU"/>
            </w:rPr>
          </w:pPr>
          <w:hyperlink w:anchor="_Toc144895272" w:history="1">
            <w:r w:rsidR="000544CB" w:rsidRPr="00271597">
              <w:rPr>
                <w:rStyle w:val="Hyperlink"/>
                <w:noProof/>
              </w:rPr>
              <w:t>Independent advocates</w:t>
            </w:r>
            <w:r w:rsidR="000544CB">
              <w:rPr>
                <w:noProof/>
                <w:webHidden/>
              </w:rPr>
              <w:tab/>
            </w:r>
            <w:r w:rsidR="000544CB">
              <w:rPr>
                <w:noProof/>
                <w:webHidden/>
              </w:rPr>
              <w:fldChar w:fldCharType="begin"/>
            </w:r>
            <w:r w:rsidR="000544CB">
              <w:rPr>
                <w:noProof/>
                <w:webHidden/>
              </w:rPr>
              <w:instrText xml:space="preserve"> PAGEREF _Toc144895272 \h </w:instrText>
            </w:r>
            <w:r w:rsidR="000544CB">
              <w:rPr>
                <w:noProof/>
                <w:webHidden/>
              </w:rPr>
            </w:r>
            <w:r w:rsidR="000544CB">
              <w:rPr>
                <w:noProof/>
                <w:webHidden/>
              </w:rPr>
              <w:fldChar w:fldCharType="separate"/>
            </w:r>
            <w:r w:rsidR="00354132">
              <w:rPr>
                <w:noProof/>
                <w:webHidden/>
              </w:rPr>
              <w:t>20</w:t>
            </w:r>
            <w:r w:rsidR="000544CB">
              <w:rPr>
                <w:noProof/>
                <w:webHidden/>
              </w:rPr>
              <w:fldChar w:fldCharType="end"/>
            </w:r>
          </w:hyperlink>
        </w:p>
        <w:p w14:paraId="6E25A8FB" w14:textId="3165DB14" w:rsidR="000544CB" w:rsidRDefault="00201EEA">
          <w:pPr>
            <w:pStyle w:val="TOC3"/>
            <w:tabs>
              <w:tab w:val="right" w:leader="dot" w:pos="9524"/>
            </w:tabs>
            <w:rPr>
              <w:rFonts w:asciiTheme="minorHAnsi" w:eastAsiaTheme="minorEastAsia" w:hAnsiTheme="minorHAnsi" w:cstheme="minorBidi"/>
              <w:noProof/>
              <w:lang w:eastAsia="en-AU"/>
            </w:rPr>
          </w:pPr>
          <w:hyperlink w:anchor="_Toc144895273" w:history="1">
            <w:r w:rsidR="000544CB" w:rsidRPr="00271597">
              <w:rPr>
                <w:rStyle w:val="Hyperlink"/>
                <w:noProof/>
              </w:rPr>
              <w:t>Advocacy models</w:t>
            </w:r>
            <w:r w:rsidR="000544CB">
              <w:rPr>
                <w:noProof/>
                <w:webHidden/>
              </w:rPr>
              <w:tab/>
            </w:r>
            <w:r w:rsidR="000544CB">
              <w:rPr>
                <w:noProof/>
                <w:webHidden/>
              </w:rPr>
              <w:fldChar w:fldCharType="begin"/>
            </w:r>
            <w:r w:rsidR="000544CB">
              <w:rPr>
                <w:noProof/>
                <w:webHidden/>
              </w:rPr>
              <w:instrText xml:space="preserve"> PAGEREF _Toc144895273 \h </w:instrText>
            </w:r>
            <w:r w:rsidR="000544CB">
              <w:rPr>
                <w:noProof/>
                <w:webHidden/>
              </w:rPr>
            </w:r>
            <w:r w:rsidR="000544CB">
              <w:rPr>
                <w:noProof/>
                <w:webHidden/>
              </w:rPr>
              <w:fldChar w:fldCharType="separate"/>
            </w:r>
            <w:r w:rsidR="00354132">
              <w:rPr>
                <w:noProof/>
                <w:webHidden/>
              </w:rPr>
              <w:t>20</w:t>
            </w:r>
            <w:r w:rsidR="000544CB">
              <w:rPr>
                <w:noProof/>
                <w:webHidden/>
              </w:rPr>
              <w:fldChar w:fldCharType="end"/>
            </w:r>
          </w:hyperlink>
        </w:p>
        <w:p w14:paraId="35D09C52" w14:textId="2AA24621" w:rsidR="000544CB" w:rsidRDefault="00201EEA">
          <w:pPr>
            <w:pStyle w:val="TOC1"/>
            <w:tabs>
              <w:tab w:val="right" w:leader="dot" w:pos="9524"/>
            </w:tabs>
            <w:rPr>
              <w:rFonts w:asciiTheme="minorHAnsi" w:eastAsiaTheme="minorEastAsia" w:hAnsiTheme="minorHAnsi" w:cstheme="minorBidi"/>
              <w:b w:val="0"/>
              <w:bCs w:val="0"/>
              <w:noProof/>
              <w:lang w:eastAsia="en-AU"/>
            </w:rPr>
          </w:pPr>
          <w:hyperlink w:anchor="_Toc144895274" w:history="1">
            <w:r w:rsidR="000544CB" w:rsidRPr="00271597">
              <w:rPr>
                <w:rStyle w:val="Hyperlink"/>
                <w:noProof/>
              </w:rPr>
              <w:t>Attachment B – National Centre for Disability Advocacy and Disability Advocacy Support Helpline</w:t>
            </w:r>
            <w:r w:rsidR="000544CB">
              <w:rPr>
                <w:noProof/>
                <w:webHidden/>
              </w:rPr>
              <w:tab/>
            </w:r>
            <w:r w:rsidR="000544CB">
              <w:rPr>
                <w:noProof/>
                <w:webHidden/>
              </w:rPr>
              <w:fldChar w:fldCharType="begin"/>
            </w:r>
            <w:r w:rsidR="000544CB">
              <w:rPr>
                <w:noProof/>
                <w:webHidden/>
              </w:rPr>
              <w:instrText xml:space="preserve"> PAGEREF _Toc144895274 \h </w:instrText>
            </w:r>
            <w:r w:rsidR="000544CB">
              <w:rPr>
                <w:noProof/>
                <w:webHidden/>
              </w:rPr>
            </w:r>
            <w:r w:rsidR="000544CB">
              <w:rPr>
                <w:noProof/>
                <w:webHidden/>
              </w:rPr>
              <w:fldChar w:fldCharType="separate"/>
            </w:r>
            <w:r w:rsidR="00354132">
              <w:rPr>
                <w:noProof/>
                <w:webHidden/>
              </w:rPr>
              <w:t>22</w:t>
            </w:r>
            <w:r w:rsidR="000544CB">
              <w:rPr>
                <w:noProof/>
                <w:webHidden/>
              </w:rPr>
              <w:fldChar w:fldCharType="end"/>
            </w:r>
          </w:hyperlink>
        </w:p>
        <w:p w14:paraId="1F09C870" w14:textId="1321CB1E" w:rsidR="000544CB" w:rsidRDefault="00201EEA">
          <w:pPr>
            <w:pStyle w:val="TOC3"/>
            <w:tabs>
              <w:tab w:val="right" w:leader="dot" w:pos="9524"/>
            </w:tabs>
            <w:rPr>
              <w:rFonts w:asciiTheme="minorHAnsi" w:eastAsiaTheme="minorEastAsia" w:hAnsiTheme="minorHAnsi" w:cstheme="minorBidi"/>
              <w:noProof/>
              <w:lang w:eastAsia="en-AU"/>
            </w:rPr>
          </w:pPr>
          <w:hyperlink w:anchor="_Toc144895275" w:history="1">
            <w:r w:rsidR="000544CB" w:rsidRPr="00271597">
              <w:rPr>
                <w:rStyle w:val="Hyperlink"/>
                <w:noProof/>
              </w:rPr>
              <w:t>National Centre for Disability Advocacy</w:t>
            </w:r>
            <w:r w:rsidR="000544CB">
              <w:rPr>
                <w:noProof/>
                <w:webHidden/>
              </w:rPr>
              <w:tab/>
            </w:r>
            <w:r w:rsidR="000544CB">
              <w:rPr>
                <w:noProof/>
                <w:webHidden/>
              </w:rPr>
              <w:fldChar w:fldCharType="begin"/>
            </w:r>
            <w:r w:rsidR="000544CB">
              <w:rPr>
                <w:noProof/>
                <w:webHidden/>
              </w:rPr>
              <w:instrText xml:space="preserve"> PAGEREF _Toc144895275 \h </w:instrText>
            </w:r>
            <w:r w:rsidR="000544CB">
              <w:rPr>
                <w:noProof/>
                <w:webHidden/>
              </w:rPr>
            </w:r>
            <w:r w:rsidR="000544CB">
              <w:rPr>
                <w:noProof/>
                <w:webHidden/>
              </w:rPr>
              <w:fldChar w:fldCharType="separate"/>
            </w:r>
            <w:r w:rsidR="00354132">
              <w:rPr>
                <w:noProof/>
                <w:webHidden/>
              </w:rPr>
              <w:t>22</w:t>
            </w:r>
            <w:r w:rsidR="000544CB">
              <w:rPr>
                <w:noProof/>
                <w:webHidden/>
              </w:rPr>
              <w:fldChar w:fldCharType="end"/>
            </w:r>
          </w:hyperlink>
        </w:p>
        <w:p w14:paraId="555B3193" w14:textId="6BB4DB77" w:rsidR="000544CB" w:rsidRDefault="00201EEA">
          <w:pPr>
            <w:pStyle w:val="TOC3"/>
            <w:tabs>
              <w:tab w:val="right" w:leader="dot" w:pos="9524"/>
            </w:tabs>
            <w:rPr>
              <w:rFonts w:asciiTheme="minorHAnsi" w:eastAsiaTheme="minorEastAsia" w:hAnsiTheme="minorHAnsi" w:cstheme="minorBidi"/>
              <w:noProof/>
              <w:lang w:eastAsia="en-AU"/>
            </w:rPr>
          </w:pPr>
          <w:hyperlink w:anchor="_Toc144895276" w:history="1">
            <w:r w:rsidR="000544CB" w:rsidRPr="00271597">
              <w:rPr>
                <w:rStyle w:val="Hyperlink"/>
                <w:noProof/>
              </w:rPr>
              <w:t>Disability Advocacy Support Helpline</w:t>
            </w:r>
            <w:r w:rsidR="000544CB">
              <w:rPr>
                <w:noProof/>
                <w:webHidden/>
              </w:rPr>
              <w:tab/>
            </w:r>
            <w:r w:rsidR="000544CB">
              <w:rPr>
                <w:noProof/>
                <w:webHidden/>
              </w:rPr>
              <w:fldChar w:fldCharType="begin"/>
            </w:r>
            <w:r w:rsidR="000544CB">
              <w:rPr>
                <w:noProof/>
                <w:webHidden/>
              </w:rPr>
              <w:instrText xml:space="preserve"> PAGEREF _Toc144895276 \h </w:instrText>
            </w:r>
            <w:r w:rsidR="000544CB">
              <w:rPr>
                <w:noProof/>
                <w:webHidden/>
              </w:rPr>
            </w:r>
            <w:r w:rsidR="000544CB">
              <w:rPr>
                <w:noProof/>
                <w:webHidden/>
              </w:rPr>
              <w:fldChar w:fldCharType="separate"/>
            </w:r>
            <w:r w:rsidR="00354132">
              <w:rPr>
                <w:noProof/>
                <w:webHidden/>
              </w:rPr>
              <w:t>22</w:t>
            </w:r>
            <w:r w:rsidR="000544CB">
              <w:rPr>
                <w:noProof/>
                <w:webHidden/>
              </w:rPr>
              <w:fldChar w:fldCharType="end"/>
            </w:r>
          </w:hyperlink>
        </w:p>
        <w:p w14:paraId="2689B9C8" w14:textId="0444AC02" w:rsidR="000544CB" w:rsidRDefault="00201EEA">
          <w:pPr>
            <w:pStyle w:val="TOC1"/>
            <w:tabs>
              <w:tab w:val="right" w:leader="dot" w:pos="9524"/>
            </w:tabs>
            <w:rPr>
              <w:rFonts w:asciiTheme="minorHAnsi" w:eastAsiaTheme="minorEastAsia" w:hAnsiTheme="minorHAnsi" w:cstheme="minorBidi"/>
              <w:b w:val="0"/>
              <w:bCs w:val="0"/>
              <w:noProof/>
              <w:lang w:eastAsia="en-AU"/>
            </w:rPr>
          </w:pPr>
          <w:hyperlink w:anchor="_Toc144895277" w:history="1">
            <w:r w:rsidR="000544CB" w:rsidRPr="00271597">
              <w:rPr>
                <w:rStyle w:val="Hyperlink"/>
                <w:noProof/>
              </w:rPr>
              <w:t>Attachment C – Serious Incident Notification Form</w:t>
            </w:r>
            <w:r w:rsidR="000544CB">
              <w:rPr>
                <w:noProof/>
                <w:webHidden/>
              </w:rPr>
              <w:tab/>
            </w:r>
            <w:r w:rsidR="000544CB">
              <w:rPr>
                <w:noProof/>
                <w:webHidden/>
              </w:rPr>
              <w:fldChar w:fldCharType="begin"/>
            </w:r>
            <w:r w:rsidR="000544CB">
              <w:rPr>
                <w:noProof/>
                <w:webHidden/>
              </w:rPr>
              <w:instrText xml:space="preserve"> PAGEREF _Toc144895277 \h </w:instrText>
            </w:r>
            <w:r w:rsidR="000544CB">
              <w:rPr>
                <w:noProof/>
                <w:webHidden/>
              </w:rPr>
            </w:r>
            <w:r w:rsidR="000544CB">
              <w:rPr>
                <w:noProof/>
                <w:webHidden/>
              </w:rPr>
              <w:fldChar w:fldCharType="separate"/>
            </w:r>
            <w:r w:rsidR="00354132">
              <w:rPr>
                <w:noProof/>
                <w:webHidden/>
              </w:rPr>
              <w:t>23</w:t>
            </w:r>
            <w:r w:rsidR="000544CB">
              <w:rPr>
                <w:noProof/>
                <w:webHidden/>
              </w:rPr>
              <w:fldChar w:fldCharType="end"/>
            </w:r>
          </w:hyperlink>
        </w:p>
        <w:p w14:paraId="1F3CE5D7" w14:textId="5B8CF5B8" w:rsidR="00C5306F" w:rsidRDefault="00C5306F">
          <w:r>
            <w:rPr>
              <w:b/>
              <w:bCs/>
              <w:noProof/>
            </w:rPr>
            <w:fldChar w:fldCharType="end"/>
          </w:r>
        </w:p>
      </w:sdtContent>
    </w:sdt>
    <w:p w14:paraId="7E4A2BCA" w14:textId="77777777" w:rsidR="00F743B7" w:rsidRDefault="00F743B7">
      <w:pPr>
        <w:sectPr w:rsidR="00F743B7" w:rsidSect="002D4503">
          <w:type w:val="continuous"/>
          <w:pgSz w:w="11910" w:h="16840"/>
          <w:pgMar w:top="1361" w:right="1134" w:bottom="2058" w:left="1242" w:header="720" w:footer="720" w:gutter="0"/>
          <w:cols w:space="720"/>
        </w:sectPr>
      </w:pPr>
    </w:p>
    <w:p w14:paraId="7E7ED78B" w14:textId="77777777" w:rsidR="00F743B7" w:rsidRDefault="008949D6" w:rsidP="00D9450E">
      <w:pPr>
        <w:pStyle w:val="Heading1"/>
        <w:numPr>
          <w:ilvl w:val="0"/>
          <w:numId w:val="11"/>
        </w:numPr>
        <w:spacing w:before="240"/>
      </w:pPr>
      <w:bookmarkStart w:id="1" w:name="_Toc144895232"/>
      <w:r>
        <w:lastRenderedPageBreak/>
        <w:t>Introduction</w:t>
      </w:r>
      <w:bookmarkEnd w:id="1"/>
    </w:p>
    <w:p w14:paraId="631FF6BD" w14:textId="77777777" w:rsidR="00F743B7" w:rsidRDefault="008949D6" w:rsidP="003B0099">
      <w:pPr>
        <w:pStyle w:val="Heading2"/>
        <w:numPr>
          <w:ilvl w:val="1"/>
          <w:numId w:val="11"/>
        </w:numPr>
      </w:pPr>
      <w:bookmarkStart w:id="2" w:name="_Toc144895233"/>
      <w:r>
        <w:t>Program</w:t>
      </w:r>
      <w:r>
        <w:rPr>
          <w:spacing w:val="-1"/>
        </w:rPr>
        <w:t xml:space="preserve"> </w:t>
      </w:r>
      <w:r>
        <w:t>Description</w:t>
      </w:r>
      <w:bookmarkEnd w:id="2"/>
    </w:p>
    <w:p w14:paraId="5C49AB9E" w14:textId="78744960" w:rsidR="00F743B7" w:rsidRDefault="008949D6" w:rsidP="003B0099">
      <w:pPr>
        <w:pStyle w:val="BodyText"/>
      </w:pPr>
      <w:r>
        <w:t>The National Disability Advocacy Program (NDAP) provides people with disability with access to effective disability advocacy that promotes, protects and ensures their full and equal enjoyment of all human rights, enabling community participation.</w:t>
      </w:r>
    </w:p>
    <w:p w14:paraId="1149A903" w14:textId="77777777" w:rsidR="00F743B7" w:rsidRDefault="008949D6" w:rsidP="003B0099">
      <w:pPr>
        <w:pStyle w:val="Heading2"/>
        <w:ind w:left="691" w:hanging="578"/>
      </w:pPr>
      <w:bookmarkStart w:id="3" w:name="_Toc144895234"/>
      <w:r>
        <w:t>Why is disability advocacy</w:t>
      </w:r>
      <w:r>
        <w:rPr>
          <w:spacing w:val="-17"/>
        </w:rPr>
        <w:t xml:space="preserve"> </w:t>
      </w:r>
      <w:r>
        <w:t>important?</w:t>
      </w:r>
      <w:bookmarkEnd w:id="3"/>
    </w:p>
    <w:p w14:paraId="51E59F0C" w14:textId="77777777" w:rsidR="00F743B7" w:rsidRDefault="008949D6" w:rsidP="003B0099">
      <w:pPr>
        <w:pStyle w:val="BodyText"/>
      </w:pPr>
      <w:r>
        <w:t>The primary purpose of disability advocacy is to protect and uphold the human rights of people with disability. This involves:</w:t>
      </w:r>
    </w:p>
    <w:p w14:paraId="711369B8" w14:textId="77777777" w:rsidR="00F743B7" w:rsidRDefault="008949D6" w:rsidP="003B0099">
      <w:pPr>
        <w:pStyle w:val="ListParagraph"/>
        <w:numPr>
          <w:ilvl w:val="0"/>
          <w:numId w:val="10"/>
        </w:numPr>
        <w:rPr>
          <w:rFonts w:ascii="Symbol" w:hAnsi="Symbol"/>
        </w:rPr>
      </w:pPr>
      <w:r>
        <w:t>acting in a partisan manner (i.e. being on their side and no-one</w:t>
      </w:r>
      <w:r>
        <w:rPr>
          <w:spacing w:val="-12"/>
        </w:rPr>
        <w:t xml:space="preserve"> </w:t>
      </w:r>
      <w:r>
        <w:t>else's)</w:t>
      </w:r>
    </w:p>
    <w:p w14:paraId="10CBBA4C" w14:textId="77777777" w:rsidR="00F743B7" w:rsidRDefault="008949D6" w:rsidP="003B0099">
      <w:pPr>
        <w:pStyle w:val="ListParagraph"/>
        <w:numPr>
          <w:ilvl w:val="0"/>
          <w:numId w:val="10"/>
        </w:numPr>
        <w:rPr>
          <w:rFonts w:ascii="Symbol" w:hAnsi="Symbol"/>
        </w:rPr>
      </w:pPr>
      <w:r>
        <w:t>being primarily concerned with their fundamental</w:t>
      </w:r>
      <w:r>
        <w:rPr>
          <w:spacing w:val="-4"/>
        </w:rPr>
        <w:t xml:space="preserve"> </w:t>
      </w:r>
      <w:r>
        <w:t>needs</w:t>
      </w:r>
    </w:p>
    <w:p w14:paraId="72B6B239" w14:textId="77777777" w:rsidR="00F743B7" w:rsidRDefault="008949D6" w:rsidP="003B0099">
      <w:pPr>
        <w:pStyle w:val="ListParagraph"/>
        <w:numPr>
          <w:ilvl w:val="0"/>
          <w:numId w:val="10"/>
        </w:numPr>
        <w:rPr>
          <w:rFonts w:ascii="Symbol" w:hAnsi="Symbol"/>
        </w:rPr>
      </w:pPr>
      <w:r>
        <w:t>remaining loyal and accountable to them in a way which is empathetic and vigorous (whilst respecting the rights of</w:t>
      </w:r>
      <w:r>
        <w:rPr>
          <w:spacing w:val="2"/>
        </w:rPr>
        <w:t xml:space="preserve"> </w:t>
      </w:r>
      <w:r>
        <w:t>others)</w:t>
      </w:r>
    </w:p>
    <w:p w14:paraId="3E93A31E" w14:textId="7B5C908F" w:rsidR="00C07578" w:rsidRPr="003B0099" w:rsidRDefault="008949D6" w:rsidP="003B0099">
      <w:pPr>
        <w:pStyle w:val="ListParagraph"/>
        <w:numPr>
          <w:ilvl w:val="0"/>
          <w:numId w:val="10"/>
        </w:numPr>
        <w:rPr>
          <w:rFonts w:ascii="Symbol" w:hAnsi="Symbol"/>
        </w:rPr>
      </w:pPr>
      <w:r>
        <w:t>ensuring duty of care at all</w:t>
      </w:r>
      <w:r>
        <w:rPr>
          <w:spacing w:val="-2"/>
        </w:rPr>
        <w:t xml:space="preserve"> </w:t>
      </w:r>
      <w:r>
        <w:t>times.</w:t>
      </w:r>
    </w:p>
    <w:p w14:paraId="3F57F1C5" w14:textId="77777777" w:rsidR="00F743B7" w:rsidRDefault="008949D6" w:rsidP="003B0099">
      <w:pPr>
        <w:pStyle w:val="BodyText"/>
      </w:pPr>
      <w:r>
        <w:t xml:space="preserve">Effective disability advocacy promotes, protects and supports a </w:t>
      </w:r>
      <w:proofErr w:type="gramStart"/>
      <w:r>
        <w:t>persons</w:t>
      </w:r>
      <w:proofErr w:type="gramEnd"/>
      <w:r>
        <w:t>, or groups, full and equal human rights. Advocates support or work on behalf of a person with disability to help them to speak out and defend their rights and interests. This is particularly important in situations where people with disability may not be able to speak up for themselves, or even identify when they have been exploited, abused or neglected.</w:t>
      </w:r>
    </w:p>
    <w:p w14:paraId="2BE2D6AE" w14:textId="77777777" w:rsidR="00F743B7" w:rsidRDefault="008949D6" w:rsidP="003B0099">
      <w:pPr>
        <w:pStyle w:val="Heading2"/>
        <w:numPr>
          <w:ilvl w:val="1"/>
          <w:numId w:val="11"/>
        </w:numPr>
      </w:pPr>
      <w:bookmarkStart w:id="4" w:name="_Toc144895235"/>
      <w:r>
        <w:t>Who is the primary</w:t>
      </w:r>
      <w:r>
        <w:rPr>
          <w:spacing w:val="-8"/>
        </w:rPr>
        <w:t xml:space="preserve"> </w:t>
      </w:r>
      <w:r>
        <w:t>client?</w:t>
      </w:r>
      <w:bookmarkEnd w:id="4"/>
    </w:p>
    <w:p w14:paraId="385288F5" w14:textId="77777777" w:rsidR="00F743B7" w:rsidRDefault="008949D6" w:rsidP="003B0099">
      <w:pPr>
        <w:pStyle w:val="BodyText"/>
      </w:pPr>
      <w:r>
        <w:t>Primary clients for this program activity are people with a disability, and carers and family members on behalf of people with disability.</w:t>
      </w:r>
    </w:p>
    <w:p w14:paraId="18725888" w14:textId="77777777" w:rsidR="00F743B7" w:rsidRDefault="008949D6" w:rsidP="00D9450E">
      <w:pPr>
        <w:pStyle w:val="Heading1"/>
        <w:numPr>
          <w:ilvl w:val="0"/>
          <w:numId w:val="11"/>
        </w:numPr>
        <w:spacing w:before="240"/>
      </w:pPr>
      <w:bookmarkStart w:id="5" w:name="_Toc144895236"/>
      <w:r>
        <w:t>Advocacy</w:t>
      </w:r>
      <w:r>
        <w:rPr>
          <w:spacing w:val="-6"/>
        </w:rPr>
        <w:t xml:space="preserve"> </w:t>
      </w:r>
      <w:r>
        <w:t>services</w:t>
      </w:r>
      <w:bookmarkEnd w:id="5"/>
    </w:p>
    <w:p w14:paraId="738A1A23" w14:textId="1190F741" w:rsidR="00A50ED3" w:rsidRDefault="00482976" w:rsidP="003B0099">
      <w:pPr>
        <w:pStyle w:val="ListParagraph"/>
        <w:numPr>
          <w:ilvl w:val="0"/>
          <w:numId w:val="10"/>
        </w:numPr>
      </w:pPr>
      <w:r>
        <w:t xml:space="preserve">90% </w:t>
      </w:r>
      <w:r w:rsidR="00A50ED3">
        <w:t xml:space="preserve">is used for the provision of </w:t>
      </w:r>
      <w:r>
        <w:t xml:space="preserve">individual advocacy </w:t>
      </w:r>
      <w:r w:rsidR="00A50ED3">
        <w:t>services</w:t>
      </w:r>
    </w:p>
    <w:p w14:paraId="14525D34" w14:textId="524398BD" w:rsidR="00482976" w:rsidRPr="003B0099" w:rsidRDefault="00482976" w:rsidP="003B0099">
      <w:pPr>
        <w:pStyle w:val="ListParagraph"/>
        <w:numPr>
          <w:ilvl w:val="0"/>
          <w:numId w:val="10"/>
        </w:numPr>
      </w:pPr>
      <w:r>
        <w:t xml:space="preserve">no more than 10% </w:t>
      </w:r>
      <w:r w:rsidR="00A50ED3">
        <w:t xml:space="preserve">is used for </w:t>
      </w:r>
      <w:r>
        <w:t xml:space="preserve">systemic advocacy </w:t>
      </w:r>
      <w:r w:rsidR="001634D6" w:rsidRPr="003B0099">
        <w:t>activ</w:t>
      </w:r>
      <w:r w:rsidR="00695233">
        <w:t>ities</w:t>
      </w:r>
      <w:r w:rsidRPr="003B0099">
        <w:t xml:space="preserve">. </w:t>
      </w:r>
    </w:p>
    <w:p w14:paraId="59E8E048" w14:textId="06476A92" w:rsidR="003B0099" w:rsidRPr="003B0099" w:rsidRDefault="00A50ED3" w:rsidP="003B0099">
      <w:pPr>
        <w:tabs>
          <w:tab w:val="left" w:pos="560"/>
          <w:tab w:val="left" w:pos="561"/>
        </w:tabs>
        <w:spacing w:before="121" w:line="269" w:lineRule="exact"/>
      </w:pPr>
      <w:r w:rsidRPr="003B0099">
        <w:t>F</w:t>
      </w:r>
      <w:r w:rsidR="00A23583">
        <w:t>urthe</w:t>
      </w:r>
      <w:r w:rsidRPr="003B0099">
        <w:t>r information on advocacy service models is contained in</w:t>
      </w:r>
      <w:r w:rsidR="005E205A">
        <w:t xml:space="preserve"> </w:t>
      </w:r>
      <w:hyperlink w:anchor="_Attachment_A_–" w:history="1">
        <w:r w:rsidR="005E205A" w:rsidRPr="00F631FD">
          <w:rPr>
            <w:rStyle w:val="Hyperlink"/>
            <w:b/>
            <w:color w:val="auto"/>
            <w:u w:val="none"/>
          </w:rPr>
          <w:t>Attachment A</w:t>
        </w:r>
      </w:hyperlink>
      <w:r w:rsidR="005E205A" w:rsidRPr="002A3A80">
        <w:t>.</w:t>
      </w:r>
      <w:r w:rsidRPr="002A3A80">
        <w:t xml:space="preserve"> </w:t>
      </w:r>
    </w:p>
    <w:p w14:paraId="75BB18CB" w14:textId="1C24ADCD" w:rsidR="00F743B7" w:rsidRDefault="00482976" w:rsidP="003B0099">
      <w:pPr>
        <w:tabs>
          <w:tab w:val="left" w:pos="560"/>
          <w:tab w:val="left" w:pos="561"/>
        </w:tabs>
        <w:spacing w:before="120" w:after="120" w:line="269" w:lineRule="exact"/>
      </w:pPr>
      <w:r>
        <w:t xml:space="preserve">NDAP providers are </w:t>
      </w:r>
      <w:r w:rsidR="00A50ED3">
        <w:t xml:space="preserve">also </w:t>
      </w:r>
      <w:r w:rsidR="008949D6">
        <w:t xml:space="preserve">funded to </w:t>
      </w:r>
      <w:r>
        <w:t xml:space="preserve">deliver </w:t>
      </w:r>
      <w:r w:rsidR="008949D6">
        <w:t>disability advocacy support:</w:t>
      </w:r>
    </w:p>
    <w:p w14:paraId="25B31736" w14:textId="4168CD72" w:rsidR="00F743B7" w:rsidRDefault="008949D6" w:rsidP="003B0099">
      <w:pPr>
        <w:pStyle w:val="ListParagraph"/>
        <w:numPr>
          <w:ilvl w:val="0"/>
          <w:numId w:val="10"/>
        </w:numPr>
        <w:rPr>
          <w:rFonts w:ascii="Symbol" w:hAnsi="Symbol"/>
        </w:rPr>
      </w:pPr>
      <w:r>
        <w:t>from specified</w:t>
      </w:r>
      <w:r>
        <w:rPr>
          <w:spacing w:val="-10"/>
        </w:rPr>
        <w:t xml:space="preserve"> </w:t>
      </w:r>
      <w:r>
        <w:t>locations</w:t>
      </w:r>
    </w:p>
    <w:p w14:paraId="628E4902" w14:textId="77777777" w:rsidR="00F743B7" w:rsidRDefault="008949D6" w:rsidP="003B0099">
      <w:pPr>
        <w:pStyle w:val="ListParagraph"/>
        <w:numPr>
          <w:ilvl w:val="0"/>
          <w:numId w:val="10"/>
        </w:numPr>
        <w:rPr>
          <w:rFonts w:ascii="Symbol" w:hAnsi="Symbol"/>
        </w:rPr>
      </w:pPr>
      <w:r>
        <w:t>to a specified number of</w:t>
      </w:r>
      <w:r>
        <w:rPr>
          <w:spacing w:val="-10"/>
        </w:rPr>
        <w:t xml:space="preserve"> </w:t>
      </w:r>
      <w:r>
        <w:t>people**</w:t>
      </w:r>
    </w:p>
    <w:p w14:paraId="0793BC21" w14:textId="6C9E61CF" w:rsidR="00F743B7" w:rsidRDefault="00482976" w:rsidP="003B0099">
      <w:pPr>
        <w:pStyle w:val="ListParagraph"/>
        <w:numPr>
          <w:ilvl w:val="0"/>
          <w:numId w:val="10"/>
        </w:numPr>
        <w:rPr>
          <w:rFonts w:ascii="Symbol" w:hAnsi="Symbol"/>
        </w:rPr>
      </w:pPr>
      <w:r>
        <w:t xml:space="preserve">across </w:t>
      </w:r>
      <w:r w:rsidR="008949D6">
        <w:t xml:space="preserve">a specified service area (these are currently either state-wide or a collection </w:t>
      </w:r>
      <w:r w:rsidR="008949D6">
        <w:rPr>
          <w:spacing w:val="-3"/>
        </w:rPr>
        <w:t xml:space="preserve">of </w:t>
      </w:r>
      <w:r w:rsidR="008949D6">
        <w:t>Australian Bureau of Statistics Statistical</w:t>
      </w:r>
      <w:r w:rsidR="008949D6">
        <w:rPr>
          <w:spacing w:val="-1"/>
        </w:rPr>
        <w:t xml:space="preserve"> </w:t>
      </w:r>
      <w:r w:rsidR="008949D6">
        <w:t>Areas)</w:t>
      </w:r>
    </w:p>
    <w:p w14:paraId="48C7F47D" w14:textId="031C2AFB" w:rsidR="002D4503" w:rsidRDefault="008949D6" w:rsidP="003B0099">
      <w:pPr>
        <w:pStyle w:val="BodyText"/>
      </w:pPr>
      <w:r>
        <w:t>**The number of clients assisted is measured using benchmarking, comparing an organisation’s achievement against similar service providers delivering comparable services, using characteristics defined in the Data Exchange protocols.</w:t>
      </w:r>
      <w:r w:rsidR="002D4503">
        <w:br w:type="page"/>
      </w:r>
    </w:p>
    <w:p w14:paraId="4564A3A0" w14:textId="37B03EFB" w:rsidR="00F743B7" w:rsidRDefault="008949D6" w:rsidP="003B0099">
      <w:pPr>
        <w:pStyle w:val="BodyText"/>
      </w:pPr>
      <w:r>
        <w:lastRenderedPageBreak/>
        <w:t>Providers may also be funded to specialise in providing advocacy support to particular groups such as:</w:t>
      </w:r>
    </w:p>
    <w:p w14:paraId="53E37B8A" w14:textId="77777777" w:rsidR="00F743B7" w:rsidRDefault="008949D6" w:rsidP="003B0099">
      <w:pPr>
        <w:pStyle w:val="ListParagraph"/>
        <w:numPr>
          <w:ilvl w:val="0"/>
          <w:numId w:val="10"/>
        </w:numPr>
        <w:rPr>
          <w:rFonts w:ascii="Symbol" w:hAnsi="Symbol"/>
        </w:rPr>
      </w:pPr>
      <w:r>
        <w:t>Aboriginal and Torres Strait Islander people with</w:t>
      </w:r>
      <w:r>
        <w:rPr>
          <w:spacing w:val="2"/>
        </w:rPr>
        <w:t xml:space="preserve"> </w:t>
      </w:r>
      <w:r>
        <w:t>disability</w:t>
      </w:r>
    </w:p>
    <w:p w14:paraId="5907474E" w14:textId="77777777" w:rsidR="00F743B7" w:rsidRDefault="008949D6" w:rsidP="003B0099">
      <w:pPr>
        <w:pStyle w:val="ListParagraph"/>
        <w:numPr>
          <w:ilvl w:val="0"/>
          <w:numId w:val="10"/>
        </w:numPr>
        <w:rPr>
          <w:rFonts w:ascii="Symbol" w:hAnsi="Symbol"/>
        </w:rPr>
      </w:pPr>
      <w:r>
        <w:t>people with disability from diverse cultural and linguistic</w:t>
      </w:r>
      <w:r>
        <w:rPr>
          <w:spacing w:val="-6"/>
        </w:rPr>
        <w:t xml:space="preserve"> </w:t>
      </w:r>
      <w:r>
        <w:t>backgrounds</w:t>
      </w:r>
    </w:p>
    <w:p w14:paraId="074763F1" w14:textId="77777777" w:rsidR="00F743B7" w:rsidRDefault="008949D6" w:rsidP="003B0099">
      <w:pPr>
        <w:pStyle w:val="ListParagraph"/>
        <w:numPr>
          <w:ilvl w:val="0"/>
          <w:numId w:val="10"/>
        </w:numPr>
        <w:rPr>
          <w:rFonts w:ascii="Symbol" w:hAnsi="Symbol"/>
        </w:rPr>
      </w:pPr>
      <w:r>
        <w:t>people with a particular disability type e.g. acquired brain</w:t>
      </w:r>
      <w:r>
        <w:rPr>
          <w:spacing w:val="-6"/>
        </w:rPr>
        <w:t xml:space="preserve"> </w:t>
      </w:r>
      <w:r>
        <w:t>injury.</w:t>
      </w:r>
    </w:p>
    <w:p w14:paraId="007B22AC" w14:textId="7CD16549" w:rsidR="00F743B7" w:rsidRDefault="008949D6" w:rsidP="003B0099">
      <w:pPr>
        <w:pStyle w:val="BodyText"/>
      </w:pPr>
      <w:r>
        <w:t xml:space="preserve">Funding under the NDAP is a grant of financial assistance approved by the Minister or delegate under the </w:t>
      </w:r>
      <w:r w:rsidRPr="00D974EB">
        <w:rPr>
          <w:i/>
        </w:rPr>
        <w:t>D</w:t>
      </w:r>
      <w:r w:rsidR="00A23583" w:rsidRPr="00D974EB">
        <w:rPr>
          <w:i/>
        </w:rPr>
        <w:t xml:space="preserve">isability </w:t>
      </w:r>
      <w:r w:rsidRPr="00D974EB">
        <w:rPr>
          <w:i/>
        </w:rPr>
        <w:t>S</w:t>
      </w:r>
      <w:r w:rsidR="00A23583" w:rsidRPr="00D974EB">
        <w:rPr>
          <w:i/>
        </w:rPr>
        <w:t xml:space="preserve">ervices </w:t>
      </w:r>
      <w:r w:rsidRPr="00D974EB">
        <w:rPr>
          <w:i/>
        </w:rPr>
        <w:t>A</w:t>
      </w:r>
      <w:r w:rsidR="00A23583" w:rsidRPr="00D974EB">
        <w:rPr>
          <w:i/>
        </w:rPr>
        <w:t>ct 1986</w:t>
      </w:r>
      <w:r w:rsidR="00A23583">
        <w:t xml:space="preserve"> (DSA)</w:t>
      </w:r>
      <w:r>
        <w:t>. Funding is provided subject to providers:</w:t>
      </w:r>
    </w:p>
    <w:p w14:paraId="52BBAF21" w14:textId="02F31DED" w:rsidR="00F743B7" w:rsidRDefault="008949D6" w:rsidP="003B0099">
      <w:pPr>
        <w:pStyle w:val="ListParagraph"/>
        <w:numPr>
          <w:ilvl w:val="0"/>
          <w:numId w:val="10"/>
        </w:numPr>
        <w:rPr>
          <w:rFonts w:ascii="Symbol" w:hAnsi="Symbol"/>
        </w:rPr>
      </w:pPr>
      <w:r>
        <w:t xml:space="preserve">signing and complying with the streamlined </w:t>
      </w:r>
      <w:r w:rsidR="00A23583">
        <w:t>G</w:t>
      </w:r>
      <w:r>
        <w:t xml:space="preserve">rant </w:t>
      </w:r>
      <w:r w:rsidR="00A23583">
        <w:t>A</w:t>
      </w:r>
      <w:r>
        <w:t xml:space="preserve">greement, </w:t>
      </w:r>
      <w:r w:rsidR="00A23583">
        <w:t>G</w:t>
      </w:r>
      <w:r>
        <w:t xml:space="preserve">rant </w:t>
      </w:r>
      <w:r w:rsidR="00A23583">
        <w:t>S</w:t>
      </w:r>
      <w:r>
        <w:t xml:space="preserve">chedule and </w:t>
      </w:r>
      <w:r w:rsidR="00A23583">
        <w:t>A</w:t>
      </w:r>
      <w:r>
        <w:t xml:space="preserve">ctivity </w:t>
      </w:r>
      <w:r w:rsidR="00A23583">
        <w:t>W</w:t>
      </w:r>
      <w:r>
        <w:t xml:space="preserve">ork </w:t>
      </w:r>
      <w:r w:rsidR="00A23583">
        <w:t>P</w:t>
      </w:r>
      <w:r>
        <w:t>lan</w:t>
      </w:r>
      <w:r w:rsidR="00A23583">
        <w:t xml:space="preserve"> (AWP)</w:t>
      </w:r>
      <w:r>
        <w:t xml:space="preserve">, including the </w:t>
      </w:r>
      <w:r w:rsidR="00A23583">
        <w:t>S</w:t>
      </w:r>
      <w:r>
        <w:t xml:space="preserve">upplementary </w:t>
      </w:r>
      <w:r w:rsidR="00A23583">
        <w:t>T</w:t>
      </w:r>
      <w:r>
        <w:t xml:space="preserve">erms and </w:t>
      </w:r>
      <w:r w:rsidR="00A23583">
        <w:t>G</w:t>
      </w:r>
      <w:r>
        <w:t xml:space="preserve">eneral </w:t>
      </w:r>
      <w:r w:rsidR="00A23583">
        <w:t>C</w:t>
      </w:r>
      <w:r>
        <w:t>onditions of the grant of financial assistance – documents available at</w:t>
      </w:r>
      <w:r>
        <w:rPr>
          <w:color w:val="0000FF"/>
        </w:rPr>
        <w:t xml:space="preserve"> </w:t>
      </w:r>
      <w:hyperlink r:id="rId10">
        <w:r w:rsidR="00695233">
          <w:rPr>
            <w:color w:val="0000FF"/>
            <w:u w:val="single" w:color="0000FF"/>
          </w:rPr>
          <w:t>https://www.dss.gov.au/</w:t>
        </w:r>
      </w:hyperlink>
      <w:r w:rsidR="00695233" w:rsidRPr="00D974EB">
        <w:rPr>
          <w:u w:color="0000FF"/>
        </w:rPr>
        <w:t>.</w:t>
      </w:r>
    </w:p>
    <w:p w14:paraId="053A63BD" w14:textId="5D00A752" w:rsidR="00F743B7" w:rsidRDefault="008949D6" w:rsidP="003B0099">
      <w:pPr>
        <w:pStyle w:val="ListParagraph"/>
        <w:numPr>
          <w:ilvl w:val="0"/>
          <w:numId w:val="10"/>
        </w:numPr>
        <w:rPr>
          <w:rFonts w:ascii="Symbol" w:hAnsi="Symbol"/>
        </w:rPr>
      </w:pPr>
      <w:r>
        <w:t xml:space="preserve">complying with the </w:t>
      </w:r>
      <w:r w:rsidR="00E274AD">
        <w:t>DSA</w:t>
      </w:r>
      <w:r>
        <w:t>, including undertaking all necessary work to meet and maintain certification against the legislated</w:t>
      </w:r>
      <w:r>
        <w:rPr>
          <w:spacing w:val="-6"/>
        </w:rPr>
        <w:t xml:space="preserve"> </w:t>
      </w:r>
      <w:r>
        <w:t>standards</w:t>
      </w:r>
    </w:p>
    <w:p w14:paraId="2C110441" w14:textId="77777777" w:rsidR="00F743B7" w:rsidRDefault="008949D6" w:rsidP="003B0099">
      <w:pPr>
        <w:pStyle w:val="ListParagraph"/>
        <w:numPr>
          <w:ilvl w:val="0"/>
          <w:numId w:val="10"/>
        </w:numPr>
        <w:rPr>
          <w:rFonts w:ascii="Symbol" w:hAnsi="Symbol"/>
        </w:rPr>
      </w:pPr>
      <w:r>
        <w:t>meeting all other relevant legislative</w:t>
      </w:r>
      <w:r>
        <w:rPr>
          <w:spacing w:val="1"/>
        </w:rPr>
        <w:t xml:space="preserve"> </w:t>
      </w:r>
      <w:r>
        <w:t>requirements</w:t>
      </w:r>
    </w:p>
    <w:p w14:paraId="23DD0D1A" w14:textId="77777777" w:rsidR="00F743B7" w:rsidRDefault="008949D6" w:rsidP="003B0099">
      <w:pPr>
        <w:pStyle w:val="ListParagraph"/>
        <w:numPr>
          <w:ilvl w:val="0"/>
          <w:numId w:val="10"/>
        </w:numPr>
        <w:rPr>
          <w:rFonts w:ascii="Symbol" w:hAnsi="Symbol"/>
        </w:rPr>
      </w:pPr>
      <w:r>
        <w:t>meeting all performance</w:t>
      </w:r>
      <w:r>
        <w:rPr>
          <w:spacing w:val="-1"/>
        </w:rPr>
        <w:t xml:space="preserve"> </w:t>
      </w:r>
      <w:r>
        <w:t>requirements</w:t>
      </w:r>
    </w:p>
    <w:p w14:paraId="724C6FF7" w14:textId="77777777" w:rsidR="00F743B7" w:rsidRDefault="008949D6" w:rsidP="003B0099">
      <w:pPr>
        <w:pStyle w:val="ListParagraph"/>
        <w:numPr>
          <w:ilvl w:val="0"/>
          <w:numId w:val="10"/>
        </w:numPr>
        <w:rPr>
          <w:rFonts w:ascii="Symbol" w:hAnsi="Symbol"/>
        </w:rPr>
      </w:pPr>
      <w:r>
        <w:t>providing advocacy support under the grant agreement free of</w:t>
      </w:r>
      <w:r>
        <w:rPr>
          <w:spacing w:val="-11"/>
        </w:rPr>
        <w:t xml:space="preserve"> </w:t>
      </w:r>
      <w:r>
        <w:t>charge</w:t>
      </w:r>
    </w:p>
    <w:p w14:paraId="7970488B" w14:textId="77777777" w:rsidR="00F743B7" w:rsidRDefault="008949D6" w:rsidP="003B0099">
      <w:pPr>
        <w:pStyle w:val="ListParagraph"/>
        <w:numPr>
          <w:ilvl w:val="0"/>
          <w:numId w:val="10"/>
        </w:numPr>
        <w:rPr>
          <w:rFonts w:ascii="Symbol" w:hAnsi="Symbol"/>
        </w:rPr>
      </w:pPr>
      <w:r>
        <w:t>complying with these Operational</w:t>
      </w:r>
      <w:r>
        <w:rPr>
          <w:spacing w:val="-4"/>
        </w:rPr>
        <w:t xml:space="preserve"> </w:t>
      </w:r>
      <w:r>
        <w:t>Guidelines.</w:t>
      </w:r>
    </w:p>
    <w:p w14:paraId="71BBB676" w14:textId="7D1FED7F" w:rsidR="00F743B7" w:rsidRPr="00002939" w:rsidRDefault="008949D6" w:rsidP="003B0099">
      <w:pPr>
        <w:pStyle w:val="BodyText"/>
      </w:pPr>
      <w:r>
        <w:t>NDAP funding is conditional upon advocacy providers achieving and maintaining certification against the applicable standards, currently</w:t>
      </w:r>
      <w:r w:rsidR="00A23583">
        <w:t xml:space="preserve"> the National Standards for Disability Services</w:t>
      </w:r>
      <w:r>
        <w:t xml:space="preserve"> (</w:t>
      </w:r>
      <w:r w:rsidR="00A23583">
        <w:t>NSDS</w:t>
      </w:r>
      <w:r>
        <w:t xml:space="preserve">) - </w:t>
      </w:r>
      <w:hyperlink r:id="rId11">
        <w:r>
          <w:rPr>
            <w:color w:val="0066FF"/>
            <w:u w:val="single" w:color="0066FF"/>
          </w:rPr>
          <w:t>https://www.dss.gov.au/our-responsibilities/disability-and-carers/standards-and-quality-</w:t>
        </w:r>
      </w:hyperlink>
      <w:r>
        <w:rPr>
          <w:color w:val="0066FF"/>
        </w:rPr>
        <w:t xml:space="preserve"> </w:t>
      </w:r>
      <w:hyperlink r:id="rId12">
        <w:r>
          <w:rPr>
            <w:color w:val="0066FF"/>
            <w:u w:val="single" w:color="0066FF"/>
          </w:rPr>
          <w:t>assurance/national-standards-for-disability-services</w:t>
        </w:r>
      </w:hyperlink>
      <w:r w:rsidR="00002939" w:rsidRPr="003B0099">
        <w:t>.</w:t>
      </w:r>
      <w:r w:rsidR="00A50ED3">
        <w:t xml:space="preserve"> Please refer to</w:t>
      </w:r>
      <w:r w:rsidR="00F631FD">
        <w:t xml:space="preserve"> </w:t>
      </w:r>
      <w:hyperlink w:anchor="_NDAP_Quality_Assurance" w:history="1">
        <w:r w:rsidR="00F631FD" w:rsidRPr="00D974EB">
          <w:rPr>
            <w:rStyle w:val="Hyperlink"/>
            <w:b/>
            <w:u w:val="none"/>
          </w:rPr>
          <w:t>Section 5.1</w:t>
        </w:r>
      </w:hyperlink>
      <w:r w:rsidR="002A3A80">
        <w:t xml:space="preserve"> </w:t>
      </w:r>
      <w:r w:rsidR="00A50ED3">
        <w:t>of these guidelines for</w:t>
      </w:r>
      <w:r w:rsidR="00002939" w:rsidRPr="003B0099">
        <w:t xml:space="preserve"> </w:t>
      </w:r>
      <w:r w:rsidR="00A50ED3">
        <w:t xml:space="preserve">further </w:t>
      </w:r>
      <w:r w:rsidR="00002939" w:rsidRPr="003B0099">
        <w:t xml:space="preserve">information on NSDS requirements. </w:t>
      </w:r>
    </w:p>
    <w:p w14:paraId="2E56A437" w14:textId="77777777" w:rsidR="00F743B7" w:rsidRDefault="008949D6" w:rsidP="009D39BA">
      <w:pPr>
        <w:pStyle w:val="Heading1"/>
        <w:numPr>
          <w:ilvl w:val="0"/>
          <w:numId w:val="11"/>
        </w:numPr>
        <w:spacing w:before="240"/>
      </w:pPr>
      <w:bookmarkStart w:id="6" w:name="_Toc144895237"/>
      <w:r>
        <w:t>Eligible organisations and</w:t>
      </w:r>
      <w:r>
        <w:rPr>
          <w:spacing w:val="-2"/>
        </w:rPr>
        <w:t xml:space="preserve"> </w:t>
      </w:r>
      <w:r>
        <w:t>activities</w:t>
      </w:r>
      <w:bookmarkEnd w:id="6"/>
    </w:p>
    <w:p w14:paraId="4CE6AD8B" w14:textId="77777777" w:rsidR="00F743B7" w:rsidRDefault="008949D6" w:rsidP="003B0099">
      <w:pPr>
        <w:pStyle w:val="Heading2"/>
        <w:numPr>
          <w:ilvl w:val="1"/>
          <w:numId w:val="11"/>
        </w:numPr>
      </w:pPr>
      <w:bookmarkStart w:id="7" w:name="_Toc144895238"/>
      <w:r>
        <w:t>Eligible</w:t>
      </w:r>
      <w:r>
        <w:rPr>
          <w:spacing w:val="1"/>
        </w:rPr>
        <w:t xml:space="preserve"> </w:t>
      </w:r>
      <w:r>
        <w:t>organisations</w:t>
      </w:r>
      <w:bookmarkEnd w:id="7"/>
    </w:p>
    <w:p w14:paraId="489C85FC" w14:textId="6A3DC2FF" w:rsidR="00F743B7" w:rsidRDefault="008949D6" w:rsidP="003B0099">
      <w:pPr>
        <w:pStyle w:val="BodyText"/>
      </w:pPr>
      <w:r>
        <w:t xml:space="preserve">An advocacy service, as defined in section 7 of the </w:t>
      </w:r>
      <w:r w:rsidR="0085737B">
        <w:t>DSA</w:t>
      </w:r>
      <w:r>
        <w:t>, means:</w:t>
      </w:r>
    </w:p>
    <w:p w14:paraId="4EDBDB5D" w14:textId="4CD889ED" w:rsidR="00F743B7" w:rsidRDefault="00C07578" w:rsidP="003B0099">
      <w:pPr>
        <w:pStyle w:val="ListParagraph"/>
        <w:numPr>
          <w:ilvl w:val="2"/>
          <w:numId w:val="11"/>
        </w:numPr>
      </w:pPr>
      <w:r>
        <w:t xml:space="preserve"> </w:t>
      </w:r>
      <w:r w:rsidR="009E7827">
        <w:t xml:space="preserve"> </w:t>
      </w:r>
      <w:r w:rsidR="008949D6">
        <w:t xml:space="preserve">a service that seeks to support persons with disabilities to exercise their rights and freedoms, being rights and freedoms recognised or declared by the </w:t>
      </w:r>
      <w:r w:rsidR="008949D6">
        <w:rPr>
          <w:i/>
        </w:rPr>
        <w:t>Disabilities Convention</w:t>
      </w:r>
      <w:r w:rsidR="008949D6">
        <w:t xml:space="preserve">, </w:t>
      </w:r>
      <w:proofErr w:type="gramStart"/>
      <w:r w:rsidR="008949D6">
        <w:t>through:</w:t>
      </w:r>
      <w:proofErr w:type="gramEnd"/>
      <w:r w:rsidR="008949D6">
        <w:t xml:space="preserve"> one-to-one support; or supporting them to advocate for themselves, whether individually, through a third party or on a group basis;</w:t>
      </w:r>
      <w:r w:rsidR="008949D6">
        <w:rPr>
          <w:spacing w:val="-16"/>
        </w:rPr>
        <w:t xml:space="preserve"> </w:t>
      </w:r>
      <w:r w:rsidR="008949D6">
        <w:rPr>
          <w:spacing w:val="-3"/>
        </w:rPr>
        <w:t>or</w:t>
      </w:r>
    </w:p>
    <w:p w14:paraId="11034145" w14:textId="2D51FDD1" w:rsidR="00F743B7" w:rsidRDefault="00C07578" w:rsidP="009D39BA">
      <w:pPr>
        <w:pStyle w:val="ListParagraph"/>
        <w:numPr>
          <w:ilvl w:val="2"/>
          <w:numId w:val="11"/>
        </w:numPr>
      </w:pPr>
      <w:r>
        <w:t xml:space="preserve"> </w:t>
      </w:r>
      <w:r w:rsidR="009E7827">
        <w:t xml:space="preserve"> </w:t>
      </w:r>
      <w:r w:rsidR="008949D6">
        <w:t xml:space="preserve">a service that seeks to introduce and influence long-term changes to ensure that the rights and freedoms of persons with disabilities, being rights and freedoms recognised or declared by the </w:t>
      </w:r>
      <w:r w:rsidR="008949D6">
        <w:rPr>
          <w:i/>
        </w:rPr>
        <w:t>Disabilities Convention</w:t>
      </w:r>
      <w:r w:rsidR="008949D6">
        <w:t>, are attained and upheld so as to positively affect the quality of their lives;</w:t>
      </w:r>
      <w:r w:rsidR="009D39BA">
        <w:rPr>
          <w:spacing w:val="-11"/>
        </w:rPr>
        <w:t> </w:t>
      </w:r>
      <w:r w:rsidR="008949D6">
        <w:t>or</w:t>
      </w:r>
    </w:p>
    <w:p w14:paraId="13550BDB" w14:textId="77777777" w:rsidR="00C07578" w:rsidRDefault="00C07578" w:rsidP="009D39BA">
      <w:pPr>
        <w:pStyle w:val="ListParagraph"/>
        <w:numPr>
          <w:ilvl w:val="2"/>
          <w:numId w:val="11"/>
        </w:numPr>
      </w:pPr>
      <w:r>
        <w:t xml:space="preserve"> </w:t>
      </w:r>
      <w:r w:rsidR="008949D6">
        <w:t xml:space="preserve">a service included in a class of services approved by the Minister under section 9B. </w:t>
      </w:r>
    </w:p>
    <w:p w14:paraId="214A9CDE" w14:textId="4C1E7685" w:rsidR="002D4503" w:rsidRDefault="008949D6" w:rsidP="009D39BA">
      <w:pPr>
        <w:pStyle w:val="BodyText"/>
        <w:rPr>
          <w:i/>
        </w:rPr>
      </w:pPr>
      <w:r w:rsidRPr="009D39BA">
        <w:rPr>
          <w:i/>
        </w:rPr>
        <w:t>Note: The Disabilities Convention is defined in the DSA as the</w:t>
      </w:r>
      <w:r w:rsidR="009D39BA">
        <w:rPr>
          <w:i/>
        </w:rPr>
        <w:t xml:space="preserve"> </w:t>
      </w:r>
      <w:r w:rsidRPr="009D39BA">
        <w:rPr>
          <w:i/>
        </w:rPr>
        <w:t>United Nations Convention on the Rights of Persons with Disabilities.</w:t>
      </w:r>
      <w:r w:rsidR="002D4503">
        <w:rPr>
          <w:i/>
        </w:rPr>
        <w:br w:type="page"/>
      </w:r>
    </w:p>
    <w:p w14:paraId="6B0A4926" w14:textId="77777777" w:rsidR="00F743B7" w:rsidRDefault="008949D6" w:rsidP="009D39BA">
      <w:pPr>
        <w:pStyle w:val="Heading2"/>
        <w:numPr>
          <w:ilvl w:val="1"/>
          <w:numId w:val="11"/>
        </w:numPr>
      </w:pPr>
      <w:bookmarkStart w:id="8" w:name="_Toc144895239"/>
      <w:r>
        <w:lastRenderedPageBreak/>
        <w:t>Target</w:t>
      </w:r>
      <w:r w:rsidRPr="009D39BA">
        <w:t xml:space="preserve"> </w:t>
      </w:r>
      <w:r>
        <w:t>groups</w:t>
      </w:r>
      <w:bookmarkEnd w:id="8"/>
    </w:p>
    <w:p w14:paraId="04A5191D" w14:textId="77777777" w:rsidR="00F743B7" w:rsidRDefault="008949D6" w:rsidP="009D39BA">
      <w:pPr>
        <w:pStyle w:val="BodyText"/>
      </w:pPr>
      <w:r>
        <w:t>It is a requirement under section 8 of the DSA that the target group for advocacy support provided by NDAP providers consists of people with disability that:</w:t>
      </w:r>
    </w:p>
    <w:p w14:paraId="29E82D12" w14:textId="77777777" w:rsidR="00F743B7" w:rsidRDefault="008949D6" w:rsidP="009D39BA">
      <w:pPr>
        <w:pStyle w:val="ListParagraph"/>
        <w:numPr>
          <w:ilvl w:val="0"/>
          <w:numId w:val="10"/>
        </w:numPr>
        <w:rPr>
          <w:rFonts w:ascii="Symbol" w:hAnsi="Symbol"/>
        </w:rPr>
      </w:pPr>
      <w:r>
        <w:t>is attributable to an intellectual, psychiatric, sensory or physical impairment, or a combination of such</w:t>
      </w:r>
      <w:r>
        <w:rPr>
          <w:spacing w:val="1"/>
        </w:rPr>
        <w:t xml:space="preserve"> </w:t>
      </w:r>
      <w:r>
        <w:t>impairments</w:t>
      </w:r>
    </w:p>
    <w:p w14:paraId="4B15DDBC" w14:textId="77777777" w:rsidR="00F743B7" w:rsidRDefault="008949D6" w:rsidP="009D39BA">
      <w:pPr>
        <w:pStyle w:val="ListParagraph"/>
        <w:numPr>
          <w:ilvl w:val="0"/>
          <w:numId w:val="10"/>
        </w:numPr>
        <w:rPr>
          <w:rFonts w:ascii="Symbol" w:hAnsi="Symbol"/>
        </w:rPr>
      </w:pPr>
      <w:r>
        <w:t>is permanent or likely to be</w:t>
      </w:r>
      <w:r>
        <w:rPr>
          <w:spacing w:val="-6"/>
        </w:rPr>
        <w:t xml:space="preserve"> </w:t>
      </w:r>
      <w:r>
        <w:t>permanent</w:t>
      </w:r>
    </w:p>
    <w:p w14:paraId="20E8591B" w14:textId="77777777" w:rsidR="00F743B7" w:rsidRDefault="008949D6" w:rsidP="009D39BA">
      <w:pPr>
        <w:pStyle w:val="ListParagraph"/>
        <w:numPr>
          <w:ilvl w:val="0"/>
          <w:numId w:val="10"/>
        </w:numPr>
        <w:rPr>
          <w:rFonts w:ascii="Symbol" w:hAnsi="Symbol"/>
        </w:rPr>
      </w:pPr>
      <w:r>
        <w:t>results</w:t>
      </w:r>
      <w:r>
        <w:rPr>
          <w:spacing w:val="-3"/>
        </w:rPr>
        <w:t xml:space="preserve"> </w:t>
      </w:r>
      <w:r>
        <w:t>in:</w:t>
      </w:r>
    </w:p>
    <w:p w14:paraId="0CAF1231" w14:textId="77777777" w:rsidR="00F743B7" w:rsidRDefault="008949D6" w:rsidP="009D39BA">
      <w:pPr>
        <w:pStyle w:val="ListParagraph"/>
        <w:numPr>
          <w:ilvl w:val="1"/>
          <w:numId w:val="10"/>
        </w:numPr>
      </w:pPr>
      <w:r>
        <w:t>a substantially reduced capacity of the person for communication, learning or mobility</w:t>
      </w:r>
    </w:p>
    <w:p w14:paraId="335989D0" w14:textId="79C9B35A" w:rsidR="00A81A03" w:rsidRDefault="008949D6" w:rsidP="009D39BA">
      <w:pPr>
        <w:pStyle w:val="ListParagraph"/>
        <w:numPr>
          <w:ilvl w:val="1"/>
          <w:numId w:val="10"/>
        </w:numPr>
      </w:pPr>
      <w:r>
        <w:t>the need for support</w:t>
      </w:r>
      <w:r>
        <w:rPr>
          <w:spacing w:val="-6"/>
        </w:rPr>
        <w:t xml:space="preserve"> </w:t>
      </w:r>
      <w:r>
        <w:t>services.</w:t>
      </w:r>
    </w:p>
    <w:p w14:paraId="0D08CA41" w14:textId="77777777" w:rsidR="00F743B7" w:rsidRDefault="008949D6" w:rsidP="009D39BA">
      <w:pPr>
        <w:pStyle w:val="Heading2"/>
        <w:numPr>
          <w:ilvl w:val="1"/>
          <w:numId w:val="11"/>
        </w:numPr>
      </w:pPr>
      <w:bookmarkStart w:id="9" w:name="_Toc144895240"/>
      <w:r>
        <w:t>Eligible</w:t>
      </w:r>
      <w:r>
        <w:rPr>
          <w:spacing w:val="1"/>
        </w:rPr>
        <w:t xml:space="preserve"> </w:t>
      </w:r>
      <w:r>
        <w:t>activities</w:t>
      </w:r>
      <w:bookmarkEnd w:id="9"/>
    </w:p>
    <w:p w14:paraId="2543E35A" w14:textId="4022DC15" w:rsidR="00F743B7" w:rsidRDefault="008949D6" w:rsidP="009D39BA">
      <w:pPr>
        <w:pStyle w:val="BodyText"/>
      </w:pPr>
      <w:r>
        <w:t xml:space="preserve">Program funding is to be used in accordance with the DSA and the </w:t>
      </w:r>
      <w:r w:rsidR="00865C12">
        <w:t>G</w:t>
      </w:r>
      <w:r>
        <w:t xml:space="preserve">rant </w:t>
      </w:r>
      <w:r w:rsidR="00865C12">
        <w:t>A</w:t>
      </w:r>
      <w:r>
        <w:t>greement. The funding may be used for:</w:t>
      </w:r>
    </w:p>
    <w:p w14:paraId="3875AEF7" w14:textId="77777777" w:rsidR="00F743B7" w:rsidRDefault="008949D6" w:rsidP="009D39BA">
      <w:pPr>
        <w:pStyle w:val="ListParagraph"/>
        <w:numPr>
          <w:ilvl w:val="0"/>
          <w:numId w:val="10"/>
        </w:numPr>
        <w:rPr>
          <w:rFonts w:ascii="Symbol" w:hAnsi="Symbol"/>
        </w:rPr>
      </w:pPr>
      <w:r>
        <w:t>staff salaries and on-costs which can be directly attributed to the provision of NDAP services in the identified coverage area or areas as per the Grant</w:t>
      </w:r>
      <w:r>
        <w:rPr>
          <w:spacing w:val="-14"/>
        </w:rPr>
        <w:t xml:space="preserve"> </w:t>
      </w:r>
      <w:r>
        <w:t>Agreement</w:t>
      </w:r>
    </w:p>
    <w:p w14:paraId="15C60736" w14:textId="77777777" w:rsidR="00F743B7" w:rsidRDefault="008949D6" w:rsidP="009D39BA">
      <w:pPr>
        <w:pStyle w:val="ListParagraph"/>
        <w:numPr>
          <w:ilvl w:val="0"/>
          <w:numId w:val="10"/>
        </w:numPr>
        <w:rPr>
          <w:rFonts w:ascii="Symbol" w:hAnsi="Symbol"/>
        </w:rPr>
      </w:pPr>
      <w:r>
        <w:t>employee training for paid and unpaid staff including Committee and Board members, that is relevant, appropriate and in line with the</w:t>
      </w:r>
      <w:r>
        <w:rPr>
          <w:spacing w:val="-3"/>
        </w:rPr>
        <w:t xml:space="preserve"> </w:t>
      </w:r>
      <w:r>
        <w:t>NDAP</w:t>
      </w:r>
    </w:p>
    <w:p w14:paraId="690F4F0C" w14:textId="77777777" w:rsidR="00F743B7" w:rsidRDefault="008949D6" w:rsidP="009D39BA">
      <w:pPr>
        <w:pStyle w:val="ListParagraph"/>
        <w:numPr>
          <w:ilvl w:val="0"/>
          <w:numId w:val="10"/>
        </w:numPr>
        <w:rPr>
          <w:rFonts w:ascii="Symbol" w:hAnsi="Symbol"/>
        </w:rPr>
      </w:pPr>
      <w:r>
        <w:t>operating and administration expenses directly related to delivery of advocacy services, such as:</w:t>
      </w:r>
    </w:p>
    <w:p w14:paraId="0B58748D" w14:textId="77777777" w:rsidR="00F743B7" w:rsidRDefault="008949D6" w:rsidP="009D39BA">
      <w:pPr>
        <w:pStyle w:val="ListParagraph"/>
        <w:numPr>
          <w:ilvl w:val="1"/>
          <w:numId w:val="10"/>
        </w:numPr>
      </w:pPr>
      <w:r>
        <w:t>telephones</w:t>
      </w:r>
    </w:p>
    <w:p w14:paraId="5B7BFBFE" w14:textId="77777777" w:rsidR="00F743B7" w:rsidRDefault="008949D6" w:rsidP="009D39BA">
      <w:pPr>
        <w:pStyle w:val="ListParagraph"/>
        <w:numPr>
          <w:ilvl w:val="1"/>
          <w:numId w:val="10"/>
        </w:numPr>
      </w:pPr>
      <w:r>
        <w:t>rent and</w:t>
      </w:r>
      <w:r>
        <w:rPr>
          <w:spacing w:val="-2"/>
        </w:rPr>
        <w:t xml:space="preserve"> </w:t>
      </w:r>
      <w:r>
        <w:t>outgoings</w:t>
      </w:r>
    </w:p>
    <w:p w14:paraId="3E7F3702" w14:textId="77777777" w:rsidR="00F743B7" w:rsidRDefault="008949D6" w:rsidP="009D39BA">
      <w:pPr>
        <w:pStyle w:val="ListParagraph"/>
        <w:numPr>
          <w:ilvl w:val="1"/>
          <w:numId w:val="10"/>
        </w:numPr>
      </w:pPr>
      <w:r>
        <w:t>computer / IT / website /</w:t>
      </w:r>
      <w:r>
        <w:rPr>
          <w:spacing w:val="-3"/>
        </w:rPr>
        <w:t xml:space="preserve"> </w:t>
      </w:r>
      <w:r>
        <w:t>software</w:t>
      </w:r>
    </w:p>
    <w:p w14:paraId="316E2B9B" w14:textId="77777777" w:rsidR="00F743B7" w:rsidRDefault="008949D6" w:rsidP="009D39BA">
      <w:pPr>
        <w:pStyle w:val="ListParagraph"/>
        <w:numPr>
          <w:ilvl w:val="1"/>
          <w:numId w:val="10"/>
        </w:numPr>
      </w:pPr>
      <w:r>
        <w:t>insurance</w:t>
      </w:r>
    </w:p>
    <w:p w14:paraId="6A8BB804" w14:textId="77777777" w:rsidR="00F743B7" w:rsidRDefault="008949D6" w:rsidP="009D39BA">
      <w:pPr>
        <w:pStyle w:val="ListParagraph"/>
        <w:numPr>
          <w:ilvl w:val="1"/>
          <w:numId w:val="10"/>
        </w:numPr>
      </w:pPr>
      <w:r>
        <w:t>utilities</w:t>
      </w:r>
    </w:p>
    <w:p w14:paraId="0D1F6213" w14:textId="77777777" w:rsidR="00F743B7" w:rsidRDefault="008949D6" w:rsidP="009D39BA">
      <w:pPr>
        <w:pStyle w:val="ListParagraph"/>
        <w:numPr>
          <w:ilvl w:val="1"/>
          <w:numId w:val="10"/>
        </w:numPr>
      </w:pPr>
      <w:r>
        <w:t>postage</w:t>
      </w:r>
    </w:p>
    <w:p w14:paraId="0802269B" w14:textId="77777777" w:rsidR="00F743B7" w:rsidRDefault="008949D6" w:rsidP="009D39BA">
      <w:pPr>
        <w:pStyle w:val="ListParagraph"/>
        <w:numPr>
          <w:ilvl w:val="1"/>
          <w:numId w:val="10"/>
        </w:numPr>
      </w:pPr>
      <w:r>
        <w:t>stationery and</w:t>
      </w:r>
      <w:r>
        <w:rPr>
          <w:spacing w:val="-5"/>
        </w:rPr>
        <w:t xml:space="preserve"> </w:t>
      </w:r>
      <w:r>
        <w:t>printing</w:t>
      </w:r>
    </w:p>
    <w:p w14:paraId="558FC885" w14:textId="77777777" w:rsidR="00F743B7" w:rsidRDefault="008949D6" w:rsidP="009D39BA">
      <w:pPr>
        <w:pStyle w:val="ListParagraph"/>
        <w:numPr>
          <w:ilvl w:val="1"/>
          <w:numId w:val="10"/>
        </w:numPr>
      </w:pPr>
      <w:r>
        <w:t>accounting and</w:t>
      </w:r>
      <w:r>
        <w:rPr>
          <w:spacing w:val="-1"/>
        </w:rPr>
        <w:t xml:space="preserve"> </w:t>
      </w:r>
      <w:r>
        <w:t>auditing</w:t>
      </w:r>
    </w:p>
    <w:p w14:paraId="080C89B6" w14:textId="6CA07DA7" w:rsidR="00F743B7" w:rsidRDefault="008949D6" w:rsidP="009D39BA">
      <w:pPr>
        <w:pStyle w:val="ListParagraph"/>
        <w:numPr>
          <w:ilvl w:val="1"/>
          <w:numId w:val="10"/>
        </w:numPr>
      </w:pPr>
      <w:r>
        <w:t>travel/accommodation</w:t>
      </w:r>
      <w:r>
        <w:rPr>
          <w:spacing w:val="-1"/>
        </w:rPr>
        <w:t xml:space="preserve"> </w:t>
      </w:r>
      <w:r>
        <w:t>costs</w:t>
      </w:r>
    </w:p>
    <w:p w14:paraId="640156FE" w14:textId="0E3EE620" w:rsidR="00850514" w:rsidRDefault="00850514" w:rsidP="009D39BA">
      <w:pPr>
        <w:pStyle w:val="ListParagraph"/>
        <w:numPr>
          <w:ilvl w:val="1"/>
          <w:numId w:val="10"/>
        </w:numPr>
      </w:pPr>
      <w:r>
        <w:t>motor vehicle purchase or lease</w:t>
      </w:r>
    </w:p>
    <w:p w14:paraId="640BB41A" w14:textId="57CC1163" w:rsidR="0048639C" w:rsidRDefault="0048639C" w:rsidP="009D39BA">
      <w:pPr>
        <w:pStyle w:val="ListParagraph"/>
        <w:numPr>
          <w:ilvl w:val="1"/>
          <w:numId w:val="10"/>
        </w:numPr>
      </w:pPr>
      <w:proofErr w:type="spellStart"/>
      <w:r>
        <w:t>Auslan</w:t>
      </w:r>
      <w:proofErr w:type="spellEnd"/>
      <w:r>
        <w:t xml:space="preserve"> interpreting services. For translating </w:t>
      </w:r>
      <w:r w:rsidR="00A1253B">
        <w:t xml:space="preserve">and </w:t>
      </w:r>
      <w:r>
        <w:t>interpreting services refer to</w:t>
      </w:r>
      <w:r w:rsidR="00B048E4">
        <w:t xml:space="preserve"> </w:t>
      </w:r>
      <w:hyperlink w:anchor="_Interpreting_services" w:history="1">
        <w:r w:rsidR="00A14E56">
          <w:rPr>
            <w:rStyle w:val="Hyperlink"/>
            <w:b/>
            <w:color w:val="auto"/>
            <w:u w:val="none"/>
          </w:rPr>
          <w:t>Section 4.11</w:t>
        </w:r>
      </w:hyperlink>
      <w:r w:rsidR="0085737B" w:rsidRPr="00F631FD">
        <w:t>.</w:t>
      </w:r>
    </w:p>
    <w:p w14:paraId="300930FF" w14:textId="0150F117" w:rsidR="007A4C81" w:rsidRDefault="008949D6" w:rsidP="009D39BA">
      <w:pPr>
        <w:pStyle w:val="BodyText"/>
      </w:pPr>
      <w:r>
        <w:t xml:space="preserve">There is provision under the DSA whereby funding for capital works or improvements to premises may be granted. NDAP providers must obtain approval from the Department of Social Services (the </w:t>
      </w:r>
      <w:r w:rsidR="0048639C">
        <w:t>D</w:t>
      </w:r>
      <w:r>
        <w:t>epartment) prior to spending NDAP funding on capital works or improvements.</w:t>
      </w:r>
    </w:p>
    <w:p w14:paraId="193D9F81" w14:textId="77777777" w:rsidR="007A4C81" w:rsidRDefault="007A4C81">
      <w:r>
        <w:br w:type="page"/>
      </w:r>
    </w:p>
    <w:p w14:paraId="60DAD82E" w14:textId="77777777" w:rsidR="00F743B7" w:rsidRDefault="008949D6" w:rsidP="009D39BA">
      <w:pPr>
        <w:pStyle w:val="Heading2"/>
        <w:numPr>
          <w:ilvl w:val="1"/>
          <w:numId w:val="11"/>
        </w:numPr>
      </w:pPr>
      <w:bookmarkStart w:id="10" w:name="_Toc144895241"/>
      <w:r>
        <w:lastRenderedPageBreak/>
        <w:t>Ineligible</w:t>
      </w:r>
      <w:r>
        <w:rPr>
          <w:spacing w:val="-2"/>
        </w:rPr>
        <w:t xml:space="preserve"> </w:t>
      </w:r>
      <w:r>
        <w:t>activities</w:t>
      </w:r>
      <w:bookmarkEnd w:id="10"/>
    </w:p>
    <w:p w14:paraId="46A44922" w14:textId="77777777" w:rsidR="00F743B7" w:rsidRDefault="008949D6" w:rsidP="009D39BA">
      <w:pPr>
        <w:pStyle w:val="BodyText"/>
      </w:pPr>
      <w:r>
        <w:t>Program funding may not be used for:</w:t>
      </w:r>
    </w:p>
    <w:p w14:paraId="51730F77" w14:textId="77777777" w:rsidR="00F743B7" w:rsidRDefault="008949D6" w:rsidP="009D39BA">
      <w:pPr>
        <w:pStyle w:val="ListParagraph"/>
        <w:numPr>
          <w:ilvl w:val="0"/>
          <w:numId w:val="10"/>
        </w:numPr>
        <w:rPr>
          <w:rFonts w:ascii="Symbol" w:hAnsi="Symbol"/>
        </w:rPr>
      </w:pPr>
      <w:r>
        <w:t>costs that are not directly related to the delivery of disability advocacy support in the identified service area or</w:t>
      </w:r>
      <w:r>
        <w:rPr>
          <w:spacing w:val="-5"/>
        </w:rPr>
        <w:t xml:space="preserve"> </w:t>
      </w:r>
      <w:r>
        <w:t>areas</w:t>
      </w:r>
    </w:p>
    <w:p w14:paraId="462526A4" w14:textId="77777777" w:rsidR="00F743B7" w:rsidRDefault="008949D6" w:rsidP="009D39BA">
      <w:pPr>
        <w:pStyle w:val="ListParagraph"/>
        <w:numPr>
          <w:ilvl w:val="0"/>
          <w:numId w:val="10"/>
        </w:numPr>
        <w:rPr>
          <w:rFonts w:ascii="Symbol" w:hAnsi="Symbol"/>
        </w:rPr>
      </w:pPr>
      <w:r>
        <w:t>advocacy support for people outside the target</w:t>
      </w:r>
      <w:r>
        <w:rPr>
          <w:spacing w:val="-10"/>
        </w:rPr>
        <w:t xml:space="preserve"> </w:t>
      </w:r>
      <w:r>
        <w:t>group</w:t>
      </w:r>
    </w:p>
    <w:p w14:paraId="1A483653" w14:textId="4AC3E007" w:rsidR="00F743B7" w:rsidRDefault="008949D6" w:rsidP="009D39BA">
      <w:pPr>
        <w:pStyle w:val="ListParagraph"/>
        <w:numPr>
          <w:ilvl w:val="0"/>
          <w:numId w:val="10"/>
        </w:numPr>
        <w:rPr>
          <w:rFonts w:ascii="Symbol" w:hAnsi="Symbol"/>
        </w:rPr>
      </w:pPr>
      <w:r>
        <w:t xml:space="preserve">disability advocacy support for people outside the service areas identified in the </w:t>
      </w:r>
      <w:r w:rsidR="00E274AD">
        <w:t>G</w:t>
      </w:r>
      <w:r>
        <w:t xml:space="preserve">rant </w:t>
      </w:r>
      <w:r w:rsidR="00E274AD">
        <w:t>A</w:t>
      </w:r>
      <w:r>
        <w:t xml:space="preserve">greement or </w:t>
      </w:r>
      <w:r w:rsidR="00E274AD">
        <w:t>A</w:t>
      </w:r>
      <w:r>
        <w:t xml:space="preserve">ctivity </w:t>
      </w:r>
      <w:r w:rsidR="00E274AD">
        <w:t>W</w:t>
      </w:r>
      <w:r>
        <w:t xml:space="preserve">ork </w:t>
      </w:r>
      <w:r w:rsidR="00E274AD">
        <w:t>P</w:t>
      </w:r>
      <w:r>
        <w:t>lan</w:t>
      </w:r>
      <w:r w:rsidR="00E274AD">
        <w:t xml:space="preserve"> (AWP),</w:t>
      </w:r>
      <w:r>
        <w:t xml:space="preserve"> unless in the circumstances outlined in </w:t>
      </w:r>
      <w:hyperlink w:anchor="_Access_to_disability" w:history="1">
        <w:r w:rsidR="002D4503">
          <w:rPr>
            <w:rStyle w:val="Hyperlink"/>
            <w:b/>
            <w:color w:val="auto"/>
            <w:u w:val="none"/>
          </w:rPr>
          <w:t>Section</w:t>
        </w:r>
      </w:hyperlink>
      <w:r w:rsidR="002D4503">
        <w:rPr>
          <w:b/>
        </w:rPr>
        <w:t xml:space="preserve"> 4</w:t>
      </w:r>
    </w:p>
    <w:p w14:paraId="5F58D256" w14:textId="77777777" w:rsidR="00F743B7" w:rsidRDefault="008949D6" w:rsidP="009D39BA">
      <w:pPr>
        <w:pStyle w:val="ListParagraph"/>
        <w:numPr>
          <w:ilvl w:val="0"/>
          <w:numId w:val="10"/>
        </w:numPr>
        <w:rPr>
          <w:rFonts w:ascii="Symbol" w:hAnsi="Symbol"/>
        </w:rPr>
      </w:pPr>
      <w:r>
        <w:t>overseas</w:t>
      </w:r>
      <w:r>
        <w:rPr>
          <w:spacing w:val="-1"/>
        </w:rPr>
        <w:t xml:space="preserve"> </w:t>
      </w:r>
      <w:r>
        <w:t>travel.</w:t>
      </w:r>
    </w:p>
    <w:p w14:paraId="64EDAEE6" w14:textId="77777777" w:rsidR="00F743B7" w:rsidRDefault="008949D6" w:rsidP="00F631FD">
      <w:pPr>
        <w:pStyle w:val="Heading1"/>
        <w:numPr>
          <w:ilvl w:val="0"/>
          <w:numId w:val="11"/>
        </w:numPr>
        <w:spacing w:before="240"/>
      </w:pPr>
      <w:bookmarkStart w:id="11" w:name="_Access_to_disability"/>
      <w:bookmarkStart w:id="12" w:name="_Toc144895242"/>
      <w:bookmarkEnd w:id="11"/>
      <w:r>
        <w:t>Access to disability advocacy</w:t>
      </w:r>
      <w:r>
        <w:rPr>
          <w:spacing w:val="-9"/>
        </w:rPr>
        <w:t xml:space="preserve"> </w:t>
      </w:r>
      <w:r>
        <w:t>support</w:t>
      </w:r>
      <w:bookmarkEnd w:id="12"/>
    </w:p>
    <w:p w14:paraId="0D5BA8F7" w14:textId="0962C287" w:rsidR="00F743B7" w:rsidRDefault="008949D6" w:rsidP="009D39BA">
      <w:pPr>
        <w:pStyle w:val="BodyText"/>
      </w:pPr>
      <w:r>
        <w:t xml:space="preserve">All people with disability residing in the service area defined in the </w:t>
      </w:r>
      <w:r w:rsidR="0048639C">
        <w:t>G</w:t>
      </w:r>
      <w:r>
        <w:t xml:space="preserve">rant </w:t>
      </w:r>
      <w:r w:rsidR="0048639C">
        <w:t>A</w:t>
      </w:r>
      <w:r>
        <w:t xml:space="preserve">greement or </w:t>
      </w:r>
      <w:r w:rsidR="0048639C">
        <w:t>AWP</w:t>
      </w:r>
      <w:r>
        <w:t xml:space="preserve"> should have equal access to disability advocacy support. In providing disability advocacy, </w:t>
      </w:r>
      <w:r w:rsidR="0048639C">
        <w:t xml:space="preserve">NDAP </w:t>
      </w:r>
      <w:r>
        <w:t>providers are expected to meet the diverse needs of their community and ensure all groups can access culturally appropriate support.</w:t>
      </w:r>
    </w:p>
    <w:p w14:paraId="5E3BBB31" w14:textId="77777777" w:rsidR="00F743B7" w:rsidRDefault="008949D6" w:rsidP="009D39BA">
      <w:pPr>
        <w:pStyle w:val="BodyText"/>
      </w:pPr>
      <w:r>
        <w:t>Access to disability advocacy support under the NDAP should be based on vulnerability and fundamental need and cannot:</w:t>
      </w:r>
    </w:p>
    <w:p w14:paraId="0C206078" w14:textId="2CCD7A81" w:rsidR="00F743B7" w:rsidRDefault="00A14E56" w:rsidP="009D39BA">
      <w:pPr>
        <w:pStyle w:val="ListParagraph"/>
        <w:numPr>
          <w:ilvl w:val="0"/>
          <w:numId w:val="10"/>
        </w:numPr>
        <w:rPr>
          <w:rFonts w:ascii="Symbol" w:hAnsi="Symbol"/>
        </w:rPr>
      </w:pPr>
      <w:r>
        <w:t>B</w:t>
      </w:r>
      <w:r w:rsidR="008949D6">
        <w:t>e based on religious or spiritual considerations. Further, people accessing disability advocacy support cannot be required to undertake religious or spiritual education to access support under the</w:t>
      </w:r>
      <w:r w:rsidR="008949D6">
        <w:rPr>
          <w:spacing w:val="-2"/>
        </w:rPr>
        <w:t xml:space="preserve"> </w:t>
      </w:r>
      <w:r w:rsidR="008949D6">
        <w:t>NDAP</w:t>
      </w:r>
      <w:r>
        <w:t>.</w:t>
      </w:r>
    </w:p>
    <w:p w14:paraId="51218F98" w14:textId="61E168F3" w:rsidR="00F743B7" w:rsidRDefault="00A14E56" w:rsidP="009D39BA">
      <w:pPr>
        <w:pStyle w:val="ListParagraph"/>
        <w:numPr>
          <w:ilvl w:val="0"/>
          <w:numId w:val="10"/>
        </w:numPr>
        <w:rPr>
          <w:rFonts w:ascii="Symbol" w:hAnsi="Symbol"/>
        </w:rPr>
      </w:pPr>
      <w:r>
        <w:t>R</w:t>
      </w:r>
      <w:r w:rsidR="008949D6">
        <w:t>equire people to become members of any</w:t>
      </w:r>
      <w:r w:rsidR="008949D6">
        <w:rPr>
          <w:spacing w:val="-5"/>
        </w:rPr>
        <w:t xml:space="preserve"> </w:t>
      </w:r>
      <w:r w:rsidR="008949D6">
        <w:t>organisation.</w:t>
      </w:r>
    </w:p>
    <w:p w14:paraId="6C29113D" w14:textId="34C7F679" w:rsidR="00F743B7" w:rsidRDefault="0048639C" w:rsidP="009D39BA">
      <w:pPr>
        <w:pStyle w:val="BodyText"/>
      </w:pPr>
      <w:r>
        <w:t>NDAP p</w:t>
      </w:r>
      <w:r w:rsidR="008949D6">
        <w:t>roviders are required to ensure they are accessible during advertised operating hours. Strategies must be in place, within existing resources, to ensure continuity of service provision during times when staff are absent or on leave.</w:t>
      </w:r>
    </w:p>
    <w:p w14:paraId="26F03E0E" w14:textId="241ED729" w:rsidR="00F743B7" w:rsidRDefault="008949D6" w:rsidP="009D39BA">
      <w:pPr>
        <w:pStyle w:val="BodyText"/>
      </w:pPr>
      <w:r>
        <w:t>If operational circumstances require a</w:t>
      </w:r>
      <w:r w:rsidR="0048639C">
        <w:t xml:space="preserve"> </w:t>
      </w:r>
      <w:r w:rsidR="00F63437">
        <w:t xml:space="preserve">NDAP </w:t>
      </w:r>
      <w:r w:rsidR="0048639C">
        <w:t>provider</w:t>
      </w:r>
      <w:r>
        <w:t xml:space="preserve"> to close for short periods of time (less than </w:t>
      </w:r>
      <w:r w:rsidR="009D39BA">
        <w:t xml:space="preserve">5 </w:t>
      </w:r>
      <w:r>
        <w:t xml:space="preserve">business days), providers must </w:t>
      </w:r>
      <w:r w:rsidR="00F63437">
        <w:t xml:space="preserve">give </w:t>
      </w:r>
      <w:r>
        <w:t>advice, for example, by updating their telephone answering message and a notice on the door which provides alternative contact details.</w:t>
      </w:r>
    </w:p>
    <w:p w14:paraId="548D2BD8" w14:textId="2D791DAB" w:rsidR="00F743B7" w:rsidRDefault="0048639C" w:rsidP="009D39BA">
      <w:pPr>
        <w:pStyle w:val="BodyText"/>
      </w:pPr>
      <w:r>
        <w:t>NDAP p</w:t>
      </w:r>
      <w:r w:rsidR="008949D6">
        <w:t>roviders should not be closed for extended periods of time (more than five business days), except during Christmas and New Year. If a</w:t>
      </w:r>
      <w:r>
        <w:t xml:space="preserve"> provider</w:t>
      </w:r>
      <w:r w:rsidR="008949D6">
        <w:t xml:space="preserve"> anticipates it will need to close for more than five business days outside this period, it must notify </w:t>
      </w:r>
      <w:r>
        <w:t>the Department</w:t>
      </w:r>
      <w:r w:rsidR="008949D6">
        <w:t xml:space="preserve"> immediately.</w:t>
      </w:r>
    </w:p>
    <w:p w14:paraId="64965EE6" w14:textId="521CC533" w:rsidR="00F743B7" w:rsidRDefault="008949D6" w:rsidP="009D39BA">
      <w:pPr>
        <w:pStyle w:val="BodyText"/>
      </w:pPr>
      <w:r>
        <w:t xml:space="preserve">The above arrangements also apply where </w:t>
      </w:r>
      <w:r w:rsidR="0048639C">
        <w:t xml:space="preserve">a </w:t>
      </w:r>
      <w:r w:rsidR="00F63437">
        <w:t xml:space="preserve">NDAP </w:t>
      </w:r>
      <w:r w:rsidR="0048639C">
        <w:t>provider</w:t>
      </w:r>
      <w:r>
        <w:t xml:space="preserve"> is required to close for short periods of time or extended periods (as described above) due to a state/national emergency being declared e</w:t>
      </w:r>
      <w:r w:rsidR="0048639C">
        <w:t>.</w:t>
      </w:r>
      <w:r>
        <w:t>g</w:t>
      </w:r>
      <w:r w:rsidR="0048639C">
        <w:t>.</w:t>
      </w:r>
      <w:r>
        <w:t xml:space="preserve"> pandemic, bushfires or floods.</w:t>
      </w:r>
    </w:p>
    <w:p w14:paraId="46340C07" w14:textId="77777777" w:rsidR="00BB19DB" w:rsidRDefault="00BB19DB" w:rsidP="009D39BA">
      <w:pPr>
        <w:pStyle w:val="Heading2"/>
        <w:numPr>
          <w:ilvl w:val="1"/>
          <w:numId w:val="11"/>
        </w:numPr>
      </w:pPr>
      <w:bookmarkStart w:id="13" w:name="_Toc144895243"/>
      <w:r>
        <w:t>Service capacity and waitlisting</w:t>
      </w:r>
      <w:bookmarkEnd w:id="13"/>
    </w:p>
    <w:p w14:paraId="55BE430E" w14:textId="0B37D9BD" w:rsidR="00BB19DB" w:rsidRDefault="00BB19DB" w:rsidP="009D39BA">
      <w:pPr>
        <w:pStyle w:val="BodyText"/>
      </w:pPr>
      <w:r>
        <w:t>NDAP providers are required to plan for</w:t>
      </w:r>
      <w:r w:rsidR="00902293">
        <w:t xml:space="preserve"> and manage</w:t>
      </w:r>
      <w:r>
        <w:t xml:space="preserve"> </w:t>
      </w:r>
      <w:r w:rsidR="00902293">
        <w:t>service demand increases</w:t>
      </w:r>
      <w:r>
        <w:t>,</w:t>
      </w:r>
      <w:r w:rsidR="00902293">
        <w:t xml:space="preserve"> including by</w:t>
      </w:r>
      <w:r>
        <w:t xml:space="preserve"> implement</w:t>
      </w:r>
      <w:r w:rsidR="00902293">
        <w:t>ing</w:t>
      </w:r>
      <w:r>
        <w:t xml:space="preserve"> waitlist and triaging processes, where appropriate.   </w:t>
      </w:r>
    </w:p>
    <w:p w14:paraId="7F1F5A1B" w14:textId="5274D490" w:rsidR="00BB19DB" w:rsidRDefault="00BB19DB" w:rsidP="009D39BA">
      <w:pPr>
        <w:pStyle w:val="BodyText"/>
      </w:pPr>
      <w:r>
        <w:t xml:space="preserve">NDAP providers are required to notify the Department in writing/email via their </w:t>
      </w:r>
      <w:r w:rsidR="009D39BA">
        <w:t>Funding Arrangement Manager (</w:t>
      </w:r>
      <w:r>
        <w:t>FAM</w:t>
      </w:r>
      <w:r w:rsidR="009D39BA">
        <w:t>)</w:t>
      </w:r>
      <w:r>
        <w:t xml:space="preserve"> if the provider forecasts it will be at service capacity. The notification should include how the provider proposes to manage clients that contact them during this period. This could include collaborating with other NDAP providers for assistance. </w:t>
      </w:r>
    </w:p>
    <w:p w14:paraId="70D0BED5" w14:textId="65CD6064" w:rsidR="00BB19DB" w:rsidRDefault="00BB19DB" w:rsidP="009D39BA">
      <w:pPr>
        <w:pStyle w:val="BodyText"/>
      </w:pPr>
      <w:r>
        <w:t xml:space="preserve">The collection of waitlist and capacity data from NDAP providers will facilitate referrals through the Disability Advocacy Support </w:t>
      </w:r>
      <w:proofErr w:type="gramStart"/>
      <w:r>
        <w:t>H</w:t>
      </w:r>
      <w:r w:rsidR="00F63437">
        <w:t>elp</w:t>
      </w:r>
      <w:r>
        <w:t>line, and</w:t>
      </w:r>
      <w:proofErr w:type="gramEnd"/>
      <w:r>
        <w:t xml:space="preserve"> inform the Department’s understanding of unmet demand and capacity constraints on providers. </w:t>
      </w:r>
    </w:p>
    <w:p w14:paraId="4D305692" w14:textId="77777777" w:rsidR="007A4C81" w:rsidRDefault="007A4C81">
      <w:r>
        <w:br w:type="page"/>
      </w:r>
    </w:p>
    <w:p w14:paraId="1335E97E" w14:textId="5BD67416" w:rsidR="00BB19DB" w:rsidRDefault="00BB19DB" w:rsidP="009D39BA">
      <w:pPr>
        <w:pStyle w:val="BodyText"/>
      </w:pPr>
      <w:r>
        <w:lastRenderedPageBreak/>
        <w:t xml:space="preserve">NDAP providers are required to engage with the National Centre for Disability Advocacy (NCDA) to develop, establish and maintain intake, triaging and waitlist protocol for NDAP. More information on the NCDA is contained in </w:t>
      </w:r>
      <w:hyperlink w:anchor="_Attachment_B_–_1" w:history="1">
        <w:r w:rsidRPr="00F631FD">
          <w:rPr>
            <w:rStyle w:val="Hyperlink"/>
            <w:b/>
            <w:color w:val="auto"/>
            <w:u w:val="none"/>
          </w:rPr>
          <w:t>Attachment B</w:t>
        </w:r>
      </w:hyperlink>
      <w:r w:rsidRPr="00F631FD">
        <w:t>.</w:t>
      </w:r>
      <w:r w:rsidRPr="009D39BA">
        <w:t xml:space="preserve">  </w:t>
      </w:r>
    </w:p>
    <w:p w14:paraId="24C78153" w14:textId="2126F595" w:rsidR="00F743B7" w:rsidRDefault="008949D6" w:rsidP="00217935">
      <w:pPr>
        <w:pStyle w:val="Heading2"/>
        <w:numPr>
          <w:ilvl w:val="1"/>
          <w:numId w:val="11"/>
        </w:numPr>
      </w:pPr>
      <w:bookmarkStart w:id="14" w:name="_Toc134713550"/>
      <w:bookmarkStart w:id="15" w:name="_Toc134713551"/>
      <w:bookmarkStart w:id="16" w:name="_Toc134713552"/>
      <w:bookmarkStart w:id="17" w:name="_Toc144895244"/>
      <w:bookmarkEnd w:id="14"/>
      <w:bookmarkEnd w:id="15"/>
      <w:bookmarkEnd w:id="16"/>
      <w:r>
        <w:t>Promotion of</w:t>
      </w:r>
      <w:r>
        <w:rPr>
          <w:spacing w:val="-3"/>
        </w:rPr>
        <w:t xml:space="preserve"> </w:t>
      </w:r>
      <w:r>
        <w:t>services</w:t>
      </w:r>
      <w:bookmarkEnd w:id="17"/>
    </w:p>
    <w:p w14:paraId="14B91D67" w14:textId="0E5655C2" w:rsidR="00F743B7" w:rsidRDefault="0048639C" w:rsidP="00217935">
      <w:pPr>
        <w:pStyle w:val="BodyText"/>
      </w:pPr>
      <w:r>
        <w:t>NDAP p</w:t>
      </w:r>
      <w:r w:rsidR="008949D6">
        <w:t xml:space="preserve">roviders must make the details of their service </w:t>
      </w:r>
      <w:r w:rsidR="003D7635">
        <w:t>publicly</w:t>
      </w:r>
      <w:r w:rsidR="008949D6">
        <w:t xml:space="preserve"> available on their websites and in their offices, and should raise awareness of their service availability, for example, through networking, social media, and promotional materials.</w:t>
      </w:r>
    </w:p>
    <w:p w14:paraId="374ABE4D" w14:textId="77777777" w:rsidR="00F743B7" w:rsidRDefault="008949D6" w:rsidP="00217935">
      <w:pPr>
        <w:pStyle w:val="BodyText"/>
      </w:pPr>
      <w:r>
        <w:t>When promoting services, consider:</w:t>
      </w:r>
    </w:p>
    <w:p w14:paraId="6881A6D5" w14:textId="4DFA45A5" w:rsidR="00F743B7" w:rsidRDefault="008949D6" w:rsidP="00217935">
      <w:pPr>
        <w:pStyle w:val="ListParagraph"/>
        <w:numPr>
          <w:ilvl w:val="0"/>
          <w:numId w:val="10"/>
        </w:numPr>
        <w:rPr>
          <w:rFonts w:ascii="Symbol" w:hAnsi="Symbol"/>
        </w:rPr>
      </w:pPr>
      <w:r>
        <w:t xml:space="preserve">awareness: </w:t>
      </w:r>
      <w:r w:rsidR="00F63437">
        <w:t>p</w:t>
      </w:r>
      <w:r>
        <w:t>eople need to be aware that the service</w:t>
      </w:r>
      <w:r>
        <w:rPr>
          <w:spacing w:val="-10"/>
        </w:rPr>
        <w:t xml:space="preserve"> </w:t>
      </w:r>
      <w:r>
        <w:t>exists</w:t>
      </w:r>
    </w:p>
    <w:p w14:paraId="50EA2221" w14:textId="154E9E57" w:rsidR="00F743B7" w:rsidRDefault="008949D6" w:rsidP="00217935">
      <w:pPr>
        <w:pStyle w:val="ListParagraph"/>
        <w:numPr>
          <w:ilvl w:val="0"/>
          <w:numId w:val="10"/>
        </w:numPr>
        <w:rPr>
          <w:rFonts w:ascii="Symbol" w:hAnsi="Symbol"/>
        </w:rPr>
      </w:pPr>
      <w:r>
        <w:t xml:space="preserve">education: </w:t>
      </w:r>
      <w:r w:rsidR="00F63437">
        <w:t>p</w:t>
      </w:r>
      <w:r>
        <w:t>eople need to understand the service provided and see the value in accessing the</w:t>
      </w:r>
      <w:r>
        <w:rPr>
          <w:spacing w:val="-3"/>
        </w:rPr>
        <w:t xml:space="preserve"> </w:t>
      </w:r>
      <w:r>
        <w:t>service</w:t>
      </w:r>
    </w:p>
    <w:p w14:paraId="412C2348" w14:textId="041D2974" w:rsidR="00F743B7" w:rsidRDefault="008949D6" w:rsidP="00217935">
      <w:pPr>
        <w:pStyle w:val="ListParagraph"/>
        <w:numPr>
          <w:ilvl w:val="0"/>
          <w:numId w:val="10"/>
        </w:numPr>
        <w:rPr>
          <w:rFonts w:ascii="Symbol" w:hAnsi="Symbol"/>
        </w:rPr>
      </w:pPr>
      <w:r>
        <w:t xml:space="preserve">accessibility: </w:t>
      </w:r>
      <w:r w:rsidR="00F63437">
        <w:t>s</w:t>
      </w:r>
      <w:r>
        <w:t>ervices should be accessible and welcoming for people with</w:t>
      </w:r>
      <w:r>
        <w:rPr>
          <w:spacing w:val="-9"/>
        </w:rPr>
        <w:t xml:space="preserve"> </w:t>
      </w:r>
      <w:r>
        <w:t>disability</w:t>
      </w:r>
    </w:p>
    <w:p w14:paraId="55524C15" w14:textId="6DCC034E" w:rsidR="00F743B7" w:rsidRDefault="008949D6" w:rsidP="00217935">
      <w:pPr>
        <w:pStyle w:val="ListParagraph"/>
        <w:numPr>
          <w:ilvl w:val="0"/>
          <w:numId w:val="10"/>
        </w:numPr>
        <w:rPr>
          <w:rFonts w:ascii="Symbol" w:hAnsi="Symbol"/>
        </w:rPr>
      </w:pPr>
      <w:r>
        <w:t xml:space="preserve">diversity and </w:t>
      </w:r>
      <w:proofErr w:type="gramStart"/>
      <w:r>
        <w:t>inclusivity:</w:t>
      </w:r>
      <w:proofErr w:type="gramEnd"/>
      <w:r>
        <w:t xml:space="preserve"> </w:t>
      </w:r>
      <w:r w:rsidR="00F63437">
        <w:t>b</w:t>
      </w:r>
      <w:r>
        <w:t>e non-discriminatory, be relevant to the local community and reflect its ethnic and cultural values; ensure promotional materials are available in commonly spoken languages in your local</w:t>
      </w:r>
      <w:r>
        <w:rPr>
          <w:spacing w:val="-6"/>
        </w:rPr>
        <w:t xml:space="preserve"> </w:t>
      </w:r>
      <w:r>
        <w:t>community</w:t>
      </w:r>
    </w:p>
    <w:p w14:paraId="513DB40B" w14:textId="46A7C212" w:rsidR="00F743B7" w:rsidRDefault="008949D6" w:rsidP="00217935">
      <w:pPr>
        <w:pStyle w:val="ListParagraph"/>
        <w:numPr>
          <w:ilvl w:val="0"/>
          <w:numId w:val="10"/>
        </w:numPr>
        <w:rPr>
          <w:rFonts w:ascii="Symbol" w:hAnsi="Symbol"/>
        </w:rPr>
      </w:pPr>
      <w:r>
        <w:t xml:space="preserve">individuality: </w:t>
      </w:r>
      <w:r w:rsidR="001151B0">
        <w:t>t</w:t>
      </w:r>
      <w:r>
        <w:t>ailor services based on the needs of individual</w:t>
      </w:r>
      <w:r>
        <w:rPr>
          <w:spacing w:val="-9"/>
        </w:rPr>
        <w:t xml:space="preserve"> </w:t>
      </w:r>
      <w:r>
        <w:t>participants</w:t>
      </w:r>
    </w:p>
    <w:p w14:paraId="4730F1D9" w14:textId="2CCCF466" w:rsidR="00F743B7" w:rsidRDefault="008949D6" w:rsidP="00217935">
      <w:pPr>
        <w:pStyle w:val="ListParagraph"/>
        <w:numPr>
          <w:ilvl w:val="0"/>
          <w:numId w:val="10"/>
        </w:numPr>
        <w:rPr>
          <w:rFonts w:ascii="Symbol" w:hAnsi="Symbol"/>
        </w:rPr>
      </w:pPr>
      <w:r>
        <w:t xml:space="preserve">continuity: </w:t>
      </w:r>
      <w:r w:rsidR="001151B0">
        <w:t>p</w:t>
      </w:r>
      <w:r>
        <w:t>rovide support and enable a relationship to</w:t>
      </w:r>
      <w:r>
        <w:rPr>
          <w:spacing w:val="-3"/>
        </w:rPr>
        <w:t xml:space="preserve"> </w:t>
      </w:r>
      <w:r>
        <w:t>develop.</w:t>
      </w:r>
    </w:p>
    <w:p w14:paraId="0B85C774" w14:textId="01F19636" w:rsidR="00F743B7" w:rsidRDefault="008949D6" w:rsidP="00217935">
      <w:pPr>
        <w:pStyle w:val="BodyText"/>
      </w:pPr>
      <w:r>
        <w:t xml:space="preserve">It is best practice to consult with the </w:t>
      </w:r>
      <w:r w:rsidR="009A73C7">
        <w:t>D</w:t>
      </w:r>
      <w:r>
        <w:t>epartment on developing any communication materials.</w:t>
      </w:r>
    </w:p>
    <w:p w14:paraId="0A8AD726" w14:textId="30CFDD3B" w:rsidR="002D4503" w:rsidRPr="0087280C" w:rsidRDefault="0048639C" w:rsidP="0087280C">
      <w:pPr>
        <w:pStyle w:val="BodyText"/>
      </w:pPr>
      <w:r w:rsidRPr="002D4503">
        <w:t>NDAP providers are encouraged to periodically review their service details on the Ask</w:t>
      </w:r>
      <w:r w:rsidR="00A14E56">
        <w:t xml:space="preserve"> </w:t>
      </w:r>
      <w:r w:rsidRPr="002D4503">
        <w:t xml:space="preserve">Izzy Disability Advocacy </w:t>
      </w:r>
      <w:r w:rsidRPr="0087280C">
        <w:t xml:space="preserve">Finder </w:t>
      </w:r>
      <w:hyperlink r:id="rId13" w:history="1">
        <w:r w:rsidRPr="0087280C">
          <w:rPr>
            <w:rStyle w:val="Hyperlink"/>
          </w:rPr>
          <w:t>www.askizzy.org.au/disability-advocacy-finder</w:t>
        </w:r>
      </w:hyperlink>
      <w:r w:rsidRPr="0087280C">
        <w:t xml:space="preserve"> and follow the prompts on the website to update their contact details as required.</w:t>
      </w:r>
    </w:p>
    <w:p w14:paraId="270D8508" w14:textId="39F1C121" w:rsidR="00F743B7" w:rsidRDefault="008949D6" w:rsidP="00156D99">
      <w:pPr>
        <w:pStyle w:val="Heading2"/>
        <w:numPr>
          <w:ilvl w:val="1"/>
          <w:numId w:val="11"/>
        </w:numPr>
      </w:pPr>
      <w:bookmarkStart w:id="18" w:name="_Toc144895245"/>
      <w:r>
        <w:t>Specialised disability advocacy</w:t>
      </w:r>
      <w:r w:rsidRPr="00217935">
        <w:t xml:space="preserve"> </w:t>
      </w:r>
      <w:r>
        <w:t>providers</w:t>
      </w:r>
      <w:bookmarkEnd w:id="18"/>
    </w:p>
    <w:p w14:paraId="4CB53895" w14:textId="13132DA2" w:rsidR="00F743B7" w:rsidRDefault="008949D6" w:rsidP="00217935">
      <w:pPr>
        <w:pStyle w:val="BodyText"/>
        <w:rPr>
          <w:b/>
        </w:rPr>
      </w:pPr>
      <w:r>
        <w:t xml:space="preserve">Some </w:t>
      </w:r>
      <w:r w:rsidR="0048639C">
        <w:t xml:space="preserve">NDAP </w:t>
      </w:r>
      <w:r>
        <w:t xml:space="preserve">providers specialise in providing advocacy support to certain cohorts, such as people from an Aboriginal or Torres Strait Islander background, from a </w:t>
      </w:r>
      <w:r w:rsidR="00217935">
        <w:t>Culturally and Linguistically Diverse (CALD)</w:t>
      </w:r>
      <w:r>
        <w:t xml:space="preserve"> background, or with a specific type of disability</w:t>
      </w:r>
      <w:r>
        <w:rPr>
          <w:b/>
        </w:rPr>
        <w:t>.</w:t>
      </w:r>
    </w:p>
    <w:p w14:paraId="7A850111" w14:textId="41FCB827" w:rsidR="00F743B7" w:rsidRDefault="008949D6" w:rsidP="00217935">
      <w:pPr>
        <w:pStyle w:val="BodyText"/>
      </w:pPr>
      <w:r>
        <w:t xml:space="preserve">This is intended to ensure priority of access to specified populations. </w:t>
      </w:r>
      <w:r w:rsidR="0048639C">
        <w:t>NDAP p</w:t>
      </w:r>
      <w:r>
        <w:t>roviders providing specialist support should provide advocacy support to people who are outside of their specialisation as resources allow.</w:t>
      </w:r>
    </w:p>
    <w:p w14:paraId="60DC699C" w14:textId="17317CAC" w:rsidR="00F743B7" w:rsidRDefault="0048639C" w:rsidP="00217935">
      <w:pPr>
        <w:pStyle w:val="BodyText"/>
      </w:pPr>
      <w:r>
        <w:t>NDAP p</w:t>
      </w:r>
      <w:r w:rsidR="008949D6">
        <w:t>roviders that offer specialist disability advocacy can act in an advisory capacity to assist the generalist providers to provide culturally or disability appropriate advocacy support.</w:t>
      </w:r>
    </w:p>
    <w:p w14:paraId="75BB1349" w14:textId="77777777" w:rsidR="00F743B7" w:rsidRDefault="008949D6" w:rsidP="00217935">
      <w:pPr>
        <w:pStyle w:val="Heading2"/>
        <w:numPr>
          <w:ilvl w:val="1"/>
          <w:numId w:val="11"/>
        </w:numPr>
      </w:pPr>
      <w:bookmarkStart w:id="19" w:name="_Toc144895246"/>
      <w:r>
        <w:t>Aboriginal and Torres Strait Islander</w:t>
      </w:r>
      <w:r>
        <w:rPr>
          <w:spacing w:val="-4"/>
        </w:rPr>
        <w:t xml:space="preserve"> </w:t>
      </w:r>
      <w:r>
        <w:t>access</w:t>
      </w:r>
      <w:bookmarkEnd w:id="19"/>
    </w:p>
    <w:p w14:paraId="24DFC538" w14:textId="5AFE0ED6" w:rsidR="00F743B7" w:rsidRDefault="008949D6" w:rsidP="00217935">
      <w:pPr>
        <w:pStyle w:val="BodyText"/>
      </w:pPr>
      <w:r>
        <w:t>All NDAP providers have a responsibility to provide disability advocacy support to Aboriginal and Torres Strait Islander people</w:t>
      </w:r>
      <w:r w:rsidR="00B33DFC">
        <w:t>s</w:t>
      </w:r>
      <w:r>
        <w:t xml:space="preserve"> with disability in their service area.</w:t>
      </w:r>
    </w:p>
    <w:p w14:paraId="379DBCE7" w14:textId="77777777" w:rsidR="00F743B7" w:rsidRDefault="008949D6" w:rsidP="00217935">
      <w:pPr>
        <w:pStyle w:val="Heading2"/>
        <w:numPr>
          <w:ilvl w:val="1"/>
          <w:numId w:val="11"/>
        </w:numPr>
      </w:pPr>
      <w:bookmarkStart w:id="20" w:name="_Toc144895247"/>
      <w:r>
        <w:t>Culturally and Linguistically Diverse background</w:t>
      </w:r>
      <w:r>
        <w:rPr>
          <w:spacing w:val="-4"/>
        </w:rPr>
        <w:t xml:space="preserve"> </w:t>
      </w:r>
      <w:r>
        <w:t>access</w:t>
      </w:r>
      <w:bookmarkEnd w:id="20"/>
    </w:p>
    <w:p w14:paraId="3964AF4D" w14:textId="15118F2D" w:rsidR="00F743B7" w:rsidRDefault="008949D6" w:rsidP="00217935">
      <w:pPr>
        <w:pStyle w:val="BodyText"/>
      </w:pPr>
      <w:r>
        <w:t xml:space="preserve">All </w:t>
      </w:r>
      <w:r w:rsidR="0048639C">
        <w:t>NDAP</w:t>
      </w:r>
      <w:r w:rsidR="00827141">
        <w:t xml:space="preserve"> </w:t>
      </w:r>
      <w:r>
        <w:t>providers have a responsibility to provide disability advocacy support to people from CALD backgrounds</w:t>
      </w:r>
      <w:r w:rsidR="0048639C">
        <w:t xml:space="preserve"> in their service area</w:t>
      </w:r>
      <w:r>
        <w:t xml:space="preserve">. The </w:t>
      </w:r>
      <w:r w:rsidR="0048639C">
        <w:t>D</w:t>
      </w:r>
      <w:r>
        <w:t>epartment’s funding for interpreting services through the Translation and Interpreter Service (TIS</w:t>
      </w:r>
      <w:r w:rsidR="00217935">
        <w:t xml:space="preserve"> National</w:t>
      </w:r>
      <w:r>
        <w:t>) supports this.</w:t>
      </w:r>
    </w:p>
    <w:p w14:paraId="091F8E0C" w14:textId="77777777" w:rsidR="0048639C" w:rsidRDefault="0048639C" w:rsidP="00217935">
      <w:pPr>
        <w:pStyle w:val="Heading2"/>
        <w:numPr>
          <w:ilvl w:val="1"/>
          <w:numId w:val="11"/>
        </w:numPr>
      </w:pPr>
      <w:bookmarkStart w:id="21" w:name="_Toc144895248"/>
      <w:r>
        <w:t>LGBTQIA+ access</w:t>
      </w:r>
      <w:bookmarkEnd w:id="21"/>
    </w:p>
    <w:p w14:paraId="1A991709" w14:textId="77777777" w:rsidR="0048639C" w:rsidRPr="00217935" w:rsidRDefault="0048639C" w:rsidP="00217935">
      <w:pPr>
        <w:pStyle w:val="BodyText"/>
      </w:pPr>
      <w:r>
        <w:t>All NDAP providers have a responsibility to provide disability advocacy support to people with a disability in their service area who identify as LGBTQIA+.</w:t>
      </w:r>
    </w:p>
    <w:p w14:paraId="1A364E27" w14:textId="77777777" w:rsidR="00F743B7" w:rsidRDefault="008949D6" w:rsidP="00217935">
      <w:pPr>
        <w:pStyle w:val="Heading2"/>
        <w:numPr>
          <w:ilvl w:val="1"/>
          <w:numId w:val="11"/>
        </w:numPr>
      </w:pPr>
      <w:bookmarkStart w:id="22" w:name="_Toc144895249"/>
      <w:r>
        <w:lastRenderedPageBreak/>
        <w:t>Providing advocacy support outside the service</w:t>
      </w:r>
      <w:r>
        <w:rPr>
          <w:spacing w:val="-10"/>
        </w:rPr>
        <w:t xml:space="preserve"> </w:t>
      </w:r>
      <w:r>
        <w:t>area</w:t>
      </w:r>
      <w:bookmarkEnd w:id="22"/>
    </w:p>
    <w:p w14:paraId="3060DC1A" w14:textId="7BF83B31" w:rsidR="00F743B7" w:rsidRDefault="0048639C" w:rsidP="00217935">
      <w:pPr>
        <w:pStyle w:val="BodyText"/>
      </w:pPr>
      <w:r>
        <w:t xml:space="preserve">NDAP </w:t>
      </w:r>
      <w:r w:rsidR="008949D6">
        <w:t>providers are funded to provide disability advocacy support within a specified service area. Where a person moves outside an advocacy agency’s service area, a referral to an</w:t>
      </w:r>
      <w:r>
        <w:t>other advocacy provider or</w:t>
      </w:r>
      <w:r w:rsidR="008949D6">
        <w:t xml:space="preserve"> appropriate </w:t>
      </w:r>
      <w:r>
        <w:t>service</w:t>
      </w:r>
      <w:r w:rsidR="008949D6">
        <w:t xml:space="preserve"> should be arranged, where possible.</w:t>
      </w:r>
    </w:p>
    <w:p w14:paraId="0B3CEC85" w14:textId="55C4152B" w:rsidR="002D4503" w:rsidRDefault="008949D6" w:rsidP="00217935">
      <w:pPr>
        <w:pStyle w:val="BodyText"/>
      </w:pPr>
      <w:r>
        <w:t xml:space="preserve">NDAP providers must not provide advocacy support to people with disability outside their service area, as defined in their </w:t>
      </w:r>
      <w:r w:rsidR="0048639C">
        <w:t>G</w:t>
      </w:r>
      <w:r>
        <w:t xml:space="preserve">rant </w:t>
      </w:r>
      <w:r w:rsidR="0048639C">
        <w:t>A</w:t>
      </w:r>
      <w:r>
        <w:t xml:space="preserve">greement, without gaining prior approval from the </w:t>
      </w:r>
      <w:r w:rsidR="0048639C">
        <w:t>D</w:t>
      </w:r>
      <w:r>
        <w:t>epartment.</w:t>
      </w:r>
    </w:p>
    <w:p w14:paraId="2ED7A81A" w14:textId="77777777" w:rsidR="00F743B7" w:rsidRDefault="008949D6" w:rsidP="00217935">
      <w:pPr>
        <w:pStyle w:val="Heading2"/>
        <w:numPr>
          <w:ilvl w:val="1"/>
          <w:numId w:val="11"/>
        </w:numPr>
      </w:pPr>
      <w:bookmarkStart w:id="23" w:name="_Toc144895250"/>
      <w:r>
        <w:t>Rural and remote</w:t>
      </w:r>
      <w:r>
        <w:rPr>
          <w:spacing w:val="-4"/>
        </w:rPr>
        <w:t xml:space="preserve"> </w:t>
      </w:r>
      <w:r>
        <w:t>access</w:t>
      </w:r>
      <w:bookmarkEnd w:id="23"/>
    </w:p>
    <w:p w14:paraId="2258AFAF" w14:textId="77777777" w:rsidR="00F743B7" w:rsidRDefault="008949D6" w:rsidP="00217935">
      <w:pPr>
        <w:pStyle w:val="BodyText"/>
      </w:pPr>
      <w:r>
        <w:t>It is expected that most NDAP providers funded to provide advocacy support in rural and remote areas will have an outlet in the region where advocacy support is provided.</w:t>
      </w:r>
    </w:p>
    <w:p w14:paraId="3F5895EE" w14:textId="77777777" w:rsidR="00F743B7" w:rsidRDefault="008949D6" w:rsidP="00217935">
      <w:pPr>
        <w:pStyle w:val="BodyText"/>
      </w:pPr>
      <w:r>
        <w:t>However, if it is not feasible to have an outlet, the following alternatives can be considered:</w:t>
      </w:r>
    </w:p>
    <w:p w14:paraId="659F2076" w14:textId="1D5B724E" w:rsidR="0035572E" w:rsidRPr="00FC3F88" w:rsidRDefault="0035572E" w:rsidP="0035572E">
      <w:pPr>
        <w:pStyle w:val="ListParagraph"/>
        <w:numPr>
          <w:ilvl w:val="0"/>
          <w:numId w:val="10"/>
        </w:numPr>
        <w:tabs>
          <w:tab w:val="clear" w:pos="837"/>
          <w:tab w:val="clear" w:pos="838"/>
          <w:tab w:val="left" w:pos="829"/>
          <w:tab w:val="left" w:pos="831"/>
        </w:tabs>
        <w:spacing w:before="120"/>
      </w:pPr>
      <w:r w:rsidRPr="00FC3F88">
        <w:t xml:space="preserve">Mobile service – </w:t>
      </w:r>
      <w:r w:rsidR="00B33DFC">
        <w:t>NDAP</w:t>
      </w:r>
      <w:r>
        <w:t xml:space="preserve"> </w:t>
      </w:r>
      <w:r w:rsidRPr="00FC3F88">
        <w:t>providers may travel to deliver services</w:t>
      </w:r>
      <w:r w:rsidR="00B33DFC">
        <w:t>.</w:t>
      </w:r>
    </w:p>
    <w:p w14:paraId="24AD2D81" w14:textId="583CE8DC" w:rsidR="0035572E" w:rsidRPr="00FC3F88" w:rsidRDefault="0035572E" w:rsidP="0035572E">
      <w:pPr>
        <w:pStyle w:val="ListParagraph"/>
        <w:numPr>
          <w:ilvl w:val="0"/>
          <w:numId w:val="10"/>
        </w:numPr>
        <w:tabs>
          <w:tab w:val="clear" w:pos="837"/>
          <w:tab w:val="clear" w:pos="838"/>
          <w:tab w:val="left" w:pos="829"/>
          <w:tab w:val="left" w:pos="831"/>
        </w:tabs>
        <w:spacing w:before="120"/>
      </w:pPr>
      <w:r w:rsidRPr="00FC3F88">
        <w:t xml:space="preserve">Virtual service delivery – provided it is appropriate and preferred by the participant, </w:t>
      </w:r>
      <w:r w:rsidR="00B33DFC">
        <w:t>NDAP</w:t>
      </w:r>
      <w:r w:rsidR="00B33DFC" w:rsidRPr="00FC3F88">
        <w:t xml:space="preserve"> </w:t>
      </w:r>
      <w:r w:rsidRPr="00FC3F88">
        <w:t xml:space="preserve">providers may deliver services virtually e.g. by video link or telephone. </w:t>
      </w:r>
    </w:p>
    <w:p w14:paraId="22B77127" w14:textId="210007B8" w:rsidR="0035572E" w:rsidRPr="00FC3F88" w:rsidRDefault="0035572E" w:rsidP="0035572E">
      <w:pPr>
        <w:pStyle w:val="ListParagraph"/>
        <w:numPr>
          <w:ilvl w:val="0"/>
          <w:numId w:val="10"/>
        </w:numPr>
        <w:tabs>
          <w:tab w:val="clear" w:pos="837"/>
          <w:tab w:val="clear" w:pos="838"/>
          <w:tab w:val="left" w:pos="829"/>
          <w:tab w:val="left" w:pos="831"/>
        </w:tabs>
        <w:spacing w:before="120"/>
      </w:pPr>
      <w:r w:rsidRPr="00FC3F88">
        <w:t xml:space="preserve">Co-location – </w:t>
      </w:r>
      <w:r w:rsidR="00B33DFC">
        <w:t>NDAP</w:t>
      </w:r>
      <w:r w:rsidRPr="00FC3F88">
        <w:t xml:space="preserve"> providers may co-locate or share outlet facilities with other community organisations. </w:t>
      </w:r>
    </w:p>
    <w:p w14:paraId="09EE469F" w14:textId="44184D48" w:rsidR="00A81A03" w:rsidRDefault="008949D6" w:rsidP="00217935">
      <w:pPr>
        <w:pStyle w:val="BodyText"/>
      </w:pPr>
      <w:r>
        <w:t xml:space="preserve">The </w:t>
      </w:r>
      <w:r w:rsidR="0048639C">
        <w:t>D</w:t>
      </w:r>
      <w:r>
        <w:t>epartment must be informed of operational arrangements, including the locations of outlets, outreach, and the home base of the mobile services.</w:t>
      </w:r>
    </w:p>
    <w:p w14:paraId="523C4170" w14:textId="77777777" w:rsidR="00F743B7" w:rsidRDefault="008949D6" w:rsidP="00217935">
      <w:pPr>
        <w:pStyle w:val="Heading2"/>
        <w:numPr>
          <w:ilvl w:val="1"/>
          <w:numId w:val="11"/>
        </w:numPr>
      </w:pPr>
      <w:bookmarkStart w:id="24" w:name="_Toc144895251"/>
      <w:r>
        <w:t>Subcontracting</w:t>
      </w:r>
      <w:bookmarkEnd w:id="24"/>
    </w:p>
    <w:p w14:paraId="6611FD2A" w14:textId="68C82A25" w:rsidR="00F743B7" w:rsidRDefault="008949D6" w:rsidP="00217935">
      <w:pPr>
        <w:pStyle w:val="BodyText"/>
      </w:pPr>
      <w:r>
        <w:t xml:space="preserve">The </w:t>
      </w:r>
      <w:r w:rsidR="00F42F3D">
        <w:t>D</w:t>
      </w:r>
      <w:r>
        <w:t xml:space="preserve">epartment considers any parts of the activity which are not directly delivered by the grant </w:t>
      </w:r>
      <w:proofErr w:type="gramStart"/>
      <w:r>
        <w:t>recipient, and</w:t>
      </w:r>
      <w:proofErr w:type="gramEnd"/>
      <w:r>
        <w:t xml:space="preserve"> are instead delivered by a third</w:t>
      </w:r>
      <w:r w:rsidR="00217935">
        <w:t>-</w:t>
      </w:r>
      <w:r>
        <w:t>party pursuant to an agreement between the grant recipient and the third party, to be subcontracting.</w:t>
      </w:r>
    </w:p>
    <w:p w14:paraId="2703D252" w14:textId="62D469AA" w:rsidR="00F743B7" w:rsidRDefault="008949D6" w:rsidP="00217935">
      <w:pPr>
        <w:pStyle w:val="BodyText"/>
      </w:pPr>
      <w:r>
        <w:t xml:space="preserve">In line with the Grant Agreement, the </w:t>
      </w:r>
      <w:r w:rsidR="00F42F3D">
        <w:t>D</w:t>
      </w:r>
      <w:r>
        <w:t xml:space="preserve">epartment must provide prior written consent before a provider enters into any subcontracting arrangement, and the </w:t>
      </w:r>
      <w:r w:rsidR="001151B0">
        <w:t>D</w:t>
      </w:r>
      <w:r>
        <w:t xml:space="preserve">epartment may impose any conditions it considers reasonable and appropriate when giving consent. The </w:t>
      </w:r>
      <w:r w:rsidR="001151B0">
        <w:t>D</w:t>
      </w:r>
      <w:r>
        <w:t>epartment may request a copy of the agreement between the provider and the subcontractor.</w:t>
      </w:r>
    </w:p>
    <w:p w14:paraId="4377BC2E" w14:textId="1EFB4ECB" w:rsidR="00F42F3D" w:rsidRDefault="00F42F3D" w:rsidP="00217935">
      <w:pPr>
        <w:pStyle w:val="BodyText"/>
      </w:pPr>
      <w:r>
        <w:t>The provider using the services of a subcontractor must ensure that all services delivered by the subcontractor are in line with the Grant Agreement, and these Guidelines.</w:t>
      </w:r>
    </w:p>
    <w:p w14:paraId="637B15DD" w14:textId="68DCA035" w:rsidR="00F743B7" w:rsidRDefault="008949D6" w:rsidP="00217935">
      <w:pPr>
        <w:pStyle w:val="BodyText"/>
      </w:pPr>
      <w:r>
        <w:t xml:space="preserve">Reporting requirements for subcontracted services is the responsibility of the provider that the </w:t>
      </w:r>
      <w:r w:rsidR="001151B0">
        <w:t>D</w:t>
      </w:r>
      <w:r>
        <w:t xml:space="preserve">epartment has the Grant Agreement with, unless otherwise agreed by the </w:t>
      </w:r>
      <w:r w:rsidR="00F42F3D">
        <w:t>D</w:t>
      </w:r>
      <w:r>
        <w:t>epartment.</w:t>
      </w:r>
    </w:p>
    <w:p w14:paraId="0402A15F" w14:textId="77777777" w:rsidR="00F743B7" w:rsidRDefault="008949D6" w:rsidP="00217935">
      <w:pPr>
        <w:pStyle w:val="Heading2"/>
        <w:numPr>
          <w:ilvl w:val="1"/>
          <w:numId w:val="11"/>
        </w:numPr>
      </w:pPr>
      <w:bookmarkStart w:id="25" w:name="_Toc144895252"/>
      <w:r>
        <w:t>Closure of an agency</w:t>
      </w:r>
      <w:bookmarkEnd w:id="25"/>
    </w:p>
    <w:p w14:paraId="73F56411" w14:textId="613F6869" w:rsidR="00F743B7" w:rsidRDefault="008949D6" w:rsidP="00217935">
      <w:pPr>
        <w:pStyle w:val="BodyText"/>
      </w:pPr>
      <w:r>
        <w:t xml:space="preserve">NDAP providers must notify the </w:t>
      </w:r>
      <w:r w:rsidR="00F42F3D">
        <w:t>D</w:t>
      </w:r>
      <w:r>
        <w:t xml:space="preserve">epartment immediately if they become insolvent or are no longer able to provide advocacy support as required under the </w:t>
      </w:r>
      <w:r w:rsidR="00F42F3D">
        <w:t>G</w:t>
      </w:r>
      <w:r>
        <w:t xml:space="preserve">rant </w:t>
      </w:r>
      <w:r w:rsidR="00F42F3D">
        <w:t>A</w:t>
      </w:r>
      <w:r>
        <w:t xml:space="preserve">greement. In this instance, the </w:t>
      </w:r>
      <w:r w:rsidR="00F42F3D">
        <w:t xml:space="preserve">provider </w:t>
      </w:r>
      <w:r>
        <w:t xml:space="preserve">is expected to work with the </w:t>
      </w:r>
      <w:r w:rsidR="00F42F3D">
        <w:t>D</w:t>
      </w:r>
      <w:r>
        <w:t>epartment to ensure that people currently receiving advocacy support are referred to another advocacy provider or appropriate agency.</w:t>
      </w:r>
    </w:p>
    <w:p w14:paraId="280CE6F9" w14:textId="77777777" w:rsidR="00F743B7" w:rsidRDefault="008949D6" w:rsidP="00217935">
      <w:pPr>
        <w:pStyle w:val="Heading2"/>
        <w:numPr>
          <w:ilvl w:val="1"/>
          <w:numId w:val="11"/>
        </w:numPr>
      </w:pPr>
      <w:bookmarkStart w:id="26" w:name="_Interpreting_services"/>
      <w:bookmarkStart w:id="27" w:name="_Toc144895253"/>
      <w:bookmarkEnd w:id="26"/>
      <w:r>
        <w:t>Interpreting</w:t>
      </w:r>
      <w:r>
        <w:rPr>
          <w:spacing w:val="-2"/>
        </w:rPr>
        <w:t xml:space="preserve"> </w:t>
      </w:r>
      <w:r>
        <w:t>services</w:t>
      </w:r>
      <w:bookmarkEnd w:id="27"/>
    </w:p>
    <w:p w14:paraId="1205AF9C" w14:textId="5A73F33C" w:rsidR="00F743B7" w:rsidRDefault="008949D6" w:rsidP="00217935">
      <w:pPr>
        <w:pStyle w:val="BodyText"/>
      </w:pPr>
      <w:r>
        <w:t xml:space="preserve">From 1 July 2018, the </w:t>
      </w:r>
      <w:r w:rsidR="00F42F3D">
        <w:t>D</w:t>
      </w:r>
      <w:r>
        <w:t xml:space="preserve">epartment </w:t>
      </w:r>
      <w:r w:rsidR="00F42F3D">
        <w:t>covers</w:t>
      </w:r>
      <w:r>
        <w:t xml:space="preserve"> the cost of interpreting services used by NDAP providers during the delivery of funded </w:t>
      </w:r>
      <w:r w:rsidR="00F42F3D">
        <w:t>NDAP</w:t>
      </w:r>
      <w:r>
        <w:t xml:space="preserve"> supports to people from diverse </w:t>
      </w:r>
      <w:r w:rsidR="00217935">
        <w:t>CALD backgrounds.</w:t>
      </w:r>
    </w:p>
    <w:p w14:paraId="3A2E613B" w14:textId="05B8FE3C" w:rsidR="00F743B7" w:rsidRDefault="008949D6" w:rsidP="00217935">
      <w:pPr>
        <w:pStyle w:val="BodyText"/>
      </w:pPr>
      <w:r>
        <w:t xml:space="preserve">Interpreting services </w:t>
      </w:r>
      <w:r w:rsidR="00F42F3D">
        <w:t xml:space="preserve">are </w:t>
      </w:r>
      <w:r>
        <w:t xml:space="preserve">available through an arrangement between the </w:t>
      </w:r>
      <w:r w:rsidR="00F42F3D">
        <w:t>D</w:t>
      </w:r>
      <w:r>
        <w:t>epartment and the Department of Home Affairs’ TIS National.</w:t>
      </w:r>
    </w:p>
    <w:p w14:paraId="15ABEC02" w14:textId="77777777" w:rsidR="00CC54F4" w:rsidRDefault="00CC54F4" w:rsidP="00CC54F4">
      <w:pPr>
        <w:pStyle w:val="BodyText"/>
      </w:pPr>
      <w:r w:rsidRPr="006E45B6">
        <w:lastRenderedPageBreak/>
        <w:t>To access funded interpreting, NDAP providers first need to set up a TIS National Client Code by completing the online registration form available on TIS Online:</w:t>
      </w:r>
      <w:r>
        <w:t xml:space="preserve"> </w:t>
      </w:r>
      <w:hyperlink r:id="rId14" w:history="1">
        <w:r w:rsidRPr="00600030">
          <w:rPr>
            <w:rStyle w:val="Hyperlink"/>
          </w:rPr>
          <w:t>https://tisonline.tisnational.gov.au/RegisterAgency</w:t>
        </w:r>
      </w:hyperlink>
      <w:r w:rsidRPr="006E45B6">
        <w:t xml:space="preserve">. </w:t>
      </w:r>
    </w:p>
    <w:p w14:paraId="24ECEA9A" w14:textId="6EC8071A" w:rsidR="00CC54F4" w:rsidRDefault="00CC54F4" w:rsidP="00CC54F4">
      <w:pPr>
        <w:pStyle w:val="BodyText"/>
      </w:pPr>
      <w:r w:rsidRPr="006E45B6">
        <w:t xml:space="preserve">Please note that if a provider has another TIS National account, they will still need to set up an account specific to NDAP. </w:t>
      </w:r>
    </w:p>
    <w:p w14:paraId="2FF0EB97" w14:textId="77777777" w:rsidR="00CC54F4" w:rsidRPr="006E45B6" w:rsidRDefault="00CC54F4" w:rsidP="00CC54F4">
      <w:pPr>
        <w:pStyle w:val="BodyText"/>
      </w:pPr>
      <w:r w:rsidRPr="006E45B6">
        <w:t xml:space="preserve">The registration form needs to be completed as follows: </w:t>
      </w:r>
    </w:p>
    <w:p w14:paraId="488ACAEF" w14:textId="77777777" w:rsidR="00CC54F4" w:rsidRPr="006E45B6" w:rsidRDefault="00CC54F4" w:rsidP="00CC54F4">
      <w:pPr>
        <w:pStyle w:val="ListParagraph"/>
        <w:numPr>
          <w:ilvl w:val="0"/>
          <w:numId w:val="10"/>
        </w:numPr>
      </w:pPr>
      <w:r w:rsidRPr="006E45B6">
        <w:t>Category: Commonwealth Government Agency</w:t>
      </w:r>
    </w:p>
    <w:p w14:paraId="0F980CD1" w14:textId="77777777" w:rsidR="00CC54F4" w:rsidRPr="006E45B6" w:rsidRDefault="00CC54F4" w:rsidP="00CC54F4">
      <w:pPr>
        <w:pStyle w:val="ListParagraph"/>
        <w:numPr>
          <w:ilvl w:val="0"/>
          <w:numId w:val="10"/>
        </w:numPr>
      </w:pPr>
      <w:r w:rsidRPr="006E45B6">
        <w:t xml:space="preserve">Sub-Category:  Other Commonwealth Government Agency </w:t>
      </w:r>
    </w:p>
    <w:p w14:paraId="5730672B" w14:textId="77777777" w:rsidR="00CC54F4" w:rsidRPr="006E45B6" w:rsidRDefault="00CC54F4" w:rsidP="00CC54F4">
      <w:pPr>
        <w:pStyle w:val="ListParagraph"/>
        <w:numPr>
          <w:ilvl w:val="0"/>
          <w:numId w:val="10"/>
        </w:numPr>
      </w:pPr>
      <w:r w:rsidRPr="006E45B6">
        <w:t xml:space="preserve">Name of Agency: &lt;Insert organisation name&gt; </w:t>
      </w:r>
    </w:p>
    <w:p w14:paraId="76F2D421" w14:textId="77777777" w:rsidR="00CC54F4" w:rsidRPr="006E45B6" w:rsidRDefault="00CC54F4" w:rsidP="00CC54F4">
      <w:pPr>
        <w:pStyle w:val="ListParagraph"/>
        <w:numPr>
          <w:ilvl w:val="0"/>
          <w:numId w:val="10"/>
        </w:numPr>
      </w:pPr>
      <w:r w:rsidRPr="006E45B6">
        <w:t>Section: National Disability Advocacy Program</w:t>
      </w:r>
    </w:p>
    <w:p w14:paraId="5CC0EB53" w14:textId="77777777" w:rsidR="00CC54F4" w:rsidRDefault="00CC54F4" w:rsidP="00CC54F4">
      <w:pPr>
        <w:pStyle w:val="BodyText"/>
      </w:pPr>
      <w:r w:rsidRPr="006E45B6">
        <w:t xml:space="preserve">Providers will then be asked for an e-billing address for invoicing purposes. Once TIS have reviewed the registration and confirmed the provider’s eligibility, the account will be linked to the Department’s client code so that we will be charged for services accordingly. </w:t>
      </w:r>
    </w:p>
    <w:p w14:paraId="5C542266" w14:textId="375C489A" w:rsidR="00F743B7" w:rsidRDefault="008949D6" w:rsidP="00217935">
      <w:pPr>
        <w:pStyle w:val="BodyText"/>
      </w:pPr>
      <w:r>
        <w:t xml:space="preserve">Payment of interpreting services for languages other than those provided by TIS National will be considered on a case-by-case </w:t>
      </w:r>
      <w:proofErr w:type="gramStart"/>
      <w:r>
        <w:t>basis, and</w:t>
      </w:r>
      <w:proofErr w:type="gramEnd"/>
      <w:r>
        <w:t xml:space="preserve"> will be dependent on </w:t>
      </w:r>
      <w:r w:rsidR="00902794">
        <w:t>D</w:t>
      </w:r>
      <w:r w:rsidR="00F42F3D">
        <w:t>epartment funding</w:t>
      </w:r>
      <w:r>
        <w:t xml:space="preserve"> availability.</w:t>
      </w:r>
    </w:p>
    <w:p w14:paraId="0868DD69" w14:textId="77777777" w:rsidR="00B65A6E" w:rsidRDefault="00B65A6E" w:rsidP="00D9450E">
      <w:pPr>
        <w:pStyle w:val="Heading1"/>
        <w:numPr>
          <w:ilvl w:val="0"/>
          <w:numId w:val="11"/>
        </w:numPr>
        <w:spacing w:before="240"/>
      </w:pPr>
      <w:bookmarkStart w:id="28" w:name="_Toc144895254"/>
      <w:r>
        <w:t>Key legislative requirements, standards and guidelines</w:t>
      </w:r>
      <w:bookmarkEnd w:id="28"/>
    </w:p>
    <w:p w14:paraId="0D35471D" w14:textId="49BC09C6" w:rsidR="00AA2484" w:rsidRDefault="00B65A6E" w:rsidP="00217935">
      <w:pPr>
        <w:pStyle w:val="BodyText"/>
      </w:pPr>
      <w:r w:rsidRPr="00FC3F88">
        <w:t xml:space="preserve">The policy and implementation of </w:t>
      </w:r>
      <w:r w:rsidR="00B33DFC">
        <w:t xml:space="preserve">the </w:t>
      </w:r>
      <w:r>
        <w:t>NDAP</w:t>
      </w:r>
      <w:r w:rsidRPr="00FC3F88">
        <w:t xml:space="preserve"> is guided by the principles and objectives of key legislation, conventions, agreements and frameworks, including but not limited to: </w:t>
      </w:r>
    </w:p>
    <w:p w14:paraId="3AABE01A" w14:textId="77777777" w:rsidR="00AA2484" w:rsidRDefault="00B65A6E" w:rsidP="00D9450E">
      <w:pPr>
        <w:pStyle w:val="ListParagraph"/>
        <w:numPr>
          <w:ilvl w:val="0"/>
          <w:numId w:val="10"/>
        </w:numPr>
      </w:pPr>
      <w:r w:rsidRPr="00FC3F88">
        <w:t xml:space="preserve">the United Nations Convention on the Rights of Persons with </w:t>
      </w:r>
      <w:proofErr w:type="gramStart"/>
      <w:r w:rsidRPr="00FC3F88">
        <w:t>Disabilities;</w:t>
      </w:r>
      <w:proofErr w:type="gramEnd"/>
      <w:r w:rsidRPr="00FC3F88">
        <w:t xml:space="preserve"> </w:t>
      </w:r>
    </w:p>
    <w:p w14:paraId="447E76C4" w14:textId="77777777" w:rsidR="00AA2484" w:rsidRDefault="00B65A6E" w:rsidP="00D9450E">
      <w:pPr>
        <w:pStyle w:val="ListParagraph"/>
        <w:numPr>
          <w:ilvl w:val="0"/>
          <w:numId w:val="10"/>
        </w:numPr>
      </w:pPr>
      <w:r w:rsidRPr="00FC3F88">
        <w:t xml:space="preserve">Australia’s Disability Strategy 2021-2031; the National Disability Agreement, the National Disability Advocacy </w:t>
      </w:r>
      <w:proofErr w:type="gramStart"/>
      <w:r w:rsidRPr="00FC3F88">
        <w:t>Framework;</w:t>
      </w:r>
      <w:proofErr w:type="gramEnd"/>
      <w:r w:rsidRPr="00FC3F88">
        <w:t xml:space="preserve"> </w:t>
      </w:r>
    </w:p>
    <w:p w14:paraId="53F9C9E8" w14:textId="63F1C44F" w:rsidR="00AA2484" w:rsidRDefault="00B65A6E" w:rsidP="00D9450E">
      <w:pPr>
        <w:pStyle w:val="ListParagraph"/>
        <w:numPr>
          <w:ilvl w:val="0"/>
          <w:numId w:val="10"/>
        </w:numPr>
      </w:pPr>
      <w:r w:rsidRPr="00FC3F88">
        <w:t xml:space="preserve">the </w:t>
      </w:r>
      <w:r w:rsidRPr="00E64E8C">
        <w:t>National Disability Insurance Scheme Act 2013</w:t>
      </w:r>
    </w:p>
    <w:p w14:paraId="153BBC76" w14:textId="4D04ECB4" w:rsidR="00B65A6E" w:rsidRPr="00FC3F88" w:rsidRDefault="00B65A6E" w:rsidP="00D9450E">
      <w:pPr>
        <w:pStyle w:val="ListParagraph"/>
        <w:numPr>
          <w:ilvl w:val="0"/>
          <w:numId w:val="10"/>
        </w:numPr>
      </w:pPr>
      <w:r w:rsidRPr="00FC3F88">
        <w:t xml:space="preserve">the </w:t>
      </w:r>
      <w:r w:rsidRPr="00E64E8C">
        <w:t xml:space="preserve">Disability Services Act 1986 </w:t>
      </w:r>
      <w:r w:rsidRPr="00FC3F88">
        <w:t xml:space="preserve">(DSA). </w:t>
      </w:r>
    </w:p>
    <w:p w14:paraId="2FB9BB75" w14:textId="1B96B9B8" w:rsidR="00B65A6E" w:rsidRPr="00FC3F88" w:rsidRDefault="00B65A6E" w:rsidP="00217935">
      <w:pPr>
        <w:pStyle w:val="BodyText"/>
      </w:pPr>
      <w:r w:rsidRPr="00FC3F88">
        <w:t xml:space="preserve">The DSA and its associated principles and objectives have a focus on outcomes for people with disability. All </w:t>
      </w:r>
      <w:r>
        <w:t>NDAP</w:t>
      </w:r>
      <w:r w:rsidRPr="00FC3F88">
        <w:t xml:space="preserve"> providers must comply with the DSA and all relevant Commonwealth, state and territory legislation and supporting documents. This includes any legislative standards in force (currently the NSDS). </w:t>
      </w:r>
    </w:p>
    <w:p w14:paraId="71BED541" w14:textId="50F9A5B5" w:rsidR="005B064C" w:rsidRDefault="00B65A6E" w:rsidP="00217935">
      <w:pPr>
        <w:pStyle w:val="BodyText"/>
      </w:pPr>
      <w:r w:rsidRPr="00FC3F88">
        <w:t xml:space="preserve">The NSDS define the elements of quality support for people with disability. Funding is conditional upon active certification against these standards. </w:t>
      </w:r>
      <w:r w:rsidRPr="00E64E8C">
        <w:t>It</w:t>
      </w:r>
      <w:r w:rsidRPr="00FC3F88">
        <w:t xml:space="preserve"> is the responsibility of the provider to ensure certification remains active whilst delivering both NDAP activities. More information on the NSDS available at</w:t>
      </w:r>
      <w:r w:rsidR="005B064C">
        <w:t>:</w:t>
      </w:r>
    </w:p>
    <w:p w14:paraId="03594103" w14:textId="132C3D4C" w:rsidR="007A4C81" w:rsidRDefault="00201EEA" w:rsidP="00217935">
      <w:pPr>
        <w:pStyle w:val="BodyText"/>
      </w:pPr>
      <w:hyperlink r:id="rId15" w:history="1">
        <w:r w:rsidR="00B65A6E" w:rsidRPr="00FA55BF">
          <w:rPr>
            <w:rStyle w:val="Hyperlink"/>
            <w:color w:val="0066FF"/>
          </w:rPr>
          <w:t>https://www.dss.gov.au/our-responsibilities/disability-and-carers/standards-and-quality-</w:t>
        </w:r>
      </w:hyperlink>
      <w:hyperlink r:id="rId16" w:history="1">
        <w:r w:rsidR="00B65A6E" w:rsidRPr="00FA55BF">
          <w:rPr>
            <w:rStyle w:val="Hyperlink"/>
            <w:color w:val="0066FF"/>
          </w:rPr>
          <w:t>assurance/national-standards-for-disability-services</w:t>
        </w:r>
      </w:hyperlink>
      <w:r w:rsidR="00B65A6E" w:rsidRPr="00FC3F88">
        <w:t>.</w:t>
      </w:r>
    </w:p>
    <w:p w14:paraId="233847BB" w14:textId="77777777" w:rsidR="007A4C81" w:rsidRDefault="007A4C81">
      <w:r>
        <w:br w:type="page"/>
      </w:r>
    </w:p>
    <w:p w14:paraId="121FCAD6" w14:textId="77777777" w:rsidR="00B65A6E" w:rsidRDefault="00B65A6E" w:rsidP="00D9450E">
      <w:pPr>
        <w:pStyle w:val="Heading2"/>
        <w:numPr>
          <w:ilvl w:val="1"/>
          <w:numId w:val="11"/>
        </w:numPr>
      </w:pPr>
      <w:bookmarkStart w:id="29" w:name="_NDAP_Quality_Assurance"/>
      <w:bookmarkStart w:id="30" w:name="_Toc144895255"/>
      <w:bookmarkEnd w:id="29"/>
      <w:r>
        <w:lastRenderedPageBreak/>
        <w:t>NDAP Quality Assurance (QA)</w:t>
      </w:r>
      <w:r>
        <w:rPr>
          <w:spacing w:val="-5"/>
        </w:rPr>
        <w:t xml:space="preserve"> </w:t>
      </w:r>
      <w:r>
        <w:t>System</w:t>
      </w:r>
      <w:bookmarkEnd w:id="30"/>
    </w:p>
    <w:p w14:paraId="511048BD" w14:textId="34E45F86" w:rsidR="005B064C" w:rsidRDefault="00B65A6E" w:rsidP="00D9450E">
      <w:pPr>
        <w:pStyle w:val="BodyText"/>
      </w:pPr>
      <w:r>
        <w:t xml:space="preserve">NDAP providers are required to be independently audited and certified as complying with the DSA </w:t>
      </w:r>
      <w:r w:rsidR="005B064C">
        <w:t>and the legislated standards (currently the NSDS)</w:t>
      </w:r>
      <w:r w:rsidR="00590813">
        <w:t xml:space="preserve">. </w:t>
      </w:r>
    </w:p>
    <w:p w14:paraId="3E02B91A" w14:textId="4C79EBEC" w:rsidR="00B65A6E" w:rsidRDefault="00B65A6E" w:rsidP="00D9450E">
      <w:pPr>
        <w:pStyle w:val="BodyText"/>
      </w:pPr>
      <w:r>
        <w:t>The objectives of the QA system are to:</w:t>
      </w:r>
    </w:p>
    <w:p w14:paraId="24AFD82B" w14:textId="77777777" w:rsidR="00B65A6E" w:rsidRDefault="00B65A6E" w:rsidP="00D9450E">
      <w:pPr>
        <w:pStyle w:val="ListParagraph"/>
        <w:numPr>
          <w:ilvl w:val="0"/>
          <w:numId w:val="10"/>
        </w:numPr>
        <w:rPr>
          <w:rFonts w:ascii="Symbol" w:hAnsi="Symbol"/>
        </w:rPr>
      </w:pPr>
      <w:r>
        <w:t>provide people with disability, the disability advocacy sector and government with assurances about the quality of disability advocacy support being</w:t>
      </w:r>
      <w:r>
        <w:rPr>
          <w:spacing w:val="-18"/>
        </w:rPr>
        <w:t xml:space="preserve"> </w:t>
      </w:r>
      <w:r>
        <w:t>delivered</w:t>
      </w:r>
    </w:p>
    <w:p w14:paraId="0904C064" w14:textId="77777777" w:rsidR="00B65A6E" w:rsidRDefault="00B65A6E" w:rsidP="00D9450E">
      <w:pPr>
        <w:pStyle w:val="ListParagraph"/>
        <w:numPr>
          <w:ilvl w:val="0"/>
          <w:numId w:val="10"/>
        </w:numPr>
        <w:rPr>
          <w:rFonts w:ascii="Symbol" w:hAnsi="Symbol"/>
        </w:rPr>
      </w:pPr>
      <w:r>
        <w:t>introduce mechanisms independent from government to assess the compliance</w:t>
      </w:r>
      <w:r>
        <w:rPr>
          <w:spacing w:val="-26"/>
        </w:rPr>
        <w:t xml:space="preserve"> </w:t>
      </w:r>
      <w:r>
        <w:t>of advocacy providers with the legislated</w:t>
      </w:r>
      <w:r>
        <w:rPr>
          <w:spacing w:val="-3"/>
        </w:rPr>
        <w:t xml:space="preserve"> </w:t>
      </w:r>
      <w:r>
        <w:t>standards</w:t>
      </w:r>
    </w:p>
    <w:p w14:paraId="16557CD8" w14:textId="77777777" w:rsidR="00B65A6E" w:rsidRDefault="00B65A6E" w:rsidP="00D9450E">
      <w:pPr>
        <w:pStyle w:val="ListParagraph"/>
        <w:numPr>
          <w:ilvl w:val="0"/>
          <w:numId w:val="10"/>
        </w:numPr>
        <w:rPr>
          <w:rFonts w:ascii="Symbol" w:hAnsi="Symbol"/>
        </w:rPr>
      </w:pPr>
      <w:r>
        <w:t>support disability advocacy providers to continuously</w:t>
      </w:r>
      <w:r>
        <w:rPr>
          <w:spacing w:val="-7"/>
        </w:rPr>
        <w:t xml:space="preserve"> </w:t>
      </w:r>
      <w:r>
        <w:t>improve.</w:t>
      </w:r>
    </w:p>
    <w:p w14:paraId="57026497" w14:textId="358F5B02" w:rsidR="00B65A6E" w:rsidRDefault="00B65A6E" w:rsidP="00D9450E">
      <w:pPr>
        <w:pStyle w:val="BodyText"/>
      </w:pPr>
      <w:r>
        <w:t>Key points about the NDAP QA system</w:t>
      </w:r>
      <w:r w:rsidR="005B064C">
        <w:t xml:space="preserve"> include</w:t>
      </w:r>
      <w:r>
        <w:t>:</w:t>
      </w:r>
    </w:p>
    <w:p w14:paraId="07969C66" w14:textId="77777777" w:rsidR="005B064C" w:rsidRPr="00EE6BEC" w:rsidRDefault="005B064C" w:rsidP="00D9450E">
      <w:pPr>
        <w:pStyle w:val="ListParagraph"/>
        <w:numPr>
          <w:ilvl w:val="0"/>
          <w:numId w:val="10"/>
        </w:numPr>
        <w:rPr>
          <w:rFonts w:ascii="Symbol" w:hAnsi="Symbol"/>
        </w:rPr>
      </w:pPr>
      <w:r>
        <w:t>The QA system applies to all NDAP funded disability advocacy providers who have a responsibility to gain and maintain an active certification against the legislated standards.</w:t>
      </w:r>
    </w:p>
    <w:p w14:paraId="37FAB246" w14:textId="77777777" w:rsidR="005B064C" w:rsidRDefault="005B064C" w:rsidP="00D9450E">
      <w:pPr>
        <w:pStyle w:val="ListParagraph"/>
        <w:numPr>
          <w:ilvl w:val="0"/>
          <w:numId w:val="10"/>
        </w:numPr>
        <w:rPr>
          <w:rFonts w:ascii="Symbol" w:hAnsi="Symbol"/>
        </w:rPr>
      </w:pPr>
      <w:r>
        <w:t>The QA system involves on-site audits conducted by independent Certification Bodies, or Conformity Assessment Bodies (CABs), that are accredited by the Joint Accreditation System of Australia and New Zealand (JAS-ANZ), to certify that providers comply with the legislated</w:t>
      </w:r>
      <w:r>
        <w:rPr>
          <w:spacing w:val="-3"/>
        </w:rPr>
        <w:t xml:space="preserve"> </w:t>
      </w:r>
      <w:r>
        <w:t>standards.</w:t>
      </w:r>
    </w:p>
    <w:p w14:paraId="34A3E501" w14:textId="715AD297" w:rsidR="00A1253B" w:rsidRDefault="005B064C" w:rsidP="00A1253B">
      <w:pPr>
        <w:pStyle w:val="ListParagraph"/>
        <w:numPr>
          <w:ilvl w:val="0"/>
          <w:numId w:val="10"/>
        </w:numPr>
      </w:pPr>
      <w:r>
        <w:t>Independent assessment of providers has been designed to ensure that people with disability are involved with all aspects and stages of the</w:t>
      </w:r>
      <w:r w:rsidRPr="00B113E5">
        <w:t xml:space="preserve"> </w:t>
      </w:r>
      <w:r>
        <w:t>process.</w:t>
      </w:r>
    </w:p>
    <w:p w14:paraId="5D9AF87B" w14:textId="10519C1E" w:rsidR="00590813" w:rsidRDefault="002C6E21" w:rsidP="00794448">
      <w:pPr>
        <w:pStyle w:val="ListParagraph"/>
        <w:numPr>
          <w:ilvl w:val="0"/>
          <w:numId w:val="10"/>
        </w:numPr>
      </w:pPr>
      <w:r>
        <w:t xml:space="preserve">The </w:t>
      </w:r>
      <w:r w:rsidR="00B65A6E">
        <w:t>NDAP QA</w:t>
      </w:r>
      <w:r>
        <w:t xml:space="preserve"> certification cycle applies to </w:t>
      </w:r>
      <w:r w:rsidR="00E62A7B">
        <w:t xml:space="preserve">all </w:t>
      </w:r>
      <w:r w:rsidR="005B064C">
        <w:t>disability advocacy providers</w:t>
      </w:r>
      <w:r w:rsidR="000C7011">
        <w:t xml:space="preserve"> funded under the NDAP</w:t>
      </w:r>
      <w:r>
        <w:t xml:space="preserve">. The </w:t>
      </w:r>
      <w:r w:rsidR="000C7011">
        <w:t xml:space="preserve">requirements of the 3-year </w:t>
      </w:r>
      <w:r w:rsidR="005B064C" w:rsidRPr="00B113E5">
        <w:t>cycle</w:t>
      </w:r>
      <w:r>
        <w:t xml:space="preserve"> </w:t>
      </w:r>
      <w:r w:rsidR="000C7011">
        <w:t>are detailed below.</w:t>
      </w:r>
    </w:p>
    <w:p w14:paraId="3A50F1A4" w14:textId="6B92B533" w:rsidR="00590813" w:rsidRDefault="000C7011" w:rsidP="00B113E5">
      <w:pPr>
        <w:pStyle w:val="ListParagraph"/>
        <w:numPr>
          <w:ilvl w:val="1"/>
          <w:numId w:val="10"/>
        </w:numPr>
      </w:pPr>
      <w:r w:rsidRPr="0078564A">
        <w:rPr>
          <w:b/>
        </w:rPr>
        <w:t>Scenario 1:</w:t>
      </w:r>
      <w:r>
        <w:t xml:space="preserve"> N</w:t>
      </w:r>
      <w:r w:rsidR="003A47A5">
        <w:t xml:space="preserve">ew </w:t>
      </w:r>
      <w:r w:rsidR="00590813">
        <w:t xml:space="preserve">NDAP providers </w:t>
      </w:r>
      <w:r w:rsidR="003A47A5">
        <w:t>seeking</w:t>
      </w:r>
      <w:r w:rsidR="00590813">
        <w:t xml:space="preserve"> </w:t>
      </w:r>
      <w:r w:rsidR="003A3289">
        <w:t xml:space="preserve">an </w:t>
      </w:r>
      <w:r w:rsidR="00590813" w:rsidRPr="003A47A5">
        <w:t>initial certification</w:t>
      </w:r>
      <w:r>
        <w:t xml:space="preserve"> are required to:</w:t>
      </w:r>
    </w:p>
    <w:p w14:paraId="43C6D690" w14:textId="77777777" w:rsidR="003A3289" w:rsidRDefault="004672C7" w:rsidP="00B113E5">
      <w:pPr>
        <w:pStyle w:val="ListParagraph"/>
        <w:numPr>
          <w:ilvl w:val="2"/>
          <w:numId w:val="10"/>
        </w:numPr>
      </w:pPr>
      <w:r>
        <w:t>Register their intention to seek certification</w:t>
      </w:r>
      <w:r w:rsidR="003A3289">
        <w:t xml:space="preserve"> with the Department. </w:t>
      </w:r>
    </w:p>
    <w:p w14:paraId="4435301C" w14:textId="53600C43" w:rsidR="00590813" w:rsidRDefault="003A3289" w:rsidP="00B113E5">
      <w:pPr>
        <w:pStyle w:val="ListParagraph"/>
        <w:numPr>
          <w:ilvl w:val="2"/>
          <w:numId w:val="10"/>
        </w:numPr>
      </w:pPr>
      <w:r>
        <w:t>Receive a Certificate of Compliance within 18 </w:t>
      </w:r>
      <w:r w:rsidR="004672C7">
        <w:t xml:space="preserve">months </w:t>
      </w:r>
      <w:r>
        <w:t>of being approved for NDAP funding</w:t>
      </w:r>
      <w:r w:rsidR="00590813">
        <w:t xml:space="preserve">. </w:t>
      </w:r>
    </w:p>
    <w:p w14:paraId="30436391" w14:textId="56CFF4F2" w:rsidR="00590813" w:rsidRDefault="003A3289" w:rsidP="00B113E5">
      <w:pPr>
        <w:pStyle w:val="ListParagraph"/>
        <w:numPr>
          <w:ilvl w:val="2"/>
          <w:numId w:val="10"/>
        </w:numPr>
      </w:pPr>
      <w:r>
        <w:t xml:space="preserve">Undertake </w:t>
      </w:r>
      <w:r w:rsidR="002C6E21">
        <w:t>s</w:t>
      </w:r>
      <w:r w:rsidR="00590813" w:rsidRPr="00590813">
        <w:t>urveillance audits</w:t>
      </w:r>
      <w:r w:rsidR="00590813">
        <w:t xml:space="preserve"> at </w:t>
      </w:r>
      <w:r w:rsidR="00590813" w:rsidRPr="00590813">
        <w:t>12</w:t>
      </w:r>
      <w:r w:rsidR="00590813">
        <w:t xml:space="preserve"> and 24 months</w:t>
      </w:r>
      <w:r w:rsidR="00E62A7B">
        <w:t>.</w:t>
      </w:r>
    </w:p>
    <w:p w14:paraId="712B8003" w14:textId="42084AEA" w:rsidR="002C6E21" w:rsidRDefault="003A47A5" w:rsidP="00B113E5">
      <w:pPr>
        <w:pStyle w:val="ListParagraph"/>
        <w:numPr>
          <w:ilvl w:val="2"/>
          <w:numId w:val="10"/>
        </w:numPr>
      </w:pPr>
      <w:r>
        <w:t>Within 36 months of certification</w:t>
      </w:r>
      <w:r w:rsidR="00F654BC">
        <w:t>,</w:t>
      </w:r>
      <w:r>
        <w:t xml:space="preserve"> </w:t>
      </w:r>
      <w:r w:rsidR="003A3289">
        <w:t>undertake a</w:t>
      </w:r>
      <w:r>
        <w:t xml:space="preserve"> </w:t>
      </w:r>
      <w:r w:rsidR="00E62A7B">
        <w:t>recertification audit</w:t>
      </w:r>
      <w:r>
        <w:t>.</w:t>
      </w:r>
    </w:p>
    <w:p w14:paraId="4C0BB038" w14:textId="0BF9F96C" w:rsidR="00E62A7B" w:rsidRDefault="000C7011" w:rsidP="003A3289">
      <w:pPr>
        <w:pStyle w:val="ListParagraph"/>
        <w:numPr>
          <w:ilvl w:val="1"/>
          <w:numId w:val="10"/>
        </w:numPr>
      </w:pPr>
      <w:r w:rsidRPr="0078564A">
        <w:rPr>
          <w:b/>
        </w:rPr>
        <w:t xml:space="preserve">Scenario 2: </w:t>
      </w:r>
      <w:r w:rsidR="00E62A7B">
        <w:t xml:space="preserve">NDAP providers </w:t>
      </w:r>
      <w:r w:rsidR="003A47A5">
        <w:t xml:space="preserve">that have </w:t>
      </w:r>
      <w:r w:rsidR="0070309A">
        <w:t xml:space="preserve">completed </w:t>
      </w:r>
      <w:r w:rsidR="003A3289">
        <w:t xml:space="preserve">an </w:t>
      </w:r>
      <w:r w:rsidR="0070309A">
        <w:t xml:space="preserve">initial </w:t>
      </w:r>
      <w:r w:rsidR="003A3289">
        <w:t xml:space="preserve">3-year </w:t>
      </w:r>
      <w:r w:rsidR="0070309A">
        <w:t>certification</w:t>
      </w:r>
      <w:r w:rsidR="003A3289">
        <w:t xml:space="preserve"> process</w:t>
      </w:r>
      <w:r>
        <w:t xml:space="preserve"> are required to</w:t>
      </w:r>
      <w:r w:rsidR="00E62A7B">
        <w:t>:</w:t>
      </w:r>
    </w:p>
    <w:p w14:paraId="0D5790FA" w14:textId="494549AB" w:rsidR="003A3289" w:rsidRDefault="003A3289" w:rsidP="0059123E">
      <w:pPr>
        <w:pStyle w:val="ListParagraph"/>
        <w:numPr>
          <w:ilvl w:val="2"/>
          <w:numId w:val="10"/>
        </w:numPr>
      </w:pPr>
      <w:r>
        <w:t xml:space="preserve">Undertake a re-certification audit and receive a Certificate of Compliance at the start of a new 3-year cycle. </w:t>
      </w:r>
    </w:p>
    <w:p w14:paraId="6D5D6E54" w14:textId="77777777" w:rsidR="003A3289" w:rsidRDefault="003A3289" w:rsidP="0059123E">
      <w:pPr>
        <w:pStyle w:val="ListParagraph"/>
        <w:numPr>
          <w:ilvl w:val="2"/>
          <w:numId w:val="10"/>
        </w:numPr>
      </w:pPr>
      <w:r>
        <w:t>Undertake a surveillance audit at either:</w:t>
      </w:r>
    </w:p>
    <w:p w14:paraId="458081FA" w14:textId="77777777" w:rsidR="003A3289" w:rsidRDefault="003A3289" w:rsidP="0078564A">
      <w:pPr>
        <w:pStyle w:val="ListParagraph"/>
        <w:numPr>
          <w:ilvl w:val="0"/>
          <w:numId w:val="108"/>
        </w:numPr>
      </w:pPr>
      <w:r>
        <w:t>12 and 24 months, or</w:t>
      </w:r>
    </w:p>
    <w:p w14:paraId="6566AB2F" w14:textId="77777777" w:rsidR="003A3289" w:rsidRDefault="003A3289" w:rsidP="0078564A">
      <w:pPr>
        <w:pStyle w:val="ListParagraph"/>
        <w:numPr>
          <w:ilvl w:val="0"/>
          <w:numId w:val="108"/>
        </w:numPr>
      </w:pPr>
      <w:r>
        <w:t xml:space="preserve">18 months. </w:t>
      </w:r>
    </w:p>
    <w:p w14:paraId="6DB91305" w14:textId="78F8620A" w:rsidR="003A3289" w:rsidRDefault="003A3289" w:rsidP="003A3289">
      <w:pPr>
        <w:pStyle w:val="ListParagraph"/>
        <w:numPr>
          <w:ilvl w:val="2"/>
          <w:numId w:val="10"/>
        </w:numPr>
      </w:pPr>
      <w:r>
        <w:t xml:space="preserve">For NDAP providers on a 12-month surveillance audit frequency, the frequency of surveillance may be reduced to </w:t>
      </w:r>
      <w:proofErr w:type="gramStart"/>
      <w:r>
        <w:t>a</w:t>
      </w:r>
      <w:proofErr w:type="gramEnd"/>
      <w:r>
        <w:t xml:space="preserve"> 18-month</w:t>
      </w:r>
      <w:r w:rsidR="008E0137">
        <w:t>s</w:t>
      </w:r>
      <w:r>
        <w:t xml:space="preserve"> if:</w:t>
      </w:r>
    </w:p>
    <w:p w14:paraId="15720364" w14:textId="5A3A19DA" w:rsidR="000C7011" w:rsidRDefault="000C7011" w:rsidP="0078564A">
      <w:pPr>
        <w:pStyle w:val="ListParagraph"/>
        <w:numPr>
          <w:ilvl w:val="0"/>
          <w:numId w:val="108"/>
        </w:numPr>
      </w:pPr>
      <w:r>
        <w:t>t</w:t>
      </w:r>
      <w:r w:rsidR="003A3289">
        <w:t xml:space="preserve">he provider has demonstrated their capability to meet the NSDS on an ongoing basis, </w:t>
      </w:r>
      <w:r>
        <w:t>and</w:t>
      </w:r>
    </w:p>
    <w:p w14:paraId="05796378" w14:textId="22A643CF" w:rsidR="003A3289" w:rsidRDefault="003A3289" w:rsidP="0078564A">
      <w:pPr>
        <w:pStyle w:val="ListParagraph"/>
        <w:numPr>
          <w:ilvl w:val="0"/>
          <w:numId w:val="108"/>
        </w:numPr>
      </w:pPr>
      <w:r>
        <w:t xml:space="preserve">the certifying body has no concerns and/or evidence to suggest otherwise. </w:t>
      </w:r>
    </w:p>
    <w:p w14:paraId="6C0D80A5" w14:textId="2FF6274D" w:rsidR="00BD16FD" w:rsidRDefault="0059123E" w:rsidP="00BD16FD">
      <w:pPr>
        <w:pStyle w:val="ListParagraph"/>
        <w:numPr>
          <w:ilvl w:val="2"/>
          <w:numId w:val="10"/>
        </w:numPr>
      </w:pPr>
      <w:r>
        <w:t>For NDAP providers on an 18</w:t>
      </w:r>
      <w:r w:rsidR="003A3289">
        <w:t>-</w:t>
      </w:r>
      <w:r>
        <w:t>month surveillance audit frequency</w:t>
      </w:r>
      <w:r w:rsidR="003A3289">
        <w:t>,</w:t>
      </w:r>
      <w:r>
        <w:t xml:space="preserve"> there is no change as long as the </w:t>
      </w:r>
      <w:r w:rsidR="003A3289">
        <w:t>provider</w:t>
      </w:r>
      <w:r>
        <w:t xml:space="preserve"> can demonstrate that they are low risk based on their audit history.</w:t>
      </w:r>
    </w:p>
    <w:p w14:paraId="5BFEC8F5" w14:textId="22B3A7B1" w:rsidR="00BD16FD" w:rsidRDefault="00BD16FD" w:rsidP="00CC54F4">
      <w:pPr>
        <w:pStyle w:val="ListParagraph"/>
        <w:numPr>
          <w:ilvl w:val="2"/>
          <w:numId w:val="10"/>
        </w:numPr>
      </w:pPr>
      <w:r>
        <w:lastRenderedPageBreak/>
        <w:t xml:space="preserve">A </w:t>
      </w:r>
      <w:r w:rsidR="003A3289">
        <w:t>provider’</w:t>
      </w:r>
      <w:r>
        <w:t xml:space="preserve">s certification body is responsible for monitoring and assessing their suitability to </w:t>
      </w:r>
      <w:r w:rsidR="000C7011">
        <w:t xml:space="preserve">move to, or </w:t>
      </w:r>
      <w:r>
        <w:t>continue on</w:t>
      </w:r>
      <w:r w:rsidR="008E0137">
        <w:t>,</w:t>
      </w:r>
      <w:r>
        <w:t xml:space="preserve"> </w:t>
      </w:r>
      <w:proofErr w:type="gramStart"/>
      <w:r>
        <w:t>a</w:t>
      </w:r>
      <w:proofErr w:type="gramEnd"/>
      <w:r w:rsidR="000C7011">
        <w:t xml:space="preserve"> 18-month</w:t>
      </w:r>
      <w:r>
        <w:t xml:space="preserve"> surveillance audit</w:t>
      </w:r>
      <w:r w:rsidR="000C7011">
        <w:t xml:space="preserve"> frequency</w:t>
      </w:r>
      <w:r>
        <w:t>.</w:t>
      </w:r>
    </w:p>
    <w:p w14:paraId="4D3250EF" w14:textId="7DB5706F" w:rsidR="00590813" w:rsidRDefault="003A47A5" w:rsidP="00B113E5">
      <w:pPr>
        <w:pStyle w:val="ListParagraph"/>
        <w:numPr>
          <w:ilvl w:val="2"/>
          <w:numId w:val="10"/>
        </w:numPr>
      </w:pPr>
      <w:r>
        <w:t xml:space="preserve">Within 36 months </w:t>
      </w:r>
      <w:r w:rsidR="000C7011">
        <w:t>of</w:t>
      </w:r>
      <w:r>
        <w:t xml:space="preserve"> certification</w:t>
      </w:r>
      <w:r w:rsidR="00F654BC">
        <w:t>,</w:t>
      </w:r>
      <w:r>
        <w:t xml:space="preserve"> </w:t>
      </w:r>
      <w:r w:rsidR="000C7011">
        <w:t>undertake a</w:t>
      </w:r>
      <w:r>
        <w:t xml:space="preserve"> </w:t>
      </w:r>
      <w:r w:rsidR="00590813">
        <w:t>recertification audit</w:t>
      </w:r>
      <w:r>
        <w:t>.</w:t>
      </w:r>
    </w:p>
    <w:p w14:paraId="0C30AAFC" w14:textId="6F693441" w:rsidR="005B064C" w:rsidRDefault="00E62A7B" w:rsidP="00B113E5">
      <w:pPr>
        <w:pStyle w:val="ListParagraph"/>
        <w:numPr>
          <w:ilvl w:val="0"/>
          <w:numId w:val="10"/>
        </w:numPr>
      </w:pPr>
      <w:r>
        <w:t xml:space="preserve">It is the responsibility of each </w:t>
      </w:r>
      <w:r w:rsidR="005B064C">
        <w:t>NDAP provider</w:t>
      </w:r>
      <w:r>
        <w:t xml:space="preserve"> </w:t>
      </w:r>
      <w:r w:rsidR="005B064C">
        <w:t>to maintain active certification wh</w:t>
      </w:r>
      <w:r>
        <w:t>en</w:t>
      </w:r>
      <w:r w:rsidR="005B064C">
        <w:t xml:space="preserve"> delivering NDAP activities.</w:t>
      </w:r>
    </w:p>
    <w:p w14:paraId="01E5B1F2" w14:textId="60034157" w:rsidR="00E62A7B" w:rsidRDefault="00E62A7B" w:rsidP="00794448">
      <w:pPr>
        <w:pStyle w:val="ListParagraph"/>
        <w:numPr>
          <w:ilvl w:val="1"/>
          <w:numId w:val="10"/>
        </w:numPr>
      </w:pPr>
      <w:r>
        <w:t xml:space="preserve">If a provider’s certification lapses or is withdrawn, the department may require a full certification audit to be conducted for the provider to be recertified. </w:t>
      </w:r>
    </w:p>
    <w:p w14:paraId="421C326E" w14:textId="005F97CC" w:rsidR="005B064C" w:rsidRDefault="005B064C" w:rsidP="00217935">
      <w:pPr>
        <w:pStyle w:val="ListParagraph"/>
        <w:numPr>
          <w:ilvl w:val="0"/>
          <w:numId w:val="10"/>
        </w:numPr>
        <w:rPr>
          <w:rFonts w:ascii="Symbol" w:hAnsi="Symbol"/>
        </w:rPr>
      </w:pPr>
      <w:r>
        <w:t xml:space="preserve">The role of the </w:t>
      </w:r>
      <w:r w:rsidR="00970B96">
        <w:t>D</w:t>
      </w:r>
      <w:r>
        <w:t>epartment is to develop policy and provide support, tools and resources to help providers gain certification and pursue continuous</w:t>
      </w:r>
      <w:r>
        <w:rPr>
          <w:spacing w:val="-7"/>
        </w:rPr>
        <w:t xml:space="preserve"> </w:t>
      </w:r>
      <w:r>
        <w:t>improvement.</w:t>
      </w:r>
    </w:p>
    <w:p w14:paraId="761A73EC" w14:textId="26B3B9DA" w:rsidR="00B65A6E" w:rsidRDefault="005B064C" w:rsidP="00D9450E">
      <w:pPr>
        <w:pStyle w:val="ListParagraph"/>
        <w:numPr>
          <w:ilvl w:val="0"/>
          <w:numId w:val="10"/>
        </w:numPr>
      </w:pPr>
      <w:r>
        <w:t>If a disability advocacy agency has been audited to another set of standards by</w:t>
      </w:r>
      <w:r w:rsidRPr="00526760">
        <w:rPr>
          <w:spacing w:val="-15"/>
        </w:rPr>
        <w:t xml:space="preserve"> </w:t>
      </w:r>
      <w:r>
        <w:t>a</w:t>
      </w:r>
      <w:r w:rsidR="00526760">
        <w:t xml:space="preserve"> </w:t>
      </w:r>
      <w:r>
        <w:t>JAS-ANZ accredited certification body, then common criteria can be considered during the NDAP QA process to avoid audit duplication.</w:t>
      </w:r>
    </w:p>
    <w:p w14:paraId="55776E11" w14:textId="77777777" w:rsidR="000414B5" w:rsidRPr="00FC3F88" w:rsidRDefault="000414B5" w:rsidP="00D9450E">
      <w:pPr>
        <w:pStyle w:val="Heading1"/>
        <w:numPr>
          <w:ilvl w:val="0"/>
          <w:numId w:val="11"/>
        </w:numPr>
        <w:spacing w:before="240"/>
      </w:pPr>
      <w:bookmarkStart w:id="31" w:name="_Toc124326828"/>
      <w:bookmarkStart w:id="32" w:name="_Toc144895256"/>
      <w:r w:rsidRPr="00FC3F88">
        <w:t>Privacy</w:t>
      </w:r>
      <w:bookmarkEnd w:id="31"/>
      <w:bookmarkEnd w:id="32"/>
    </w:p>
    <w:p w14:paraId="3F478163" w14:textId="320692FB" w:rsidR="00DA21EB" w:rsidRDefault="000414B5" w:rsidP="006D7263">
      <w:pPr>
        <w:pStyle w:val="BodyText"/>
      </w:pPr>
      <w:r w:rsidRPr="00FC3F88">
        <w:t xml:space="preserve">As stipulated in the Grant Conditions, when dealing with personal information in carrying out the Activity, the </w:t>
      </w:r>
      <w:r w:rsidR="005E7C95">
        <w:t>ND</w:t>
      </w:r>
      <w:r w:rsidR="00217935">
        <w:t>AP</w:t>
      </w:r>
      <w:r w:rsidRPr="00FC3F88">
        <w:t xml:space="preserve"> provider agrees not to do anything which, if done by the Commonwealth, would be a breach of an Australian Privacy Principle.</w:t>
      </w:r>
    </w:p>
    <w:p w14:paraId="7BCC5B4E" w14:textId="77777777" w:rsidR="00DA21EB" w:rsidRDefault="00DA21EB" w:rsidP="006D7263">
      <w:pPr>
        <w:pStyle w:val="BodyText"/>
      </w:pPr>
      <w:r>
        <w:t>In line with Australian Privacy Principal 11</w:t>
      </w:r>
      <w:r w:rsidR="006D7263">
        <w:t>,</w:t>
      </w:r>
      <w:r>
        <w:t xml:space="preserve"> NDAP providers should</w:t>
      </w:r>
      <w:r w:rsidR="006D7263">
        <w:t xml:space="preserve"> ensur</w:t>
      </w:r>
      <w:r>
        <w:t>e</w:t>
      </w:r>
      <w:r w:rsidR="006D7263">
        <w:t xml:space="preserve"> appropriate information technology (IT</w:t>
      </w:r>
      <w:proofErr w:type="gramStart"/>
      <w:r w:rsidR="006D7263">
        <w:t>)</w:t>
      </w:r>
      <w:proofErr w:type="gramEnd"/>
      <w:r w:rsidR="006D7263">
        <w:t xml:space="preserve"> and other security measures are implemented to protect client’s personal information </w:t>
      </w:r>
      <w:r w:rsidR="00AA1E47">
        <w:t>from misuse, interference and loss, and from unauthorised access, modification or disclosure.</w:t>
      </w:r>
      <w:r w:rsidR="006D7263">
        <w:t xml:space="preserve"> </w:t>
      </w:r>
    </w:p>
    <w:p w14:paraId="50E38990" w14:textId="41417A48" w:rsidR="00AA1E47" w:rsidRDefault="00AA1E47" w:rsidP="006D7263">
      <w:pPr>
        <w:pStyle w:val="BodyText"/>
      </w:pPr>
      <w:r>
        <w:t>Further information on the Australian Privacy Principals is available at:</w:t>
      </w:r>
      <w:r w:rsidR="00443E28">
        <w:t xml:space="preserve"> </w:t>
      </w:r>
      <w:hyperlink r:id="rId17" w:history="1">
        <w:r>
          <w:rPr>
            <w:rStyle w:val="Hyperlink"/>
          </w:rPr>
          <w:t>https://www.oaic.gov.au/</w:t>
        </w:r>
      </w:hyperlink>
      <w:r>
        <w:t>.</w:t>
      </w:r>
    </w:p>
    <w:p w14:paraId="7AD44F53" w14:textId="3C180B2D" w:rsidR="000414B5" w:rsidRDefault="000414B5" w:rsidP="00D9450E">
      <w:pPr>
        <w:pStyle w:val="Heading1"/>
        <w:numPr>
          <w:ilvl w:val="0"/>
          <w:numId w:val="11"/>
        </w:numPr>
        <w:spacing w:before="240"/>
      </w:pPr>
      <w:bookmarkStart w:id="33" w:name="_Toc144895257"/>
      <w:r w:rsidRPr="00217935">
        <w:t>Information technology</w:t>
      </w:r>
      <w:bookmarkEnd w:id="33"/>
    </w:p>
    <w:p w14:paraId="5F20C397" w14:textId="751071F9" w:rsidR="00C0043B" w:rsidRDefault="000414B5" w:rsidP="00217935">
      <w:pPr>
        <w:pStyle w:val="BodyText"/>
      </w:pPr>
      <w:r w:rsidRPr="00FC3F88">
        <w:t xml:space="preserve">Grant recipients are expected to ensure they have suitable </w:t>
      </w:r>
      <w:r w:rsidR="00C0043B">
        <w:t>IT</w:t>
      </w:r>
      <w:r w:rsidRPr="00FC3F88">
        <w:t xml:space="preserve"> systems in place to allow them to meet their data collection and reporting obligations under the Grant Agreement, including supplying data through the DSS Data Exchange (DEX).</w:t>
      </w:r>
    </w:p>
    <w:p w14:paraId="5FC4B9D9" w14:textId="12F15D23" w:rsidR="00443E28" w:rsidRDefault="00C0043B" w:rsidP="000A6FC6">
      <w:pPr>
        <w:pStyle w:val="BodyText"/>
      </w:pPr>
      <w:r w:rsidRPr="00E01C28">
        <w:t xml:space="preserve">Details of DEX IT access requirements are available at: </w:t>
      </w:r>
      <w:hyperlink r:id="rId18" w:history="1">
        <w:r w:rsidRPr="00D974EB">
          <w:rPr>
            <w:rStyle w:val="Hyperlink"/>
          </w:rPr>
          <w:t>https://dex.dss.gov.au/</w:t>
        </w:r>
      </w:hyperlink>
      <w:r w:rsidRPr="00590813">
        <w:t>.</w:t>
      </w:r>
    </w:p>
    <w:p w14:paraId="21810608" w14:textId="0B3D0E6E" w:rsidR="00F743B7" w:rsidRDefault="00F42F3D" w:rsidP="00D9450E">
      <w:pPr>
        <w:pStyle w:val="Heading1"/>
        <w:numPr>
          <w:ilvl w:val="0"/>
          <w:numId w:val="11"/>
        </w:numPr>
        <w:spacing w:before="240"/>
      </w:pPr>
      <w:bookmarkStart w:id="34" w:name="_Toc134713567"/>
      <w:bookmarkStart w:id="35" w:name="_Toc144895258"/>
      <w:bookmarkEnd w:id="34"/>
      <w:r>
        <w:t xml:space="preserve">Activity </w:t>
      </w:r>
      <w:r w:rsidR="00253A17">
        <w:t>p</w:t>
      </w:r>
      <w:r>
        <w:t>erformance r</w:t>
      </w:r>
      <w:r w:rsidR="008949D6">
        <w:t>eporting</w:t>
      </w:r>
      <w:bookmarkEnd w:id="35"/>
    </w:p>
    <w:p w14:paraId="6DD11BDF" w14:textId="508ECEF9" w:rsidR="00F42F3D" w:rsidRPr="00FC3F88" w:rsidRDefault="00217935" w:rsidP="00217935">
      <w:pPr>
        <w:pStyle w:val="BodyText"/>
      </w:pPr>
      <w:r>
        <w:t>The Department’s</w:t>
      </w:r>
      <w:r w:rsidR="00F42F3D" w:rsidRPr="00FC3F88">
        <w:t xml:space="preserve"> Performance Framework requires that all Standard Grant Agreement Schedules include a set of performance indicators which can be used to measure and report on the performance of funded activities.</w:t>
      </w:r>
    </w:p>
    <w:p w14:paraId="7F3BCA0F" w14:textId="674AE116" w:rsidR="00C70C08" w:rsidRDefault="00F42F3D" w:rsidP="00C70C08">
      <w:pPr>
        <w:pStyle w:val="BodyText"/>
      </w:pPr>
      <w:r>
        <w:t>The Department</w:t>
      </w:r>
      <w:r w:rsidRPr="00FC3F88">
        <w:t xml:space="preserve"> monitors outcomes and service provider performance. Reporting is based on achieving the activity outcomes. Data is collected directly from </w:t>
      </w:r>
      <w:r>
        <w:t>NDAP</w:t>
      </w:r>
      <w:r w:rsidRPr="00FC3F88">
        <w:t xml:space="preserve"> providers through DEX. </w:t>
      </w:r>
    </w:p>
    <w:p w14:paraId="0A273858" w14:textId="4295932C" w:rsidR="00F42F3D" w:rsidRPr="00FC3F88" w:rsidRDefault="00C70C08" w:rsidP="00C70C08">
      <w:pPr>
        <w:pStyle w:val="BodyText"/>
      </w:pPr>
      <w:r>
        <w:t>DEX is a program performance tool used by client facing programs as part of the Community Grants Hub. It collects data on client demographics, access to services and the outcomes achieved for these clients.</w:t>
      </w:r>
    </w:p>
    <w:p w14:paraId="641A1145" w14:textId="7A3201D1" w:rsidR="00443E28" w:rsidRDefault="00F42F3D" w:rsidP="00217935">
      <w:pPr>
        <w:pStyle w:val="BodyText"/>
      </w:pPr>
      <w:r>
        <w:t>NDAP</w:t>
      </w:r>
      <w:r w:rsidRPr="00FC3F88">
        <w:t xml:space="preserve"> providers are required to submit to </w:t>
      </w:r>
      <w:r>
        <w:t>the Department</w:t>
      </w:r>
      <w:r w:rsidRPr="00FC3F88">
        <w:t xml:space="preserve"> a range of reports as part of government reporting and accountability requirements. </w:t>
      </w:r>
    </w:p>
    <w:p w14:paraId="74D12F5F" w14:textId="77777777" w:rsidR="007A4C81" w:rsidRDefault="007A4C81">
      <w:r>
        <w:br w:type="page"/>
      </w:r>
    </w:p>
    <w:p w14:paraId="5F7F8B91" w14:textId="57EB315A" w:rsidR="005F2903" w:rsidRPr="00FC3F88" w:rsidRDefault="00F42F3D" w:rsidP="00217935">
      <w:pPr>
        <w:pStyle w:val="BodyText"/>
      </w:pPr>
      <w:r w:rsidRPr="00FC3F88">
        <w:lastRenderedPageBreak/>
        <w:t>The reporting requirements include quantitative, qualitative and milestone information, and are:</w:t>
      </w:r>
    </w:p>
    <w:p w14:paraId="01CA4589" w14:textId="5E60250B" w:rsidR="00F42F3D" w:rsidRPr="00FC3F88" w:rsidRDefault="00115033" w:rsidP="00D9450E">
      <w:pPr>
        <w:pStyle w:val="ListParagraph"/>
        <w:numPr>
          <w:ilvl w:val="0"/>
          <w:numId w:val="10"/>
        </w:numPr>
      </w:pPr>
      <w:r>
        <w:t>6-</w:t>
      </w:r>
      <w:r w:rsidR="00F42F3D" w:rsidRPr="00FC3F88">
        <w:t xml:space="preserve">monthly performance reports against the </w:t>
      </w:r>
      <w:r w:rsidR="001151B0">
        <w:t>AWP</w:t>
      </w:r>
      <w:r w:rsidR="00F42F3D" w:rsidRPr="00FC3F88">
        <w:t xml:space="preserve"> </w:t>
      </w:r>
    </w:p>
    <w:p w14:paraId="47DA5563" w14:textId="4B3218B3" w:rsidR="00F42F3D" w:rsidRPr="00FC3F88" w:rsidRDefault="00115033" w:rsidP="00D9450E">
      <w:pPr>
        <w:pStyle w:val="ListParagraph"/>
        <w:numPr>
          <w:ilvl w:val="0"/>
          <w:numId w:val="10"/>
        </w:numPr>
      </w:pPr>
      <w:r>
        <w:t>6-</w:t>
      </w:r>
      <w:r w:rsidR="00F42F3D" w:rsidRPr="00FC3F88">
        <w:t>monthly reports (quantitative) summarising individual client data (de</w:t>
      </w:r>
      <w:r w:rsidR="00827141">
        <w:t>-</w:t>
      </w:r>
      <w:r w:rsidR="00F42F3D" w:rsidRPr="00FC3F88">
        <w:t>identified) as reported in DEX</w:t>
      </w:r>
    </w:p>
    <w:p w14:paraId="5CECED4E" w14:textId="7E681ECD" w:rsidR="000414B5" w:rsidRDefault="00F42F3D" w:rsidP="00D9450E">
      <w:pPr>
        <w:pStyle w:val="ListParagraph"/>
        <w:numPr>
          <w:ilvl w:val="0"/>
          <w:numId w:val="10"/>
        </w:numPr>
      </w:pPr>
      <w:r w:rsidRPr="00FC3F88">
        <w:t>a yearly non-audited financial acquittal report.</w:t>
      </w:r>
    </w:p>
    <w:p w14:paraId="6AFA849E" w14:textId="77777777" w:rsidR="00F42F3D" w:rsidRDefault="00F42F3D" w:rsidP="00217935">
      <w:pPr>
        <w:pStyle w:val="Heading2"/>
        <w:numPr>
          <w:ilvl w:val="1"/>
          <w:numId w:val="11"/>
        </w:numPr>
      </w:pPr>
      <w:bookmarkStart w:id="36" w:name="_Toc144895259"/>
      <w:r>
        <w:t>Activity Work Plan (AWP)</w:t>
      </w:r>
      <w:bookmarkEnd w:id="36"/>
    </w:p>
    <w:p w14:paraId="27BE929E" w14:textId="143B28ED" w:rsidR="00F42F3D" w:rsidRDefault="00F42F3D" w:rsidP="00217935">
      <w:pPr>
        <w:pStyle w:val="BodyText"/>
      </w:pPr>
      <w:r>
        <w:t>The purpose of the AWP is to include output-level detail for the funded activity negotiated with the Department. The information listed against each activity should include the activity details, deliverables, timeframes for delivery and measures of achievement. It may include a budget or other administrative controls intended to help manage activity risks. An AWP can contain more than one activity.</w:t>
      </w:r>
    </w:p>
    <w:p w14:paraId="4349837A" w14:textId="18BA3CAC" w:rsidR="000414B5" w:rsidRDefault="00F42F3D" w:rsidP="00217935">
      <w:pPr>
        <w:pStyle w:val="BodyText"/>
      </w:pPr>
      <w:r>
        <w:t xml:space="preserve">All </w:t>
      </w:r>
      <w:r w:rsidR="00970B96">
        <w:t xml:space="preserve">NDAP </w:t>
      </w:r>
      <w:r>
        <w:t xml:space="preserve">providers are required, as part of their </w:t>
      </w:r>
      <w:r w:rsidR="00970B96">
        <w:t>Grant</w:t>
      </w:r>
      <w:r>
        <w:t xml:space="preserve"> </w:t>
      </w:r>
      <w:r w:rsidR="00970B96">
        <w:t>A</w:t>
      </w:r>
      <w:r>
        <w:t>greement, to submit an AWP on a financial year basis.</w:t>
      </w:r>
      <w:r w:rsidR="00827141">
        <w:t xml:space="preserve"> Once mutually agreed the AWP will form part of the Grant Agreement.</w:t>
      </w:r>
      <w:r w:rsidR="00F86CFC">
        <w:t xml:space="preserve"> </w:t>
      </w:r>
      <w:r w:rsidR="000414B5">
        <w:t>The AWP Report seeks details of progress on requirements in the AWP for the reporting period, including any compliance requirements. This report is intended to detail the achievements/outcomes for the previous 12 months undertaken by the provider and should align with the content of the AWP.</w:t>
      </w:r>
    </w:p>
    <w:p w14:paraId="4CDC3F22" w14:textId="4C556684" w:rsidR="00115033" w:rsidRDefault="00115033" w:rsidP="00115033">
      <w:pPr>
        <w:pStyle w:val="BodyText"/>
      </w:pPr>
      <w:r>
        <w:t>The amount of detail providers include in their reports should be relative to the size, complexity and grant amount. Importantly, the report should clearly articula</w:t>
      </w:r>
      <w:r w:rsidR="00B42D1D">
        <w:t>te</w:t>
      </w:r>
      <w:r>
        <w:t xml:space="preserve"> an ‘output’ as opposed to an ‘outcome’. Simply, an ‘output’ is a specific activity undertaken by the provider and an ‘outcome’ is the result of this activity. The report should clearly describe how the advocacy support provided (the ‘output’) made a difference to people with a disability (the ‘outcome’).</w:t>
      </w:r>
    </w:p>
    <w:p w14:paraId="386EC8C1" w14:textId="60B70458" w:rsidR="00A81A03" w:rsidRDefault="00115033" w:rsidP="00115033">
      <w:pPr>
        <w:pStyle w:val="BodyText"/>
      </w:pPr>
      <w:r>
        <w:t>When outlining successes and challenges, you should include case studies which can demonstrate where advocacy support made a difference to a person with disability. Each case study should highlight a client’s experiences and outcomes. Ideally, each case study should include the type of advocacy provided (e</w:t>
      </w:r>
      <w:r w:rsidR="00C70C08">
        <w:t>.</w:t>
      </w:r>
      <w:r>
        <w:t>g</w:t>
      </w:r>
      <w:r w:rsidR="00C70C08">
        <w:t>.</w:t>
      </w:r>
      <w:r>
        <w:t xml:space="preserve"> individual, systemic etc</w:t>
      </w:r>
      <w:r w:rsidR="00C70C08">
        <w:t>.</w:t>
      </w:r>
      <w:r>
        <w:t>), background/context, the problem/issues (e</w:t>
      </w:r>
      <w:r w:rsidR="00C70C08">
        <w:t>.</w:t>
      </w:r>
      <w:r>
        <w:t>g</w:t>
      </w:r>
      <w:r w:rsidR="00C70C08">
        <w:t>.</w:t>
      </w:r>
      <w:r>
        <w:t xml:space="preserve"> discrimination/rights, health/mental health, finances, NDIS – access/planning), aim of the advocacy support, action taken and the results. It would be beneficial to include what the gains were for client and any recommendation/learnings for the provider.</w:t>
      </w:r>
    </w:p>
    <w:p w14:paraId="3B3AE7BA" w14:textId="77777777" w:rsidR="00F743B7" w:rsidRDefault="008949D6" w:rsidP="00F86CFC">
      <w:pPr>
        <w:pStyle w:val="Heading2"/>
        <w:numPr>
          <w:ilvl w:val="1"/>
          <w:numId w:val="11"/>
        </w:numPr>
      </w:pPr>
      <w:bookmarkStart w:id="37" w:name="_Toc134713570"/>
      <w:bookmarkStart w:id="38" w:name="_Toc134713571"/>
      <w:bookmarkStart w:id="39" w:name="_Toc144895260"/>
      <w:bookmarkEnd w:id="37"/>
      <w:bookmarkEnd w:id="38"/>
      <w:r>
        <w:t>Six monthly performance reporting</w:t>
      </w:r>
      <w:bookmarkEnd w:id="39"/>
    </w:p>
    <w:p w14:paraId="552B7522" w14:textId="773A1967" w:rsidR="003D7282" w:rsidRDefault="00827141" w:rsidP="00F86CFC">
      <w:pPr>
        <w:pStyle w:val="BodyText"/>
      </w:pPr>
      <w:r>
        <w:t>The data items collected in DEX are divided into two parts:</w:t>
      </w:r>
    </w:p>
    <w:p w14:paraId="7C42CB8A" w14:textId="09A6D40E" w:rsidR="00827141" w:rsidRDefault="00C07578" w:rsidP="00D9450E">
      <w:pPr>
        <w:pStyle w:val="ListParagraph"/>
        <w:numPr>
          <w:ilvl w:val="0"/>
          <w:numId w:val="10"/>
        </w:numPr>
      </w:pPr>
      <w:r>
        <w:t>a</w:t>
      </w:r>
      <w:r w:rsidR="00827141">
        <w:t xml:space="preserve"> set of </w:t>
      </w:r>
      <w:r w:rsidR="00827141" w:rsidRPr="00F86CFC">
        <w:rPr>
          <w:b/>
        </w:rPr>
        <w:t>priority requirements</w:t>
      </w:r>
      <w:r w:rsidR="00C0104B" w:rsidRPr="00F86CFC">
        <w:t>,</w:t>
      </w:r>
      <w:r w:rsidR="00827141" w:rsidRPr="00C0104B">
        <w:t xml:space="preserve"> </w:t>
      </w:r>
      <w:r w:rsidR="00827141">
        <w:t>including client level data and service delivery information</w:t>
      </w:r>
    </w:p>
    <w:p w14:paraId="03474F49" w14:textId="558E4E54" w:rsidR="00A1253B" w:rsidRDefault="00C07578" w:rsidP="007A4C81">
      <w:pPr>
        <w:pStyle w:val="ListParagraph"/>
        <w:numPr>
          <w:ilvl w:val="0"/>
          <w:numId w:val="10"/>
        </w:numPr>
      </w:pPr>
      <w:r>
        <w:t>a</w:t>
      </w:r>
      <w:r w:rsidR="00827141">
        <w:t xml:space="preserve">n extended data set known as the </w:t>
      </w:r>
      <w:r w:rsidR="00827141" w:rsidRPr="00F86CFC">
        <w:rPr>
          <w:b/>
        </w:rPr>
        <w:t>partnership approach</w:t>
      </w:r>
      <w:r w:rsidR="00827141">
        <w:t>.</w:t>
      </w:r>
    </w:p>
    <w:p w14:paraId="6F2A4474" w14:textId="39B22BCE" w:rsidR="00BB6A58" w:rsidRDefault="00C0104B" w:rsidP="00F86CFC">
      <w:pPr>
        <w:pStyle w:val="BodyText"/>
      </w:pPr>
      <w:r>
        <w:t>NDAP p</w:t>
      </w:r>
      <w:r w:rsidR="00B65A6E">
        <w:t>roviders are required to provide client level data and service delivery information from all recipients of the relevant funded activity in accordance with</w:t>
      </w:r>
      <w:r w:rsidR="00BB6A58">
        <w:t xml:space="preserve"> the following, which can be found on the </w:t>
      </w:r>
      <w:r w:rsidR="00C70C08">
        <w:t>Data Exchange</w:t>
      </w:r>
      <w:r w:rsidR="00BB6A58">
        <w:t xml:space="preserve"> </w:t>
      </w:r>
      <w:r w:rsidR="00C70C08">
        <w:t>w</w:t>
      </w:r>
      <w:r w:rsidR="00BB6A58">
        <w:t>ebsite:</w:t>
      </w:r>
      <w:r w:rsidR="00B65A6E">
        <w:t xml:space="preserve"> </w:t>
      </w:r>
    </w:p>
    <w:p w14:paraId="735C88D8" w14:textId="2895D0DF" w:rsidR="00BB6A58" w:rsidRDefault="00B65A6E" w:rsidP="00156D99">
      <w:pPr>
        <w:pStyle w:val="ListParagraph"/>
        <w:numPr>
          <w:ilvl w:val="0"/>
          <w:numId w:val="10"/>
        </w:numPr>
      </w:pPr>
      <w:r>
        <w:t xml:space="preserve">the Data Exchange </w:t>
      </w:r>
      <w:hyperlink r:id="rId19">
        <w:r w:rsidRPr="00F86CFC">
          <w:t>Protocols</w:t>
        </w:r>
      </w:hyperlink>
      <w:r w:rsidR="00BB6A58">
        <w:t>:</w:t>
      </w:r>
      <w:r w:rsidR="00C70C08">
        <w:t xml:space="preserve"> </w:t>
      </w:r>
      <w:hyperlink r:id="rId20" w:history="1">
        <w:r w:rsidR="003D7282">
          <w:rPr>
            <w:rStyle w:val="Hyperlink"/>
          </w:rPr>
          <w:t>https://dex.dss.gov.au/data-exchange-protocols</w:t>
        </w:r>
      </w:hyperlink>
    </w:p>
    <w:p w14:paraId="5CBA8FB6" w14:textId="42DD5031" w:rsidR="00DA634A" w:rsidRDefault="00BB6A58" w:rsidP="00156D99">
      <w:pPr>
        <w:pStyle w:val="ListParagraph"/>
        <w:numPr>
          <w:ilvl w:val="0"/>
          <w:numId w:val="10"/>
        </w:numPr>
      </w:pPr>
      <w:r>
        <w:t xml:space="preserve">Program Specific Guidance for Commonwealth Agencies in the Data Exchange: </w:t>
      </w:r>
      <w:hyperlink r:id="rId21" w:history="1">
        <w:r w:rsidR="00695233">
          <w:rPr>
            <w:rStyle w:val="Hyperlink"/>
          </w:rPr>
          <w:t>https://dex.dss.gov.au/document/466</w:t>
        </w:r>
      </w:hyperlink>
      <w:r w:rsidR="005E205A">
        <w:t>.</w:t>
      </w:r>
      <w:r w:rsidR="00827141">
        <w:t xml:space="preserve"> </w:t>
      </w:r>
    </w:p>
    <w:p w14:paraId="6F4E8E02" w14:textId="69099820" w:rsidR="00970B96" w:rsidRDefault="00970B96" w:rsidP="00970B96">
      <w:pPr>
        <w:pStyle w:val="BodyText"/>
      </w:pPr>
      <w:r w:rsidRPr="00FC3F88">
        <w:t xml:space="preserve">The Program Specific Guidance is updated periodically when amendments are required. Providers will be advised if the guidance is updated via their </w:t>
      </w:r>
      <w:r>
        <w:t>FAM.</w:t>
      </w:r>
    </w:p>
    <w:p w14:paraId="159C2899" w14:textId="77777777" w:rsidR="007A4C81" w:rsidRDefault="007A4C81">
      <w:r>
        <w:br w:type="page"/>
      </w:r>
    </w:p>
    <w:p w14:paraId="5C017FFF" w14:textId="56585405" w:rsidR="00F743B7" w:rsidRDefault="008949D6" w:rsidP="00F86CFC">
      <w:pPr>
        <w:pStyle w:val="BodyText"/>
      </w:pPr>
      <w:r>
        <w:lastRenderedPageBreak/>
        <w:t xml:space="preserve">DEX has two standardised </w:t>
      </w:r>
      <w:proofErr w:type="gramStart"/>
      <w:r>
        <w:t>six monthly</w:t>
      </w:r>
      <w:proofErr w:type="gramEnd"/>
      <w:r>
        <w:t xml:space="preserve"> performance reporting periods each financial year:</w:t>
      </w:r>
    </w:p>
    <w:p w14:paraId="40983D84" w14:textId="30CBCF57" w:rsidR="00F743B7" w:rsidRPr="00F86CFC" w:rsidRDefault="008949D6" w:rsidP="00D9450E">
      <w:pPr>
        <w:pStyle w:val="ListParagraph"/>
        <w:numPr>
          <w:ilvl w:val="0"/>
          <w:numId w:val="10"/>
        </w:numPr>
      </w:pPr>
      <w:r>
        <w:t>Reporting Period 1 runs from 1 July to 31</w:t>
      </w:r>
      <w:r w:rsidRPr="00F86CFC">
        <w:t xml:space="preserve"> </w:t>
      </w:r>
      <w:r>
        <w:t>December</w:t>
      </w:r>
      <w:r w:rsidR="00156D99">
        <w:t>.</w:t>
      </w:r>
    </w:p>
    <w:p w14:paraId="2B7CCFAA" w14:textId="3800635E" w:rsidR="00F743B7" w:rsidRPr="00F86CFC" w:rsidRDefault="008949D6" w:rsidP="00D9450E">
      <w:pPr>
        <w:pStyle w:val="ListParagraph"/>
        <w:numPr>
          <w:ilvl w:val="0"/>
          <w:numId w:val="10"/>
        </w:numPr>
      </w:pPr>
      <w:r>
        <w:t>Reporting Period 2 runs from 1 January to 30</w:t>
      </w:r>
      <w:r w:rsidRPr="00F86CFC">
        <w:t xml:space="preserve"> </w:t>
      </w:r>
      <w:r>
        <w:t>June</w:t>
      </w:r>
      <w:r w:rsidR="00156D99">
        <w:t>.</w:t>
      </w:r>
    </w:p>
    <w:p w14:paraId="60DD8827" w14:textId="47E97EB2" w:rsidR="00F743B7" w:rsidRDefault="00F42F3D" w:rsidP="00F86CFC">
      <w:pPr>
        <w:pStyle w:val="BodyText"/>
      </w:pPr>
      <w:r>
        <w:t>NDAP p</w:t>
      </w:r>
      <w:r w:rsidR="008949D6">
        <w:t xml:space="preserve">roviders are required to report for any session delivered in the Reporting Period. They can enter data at any time within a reporting </w:t>
      </w:r>
      <w:proofErr w:type="gramStart"/>
      <w:r w:rsidR="008949D6">
        <w:t>period, and</w:t>
      </w:r>
      <w:proofErr w:type="gramEnd"/>
      <w:r w:rsidR="008949D6">
        <w:t xml:space="preserve"> are encouraged to do so regularly to make best use of the self-service reports and avoid unnecessary backlog.</w:t>
      </w:r>
    </w:p>
    <w:p w14:paraId="4C89FA27" w14:textId="498A6473" w:rsidR="00F743B7" w:rsidRDefault="008949D6" w:rsidP="00F86CFC">
      <w:pPr>
        <w:pStyle w:val="BodyText"/>
      </w:pPr>
      <w:r>
        <w:t xml:space="preserve">The </w:t>
      </w:r>
      <w:r w:rsidR="00C70C08">
        <w:t>R</w:t>
      </w:r>
      <w:r>
        <w:t xml:space="preserve">eporting </w:t>
      </w:r>
      <w:r w:rsidR="00C70C08">
        <w:t>P</w:t>
      </w:r>
      <w:r>
        <w:t xml:space="preserve">eriod automatically closes at the end of the 30 days (i.e. 30 July and 30 January each year). </w:t>
      </w:r>
      <w:r w:rsidR="00F42F3D">
        <w:t>NDAP p</w:t>
      </w:r>
      <w:r>
        <w:t xml:space="preserve">roviders are required to finalise the submission of data within </w:t>
      </w:r>
      <w:r w:rsidR="00DA21EB">
        <w:t>DEX</w:t>
      </w:r>
      <w:r>
        <w:t xml:space="preserve"> for each reporting period within 30 days of the reporting period ceasing, known as ‘closing </w:t>
      </w:r>
      <w:proofErr w:type="gramStart"/>
      <w:r>
        <w:t>periods’</w:t>
      </w:r>
      <w:proofErr w:type="gramEnd"/>
      <w:r>
        <w:t>.</w:t>
      </w:r>
    </w:p>
    <w:p w14:paraId="361C3084" w14:textId="1EBB5480" w:rsidR="00F82887" w:rsidRDefault="00F82887" w:rsidP="00F86CFC">
      <w:pPr>
        <w:pStyle w:val="BodyText"/>
      </w:pPr>
      <w:r>
        <w:t xml:space="preserve">Once a </w:t>
      </w:r>
      <w:r w:rsidR="00C70C08">
        <w:t>R</w:t>
      </w:r>
      <w:r>
        <w:t xml:space="preserve">eporting </w:t>
      </w:r>
      <w:r w:rsidR="00C70C08">
        <w:t>P</w:t>
      </w:r>
      <w:r>
        <w:t xml:space="preserve">eriod has closed, data relating to that period of time will no longer be able to be recorded. Data outside a </w:t>
      </w:r>
      <w:r w:rsidR="00C70C08">
        <w:t>R</w:t>
      </w:r>
      <w:r>
        <w:t xml:space="preserve">eporting </w:t>
      </w:r>
      <w:r w:rsidR="00C70C08">
        <w:t>P</w:t>
      </w:r>
      <w:r>
        <w:t>eriod may only be entered if a provider has sought and been granted an extension</w:t>
      </w:r>
      <w:r w:rsidR="00482976">
        <w:t>.</w:t>
      </w:r>
    </w:p>
    <w:p w14:paraId="37EE9F3D" w14:textId="265ECEDA" w:rsidR="00482976" w:rsidRDefault="00482976" w:rsidP="00F86CFC">
      <w:pPr>
        <w:pStyle w:val="BodyText"/>
      </w:pPr>
      <w:r>
        <w:t>Providers who offer support under the citizen advocacy model of NDAP are to record the protégé as the client for outcomes reporting purposes in DEX.</w:t>
      </w:r>
    </w:p>
    <w:p w14:paraId="1E3241F0" w14:textId="1F811487" w:rsidR="000C7E95" w:rsidRDefault="000C7E95" w:rsidP="000C7E95">
      <w:pPr>
        <w:pStyle w:val="BodyText"/>
      </w:pPr>
      <w:r w:rsidRPr="001D7D0D">
        <w:t xml:space="preserve">The </w:t>
      </w:r>
      <w:r>
        <w:t>D</w:t>
      </w:r>
      <w:r w:rsidRPr="001D7D0D">
        <w:t xml:space="preserve">epartment has a legal obligation to protect confidential information under the </w:t>
      </w:r>
      <w:hyperlink r:id="rId22" w:history="1">
        <w:r w:rsidRPr="00D974EB">
          <w:rPr>
            <w:rStyle w:val="Hyperlink"/>
            <w:rFonts w:eastAsiaTheme="majorEastAsia"/>
            <w:i/>
          </w:rPr>
          <w:t>Privacy Act 1988</w:t>
        </w:r>
      </w:hyperlink>
      <w:r w:rsidRPr="00D974EB">
        <w:rPr>
          <w:rStyle w:val="Hyperlink"/>
          <w:rFonts w:ascii="Calibri" w:hAnsi="Calibri" w:cs="Calibri"/>
          <w:i/>
          <w:iCs/>
          <w:u w:val="none"/>
        </w:rPr>
        <w:t xml:space="preserve"> </w:t>
      </w:r>
      <w:r w:rsidRPr="001D7D0D">
        <w:t xml:space="preserve">and other relevant legislation. Considering this, the Data Exchange ensures a client’s personal information is protected through strict protocols that comply with the requirements of these </w:t>
      </w:r>
      <w:r>
        <w:t>A</w:t>
      </w:r>
      <w:r w:rsidRPr="001D7D0D">
        <w:t xml:space="preserve">cts, including the </w:t>
      </w:r>
      <w:hyperlink r:id="rId23" w:anchor=":~:text=There%20are%2013%20Australian%20Privacy%20Principles%20and%20they,rights%20of%20individuals%20to%20access%20their%20personal%20information" w:history="1">
        <w:r w:rsidRPr="001D7D0D">
          <w:rPr>
            <w:rStyle w:val="Hyperlink"/>
            <w:rFonts w:eastAsiaTheme="majorEastAsia"/>
          </w:rPr>
          <w:t>Australian Privacy Principl</w:t>
        </w:r>
        <w:r w:rsidR="00D316A7">
          <w:rPr>
            <w:rStyle w:val="Hyperlink"/>
            <w:rFonts w:eastAsiaTheme="majorEastAsia"/>
          </w:rPr>
          <w:t>e</w:t>
        </w:r>
        <w:r w:rsidRPr="001D7D0D">
          <w:rPr>
            <w:rStyle w:val="Hyperlink"/>
            <w:rFonts w:eastAsiaTheme="majorEastAsia"/>
          </w:rPr>
          <w:t>s</w:t>
        </w:r>
      </w:hyperlink>
      <w:r w:rsidR="00970B96">
        <w:rPr>
          <w:rStyle w:val="Hyperlink"/>
          <w:rFonts w:eastAsiaTheme="majorEastAsia"/>
        </w:rPr>
        <w:t>.</w:t>
      </w:r>
      <w:r w:rsidRPr="001D7D0D">
        <w:t xml:space="preserve"> </w:t>
      </w:r>
    </w:p>
    <w:p w14:paraId="3707DC16" w14:textId="77777777" w:rsidR="00F743B7" w:rsidRDefault="008949D6" w:rsidP="00F86CFC">
      <w:pPr>
        <w:pStyle w:val="Heading2"/>
        <w:numPr>
          <w:ilvl w:val="1"/>
          <w:numId w:val="11"/>
        </w:numPr>
      </w:pPr>
      <w:bookmarkStart w:id="40" w:name="_Toc144895261"/>
      <w:r>
        <w:t>Partnership approach</w:t>
      </w:r>
      <w:bookmarkEnd w:id="40"/>
    </w:p>
    <w:p w14:paraId="6C0ECD71" w14:textId="45592175" w:rsidR="00DA634A" w:rsidRDefault="00DA634A" w:rsidP="00F86CFC">
      <w:pPr>
        <w:pStyle w:val="BodyText"/>
      </w:pPr>
      <w:r>
        <w:t xml:space="preserve">For all NDAP providers, participation in the ‘partnership approach’ is a mandatory requirement of funding from Reporting Period 2, </w:t>
      </w:r>
      <w:r w:rsidR="00F82887">
        <w:t>January</w:t>
      </w:r>
      <w:r>
        <w:t xml:space="preserve"> 2021. By participating, NDAP providers provide the Department with some additional information in exchange for </w:t>
      </w:r>
      <w:r w:rsidR="007C2613">
        <w:t>the receipt of regular and relevant reports.</w:t>
      </w:r>
    </w:p>
    <w:p w14:paraId="6AA027C5" w14:textId="148436F3" w:rsidR="00504090" w:rsidRDefault="00DA634A" w:rsidP="00504090">
      <w:pPr>
        <w:pStyle w:val="BodyText"/>
      </w:pPr>
      <w:r>
        <w:t xml:space="preserve">The main focus of the partnership approach is collecting information </w:t>
      </w:r>
      <w:r w:rsidR="00C70C08">
        <w:t>on client</w:t>
      </w:r>
      <w:r>
        <w:t xml:space="preserve"> outcomes achieved as a result of service </w:t>
      </w:r>
      <w:r w:rsidR="00F82887">
        <w:t>delivery</w:t>
      </w:r>
      <w:r w:rsidR="009501DF">
        <w:t>. This</w:t>
      </w:r>
      <w:r w:rsidR="008949D6">
        <w:t xml:space="preserve"> includes information about a client’s presenting needs and circumstances, such as the reason for seeking assistance, referrals (in and out), household composition and income status. </w:t>
      </w:r>
      <w:r w:rsidR="00504090">
        <w:t xml:space="preserve">Collecting </w:t>
      </w:r>
      <w:proofErr w:type="gramStart"/>
      <w:r w:rsidR="00504090">
        <w:t>outcomes based</w:t>
      </w:r>
      <w:proofErr w:type="gramEnd"/>
      <w:r w:rsidR="00504090">
        <w:t xml:space="preserve"> data assists the Department to make recommendations to government about the future of the program, including funding.</w:t>
      </w:r>
    </w:p>
    <w:p w14:paraId="198E263C" w14:textId="5649844F" w:rsidR="00C70C08" w:rsidRDefault="00504090" w:rsidP="00C70C08">
      <w:pPr>
        <w:pStyle w:val="BodyText"/>
      </w:pPr>
      <w:r>
        <w:t xml:space="preserve">As part of the partnership approach, NDAP providers record client outcomes known as </w:t>
      </w:r>
      <w:r w:rsidR="008949D6">
        <w:t>Standard Client/Community Outcomes Reporting (SCORE)</w:t>
      </w:r>
      <w:r>
        <w:t xml:space="preserve"> reporting</w:t>
      </w:r>
      <w:r w:rsidR="008949D6">
        <w:t xml:space="preserve">. </w:t>
      </w:r>
      <w:r w:rsidR="00103F35">
        <w:t>The collection of SCORE data is divided into two parts, an initial SCORE recorded toward the beginning of service delivery and a follow-up SCORE recorded toward the end of service delivery. Where practical</w:t>
      </w:r>
      <w:r>
        <w:t>, providers can also collect SCORE assessments periodically throughout service delivery.</w:t>
      </w:r>
      <w:r w:rsidR="00AB266E">
        <w:t xml:space="preserve"> </w:t>
      </w:r>
      <w:r w:rsidR="00103F35">
        <w:t>NDAP providers are expected to report client circumstances SCOREs for the majority of their clients (over 50%).</w:t>
      </w:r>
      <w:r w:rsidR="00AB266E">
        <w:t xml:space="preserve"> </w:t>
      </w:r>
    </w:p>
    <w:p w14:paraId="1D08DCD9" w14:textId="3F5A4324" w:rsidR="00F82887" w:rsidRDefault="00F82887" w:rsidP="00F86CFC">
      <w:pPr>
        <w:pStyle w:val="BodyText"/>
      </w:pPr>
      <w:r>
        <w:t xml:space="preserve">NDAP providers must meet minimum requirements as specified in the Program Specific Guidance, which can be found on the Data Exchange website: </w:t>
      </w:r>
      <w:hyperlink r:id="rId24" w:history="1">
        <w:r w:rsidRPr="00FC3F88">
          <w:rPr>
            <w:rStyle w:val="Hyperlink"/>
          </w:rPr>
          <w:t>https://dex.dss.gov.au/sites/default/files/documents/2022-08/1471-program-specific-guidance.pdf</w:t>
        </w:r>
      </w:hyperlink>
      <w:r w:rsidRPr="00FC3F88">
        <w:t xml:space="preserve">. </w:t>
      </w:r>
    </w:p>
    <w:p w14:paraId="75900F13" w14:textId="42F6136C" w:rsidR="00AB266E" w:rsidRDefault="00AB266E" w:rsidP="00AB266E">
      <w:pPr>
        <w:pStyle w:val="BodyText"/>
      </w:pPr>
      <w:r>
        <w:t xml:space="preserve">NDAP providers should refer to the Data Exchange Protocols, for practical information about the requirements of the partnership approach: </w:t>
      </w:r>
      <w:hyperlink r:id="rId25" w:history="1">
        <w:r>
          <w:rPr>
            <w:rStyle w:val="Hyperlink"/>
          </w:rPr>
          <w:t>https://dex.dss.gov.au/data-exchange-protocols</w:t>
        </w:r>
      </w:hyperlink>
      <w:r>
        <w:t>.</w:t>
      </w:r>
    </w:p>
    <w:p w14:paraId="0599E620" w14:textId="77777777" w:rsidR="00443E28" w:rsidRDefault="008949D6" w:rsidP="00590813">
      <w:pPr>
        <w:pStyle w:val="BodyText"/>
      </w:pPr>
      <w:r>
        <w:t xml:space="preserve">Further information </w:t>
      </w:r>
      <w:r w:rsidR="00250415">
        <w:t>on</w:t>
      </w:r>
      <w:r>
        <w:t xml:space="preserve"> the partnership approach can be found </w:t>
      </w:r>
      <w:r w:rsidR="003D7282">
        <w:t>on the Data Exchange website:</w:t>
      </w:r>
      <w:r w:rsidR="00BB6A58">
        <w:t xml:space="preserve"> </w:t>
      </w:r>
      <w:hyperlink r:id="rId26" w:history="1">
        <w:r w:rsidR="00BB6A58">
          <w:rPr>
            <w:rStyle w:val="Hyperlink"/>
          </w:rPr>
          <w:t>https://dex.dss.gov.au/</w:t>
        </w:r>
      </w:hyperlink>
      <w:r w:rsidR="003D7282">
        <w:t>.</w:t>
      </w:r>
    </w:p>
    <w:p w14:paraId="586E5D7C" w14:textId="5AE61E53" w:rsidR="00AD116A" w:rsidRDefault="00AD116A" w:rsidP="00AD116A">
      <w:pPr>
        <w:pStyle w:val="Heading2"/>
        <w:numPr>
          <w:ilvl w:val="1"/>
          <w:numId w:val="11"/>
        </w:numPr>
      </w:pPr>
      <w:bookmarkStart w:id="41" w:name="_Toc144895262"/>
      <w:r>
        <w:lastRenderedPageBreak/>
        <w:t>Financial Acquittal Report</w:t>
      </w:r>
      <w:bookmarkEnd w:id="41"/>
    </w:p>
    <w:p w14:paraId="7F7FF367" w14:textId="403A5690" w:rsidR="00F743B7" w:rsidRDefault="008949D6" w:rsidP="00AD116A">
      <w:pPr>
        <w:pStyle w:val="BodyText"/>
      </w:pPr>
      <w:r>
        <w:t xml:space="preserve">A Financial Acquittal must be submitted for each financial year (FY) funded under the Grant Agreement - to align with the relevant FY 1 July to 30 June and submitted on 31 October following the end of the FY. This declaration is a certification from the </w:t>
      </w:r>
      <w:r w:rsidR="005F2903">
        <w:t xml:space="preserve">grant recipient </w:t>
      </w:r>
      <w:r>
        <w:t xml:space="preserve">stating that the funds were spent for the purpose as outlined in the Grant Agreement and in-which the </w:t>
      </w:r>
      <w:r w:rsidR="005F2903">
        <w:t xml:space="preserve">grant recipient </w:t>
      </w:r>
      <w:r>
        <w:t>is required to declare unspent funds.</w:t>
      </w:r>
    </w:p>
    <w:p w14:paraId="6478E16E" w14:textId="631B483E" w:rsidR="00F743B7" w:rsidRDefault="008949D6" w:rsidP="00F86CFC">
      <w:pPr>
        <w:pStyle w:val="Heading2"/>
        <w:numPr>
          <w:ilvl w:val="1"/>
          <w:numId w:val="11"/>
        </w:numPr>
      </w:pPr>
      <w:bookmarkStart w:id="42" w:name="_Reporting_milestones"/>
      <w:bookmarkStart w:id="43" w:name="_Toc144895263"/>
      <w:bookmarkEnd w:id="42"/>
      <w:r>
        <w:t>Reporting</w:t>
      </w:r>
      <w:r w:rsidR="005F2903">
        <w:t xml:space="preserve"> milestones</w:t>
      </w:r>
      <w:bookmarkEnd w:id="43"/>
    </w:p>
    <w:p w14:paraId="28AF63F7" w14:textId="2DA316B5" w:rsidR="005F2903" w:rsidRDefault="005F2903" w:rsidP="00F86CFC">
      <w:pPr>
        <w:pStyle w:val="BodyText"/>
      </w:pPr>
      <w:r>
        <w:t xml:space="preserve">The table below summarises the reporting requirements the </w:t>
      </w:r>
      <w:r w:rsidR="0004327B">
        <w:t>grant recipient</w:t>
      </w:r>
      <w:r>
        <w:t xml:space="preserve"> agrees to as a requirement of funding</w:t>
      </w:r>
      <w:r w:rsidR="007C2613">
        <w:t>.</w:t>
      </w:r>
      <w:r>
        <w:t xml:space="preserve"> </w:t>
      </w:r>
    </w:p>
    <w:tbl>
      <w:tblPr>
        <w:tblStyle w:val="TableGrid"/>
        <w:tblW w:w="9126" w:type="dxa"/>
        <w:tblLayout w:type="fixed"/>
        <w:tblLook w:val="07A0" w:firstRow="1" w:lastRow="0" w:firstColumn="1" w:lastColumn="1" w:noHBand="1" w:noVBand="1"/>
        <w:tblCaption w:val="Reporting Milestones"/>
        <w:tblDescription w:val="The table summarises the milestone reporting requirements with due dates"/>
      </w:tblPr>
      <w:tblGrid>
        <w:gridCol w:w="2837"/>
        <w:gridCol w:w="3879"/>
        <w:gridCol w:w="2410"/>
      </w:tblGrid>
      <w:tr w:rsidR="005F2903" w14:paraId="3A70B3DD" w14:textId="77777777" w:rsidTr="008B3DE5">
        <w:trPr>
          <w:cantSplit/>
          <w:trHeight w:val="373"/>
          <w:tblHeader/>
        </w:trPr>
        <w:tc>
          <w:tcPr>
            <w:tcW w:w="2837" w:type="dxa"/>
            <w:shd w:val="clear" w:color="auto" w:fill="D6E3BC" w:themeFill="accent3" w:themeFillTint="66"/>
          </w:tcPr>
          <w:p w14:paraId="1A91EF7F" w14:textId="77777777" w:rsidR="005F2903" w:rsidRPr="000F099E" w:rsidRDefault="005F2903" w:rsidP="00F86CFC">
            <w:pPr>
              <w:pStyle w:val="BodyText"/>
              <w:rPr>
                <w:b/>
              </w:rPr>
            </w:pPr>
            <w:r w:rsidRPr="000F099E">
              <w:rPr>
                <w:b/>
              </w:rPr>
              <w:t>Milestone</w:t>
            </w:r>
          </w:p>
        </w:tc>
        <w:tc>
          <w:tcPr>
            <w:tcW w:w="3879" w:type="dxa"/>
            <w:shd w:val="clear" w:color="auto" w:fill="D6E3BC" w:themeFill="accent3" w:themeFillTint="66"/>
          </w:tcPr>
          <w:p w14:paraId="6B9D9248" w14:textId="77777777" w:rsidR="005F2903" w:rsidRPr="000F099E" w:rsidRDefault="005F2903" w:rsidP="00F86CFC">
            <w:pPr>
              <w:pStyle w:val="BodyText"/>
              <w:rPr>
                <w:b/>
              </w:rPr>
            </w:pPr>
            <w:r w:rsidRPr="000F099E">
              <w:rPr>
                <w:b/>
              </w:rPr>
              <w:t>Information to be included</w:t>
            </w:r>
          </w:p>
        </w:tc>
        <w:tc>
          <w:tcPr>
            <w:tcW w:w="2410" w:type="dxa"/>
            <w:shd w:val="clear" w:color="auto" w:fill="D6E3BC" w:themeFill="accent3" w:themeFillTint="66"/>
          </w:tcPr>
          <w:p w14:paraId="1701C85F" w14:textId="77777777" w:rsidR="005F2903" w:rsidRPr="000F099E" w:rsidRDefault="005F2903" w:rsidP="00F86CFC">
            <w:pPr>
              <w:pStyle w:val="BodyText"/>
              <w:rPr>
                <w:b/>
              </w:rPr>
            </w:pPr>
            <w:r w:rsidRPr="000F099E">
              <w:rPr>
                <w:b/>
              </w:rPr>
              <w:t>Due Date</w:t>
            </w:r>
          </w:p>
        </w:tc>
      </w:tr>
      <w:tr w:rsidR="005F2903" w14:paraId="11D3A909" w14:textId="77777777" w:rsidTr="008B3DE5">
        <w:trPr>
          <w:trHeight w:val="373"/>
        </w:trPr>
        <w:tc>
          <w:tcPr>
            <w:tcW w:w="2837" w:type="dxa"/>
          </w:tcPr>
          <w:p w14:paraId="334F59D0" w14:textId="77777777" w:rsidR="005F2903" w:rsidRPr="00F86CFC" w:rsidRDefault="005F2903" w:rsidP="00F86CFC">
            <w:pPr>
              <w:pStyle w:val="BodyText"/>
            </w:pPr>
            <w:r w:rsidRPr="00F86CFC">
              <w:t>Performance Report</w:t>
            </w:r>
          </w:p>
        </w:tc>
        <w:tc>
          <w:tcPr>
            <w:tcW w:w="3879" w:type="dxa"/>
          </w:tcPr>
          <w:p w14:paraId="06355AEE" w14:textId="77777777" w:rsidR="005F2903" w:rsidRPr="00F86CFC" w:rsidRDefault="005F2903" w:rsidP="00F86CFC">
            <w:pPr>
              <w:pStyle w:val="BodyText"/>
            </w:pPr>
            <w:r w:rsidRPr="00F86CFC">
              <w:t>Finalisation of Data Exchange period 2 data (1 January to 30 June), as set out in the Data Exchange Protocols, as per Item E.1</w:t>
            </w:r>
          </w:p>
        </w:tc>
        <w:tc>
          <w:tcPr>
            <w:tcW w:w="2410" w:type="dxa"/>
          </w:tcPr>
          <w:p w14:paraId="133C77FC" w14:textId="77777777" w:rsidR="005F2903" w:rsidRPr="00F86CFC" w:rsidRDefault="005F2903" w:rsidP="00F86CFC">
            <w:pPr>
              <w:pStyle w:val="BodyText"/>
            </w:pPr>
            <w:r w:rsidRPr="00F86CFC">
              <w:t>30 July 2023</w:t>
            </w:r>
          </w:p>
        </w:tc>
      </w:tr>
      <w:tr w:rsidR="005F2903" w14:paraId="132428F5" w14:textId="77777777" w:rsidTr="008B3DE5">
        <w:trPr>
          <w:trHeight w:val="373"/>
        </w:trPr>
        <w:tc>
          <w:tcPr>
            <w:tcW w:w="2837" w:type="dxa"/>
          </w:tcPr>
          <w:p w14:paraId="00087160" w14:textId="77777777" w:rsidR="005F2903" w:rsidRPr="00F86CFC" w:rsidRDefault="005F2903" w:rsidP="00F86CFC">
            <w:pPr>
              <w:pStyle w:val="BodyText"/>
            </w:pPr>
            <w:r w:rsidRPr="00F86CFC">
              <w:t>Activity Work Plan Report</w:t>
            </w:r>
          </w:p>
        </w:tc>
        <w:tc>
          <w:tcPr>
            <w:tcW w:w="3879" w:type="dxa"/>
          </w:tcPr>
          <w:p w14:paraId="5EF21EB4" w14:textId="7553FD55" w:rsidR="005F2903" w:rsidRPr="00F86CFC" w:rsidRDefault="005F2903" w:rsidP="00F86CFC">
            <w:pPr>
              <w:pStyle w:val="BodyText"/>
            </w:pPr>
            <w:r w:rsidRPr="00F86CFC">
              <w:t>A report with progress against Activity Work Plan, compliance or other reporting as set out in Item E.4</w:t>
            </w:r>
          </w:p>
        </w:tc>
        <w:tc>
          <w:tcPr>
            <w:tcW w:w="2410" w:type="dxa"/>
          </w:tcPr>
          <w:p w14:paraId="0990CD64" w14:textId="77777777" w:rsidR="005F2903" w:rsidRPr="00F86CFC" w:rsidRDefault="005F2903" w:rsidP="00F86CFC">
            <w:pPr>
              <w:pStyle w:val="BodyText"/>
            </w:pPr>
            <w:r w:rsidRPr="00F86CFC">
              <w:t>15 August 2023</w:t>
            </w:r>
          </w:p>
        </w:tc>
      </w:tr>
      <w:tr w:rsidR="005F2903" w14:paraId="2B490F7D" w14:textId="77777777" w:rsidTr="008B3DE5">
        <w:trPr>
          <w:trHeight w:val="373"/>
        </w:trPr>
        <w:tc>
          <w:tcPr>
            <w:tcW w:w="2837" w:type="dxa"/>
          </w:tcPr>
          <w:p w14:paraId="6D43F83F" w14:textId="77777777" w:rsidR="005F2903" w:rsidRPr="00F86CFC" w:rsidRDefault="005F2903" w:rsidP="00F86CFC">
            <w:pPr>
              <w:pStyle w:val="BodyText"/>
            </w:pPr>
            <w:r w:rsidRPr="00F86CFC">
              <w:t>Financial Acquittal Report</w:t>
            </w:r>
          </w:p>
        </w:tc>
        <w:tc>
          <w:tcPr>
            <w:tcW w:w="3879" w:type="dxa"/>
          </w:tcPr>
          <w:p w14:paraId="63978065" w14:textId="222053B8" w:rsidR="005F2903" w:rsidRPr="00F86CFC" w:rsidRDefault="005F2903">
            <w:pPr>
              <w:pStyle w:val="BodyText"/>
            </w:pPr>
            <w:r w:rsidRPr="00F86CFC">
              <w:t>Financial Acquittal from 1 July 202</w:t>
            </w:r>
            <w:r w:rsidR="00EE2DEA">
              <w:t>2</w:t>
            </w:r>
            <w:r w:rsidRPr="00F86CFC">
              <w:t xml:space="preserve"> to 30 June 202</w:t>
            </w:r>
            <w:r w:rsidR="00EE2DEA">
              <w:t>3</w:t>
            </w:r>
            <w:r w:rsidRPr="00F86CFC">
              <w:t xml:space="preserve"> as per Item E.3.</w:t>
            </w:r>
          </w:p>
        </w:tc>
        <w:tc>
          <w:tcPr>
            <w:tcW w:w="2410" w:type="dxa"/>
          </w:tcPr>
          <w:p w14:paraId="4625981B" w14:textId="320F18AE" w:rsidR="005F2903" w:rsidRPr="00F86CFC" w:rsidRDefault="005F2903" w:rsidP="00CC54F4">
            <w:pPr>
              <w:pStyle w:val="BodyText"/>
            </w:pPr>
            <w:r w:rsidRPr="00F86CFC">
              <w:t xml:space="preserve">31 </w:t>
            </w:r>
            <w:r w:rsidR="00CC54F4">
              <w:t>October</w:t>
            </w:r>
            <w:r w:rsidR="00CC54F4" w:rsidRPr="00F86CFC">
              <w:t xml:space="preserve"> </w:t>
            </w:r>
            <w:r w:rsidRPr="00F86CFC">
              <w:t>2023</w:t>
            </w:r>
          </w:p>
        </w:tc>
      </w:tr>
      <w:tr w:rsidR="005F2903" w14:paraId="7B26EA5D" w14:textId="77777777" w:rsidTr="008B3DE5">
        <w:trPr>
          <w:trHeight w:val="373"/>
        </w:trPr>
        <w:tc>
          <w:tcPr>
            <w:tcW w:w="2837" w:type="dxa"/>
          </w:tcPr>
          <w:p w14:paraId="2CE3F36C" w14:textId="77777777" w:rsidR="005F2903" w:rsidRPr="00F86CFC" w:rsidRDefault="005F2903" w:rsidP="00F86CFC">
            <w:pPr>
              <w:pStyle w:val="BodyText"/>
            </w:pPr>
            <w:r w:rsidRPr="00F86CFC">
              <w:t>Performance Report</w:t>
            </w:r>
          </w:p>
        </w:tc>
        <w:tc>
          <w:tcPr>
            <w:tcW w:w="3879" w:type="dxa"/>
          </w:tcPr>
          <w:p w14:paraId="3FFE34E0" w14:textId="3FCF17BB" w:rsidR="005F2903" w:rsidRPr="00F86CFC" w:rsidRDefault="005F2903" w:rsidP="00F86CFC">
            <w:pPr>
              <w:pStyle w:val="BodyText"/>
            </w:pPr>
            <w:r w:rsidRPr="00F86CFC">
              <w:t>Finalisation of Data Exchange period 1 data (1 July to 31 December), as set out in the Data Exchange Protocols, as per Item E.1</w:t>
            </w:r>
          </w:p>
        </w:tc>
        <w:tc>
          <w:tcPr>
            <w:tcW w:w="2410" w:type="dxa"/>
          </w:tcPr>
          <w:p w14:paraId="14F44C7C" w14:textId="77777777" w:rsidR="005F2903" w:rsidRPr="00F86CFC" w:rsidRDefault="005F2903" w:rsidP="00F86CFC">
            <w:pPr>
              <w:pStyle w:val="BodyText"/>
            </w:pPr>
            <w:r w:rsidRPr="00F86CFC">
              <w:t>30 January 2024</w:t>
            </w:r>
          </w:p>
        </w:tc>
      </w:tr>
      <w:tr w:rsidR="005F2903" w14:paraId="39C86907" w14:textId="77777777" w:rsidTr="008B3DE5">
        <w:trPr>
          <w:trHeight w:val="373"/>
        </w:trPr>
        <w:tc>
          <w:tcPr>
            <w:tcW w:w="2837" w:type="dxa"/>
          </w:tcPr>
          <w:p w14:paraId="1EF9F044" w14:textId="77777777" w:rsidR="005F2903" w:rsidRPr="00F86CFC" w:rsidRDefault="005F2903" w:rsidP="00F86CFC">
            <w:pPr>
              <w:pStyle w:val="BodyText"/>
            </w:pPr>
            <w:r w:rsidRPr="00F86CFC">
              <w:t>Statement of Compliance Report</w:t>
            </w:r>
          </w:p>
        </w:tc>
        <w:tc>
          <w:tcPr>
            <w:tcW w:w="3879" w:type="dxa"/>
          </w:tcPr>
          <w:p w14:paraId="75832B8E" w14:textId="06CE456B" w:rsidR="005F2903" w:rsidRPr="00F86CFC" w:rsidRDefault="005F2903" w:rsidP="00F86CFC">
            <w:pPr>
              <w:pStyle w:val="BodyText"/>
            </w:pPr>
            <w:r w:rsidRPr="00F86CFC">
              <w:t>Statement of Compliance Report as per Item E.4 relating to Child Safety</w:t>
            </w:r>
          </w:p>
        </w:tc>
        <w:tc>
          <w:tcPr>
            <w:tcW w:w="2410" w:type="dxa"/>
          </w:tcPr>
          <w:p w14:paraId="442AD208" w14:textId="77777777" w:rsidR="005F2903" w:rsidRPr="00F86CFC" w:rsidRDefault="005F2903" w:rsidP="00F86CFC">
            <w:pPr>
              <w:pStyle w:val="BodyText"/>
            </w:pPr>
            <w:r w:rsidRPr="00F86CFC">
              <w:t>31 March 2024</w:t>
            </w:r>
          </w:p>
        </w:tc>
      </w:tr>
      <w:tr w:rsidR="005F2903" w14:paraId="71D24CFF" w14:textId="77777777" w:rsidTr="008B3DE5">
        <w:trPr>
          <w:trHeight w:val="373"/>
        </w:trPr>
        <w:tc>
          <w:tcPr>
            <w:tcW w:w="2837" w:type="dxa"/>
          </w:tcPr>
          <w:p w14:paraId="58720F80" w14:textId="77777777" w:rsidR="005F2903" w:rsidRPr="00F86CFC" w:rsidRDefault="005F2903" w:rsidP="00F86CFC">
            <w:pPr>
              <w:pStyle w:val="BodyText"/>
            </w:pPr>
            <w:r w:rsidRPr="00F86CFC">
              <w:t>Performance Report</w:t>
            </w:r>
          </w:p>
        </w:tc>
        <w:tc>
          <w:tcPr>
            <w:tcW w:w="3879" w:type="dxa"/>
          </w:tcPr>
          <w:p w14:paraId="2AC99929" w14:textId="3249BD3D" w:rsidR="005F2903" w:rsidRPr="00F86CFC" w:rsidRDefault="005F2903" w:rsidP="00F86CFC">
            <w:pPr>
              <w:pStyle w:val="BodyText"/>
            </w:pPr>
            <w:r w:rsidRPr="00F86CFC">
              <w:t>Finalisation of Data Exchange period 2 data (1 January to 30 June), as set out in the Data Exchange Protocols, as per Item E.1</w:t>
            </w:r>
          </w:p>
        </w:tc>
        <w:tc>
          <w:tcPr>
            <w:tcW w:w="2410" w:type="dxa"/>
          </w:tcPr>
          <w:p w14:paraId="58773FAA" w14:textId="77777777" w:rsidR="005F2903" w:rsidRPr="00F86CFC" w:rsidRDefault="005F2903" w:rsidP="00F86CFC">
            <w:pPr>
              <w:pStyle w:val="BodyText"/>
            </w:pPr>
            <w:r w:rsidRPr="00F86CFC">
              <w:t>30 July 2024</w:t>
            </w:r>
          </w:p>
        </w:tc>
      </w:tr>
      <w:tr w:rsidR="005F2903" w14:paraId="44AC65D4" w14:textId="77777777" w:rsidTr="008B3DE5">
        <w:trPr>
          <w:trHeight w:val="373"/>
        </w:trPr>
        <w:tc>
          <w:tcPr>
            <w:tcW w:w="2837" w:type="dxa"/>
          </w:tcPr>
          <w:p w14:paraId="2BE0D696" w14:textId="77777777" w:rsidR="005F2903" w:rsidRPr="00F86CFC" w:rsidRDefault="005F2903" w:rsidP="00F86CFC">
            <w:pPr>
              <w:pStyle w:val="BodyText"/>
            </w:pPr>
            <w:r w:rsidRPr="00F86CFC">
              <w:t>Activity Work Plan Report</w:t>
            </w:r>
          </w:p>
        </w:tc>
        <w:tc>
          <w:tcPr>
            <w:tcW w:w="3879" w:type="dxa"/>
          </w:tcPr>
          <w:p w14:paraId="6B950D62" w14:textId="51ED9CCF" w:rsidR="005F2903" w:rsidRPr="00F86CFC" w:rsidRDefault="005F2903" w:rsidP="00F86CFC">
            <w:pPr>
              <w:pStyle w:val="BodyText"/>
            </w:pPr>
            <w:r w:rsidRPr="00F86CFC">
              <w:t>A report with progress against Activity Work Plan, compliance or other reporting as set out in Item E.4</w:t>
            </w:r>
          </w:p>
        </w:tc>
        <w:tc>
          <w:tcPr>
            <w:tcW w:w="2410" w:type="dxa"/>
          </w:tcPr>
          <w:p w14:paraId="502F6116" w14:textId="77777777" w:rsidR="005F2903" w:rsidRPr="00F86CFC" w:rsidRDefault="005F2903" w:rsidP="00F86CFC">
            <w:pPr>
              <w:pStyle w:val="BodyText"/>
            </w:pPr>
            <w:r w:rsidRPr="00F86CFC">
              <w:t>15 August 2024</w:t>
            </w:r>
          </w:p>
        </w:tc>
      </w:tr>
      <w:tr w:rsidR="005F2903" w14:paraId="5316585A" w14:textId="77777777" w:rsidTr="008B3DE5">
        <w:trPr>
          <w:trHeight w:val="373"/>
        </w:trPr>
        <w:tc>
          <w:tcPr>
            <w:tcW w:w="2837" w:type="dxa"/>
          </w:tcPr>
          <w:p w14:paraId="24CB51E1" w14:textId="77777777" w:rsidR="005F2903" w:rsidRPr="00F86CFC" w:rsidRDefault="005F2903" w:rsidP="00F86CFC">
            <w:pPr>
              <w:pStyle w:val="BodyText"/>
            </w:pPr>
            <w:r w:rsidRPr="00F86CFC">
              <w:t>Financial Acquittal Report</w:t>
            </w:r>
          </w:p>
        </w:tc>
        <w:tc>
          <w:tcPr>
            <w:tcW w:w="3879" w:type="dxa"/>
          </w:tcPr>
          <w:p w14:paraId="2710F2BE" w14:textId="23A58E43" w:rsidR="005F2903" w:rsidRPr="00F86CFC" w:rsidRDefault="005F2903" w:rsidP="00F86CFC">
            <w:pPr>
              <w:pStyle w:val="BodyText"/>
            </w:pPr>
            <w:r w:rsidRPr="00F86CFC">
              <w:t>Financial Acquittal from 1 July 2023 to 30 June 2024 as per Item E.3</w:t>
            </w:r>
          </w:p>
        </w:tc>
        <w:tc>
          <w:tcPr>
            <w:tcW w:w="2410" w:type="dxa"/>
          </w:tcPr>
          <w:p w14:paraId="503D19DF" w14:textId="6256EFE9" w:rsidR="005F2903" w:rsidRPr="00F86CFC" w:rsidRDefault="005F2903" w:rsidP="00CC54F4">
            <w:pPr>
              <w:pStyle w:val="BodyText"/>
            </w:pPr>
            <w:r w:rsidRPr="00F86CFC">
              <w:t>31</w:t>
            </w:r>
            <w:proofErr w:type="gramStart"/>
            <w:r w:rsidR="00CC54F4">
              <w:t xml:space="preserve">October </w:t>
            </w:r>
            <w:r w:rsidRPr="00F86CFC">
              <w:t xml:space="preserve"> 2024</w:t>
            </w:r>
            <w:proofErr w:type="gramEnd"/>
          </w:p>
        </w:tc>
      </w:tr>
      <w:tr w:rsidR="005F2903" w14:paraId="07698C4C" w14:textId="77777777" w:rsidTr="008B3DE5">
        <w:trPr>
          <w:trHeight w:val="373"/>
        </w:trPr>
        <w:tc>
          <w:tcPr>
            <w:tcW w:w="2837" w:type="dxa"/>
          </w:tcPr>
          <w:p w14:paraId="1B485475" w14:textId="77777777" w:rsidR="005F2903" w:rsidRPr="00F86CFC" w:rsidRDefault="005F2903" w:rsidP="00F86CFC">
            <w:pPr>
              <w:pStyle w:val="BodyText"/>
            </w:pPr>
            <w:r w:rsidRPr="00F86CFC">
              <w:t>Performance Report</w:t>
            </w:r>
          </w:p>
        </w:tc>
        <w:tc>
          <w:tcPr>
            <w:tcW w:w="3879" w:type="dxa"/>
          </w:tcPr>
          <w:p w14:paraId="40DCC53A" w14:textId="77777777" w:rsidR="005F2903" w:rsidRPr="00F86CFC" w:rsidRDefault="005F2903" w:rsidP="00F86CFC">
            <w:pPr>
              <w:pStyle w:val="BodyText"/>
            </w:pPr>
            <w:r w:rsidRPr="00F86CFC">
              <w:t>Finalisation of Data Exchange period 1 data (1 July to 31 December), as set out in the Data Exchange Protocols, as per Item E.1</w:t>
            </w:r>
          </w:p>
        </w:tc>
        <w:tc>
          <w:tcPr>
            <w:tcW w:w="2410" w:type="dxa"/>
          </w:tcPr>
          <w:p w14:paraId="708708CD" w14:textId="77777777" w:rsidR="005F2903" w:rsidRPr="00F86CFC" w:rsidRDefault="005F2903" w:rsidP="00F86CFC">
            <w:pPr>
              <w:pStyle w:val="BodyText"/>
            </w:pPr>
            <w:r w:rsidRPr="00F86CFC">
              <w:t>30 January 2025</w:t>
            </w:r>
          </w:p>
        </w:tc>
      </w:tr>
      <w:tr w:rsidR="005F2903" w14:paraId="49C35283" w14:textId="77777777" w:rsidTr="008B3DE5">
        <w:trPr>
          <w:trHeight w:val="373"/>
        </w:trPr>
        <w:tc>
          <w:tcPr>
            <w:tcW w:w="2837" w:type="dxa"/>
          </w:tcPr>
          <w:p w14:paraId="773801C5" w14:textId="77777777" w:rsidR="005F2903" w:rsidRPr="00F86CFC" w:rsidRDefault="005F2903" w:rsidP="00F86CFC">
            <w:pPr>
              <w:pStyle w:val="BodyText"/>
            </w:pPr>
            <w:r w:rsidRPr="00F86CFC">
              <w:t xml:space="preserve">Statement of Compliance </w:t>
            </w:r>
            <w:r w:rsidRPr="00F86CFC">
              <w:lastRenderedPageBreak/>
              <w:t>Report</w:t>
            </w:r>
          </w:p>
        </w:tc>
        <w:tc>
          <w:tcPr>
            <w:tcW w:w="3879" w:type="dxa"/>
          </w:tcPr>
          <w:p w14:paraId="3AA8CB51" w14:textId="77777777" w:rsidR="005F2903" w:rsidRPr="00F86CFC" w:rsidRDefault="005F2903" w:rsidP="00F86CFC">
            <w:pPr>
              <w:pStyle w:val="BodyText"/>
            </w:pPr>
            <w:r w:rsidRPr="00F86CFC">
              <w:lastRenderedPageBreak/>
              <w:t xml:space="preserve">Statement of Compliance Report as </w:t>
            </w:r>
            <w:r w:rsidRPr="00F86CFC">
              <w:lastRenderedPageBreak/>
              <w:t>per Item E.4 relating to Child Safety.</w:t>
            </w:r>
          </w:p>
        </w:tc>
        <w:tc>
          <w:tcPr>
            <w:tcW w:w="2410" w:type="dxa"/>
          </w:tcPr>
          <w:p w14:paraId="788CB9DD" w14:textId="77777777" w:rsidR="005F2903" w:rsidRPr="00F86CFC" w:rsidRDefault="005F2903" w:rsidP="00F86CFC">
            <w:pPr>
              <w:pStyle w:val="BodyText"/>
            </w:pPr>
            <w:r w:rsidRPr="00F86CFC">
              <w:lastRenderedPageBreak/>
              <w:t>31 March 2025</w:t>
            </w:r>
          </w:p>
        </w:tc>
      </w:tr>
      <w:tr w:rsidR="005F2903" w14:paraId="05F0735C" w14:textId="77777777" w:rsidTr="008B3DE5">
        <w:trPr>
          <w:trHeight w:val="373"/>
        </w:trPr>
        <w:tc>
          <w:tcPr>
            <w:tcW w:w="2837" w:type="dxa"/>
          </w:tcPr>
          <w:p w14:paraId="654155E9" w14:textId="77777777" w:rsidR="005F2903" w:rsidRPr="00F86CFC" w:rsidRDefault="005F2903" w:rsidP="00F86CFC">
            <w:pPr>
              <w:pStyle w:val="BodyText"/>
            </w:pPr>
            <w:r w:rsidRPr="00F86CFC">
              <w:t>Performance Report</w:t>
            </w:r>
          </w:p>
        </w:tc>
        <w:tc>
          <w:tcPr>
            <w:tcW w:w="3879" w:type="dxa"/>
          </w:tcPr>
          <w:p w14:paraId="1689C22F" w14:textId="77777777" w:rsidR="005F2903" w:rsidRPr="00F86CFC" w:rsidRDefault="005F2903" w:rsidP="00F86CFC">
            <w:pPr>
              <w:pStyle w:val="BodyText"/>
            </w:pPr>
            <w:r w:rsidRPr="00F86CFC">
              <w:t>Finalisation of Data Exchange period 2 data (1 January to 30 June), as set out in the Data Exchange Protocols, as per Item E.1</w:t>
            </w:r>
          </w:p>
        </w:tc>
        <w:tc>
          <w:tcPr>
            <w:tcW w:w="2410" w:type="dxa"/>
          </w:tcPr>
          <w:p w14:paraId="3DEB4630" w14:textId="77777777" w:rsidR="005F2903" w:rsidRPr="00F86CFC" w:rsidRDefault="005F2903" w:rsidP="00F86CFC">
            <w:pPr>
              <w:pStyle w:val="BodyText"/>
            </w:pPr>
            <w:r w:rsidRPr="00F86CFC">
              <w:t>30 July 2025</w:t>
            </w:r>
          </w:p>
        </w:tc>
      </w:tr>
      <w:tr w:rsidR="005F2903" w14:paraId="23362C41" w14:textId="77777777" w:rsidTr="008B3DE5">
        <w:trPr>
          <w:trHeight w:val="373"/>
        </w:trPr>
        <w:tc>
          <w:tcPr>
            <w:tcW w:w="2837" w:type="dxa"/>
          </w:tcPr>
          <w:p w14:paraId="748654AE" w14:textId="77777777" w:rsidR="005F2903" w:rsidRPr="00F86CFC" w:rsidRDefault="005F2903" w:rsidP="00F86CFC">
            <w:pPr>
              <w:pStyle w:val="BodyText"/>
            </w:pPr>
            <w:r w:rsidRPr="00F86CFC">
              <w:t>Final Report</w:t>
            </w:r>
          </w:p>
        </w:tc>
        <w:tc>
          <w:tcPr>
            <w:tcW w:w="3879" w:type="dxa"/>
          </w:tcPr>
          <w:p w14:paraId="606B8342" w14:textId="77777777" w:rsidR="005F2903" w:rsidRPr="00F86CFC" w:rsidRDefault="005F2903" w:rsidP="00F86CFC">
            <w:pPr>
              <w:pStyle w:val="BodyText"/>
            </w:pPr>
            <w:r w:rsidRPr="00F86CFC">
              <w:t>A report of outcomes for the funded Activity based on monitoring and data collection methods agreed with between the Parties as per Item E.4</w:t>
            </w:r>
          </w:p>
        </w:tc>
        <w:tc>
          <w:tcPr>
            <w:tcW w:w="2410" w:type="dxa"/>
          </w:tcPr>
          <w:p w14:paraId="1797521F" w14:textId="77777777" w:rsidR="005F2903" w:rsidRPr="00F86CFC" w:rsidRDefault="005F2903" w:rsidP="00F86CFC">
            <w:pPr>
              <w:pStyle w:val="BodyText"/>
            </w:pPr>
            <w:r w:rsidRPr="00F86CFC">
              <w:t>30 July 2025</w:t>
            </w:r>
          </w:p>
        </w:tc>
      </w:tr>
      <w:tr w:rsidR="005F2903" w14:paraId="5F6B8DDC" w14:textId="77777777" w:rsidTr="008B3DE5">
        <w:trPr>
          <w:trHeight w:val="373"/>
        </w:trPr>
        <w:tc>
          <w:tcPr>
            <w:tcW w:w="2837" w:type="dxa"/>
          </w:tcPr>
          <w:p w14:paraId="704C8DE8" w14:textId="77777777" w:rsidR="005F2903" w:rsidRPr="00F86CFC" w:rsidRDefault="005F2903" w:rsidP="00F86CFC">
            <w:pPr>
              <w:pStyle w:val="BodyText"/>
            </w:pPr>
            <w:r w:rsidRPr="00F86CFC">
              <w:t>Financial Acquittal Report</w:t>
            </w:r>
          </w:p>
        </w:tc>
        <w:tc>
          <w:tcPr>
            <w:tcW w:w="3879" w:type="dxa"/>
          </w:tcPr>
          <w:p w14:paraId="43ECE462" w14:textId="77777777" w:rsidR="005F2903" w:rsidRPr="00F86CFC" w:rsidRDefault="005F2903" w:rsidP="00F86CFC">
            <w:pPr>
              <w:pStyle w:val="BodyText"/>
            </w:pPr>
            <w:r w:rsidRPr="00F86CFC">
              <w:t>Financial Acquittal from 1 July 2024 to 30 June 2025 as per Item E.3</w:t>
            </w:r>
          </w:p>
        </w:tc>
        <w:tc>
          <w:tcPr>
            <w:tcW w:w="2410" w:type="dxa"/>
          </w:tcPr>
          <w:p w14:paraId="72025B0A" w14:textId="5AF008E0" w:rsidR="005F2903" w:rsidRPr="00F86CFC" w:rsidRDefault="005F2903" w:rsidP="00CC54F4">
            <w:pPr>
              <w:pStyle w:val="BodyText"/>
            </w:pPr>
            <w:r w:rsidRPr="00F86CFC">
              <w:t xml:space="preserve">31 </w:t>
            </w:r>
            <w:r w:rsidR="00CC54F4">
              <w:t>October</w:t>
            </w:r>
            <w:r w:rsidRPr="00F86CFC">
              <w:t xml:space="preserve"> 2025</w:t>
            </w:r>
          </w:p>
        </w:tc>
      </w:tr>
    </w:tbl>
    <w:p w14:paraId="7A23D6C6" w14:textId="0A1FE746" w:rsidR="00F743B7" w:rsidRDefault="008949D6" w:rsidP="00F86CFC">
      <w:pPr>
        <w:pStyle w:val="Heading2"/>
        <w:numPr>
          <w:ilvl w:val="1"/>
          <w:numId w:val="11"/>
        </w:numPr>
      </w:pPr>
      <w:bookmarkStart w:id="44" w:name="_Toc144895264"/>
      <w:r>
        <w:t>Reporting</w:t>
      </w:r>
      <w:r>
        <w:rPr>
          <w:spacing w:val="-2"/>
        </w:rPr>
        <w:t xml:space="preserve"> </w:t>
      </w:r>
      <w:r>
        <w:t>targets</w:t>
      </w:r>
      <w:bookmarkEnd w:id="44"/>
    </w:p>
    <w:p w14:paraId="4BF35826" w14:textId="2BE48F5C" w:rsidR="00F743B7" w:rsidRDefault="008949D6" w:rsidP="00F86CFC">
      <w:pPr>
        <w:pStyle w:val="BodyText"/>
      </w:pPr>
      <w:r>
        <w:t xml:space="preserve">Although individual targets have been negotiated with each NDAP </w:t>
      </w:r>
      <w:r w:rsidR="00112EE7">
        <w:t>provider</w:t>
      </w:r>
      <w:r>
        <w:t xml:space="preserve">, the </w:t>
      </w:r>
      <w:r w:rsidR="00112EE7">
        <w:t>D</w:t>
      </w:r>
      <w:r>
        <w:t>epartment is aware that varying models of support and providing support to people with complex needs or multiple disabilities may affect the providers’ capacity in relation to the number of people who receive advocacy support.</w:t>
      </w:r>
    </w:p>
    <w:p w14:paraId="24AB95AF" w14:textId="7EBEE305" w:rsidR="00F743B7" w:rsidRDefault="008949D6" w:rsidP="00F86CFC">
      <w:pPr>
        <w:pStyle w:val="BodyText"/>
      </w:pPr>
      <w:r>
        <w:t xml:space="preserve">Providers should discuss variances with </w:t>
      </w:r>
      <w:proofErr w:type="gramStart"/>
      <w:r>
        <w:t>their  FAM.</w:t>
      </w:r>
      <w:proofErr w:type="gramEnd"/>
    </w:p>
    <w:p w14:paraId="63840A19" w14:textId="77777777" w:rsidR="00F743B7" w:rsidRDefault="008949D6" w:rsidP="00D9450E">
      <w:pPr>
        <w:pStyle w:val="Heading1"/>
        <w:numPr>
          <w:ilvl w:val="0"/>
          <w:numId w:val="11"/>
        </w:numPr>
        <w:spacing w:before="240"/>
      </w:pPr>
      <w:bookmarkStart w:id="45" w:name="_Toc144895265"/>
      <w:r>
        <w:t>Dealing with conflicts of</w:t>
      </w:r>
      <w:r>
        <w:rPr>
          <w:spacing w:val="-9"/>
        </w:rPr>
        <w:t xml:space="preserve"> </w:t>
      </w:r>
      <w:r>
        <w:t>interest</w:t>
      </w:r>
      <w:bookmarkEnd w:id="45"/>
    </w:p>
    <w:p w14:paraId="5B844C4E" w14:textId="77777777" w:rsidR="00F743B7" w:rsidRDefault="008949D6" w:rsidP="00F86CFC">
      <w:pPr>
        <w:pStyle w:val="BodyText"/>
      </w:pPr>
      <w:r>
        <w:t>Conflict of interest arises when a provider or staff has a competing interest with the interests of the person with disability, which a reasonable person would regard as making it difficult for the provider or staff to properly discharge their responsibilities to the person with disability.</w:t>
      </w:r>
    </w:p>
    <w:p w14:paraId="3566DDAD" w14:textId="6359FB9E" w:rsidR="00F743B7" w:rsidRDefault="008949D6" w:rsidP="00F86CFC">
      <w:pPr>
        <w:pStyle w:val="BodyText"/>
      </w:pPr>
      <w:r>
        <w:t xml:space="preserve">In meeting the needs of a person with disability, </w:t>
      </w:r>
      <w:r w:rsidR="00112EE7">
        <w:t xml:space="preserve">NDAP </w:t>
      </w:r>
      <w:r>
        <w:t>providers must:</w:t>
      </w:r>
    </w:p>
    <w:p w14:paraId="4652FD55" w14:textId="77777777" w:rsidR="00F743B7" w:rsidRPr="00115033" w:rsidRDefault="008949D6" w:rsidP="00D9450E">
      <w:pPr>
        <w:pStyle w:val="ListParagraph"/>
        <w:numPr>
          <w:ilvl w:val="0"/>
          <w:numId w:val="10"/>
        </w:numPr>
      </w:pPr>
      <w:r>
        <w:t>operate</w:t>
      </w:r>
      <w:r>
        <w:rPr>
          <w:spacing w:val="-3"/>
        </w:rPr>
        <w:t xml:space="preserve"> </w:t>
      </w:r>
      <w:r>
        <w:t>independently</w:t>
      </w:r>
    </w:p>
    <w:p w14:paraId="78CD72AD" w14:textId="77777777" w:rsidR="00F743B7" w:rsidRPr="00115033" w:rsidRDefault="008949D6" w:rsidP="00D9450E">
      <w:pPr>
        <w:pStyle w:val="ListParagraph"/>
        <w:numPr>
          <w:ilvl w:val="0"/>
          <w:numId w:val="10"/>
        </w:numPr>
      </w:pPr>
      <w:r>
        <w:t>avoid, where possible, any conflict or perceived conflict of interest in relation to the conduct of its advocacy work</w:t>
      </w:r>
    </w:p>
    <w:p w14:paraId="7CB55E04" w14:textId="77777777" w:rsidR="00F743B7" w:rsidRDefault="008949D6" w:rsidP="00D9450E">
      <w:pPr>
        <w:pStyle w:val="ListParagraph"/>
        <w:numPr>
          <w:ilvl w:val="0"/>
          <w:numId w:val="10"/>
        </w:numPr>
        <w:rPr>
          <w:rFonts w:ascii="Symbol" w:hAnsi="Symbol"/>
        </w:rPr>
      </w:pPr>
      <w:r>
        <w:t>deal with any conflict or perceived conflict</w:t>
      </w:r>
      <w:r>
        <w:rPr>
          <w:spacing w:val="-10"/>
        </w:rPr>
        <w:t xml:space="preserve"> </w:t>
      </w:r>
      <w:r>
        <w:t>transparently.</w:t>
      </w:r>
    </w:p>
    <w:p w14:paraId="64C1F6FC" w14:textId="77777777" w:rsidR="00F743B7" w:rsidRDefault="008949D6" w:rsidP="00F86CFC">
      <w:pPr>
        <w:pStyle w:val="BodyText"/>
      </w:pPr>
      <w:r>
        <w:t>In line with the Commonwealth Standard Grant Conditions, providers must notify their FAM of any conflict of interest, whether actual, perceived or potential.</w:t>
      </w:r>
    </w:p>
    <w:p w14:paraId="5D3B4284" w14:textId="0E16CD8B" w:rsidR="00F743B7" w:rsidRDefault="00112EE7" w:rsidP="00F86CFC">
      <w:pPr>
        <w:pStyle w:val="BodyText"/>
      </w:pPr>
      <w:r>
        <w:t>NDAP p</w:t>
      </w:r>
      <w:r w:rsidR="008949D6">
        <w:t>roviders must also notify of any material change to a previously disclosed conflict of interest.</w:t>
      </w:r>
    </w:p>
    <w:p w14:paraId="6BB4A978" w14:textId="1BD80B9D" w:rsidR="00112EE7" w:rsidRDefault="008949D6" w:rsidP="00F86CFC">
      <w:pPr>
        <w:pStyle w:val="BodyText"/>
      </w:pPr>
      <w:r>
        <w:t>When declaring a conflict of interest,</w:t>
      </w:r>
      <w:r w:rsidR="00112EE7">
        <w:t xml:space="preserve"> NDAP</w:t>
      </w:r>
      <w:r>
        <w:t xml:space="preserve"> providers should include relevant information surrounding the circumstances of the conflict of interest, and how they will manage the conflict of interest.</w:t>
      </w:r>
    </w:p>
    <w:p w14:paraId="568E50BC" w14:textId="77777777" w:rsidR="00F743B7" w:rsidRDefault="008949D6" w:rsidP="00D9450E">
      <w:pPr>
        <w:pStyle w:val="Heading1"/>
        <w:numPr>
          <w:ilvl w:val="0"/>
          <w:numId w:val="11"/>
        </w:numPr>
        <w:spacing w:before="240"/>
      </w:pPr>
      <w:bookmarkStart w:id="46" w:name="_Toc144895266"/>
      <w:r>
        <w:t>Complaints about disability advocacy</w:t>
      </w:r>
      <w:r w:rsidRPr="00F86CFC">
        <w:t xml:space="preserve"> </w:t>
      </w:r>
      <w:r>
        <w:t>providers</w:t>
      </w:r>
      <w:bookmarkEnd w:id="46"/>
    </w:p>
    <w:p w14:paraId="3FFB0507" w14:textId="65933095" w:rsidR="00112EE7" w:rsidRDefault="00112EE7" w:rsidP="00F86CFC">
      <w:pPr>
        <w:pStyle w:val="BodyText"/>
      </w:pPr>
      <w:r>
        <w:t xml:space="preserve">NDAP providers are required to have </w:t>
      </w:r>
      <w:r w:rsidR="00F86CFC">
        <w:t xml:space="preserve">policies and procedures </w:t>
      </w:r>
      <w:r>
        <w:t>in place for the management of complaints in a positive, timely and fair manner. In the first instance, complaints (from clients or others) should be raised directly with the provider. Clients must be made aware of the avenues available to them to make a complaint, e.g. in person, in writing, over the phone, and via email.</w:t>
      </w:r>
    </w:p>
    <w:p w14:paraId="4808A84D" w14:textId="1B412980" w:rsidR="00112EE7" w:rsidRDefault="00112EE7" w:rsidP="00F86CFC">
      <w:pPr>
        <w:pStyle w:val="BodyText"/>
      </w:pPr>
      <w:r>
        <w:t xml:space="preserve">NDAP providers must maintain a formal register of complaints received, including the nature of </w:t>
      </w:r>
      <w:r>
        <w:lastRenderedPageBreak/>
        <w:t xml:space="preserve">the complaint and actions taken to resolve the client’s issues and concerns, and how it was resolved, including whether it was referred to another authority. Providers must supply </w:t>
      </w:r>
      <w:r w:rsidR="00DA4D12">
        <w:t>copies of the policies, procedures and register</w:t>
      </w:r>
      <w:r>
        <w:t xml:space="preserve"> to the Department, if requested. Providers should refer to the Department’s</w:t>
      </w:r>
      <w:r w:rsidR="005311CA">
        <w:t xml:space="preserve"> </w:t>
      </w:r>
      <w:hyperlink r:id="rId27" w:history="1">
        <w:r w:rsidR="005311CA" w:rsidRPr="000C73C7">
          <w:rPr>
            <w:rStyle w:val="Hyperlink"/>
          </w:rPr>
          <w:t>Complaints Page | Department of Social Services, Australian Government (dss.gov.au)</w:t>
        </w:r>
      </w:hyperlink>
      <w:r w:rsidR="000C73C7">
        <w:t xml:space="preserve"> </w:t>
      </w:r>
      <w:r>
        <w:t>for further information.</w:t>
      </w:r>
    </w:p>
    <w:p w14:paraId="5C6E3DA8" w14:textId="06E2D28D" w:rsidR="00112EE7" w:rsidRDefault="00112EE7" w:rsidP="00F86CFC">
      <w:pPr>
        <w:pStyle w:val="BodyText"/>
      </w:pPr>
      <w:r>
        <w:t xml:space="preserve">If a satisfactory resolution is not reached through the NDAP provider’s internal complaints system, or if the complainant prefers to raise the matter with an independent organisation, the complainant can be referred to the Complaints Resolution and Referral Service (CRRS) which is an independent service, funded by the Australian Government for complaints about services funded under the DSA, including advocacy providers. CRRS can be contacted on 1800 880 052 and further information can be found on the CRRS website at: </w:t>
      </w:r>
      <w:hyperlink r:id="rId28" w:history="1">
        <w:r w:rsidRPr="00B96D6E">
          <w:rPr>
            <w:rStyle w:val="Hyperlink"/>
          </w:rPr>
          <w:t>www.jobaccess.gov.au/complaints/crrs</w:t>
        </w:r>
      </w:hyperlink>
      <w:r>
        <w:t>.</w:t>
      </w:r>
    </w:p>
    <w:p w14:paraId="1673646F" w14:textId="77777777" w:rsidR="00112EE7" w:rsidRDefault="00112EE7" w:rsidP="00F86CFC">
      <w:pPr>
        <w:pStyle w:val="BodyText"/>
      </w:pPr>
      <w:r>
        <w:t>NDAP providers must immediately notify their FAM about significant complaints, that is, those related to serious harm or misconduct, or serious injury to a client, and keep their FAM informed of developments.</w:t>
      </w:r>
    </w:p>
    <w:p w14:paraId="4090A499" w14:textId="77777777" w:rsidR="00112EE7" w:rsidRDefault="00112EE7" w:rsidP="00F86CFC">
      <w:pPr>
        <w:pStyle w:val="BodyText"/>
      </w:pPr>
      <w:r>
        <w:t>Although most complaints should be handled by the NDAP provider in the first instance, particular complaints will require an external referral such as complaints of a serious or sensitive nature that cannot be handled by the provider. These may include allegations of assault or abuse and neglect which should be referred to police.</w:t>
      </w:r>
    </w:p>
    <w:p w14:paraId="1B42C751" w14:textId="77777777" w:rsidR="00112EE7" w:rsidRDefault="00112EE7" w:rsidP="00F86CFC">
      <w:pPr>
        <w:pStyle w:val="BodyText"/>
      </w:pPr>
      <w:r>
        <w:t>The Department encourages participants to provide feedback on their experiences with the Department or a service provider funded by the Department. However, we recommend that clients try to resolve the matter with the relevant organisation before contacting the Department’s complaints line. General complaints are dealt with under the DSS Complaints Management process, please find below the details to contact the DSS Complaints line:</w:t>
      </w:r>
    </w:p>
    <w:p w14:paraId="6BE53275" w14:textId="77777777" w:rsidR="00112EE7" w:rsidRDefault="00112EE7" w:rsidP="00F86CFC">
      <w:pPr>
        <w:pStyle w:val="BodyText"/>
      </w:pPr>
      <w:r>
        <w:t>Telephone: 1800 634 035</w:t>
      </w:r>
    </w:p>
    <w:p w14:paraId="52CDB002" w14:textId="77777777" w:rsidR="00112EE7" w:rsidRDefault="00112EE7" w:rsidP="00F86CFC">
      <w:pPr>
        <w:pStyle w:val="BodyText"/>
      </w:pPr>
      <w:r>
        <w:t>Fax: (02) 6133 8442</w:t>
      </w:r>
    </w:p>
    <w:p w14:paraId="37E62028" w14:textId="2BAA527D" w:rsidR="00112EE7" w:rsidRPr="00F86CFC" w:rsidRDefault="00112EE7" w:rsidP="00F86CFC">
      <w:pPr>
        <w:pStyle w:val="BodyText"/>
        <w:rPr>
          <w:rStyle w:val="Hyperlink"/>
        </w:rPr>
      </w:pPr>
      <w:r>
        <w:t xml:space="preserve">Email: </w:t>
      </w:r>
      <w:hyperlink r:id="rId29" w:history="1">
        <w:r w:rsidRPr="004C0FCE">
          <w:rPr>
            <w:rStyle w:val="Hyperlink"/>
          </w:rPr>
          <w:t>complaints@dss.gov.au</w:t>
        </w:r>
      </w:hyperlink>
    </w:p>
    <w:p w14:paraId="126C79CC" w14:textId="77777777" w:rsidR="00112EE7" w:rsidRDefault="00112EE7" w:rsidP="00F86CFC">
      <w:pPr>
        <w:pStyle w:val="BodyText"/>
      </w:pPr>
      <w:r>
        <w:t>Post: DSS Feedback, GPO Box 9820, Canberra, ACT. 2601</w:t>
      </w:r>
    </w:p>
    <w:p w14:paraId="2825CB1B" w14:textId="77777777" w:rsidR="000174D0" w:rsidRPr="00FC3F88" w:rsidRDefault="00201EEA" w:rsidP="000174D0">
      <w:pPr>
        <w:spacing w:after="120" w:line="276" w:lineRule="auto"/>
        <w:ind w:left="142"/>
      </w:pPr>
      <w:hyperlink r:id="rId30" w:history="1">
        <w:r w:rsidR="000174D0" w:rsidRPr="00FC3F88">
          <w:rPr>
            <w:rStyle w:val="Hyperlink"/>
          </w:rPr>
          <w:t>Online Complaints Form</w:t>
        </w:r>
      </w:hyperlink>
    </w:p>
    <w:p w14:paraId="594CC14F" w14:textId="0C0AC3DC" w:rsidR="00112EE7" w:rsidRDefault="00112EE7" w:rsidP="00F86CFC">
      <w:pPr>
        <w:pStyle w:val="BodyText"/>
      </w:pPr>
      <w:r>
        <w:t>More information on the Department’s complaints management process can be found on the Department’s website:</w:t>
      </w:r>
      <w:r w:rsidR="000174D0">
        <w:t xml:space="preserve"> </w:t>
      </w:r>
      <w:hyperlink r:id="rId31" w:history="1">
        <w:r w:rsidR="000174D0" w:rsidRPr="00FC3F88">
          <w:rPr>
            <w:rStyle w:val="Hyperlink"/>
          </w:rPr>
          <w:t>https://www.dss.gov.au/contact/feedback-compliments-complaints-and-enquiries/complaints-page</w:t>
        </w:r>
      </w:hyperlink>
      <w:r w:rsidR="000174D0" w:rsidRPr="00F86CFC">
        <w:rPr>
          <w:rStyle w:val="Hyperlink"/>
          <w:color w:val="auto"/>
          <w:u w:val="none"/>
        </w:rPr>
        <w:t>.</w:t>
      </w:r>
    </w:p>
    <w:p w14:paraId="6356202D" w14:textId="77777777" w:rsidR="00112EE7" w:rsidRDefault="00112EE7" w:rsidP="00F86CFC">
      <w:pPr>
        <w:pStyle w:val="BodyText"/>
      </w:pPr>
      <w:r>
        <w:t>Please note: Calls made to the 1800 634 035 number will be recorded to assist in the effective management of the complaint as well as for training purposes. Please advise the complaints officer if you do not wish to have your call recorded.</w:t>
      </w:r>
    </w:p>
    <w:p w14:paraId="4EA8139C" w14:textId="1DF0D45D" w:rsidR="00112EE7" w:rsidRPr="00112EE7" w:rsidRDefault="00112EE7" w:rsidP="00F86CFC">
      <w:pPr>
        <w:pStyle w:val="BodyText"/>
      </w:pPr>
      <w:r>
        <w:t xml:space="preserve">Should the participant be dissatisfied with the Department’s management of their complaint, they may contact the Commonwealth Ombudsman (the Ombudsman) for further investigation. For more information, refer to the Ombudsman’s website: </w:t>
      </w:r>
      <w:r w:rsidRPr="00F86CFC">
        <w:rPr>
          <w:rStyle w:val="Hyperlink"/>
        </w:rPr>
        <w:t>www.o</w:t>
      </w:r>
      <w:r w:rsidR="009E4D8D">
        <w:rPr>
          <w:rStyle w:val="Hyperlink"/>
        </w:rPr>
        <w:t>m</w:t>
      </w:r>
      <w:r w:rsidRPr="00F86CFC">
        <w:rPr>
          <w:rStyle w:val="Hyperlink"/>
        </w:rPr>
        <w:t>budsman.gov.au/</w:t>
      </w:r>
      <w:r w:rsidRPr="00F86CFC">
        <w:rPr>
          <w:rStyle w:val="Hyperlink"/>
          <w:color w:val="auto"/>
          <w:u w:val="none"/>
        </w:rPr>
        <w:t>.</w:t>
      </w:r>
    </w:p>
    <w:p w14:paraId="0B91322C" w14:textId="77777777" w:rsidR="00112EE7" w:rsidRDefault="00112EE7" w:rsidP="00D9450E">
      <w:pPr>
        <w:pStyle w:val="Heading1"/>
        <w:numPr>
          <w:ilvl w:val="0"/>
          <w:numId w:val="11"/>
        </w:numPr>
        <w:spacing w:before="240"/>
      </w:pPr>
      <w:bookmarkStart w:id="47" w:name="_Toc144895267"/>
      <w:r>
        <w:t>Serious incidents</w:t>
      </w:r>
      <w:bookmarkEnd w:id="47"/>
    </w:p>
    <w:p w14:paraId="6424366A" w14:textId="77777777" w:rsidR="00112EE7" w:rsidRDefault="00112EE7" w:rsidP="00F86CFC">
      <w:pPr>
        <w:pStyle w:val="BodyText"/>
      </w:pPr>
      <w:r w:rsidRPr="00614950">
        <w:t xml:space="preserve">If a serious incident occurs, </w:t>
      </w:r>
      <w:r>
        <w:t>the NDAP</w:t>
      </w:r>
      <w:r w:rsidRPr="00614950">
        <w:t xml:space="preserve"> provider’s primary obligation is to report the incident to the police or other Commonwealth/state/territory organisations that have jurisdiction over their service. Providers must comply with Commonwealth, state and territory laws if there is a serious incident in relation to providing </w:t>
      </w:r>
      <w:r>
        <w:t xml:space="preserve">NDAP </w:t>
      </w:r>
      <w:r w:rsidRPr="00614950">
        <w:t xml:space="preserve">services. </w:t>
      </w:r>
    </w:p>
    <w:p w14:paraId="630EA857" w14:textId="77777777" w:rsidR="00112EE7" w:rsidRDefault="00112EE7" w:rsidP="00F86CFC">
      <w:pPr>
        <w:pStyle w:val="BodyText"/>
      </w:pPr>
      <w:r w:rsidRPr="00614950">
        <w:t xml:space="preserve">A serious incident is an event that disrupts service provision or threatens the safety of people or property. </w:t>
      </w:r>
    </w:p>
    <w:p w14:paraId="3FFFD533" w14:textId="26259762" w:rsidR="00112EE7" w:rsidRPr="00614950" w:rsidRDefault="00112EE7" w:rsidP="00E44BE7">
      <w:pPr>
        <w:pStyle w:val="BodyText"/>
      </w:pPr>
      <w:r w:rsidRPr="00614950">
        <w:lastRenderedPageBreak/>
        <w:t xml:space="preserve">Examples of serious incidents include: </w:t>
      </w:r>
    </w:p>
    <w:p w14:paraId="54A2EE0D" w14:textId="77777777" w:rsidR="00112EE7" w:rsidRPr="00614950" w:rsidRDefault="00112EE7" w:rsidP="00D9450E">
      <w:pPr>
        <w:pStyle w:val="ListParagraph"/>
        <w:numPr>
          <w:ilvl w:val="0"/>
          <w:numId w:val="15"/>
        </w:numPr>
      </w:pPr>
      <w:r w:rsidRPr="00614950">
        <w:t xml:space="preserve">incidents involving fraud (including allegations) </w:t>
      </w:r>
    </w:p>
    <w:p w14:paraId="0993517A" w14:textId="77777777" w:rsidR="00112EE7" w:rsidRPr="00614950" w:rsidRDefault="00112EE7" w:rsidP="00D9450E">
      <w:pPr>
        <w:pStyle w:val="ListParagraph"/>
        <w:numPr>
          <w:ilvl w:val="0"/>
          <w:numId w:val="15"/>
        </w:numPr>
      </w:pPr>
      <w:r w:rsidRPr="00614950">
        <w:t xml:space="preserve">unlawful sexual or physical contact with, or assault of, a client including: </w:t>
      </w:r>
    </w:p>
    <w:p w14:paraId="73A9663F" w14:textId="77777777" w:rsidR="00112EE7" w:rsidRPr="00614950" w:rsidRDefault="00112EE7" w:rsidP="00D9450E">
      <w:pPr>
        <w:pStyle w:val="ListParagraph"/>
        <w:numPr>
          <w:ilvl w:val="1"/>
          <w:numId w:val="10"/>
        </w:numPr>
      </w:pPr>
      <w:r w:rsidRPr="00614950">
        <w:t xml:space="preserve">incidents of alleged physical or sexual assault of a client committed by an employee </w:t>
      </w:r>
    </w:p>
    <w:p w14:paraId="44C4702E" w14:textId="77777777" w:rsidR="00112EE7" w:rsidRPr="00614950" w:rsidRDefault="00112EE7" w:rsidP="00D9450E">
      <w:pPr>
        <w:pStyle w:val="ListParagraph"/>
        <w:numPr>
          <w:ilvl w:val="1"/>
          <w:numId w:val="10"/>
        </w:numPr>
      </w:pPr>
      <w:r w:rsidRPr="00614950">
        <w:t xml:space="preserve">incidents of alleged physical or sexual assault of a client committed by another client while in the care of the provider </w:t>
      </w:r>
    </w:p>
    <w:p w14:paraId="3F1060C3" w14:textId="77777777" w:rsidR="00112EE7" w:rsidRPr="00614950" w:rsidRDefault="00112EE7" w:rsidP="00D9450E">
      <w:pPr>
        <w:pStyle w:val="ListParagraph"/>
        <w:numPr>
          <w:ilvl w:val="0"/>
          <w:numId w:val="10"/>
        </w:numPr>
      </w:pPr>
      <w:r w:rsidRPr="00614950">
        <w:t xml:space="preserve">culpable neglect </w:t>
      </w:r>
    </w:p>
    <w:p w14:paraId="725D00B0" w14:textId="77777777" w:rsidR="00112EE7" w:rsidRPr="00614950" w:rsidRDefault="00112EE7" w:rsidP="00D9450E">
      <w:pPr>
        <w:pStyle w:val="ListParagraph"/>
        <w:numPr>
          <w:ilvl w:val="0"/>
          <w:numId w:val="10"/>
        </w:numPr>
      </w:pPr>
      <w:r w:rsidRPr="00614950">
        <w:t xml:space="preserve">serious unexplained injury </w:t>
      </w:r>
    </w:p>
    <w:p w14:paraId="74F056B2" w14:textId="77777777" w:rsidR="00112EE7" w:rsidRPr="00614950" w:rsidRDefault="00112EE7" w:rsidP="00D9450E">
      <w:pPr>
        <w:pStyle w:val="ListParagraph"/>
        <w:numPr>
          <w:ilvl w:val="0"/>
          <w:numId w:val="10"/>
        </w:numPr>
      </w:pPr>
      <w:r w:rsidRPr="00614950">
        <w:t xml:space="preserve">incidents of self-harm </w:t>
      </w:r>
    </w:p>
    <w:p w14:paraId="433AE71F" w14:textId="77777777" w:rsidR="00112EE7" w:rsidRPr="00614950" w:rsidRDefault="00112EE7" w:rsidP="00D9450E">
      <w:pPr>
        <w:pStyle w:val="ListParagraph"/>
        <w:numPr>
          <w:ilvl w:val="0"/>
          <w:numId w:val="10"/>
        </w:numPr>
      </w:pPr>
      <w:r w:rsidRPr="00614950">
        <w:t xml:space="preserve">death of a client (irrespective of cause) </w:t>
      </w:r>
    </w:p>
    <w:p w14:paraId="45C15EDD" w14:textId="77777777" w:rsidR="00112EE7" w:rsidRPr="00614950" w:rsidRDefault="00112EE7" w:rsidP="00D9450E">
      <w:pPr>
        <w:pStyle w:val="ListParagraph"/>
        <w:numPr>
          <w:ilvl w:val="0"/>
          <w:numId w:val="10"/>
        </w:numPr>
      </w:pPr>
      <w:r w:rsidRPr="00614950">
        <w:t xml:space="preserve">unauthorised use of restrictive practices in relation to a client, other than where the use is in accordance with authorisations (however described) of a state or territory in relation to the person (seclusion, chemical restraint, mechanical restraint, physical restraint, environmental restraint). </w:t>
      </w:r>
    </w:p>
    <w:p w14:paraId="742A01B0" w14:textId="7956AE93" w:rsidR="00112EE7" w:rsidRDefault="00112EE7" w:rsidP="00F86CFC">
      <w:pPr>
        <w:pStyle w:val="BodyText"/>
      </w:pPr>
      <w:r>
        <w:t>NDAP</w:t>
      </w:r>
      <w:r w:rsidRPr="00614950">
        <w:t xml:space="preserve"> providers must notify their FAM of any serious incident, particularly where they affect services to clients or a client’s wellbeing, within 72 hours of personnel being aware of a serious incident using the Incident Notification Form at</w:t>
      </w:r>
      <w:r w:rsidR="005E205A">
        <w:t xml:space="preserve"> </w:t>
      </w:r>
      <w:hyperlink w:anchor="_Attachment_CA_–" w:history="1">
        <w:r w:rsidR="005E205A" w:rsidRPr="00D974EB">
          <w:rPr>
            <w:rStyle w:val="Hyperlink"/>
            <w:b/>
            <w:color w:val="auto"/>
            <w:u w:val="none"/>
          </w:rPr>
          <w:t>Attachment C</w:t>
        </w:r>
      </w:hyperlink>
      <w:r w:rsidR="005E205A">
        <w:t>.</w:t>
      </w:r>
      <w:r w:rsidRPr="00614950">
        <w:t xml:space="preserve"> Further updates should be provided within 5 days of the Incident Notification Form being supplied. Information supplied to the Dep</w:t>
      </w:r>
      <w:r>
        <w:t>artment is to be de-identified.</w:t>
      </w:r>
    </w:p>
    <w:p w14:paraId="42EE32BA" w14:textId="0B6576C7" w:rsidR="00185A19" w:rsidRDefault="00112EE7" w:rsidP="00F86CFC">
      <w:pPr>
        <w:pStyle w:val="BodyText"/>
      </w:pPr>
      <w:r w:rsidRPr="00614950">
        <w:t>If you suspect a child or young person is in need of protection from abuse or harm you should report your concerns to the Child Protection agency in your relevant state or territory. It is best practice to report if you have belief on reasonable grounds, however for some jurisdictions reporting is mandatory. Further details and information about mandatory reporting can be obtained from the relevant statutory child protection authority in each jurisdiction.</w:t>
      </w:r>
    </w:p>
    <w:p w14:paraId="3C2B4156" w14:textId="77777777" w:rsidR="00F743B7" w:rsidRDefault="008949D6" w:rsidP="001F4A9C">
      <w:pPr>
        <w:pStyle w:val="Heading1"/>
        <w:numPr>
          <w:ilvl w:val="0"/>
          <w:numId w:val="11"/>
        </w:numPr>
        <w:spacing w:before="240"/>
      </w:pPr>
      <w:bookmarkStart w:id="48" w:name="_Toc134713580"/>
      <w:bookmarkStart w:id="49" w:name="_Toc134713581"/>
      <w:bookmarkStart w:id="50" w:name="_Toc144895268"/>
      <w:bookmarkEnd w:id="48"/>
      <w:bookmarkEnd w:id="49"/>
      <w:r>
        <w:t>Acknowledgement of</w:t>
      </w:r>
      <w:r>
        <w:rPr>
          <w:spacing w:val="-3"/>
        </w:rPr>
        <w:t xml:space="preserve"> </w:t>
      </w:r>
      <w:r>
        <w:t>support</w:t>
      </w:r>
      <w:bookmarkEnd w:id="50"/>
    </w:p>
    <w:p w14:paraId="62765F06" w14:textId="77777777" w:rsidR="00F743B7" w:rsidRDefault="008949D6" w:rsidP="00E44BE7">
      <w:pPr>
        <w:pStyle w:val="BodyText"/>
      </w:pPr>
      <w:r>
        <w:t>The following wording is to be used to acknowledge the financial support of the department in all NDAP material published by disability advocacy providers:</w:t>
      </w:r>
    </w:p>
    <w:p w14:paraId="12151526" w14:textId="77777777" w:rsidR="00F743B7" w:rsidRDefault="008949D6" w:rsidP="001F4A9C">
      <w:pPr>
        <w:spacing w:after="120"/>
        <w:ind w:left="776"/>
        <w:rPr>
          <w:i/>
        </w:rPr>
      </w:pPr>
      <w:r>
        <w:rPr>
          <w:i/>
        </w:rPr>
        <w:t>Funded by the Australian Government Department of Social Services</w:t>
      </w:r>
    </w:p>
    <w:p w14:paraId="1BCCB312" w14:textId="7B6CB31B" w:rsidR="00F743B7" w:rsidRDefault="008949D6" w:rsidP="00E44BE7">
      <w:pPr>
        <w:pStyle w:val="BodyText"/>
      </w:pPr>
      <w:r>
        <w:t xml:space="preserve">In circumstances where funding for advocacy is also received from other sources, the </w:t>
      </w:r>
      <w:proofErr w:type="gramStart"/>
      <w:r>
        <w:t>words</w:t>
      </w:r>
      <w:proofErr w:type="gramEnd"/>
      <w:r>
        <w:t xml:space="preserve"> </w:t>
      </w:r>
      <w:r w:rsidRPr="00E44BE7">
        <w:rPr>
          <w:i/>
        </w:rPr>
        <w:t>part funded</w:t>
      </w:r>
      <w:r>
        <w:t xml:space="preserve"> must be used.</w:t>
      </w:r>
    </w:p>
    <w:p w14:paraId="3A21BEB2" w14:textId="77777777" w:rsidR="00F743B7" w:rsidRDefault="008949D6" w:rsidP="001F4A9C">
      <w:pPr>
        <w:pStyle w:val="Heading1"/>
        <w:numPr>
          <w:ilvl w:val="0"/>
          <w:numId w:val="11"/>
        </w:numPr>
        <w:spacing w:before="240"/>
      </w:pPr>
      <w:bookmarkStart w:id="51" w:name="_Toc144895269"/>
      <w:r>
        <w:t>Contact</w:t>
      </w:r>
      <w:r>
        <w:rPr>
          <w:spacing w:val="-3"/>
        </w:rPr>
        <w:t xml:space="preserve"> </w:t>
      </w:r>
      <w:r>
        <w:t>information</w:t>
      </w:r>
      <w:bookmarkEnd w:id="51"/>
    </w:p>
    <w:p w14:paraId="3B9D786C" w14:textId="69BECB17" w:rsidR="00F743B7" w:rsidRDefault="008949D6" w:rsidP="00E44BE7">
      <w:pPr>
        <w:pStyle w:val="BodyText"/>
      </w:pPr>
      <w:r>
        <w:t xml:space="preserve">Inquiries related to NDAP or the Commonwealth role in disability advocacy can be directed to </w:t>
      </w:r>
      <w:hyperlink r:id="rId32" w:history="1">
        <w:r w:rsidR="00381120" w:rsidRPr="007E5EC6">
          <w:rPr>
            <w:rStyle w:val="Hyperlink"/>
            <w:u w:color="0000FF"/>
          </w:rPr>
          <w:t>disabilityadvocacy@dss.gov.au</w:t>
        </w:r>
      </w:hyperlink>
    </w:p>
    <w:p w14:paraId="5CCB4076" w14:textId="77777777" w:rsidR="00F743B7" w:rsidRDefault="008949D6" w:rsidP="00E44BE7">
      <w:pPr>
        <w:pStyle w:val="BodyText"/>
      </w:pPr>
      <w:r>
        <w:t>or via post to:</w:t>
      </w:r>
    </w:p>
    <w:p w14:paraId="27BA7420" w14:textId="77777777" w:rsidR="00F743B7" w:rsidRDefault="008949D6" w:rsidP="00E44BE7">
      <w:pPr>
        <w:pStyle w:val="BodyText"/>
      </w:pPr>
      <w:r>
        <w:t>Department of Social Services</w:t>
      </w:r>
    </w:p>
    <w:p w14:paraId="071BC1B1" w14:textId="49132181" w:rsidR="00381120" w:rsidRDefault="008949D6" w:rsidP="00E44BE7">
      <w:pPr>
        <w:pStyle w:val="BodyText"/>
      </w:pPr>
      <w:r>
        <w:t xml:space="preserve">Disability </w:t>
      </w:r>
      <w:r w:rsidR="00E44BE7">
        <w:t>Strategy</w:t>
      </w:r>
      <w:r>
        <w:t xml:space="preserve"> Group </w:t>
      </w:r>
    </w:p>
    <w:p w14:paraId="3705B995" w14:textId="46D3A344" w:rsidR="00F743B7" w:rsidRDefault="00381120" w:rsidP="00E44BE7">
      <w:pPr>
        <w:pStyle w:val="BodyText"/>
      </w:pPr>
      <w:r>
        <w:t xml:space="preserve">Disability </w:t>
      </w:r>
      <w:r w:rsidR="008949D6">
        <w:t>Advocacy</w:t>
      </w:r>
      <w:r>
        <w:t xml:space="preserve"> and Counselling Supports</w:t>
      </w:r>
    </w:p>
    <w:p w14:paraId="71AD4751" w14:textId="77777777" w:rsidR="00F743B7" w:rsidRDefault="008949D6" w:rsidP="00E44BE7">
      <w:pPr>
        <w:pStyle w:val="BodyText"/>
      </w:pPr>
      <w:r>
        <w:t>PO Box 9820</w:t>
      </w:r>
    </w:p>
    <w:p w14:paraId="1F95E57D" w14:textId="77777777" w:rsidR="00F743B7" w:rsidRDefault="008949D6" w:rsidP="00E44BE7">
      <w:pPr>
        <w:pStyle w:val="BodyText"/>
      </w:pPr>
      <w:r>
        <w:t>Canberra ACT 2601</w:t>
      </w:r>
    </w:p>
    <w:p w14:paraId="5491B803" w14:textId="77777777" w:rsidR="00F743B7" w:rsidRDefault="00F743B7">
      <w:pPr>
        <w:sectPr w:rsidR="00F743B7" w:rsidSect="002D4503">
          <w:pgSz w:w="11910" w:h="16840"/>
          <w:pgMar w:top="1338" w:right="1242" w:bottom="1780" w:left="1242" w:header="0" w:footer="1554" w:gutter="0"/>
          <w:cols w:space="720"/>
        </w:sectPr>
      </w:pPr>
    </w:p>
    <w:p w14:paraId="775DE265" w14:textId="77777777" w:rsidR="005E205A" w:rsidRDefault="005E205A" w:rsidP="005E205A">
      <w:pPr>
        <w:pStyle w:val="Heading1"/>
        <w:numPr>
          <w:ilvl w:val="0"/>
          <w:numId w:val="0"/>
        </w:numPr>
        <w:ind w:left="360" w:hanging="360"/>
      </w:pPr>
      <w:bookmarkStart w:id="52" w:name="_Attachment_A_–"/>
      <w:bookmarkStart w:id="53" w:name="_Toc144895270"/>
      <w:bookmarkEnd w:id="52"/>
      <w:r>
        <w:lastRenderedPageBreak/>
        <w:t>Attachment A – Definition and models of advocacy</w:t>
      </w:r>
      <w:bookmarkEnd w:id="53"/>
    </w:p>
    <w:p w14:paraId="67C32956" w14:textId="77777777" w:rsidR="005E205A" w:rsidRDefault="005E205A" w:rsidP="005E205A">
      <w:pPr>
        <w:pStyle w:val="BodyText"/>
      </w:pPr>
      <w:r>
        <w:t>Advocacy for people with disability can be defined as speaking, acting or writing on behalf of the interests of a disadvantaged person or group, with minimal conflict of interest, in order to promote, protect and defend the welfare of, and justice for, either the person or group.</w:t>
      </w:r>
    </w:p>
    <w:p w14:paraId="4515B0C4" w14:textId="77777777" w:rsidR="005E205A" w:rsidRDefault="005E205A" w:rsidP="005E205A">
      <w:pPr>
        <w:pStyle w:val="BodyText"/>
      </w:pPr>
      <w:r>
        <w:t>This involves:</w:t>
      </w:r>
    </w:p>
    <w:p w14:paraId="6C2B37F3" w14:textId="77777777" w:rsidR="005E205A" w:rsidRDefault="005E205A" w:rsidP="005E205A">
      <w:pPr>
        <w:pStyle w:val="ListParagraph"/>
        <w:numPr>
          <w:ilvl w:val="0"/>
          <w:numId w:val="10"/>
        </w:numPr>
        <w:rPr>
          <w:rFonts w:ascii="Symbol" w:hAnsi="Symbol"/>
        </w:rPr>
      </w:pPr>
      <w:r>
        <w:t>acting in a partisan manner (i.e. being on their side and no-one</w:t>
      </w:r>
      <w:r>
        <w:rPr>
          <w:spacing w:val="-11"/>
        </w:rPr>
        <w:t xml:space="preserve"> </w:t>
      </w:r>
      <w:r>
        <w:t>else's)</w:t>
      </w:r>
    </w:p>
    <w:p w14:paraId="510E62EE" w14:textId="77777777" w:rsidR="005E205A" w:rsidRDefault="005E205A" w:rsidP="005E205A">
      <w:pPr>
        <w:pStyle w:val="ListParagraph"/>
        <w:numPr>
          <w:ilvl w:val="0"/>
          <w:numId w:val="10"/>
        </w:numPr>
        <w:rPr>
          <w:rFonts w:ascii="Symbol" w:hAnsi="Symbol"/>
        </w:rPr>
      </w:pPr>
      <w:r>
        <w:t>being primarily concerned with their fundamental</w:t>
      </w:r>
      <w:r>
        <w:rPr>
          <w:spacing w:val="-4"/>
        </w:rPr>
        <w:t xml:space="preserve"> </w:t>
      </w:r>
      <w:r>
        <w:t>needs</w:t>
      </w:r>
    </w:p>
    <w:p w14:paraId="2FF635D4" w14:textId="77777777" w:rsidR="005E205A" w:rsidRDefault="005E205A" w:rsidP="005E205A">
      <w:pPr>
        <w:pStyle w:val="ListParagraph"/>
        <w:numPr>
          <w:ilvl w:val="0"/>
          <w:numId w:val="10"/>
        </w:numPr>
        <w:rPr>
          <w:rFonts w:ascii="Symbol" w:hAnsi="Symbol"/>
        </w:rPr>
      </w:pPr>
      <w:r>
        <w:t>remaining loyal and accountable to them in a way which is empathetic and vigorous (whilst respecting the rights of</w:t>
      </w:r>
      <w:r>
        <w:rPr>
          <w:spacing w:val="2"/>
        </w:rPr>
        <w:t xml:space="preserve"> </w:t>
      </w:r>
      <w:r>
        <w:t>others)</w:t>
      </w:r>
    </w:p>
    <w:p w14:paraId="137BD90A" w14:textId="77777777" w:rsidR="005E205A" w:rsidRDefault="005E205A" w:rsidP="005E205A">
      <w:pPr>
        <w:pStyle w:val="ListParagraph"/>
        <w:numPr>
          <w:ilvl w:val="0"/>
          <w:numId w:val="10"/>
        </w:numPr>
        <w:rPr>
          <w:rFonts w:ascii="Symbol" w:hAnsi="Symbol"/>
        </w:rPr>
      </w:pPr>
      <w:r>
        <w:t>ensuring duty of care at all</w:t>
      </w:r>
      <w:r>
        <w:rPr>
          <w:spacing w:val="-2"/>
        </w:rPr>
        <w:t xml:space="preserve"> </w:t>
      </w:r>
      <w:r>
        <w:t>times.</w:t>
      </w:r>
    </w:p>
    <w:p w14:paraId="11421201" w14:textId="77777777" w:rsidR="005E205A" w:rsidRPr="004C0FCE" w:rsidRDefault="005E205A" w:rsidP="005E205A">
      <w:pPr>
        <w:pStyle w:val="Heading3"/>
      </w:pPr>
      <w:bookmarkStart w:id="54" w:name="_Toc144895271"/>
      <w:r w:rsidRPr="002D795C">
        <w:t>Advocacy service</w:t>
      </w:r>
      <w:bookmarkEnd w:id="54"/>
    </w:p>
    <w:p w14:paraId="2EB95AC6" w14:textId="77777777" w:rsidR="005E205A" w:rsidRDefault="005E205A" w:rsidP="005E205A">
      <w:pPr>
        <w:pStyle w:val="BodyText"/>
      </w:pPr>
      <w:r>
        <w:t>An advocacy service, as defined in section 7 of the DSA, means:</w:t>
      </w:r>
    </w:p>
    <w:p w14:paraId="17DC306E" w14:textId="77777777" w:rsidR="005E205A" w:rsidRDefault="005E205A" w:rsidP="005E205A">
      <w:pPr>
        <w:pStyle w:val="ListParagraph"/>
        <w:numPr>
          <w:ilvl w:val="0"/>
          <w:numId w:val="8"/>
        </w:numPr>
        <w:spacing w:before="1"/>
        <w:ind w:left="700"/>
      </w:pPr>
      <w:r>
        <w:t xml:space="preserve">a service that seeks to support persons with disabilities to exercise their rights and freedoms, being rights and freedoms recognised or declared by the </w:t>
      </w:r>
      <w:r>
        <w:rPr>
          <w:i/>
        </w:rPr>
        <w:t>Disabilities Convention</w:t>
      </w:r>
      <w:r>
        <w:t xml:space="preserve">, </w:t>
      </w:r>
      <w:proofErr w:type="gramStart"/>
      <w:r>
        <w:t>through:</w:t>
      </w:r>
      <w:proofErr w:type="gramEnd"/>
      <w:r>
        <w:t xml:space="preserve"> one-to-one support; or supporting them to advocate for themselves, whether individually, through a third party or on a group</w:t>
      </w:r>
      <w:r>
        <w:rPr>
          <w:spacing w:val="-20"/>
        </w:rPr>
        <w:t xml:space="preserve"> </w:t>
      </w:r>
      <w:r>
        <w:t>basis.</w:t>
      </w:r>
    </w:p>
    <w:p w14:paraId="753A9EE9" w14:textId="77777777" w:rsidR="005E205A" w:rsidRDefault="005E205A" w:rsidP="005E205A">
      <w:pPr>
        <w:pStyle w:val="ListParagraph"/>
        <w:numPr>
          <w:ilvl w:val="0"/>
          <w:numId w:val="8"/>
        </w:numPr>
        <w:spacing w:before="1"/>
        <w:ind w:left="700"/>
      </w:pPr>
      <w:r>
        <w:t xml:space="preserve">a service that seeks to introduce and influence long-term changes to ensure that the rights and freedoms of persons with disabilities, being rights and freedoms recognised or declared by the </w:t>
      </w:r>
      <w:r w:rsidRPr="001F4A9C">
        <w:t>Disabilities</w:t>
      </w:r>
      <w:r>
        <w:rPr>
          <w:i/>
        </w:rPr>
        <w:t xml:space="preserve"> Convention</w:t>
      </w:r>
      <w:r>
        <w:t>, are attained and upheld so as to positively affect the quality of their</w:t>
      </w:r>
      <w:r>
        <w:rPr>
          <w:spacing w:val="-11"/>
        </w:rPr>
        <w:t xml:space="preserve"> </w:t>
      </w:r>
      <w:r>
        <w:t>lives.</w:t>
      </w:r>
    </w:p>
    <w:p w14:paraId="64EF3E43" w14:textId="77777777" w:rsidR="005E205A" w:rsidRPr="001F4A9C" w:rsidRDefault="005E205A" w:rsidP="005E205A">
      <w:pPr>
        <w:pStyle w:val="ListParagraph"/>
        <w:numPr>
          <w:ilvl w:val="0"/>
          <w:numId w:val="8"/>
        </w:numPr>
        <w:spacing w:before="1"/>
        <w:ind w:left="700"/>
        <w:rPr>
          <w:i/>
        </w:rPr>
      </w:pPr>
      <w:r>
        <w:t xml:space="preserve">a service included in a class of services approved by the Minister under section 9B. Note: The </w:t>
      </w:r>
      <w:r w:rsidRPr="001F4A9C">
        <w:rPr>
          <w:i/>
        </w:rPr>
        <w:t xml:space="preserve">Disabilities Convention </w:t>
      </w:r>
      <w:r>
        <w:t xml:space="preserve">is defined in the </w:t>
      </w:r>
      <w:r w:rsidRPr="001F4A9C">
        <w:rPr>
          <w:i/>
        </w:rPr>
        <w:t xml:space="preserve">Disability Services Act 1986 </w:t>
      </w:r>
      <w:r>
        <w:t>(DSA) as</w:t>
      </w:r>
      <w:r w:rsidRPr="001F4A9C">
        <w:rPr>
          <w:spacing w:val="-25"/>
        </w:rPr>
        <w:t xml:space="preserve"> </w:t>
      </w:r>
      <w:r>
        <w:t xml:space="preserve">the </w:t>
      </w:r>
      <w:r w:rsidRPr="001F4A9C">
        <w:rPr>
          <w:i/>
        </w:rPr>
        <w:t>United Nations Convention on the Rights of Persons with Disabilities.</w:t>
      </w:r>
    </w:p>
    <w:p w14:paraId="493486A7" w14:textId="77777777" w:rsidR="005E205A" w:rsidRDefault="005E205A" w:rsidP="005E205A">
      <w:pPr>
        <w:pStyle w:val="Heading3"/>
        <w:spacing w:before="240"/>
      </w:pPr>
      <w:bookmarkStart w:id="55" w:name="_Toc144895272"/>
      <w:r>
        <w:t>Independent advocates</w:t>
      </w:r>
      <w:bookmarkEnd w:id="55"/>
    </w:p>
    <w:p w14:paraId="7F1E873C" w14:textId="77777777" w:rsidR="005E205A" w:rsidRDefault="005E205A" w:rsidP="005E205A">
      <w:pPr>
        <w:pStyle w:val="BodyText"/>
      </w:pPr>
      <w:r>
        <w:t>An independent advocate, in relation to a person with disability, means a person who:</w:t>
      </w:r>
    </w:p>
    <w:p w14:paraId="51370F71" w14:textId="77777777" w:rsidR="005E205A" w:rsidRDefault="005E205A" w:rsidP="005E205A">
      <w:pPr>
        <w:pStyle w:val="ListParagraph"/>
        <w:numPr>
          <w:ilvl w:val="0"/>
          <w:numId w:val="10"/>
        </w:numPr>
        <w:rPr>
          <w:rFonts w:ascii="Symbol" w:hAnsi="Symbol"/>
        </w:rPr>
      </w:pPr>
      <w:r>
        <w:t>is independent of the organisations providing supports or services to a person with disability</w:t>
      </w:r>
    </w:p>
    <w:p w14:paraId="48584BA0" w14:textId="77777777" w:rsidR="005E205A" w:rsidRDefault="005E205A" w:rsidP="005E205A">
      <w:pPr>
        <w:pStyle w:val="ListParagraph"/>
        <w:numPr>
          <w:ilvl w:val="0"/>
          <w:numId w:val="10"/>
        </w:numPr>
        <w:rPr>
          <w:rFonts w:ascii="Symbol" w:hAnsi="Symbol"/>
        </w:rPr>
      </w:pPr>
      <w:r>
        <w:t>provides independent advocacy for the person with disability, to assist the person with disability to exercise choice and control and to have their voice heard in matters that affect</w:t>
      </w:r>
      <w:r>
        <w:rPr>
          <w:spacing w:val="-2"/>
        </w:rPr>
        <w:t xml:space="preserve"> </w:t>
      </w:r>
      <w:r>
        <w:t>them</w:t>
      </w:r>
    </w:p>
    <w:p w14:paraId="7E5A1057" w14:textId="77777777" w:rsidR="005E205A" w:rsidRDefault="005E205A" w:rsidP="005E205A">
      <w:pPr>
        <w:pStyle w:val="ListParagraph"/>
        <w:numPr>
          <w:ilvl w:val="0"/>
          <w:numId w:val="10"/>
        </w:numPr>
        <w:rPr>
          <w:rFonts w:ascii="Symbol" w:hAnsi="Symbol"/>
        </w:rPr>
      </w:pPr>
      <w:r>
        <w:t>acts</w:t>
      </w:r>
      <w:r>
        <w:rPr>
          <w:spacing w:val="-3"/>
        </w:rPr>
        <w:t xml:space="preserve"> </w:t>
      </w:r>
      <w:r>
        <w:t>at</w:t>
      </w:r>
      <w:r>
        <w:rPr>
          <w:spacing w:val="-4"/>
        </w:rPr>
        <w:t xml:space="preserve"> </w:t>
      </w:r>
      <w:r>
        <w:t>the</w:t>
      </w:r>
      <w:r>
        <w:rPr>
          <w:spacing w:val="-6"/>
        </w:rPr>
        <w:t xml:space="preserve"> </w:t>
      </w:r>
      <w:r>
        <w:t>direction</w:t>
      </w:r>
      <w:r>
        <w:rPr>
          <w:spacing w:val="-5"/>
        </w:rPr>
        <w:t xml:space="preserve"> </w:t>
      </w:r>
      <w:r>
        <w:t>of</w:t>
      </w:r>
      <w:r>
        <w:rPr>
          <w:spacing w:val="-2"/>
        </w:rPr>
        <w:t xml:space="preserve"> </w:t>
      </w:r>
      <w:r>
        <w:t>the</w:t>
      </w:r>
      <w:r>
        <w:rPr>
          <w:spacing w:val="-3"/>
        </w:rPr>
        <w:t xml:space="preserve"> </w:t>
      </w:r>
      <w:r>
        <w:t>person</w:t>
      </w:r>
      <w:r>
        <w:rPr>
          <w:spacing w:val="-6"/>
        </w:rPr>
        <w:t xml:space="preserve"> </w:t>
      </w:r>
      <w:r>
        <w:t>with</w:t>
      </w:r>
      <w:r>
        <w:rPr>
          <w:spacing w:val="-3"/>
        </w:rPr>
        <w:t xml:space="preserve"> </w:t>
      </w:r>
      <w:r>
        <w:t>disability,</w:t>
      </w:r>
      <w:r>
        <w:rPr>
          <w:spacing w:val="-2"/>
        </w:rPr>
        <w:t xml:space="preserve"> </w:t>
      </w:r>
      <w:r>
        <w:t>reflecting</w:t>
      </w:r>
      <w:r>
        <w:rPr>
          <w:spacing w:val="-3"/>
        </w:rPr>
        <w:t xml:space="preserve"> </w:t>
      </w:r>
      <w:r>
        <w:t>the</w:t>
      </w:r>
      <w:r>
        <w:rPr>
          <w:spacing w:val="-4"/>
        </w:rPr>
        <w:t xml:space="preserve"> </w:t>
      </w:r>
      <w:r>
        <w:t>person</w:t>
      </w:r>
      <w:r>
        <w:rPr>
          <w:spacing w:val="-3"/>
        </w:rPr>
        <w:t xml:space="preserve"> </w:t>
      </w:r>
      <w:r>
        <w:t>with</w:t>
      </w:r>
      <w:r>
        <w:rPr>
          <w:spacing w:val="-5"/>
        </w:rPr>
        <w:t xml:space="preserve"> </w:t>
      </w:r>
      <w:r>
        <w:t>disability’s expressed wishes, will, preferences and</w:t>
      </w:r>
      <w:r>
        <w:rPr>
          <w:spacing w:val="1"/>
        </w:rPr>
        <w:t xml:space="preserve"> </w:t>
      </w:r>
      <w:r>
        <w:t>rights</w:t>
      </w:r>
    </w:p>
    <w:p w14:paraId="6031C3ED" w14:textId="77777777" w:rsidR="005E205A" w:rsidRPr="00E44BE7" w:rsidRDefault="005E205A" w:rsidP="005E205A">
      <w:pPr>
        <w:pStyle w:val="ListParagraph"/>
        <w:numPr>
          <w:ilvl w:val="0"/>
          <w:numId w:val="10"/>
        </w:numPr>
        <w:rPr>
          <w:rFonts w:ascii="Symbol" w:hAnsi="Symbol"/>
        </w:rPr>
      </w:pPr>
      <w:r>
        <w:t>is free of relevant conflicts of</w:t>
      </w:r>
      <w:r>
        <w:rPr>
          <w:spacing w:val="-1"/>
        </w:rPr>
        <w:t xml:space="preserve"> </w:t>
      </w:r>
      <w:r>
        <w:t>interest.</w:t>
      </w:r>
    </w:p>
    <w:p w14:paraId="703651B5" w14:textId="77777777" w:rsidR="005E205A" w:rsidRDefault="005E205A" w:rsidP="005E205A">
      <w:pPr>
        <w:pStyle w:val="Heading3"/>
      </w:pPr>
      <w:bookmarkStart w:id="56" w:name="_Toc144895273"/>
      <w:r>
        <w:t>Advocacy models</w:t>
      </w:r>
      <w:bookmarkEnd w:id="56"/>
    </w:p>
    <w:p w14:paraId="6EE97B32" w14:textId="77777777" w:rsidR="005E205A" w:rsidRDefault="005E205A" w:rsidP="005E205A">
      <w:pPr>
        <w:pStyle w:val="BodyText"/>
      </w:pPr>
      <w:r>
        <w:t>Providers funded through NDAP will receive funding to deliver:</w:t>
      </w:r>
    </w:p>
    <w:p w14:paraId="0E28237B" w14:textId="77777777" w:rsidR="005E205A" w:rsidRDefault="005E205A" w:rsidP="005E205A">
      <w:pPr>
        <w:pStyle w:val="ListParagraph"/>
        <w:numPr>
          <w:ilvl w:val="0"/>
          <w:numId w:val="10"/>
        </w:numPr>
        <w:rPr>
          <w:rFonts w:ascii="Symbol" w:hAnsi="Symbol"/>
        </w:rPr>
      </w:pPr>
      <w:r>
        <w:t xml:space="preserve">advocacy for individuals (which may involve individual advocacy, </w:t>
      </w:r>
      <w:proofErr w:type="spellStart"/>
      <w:r>
        <w:t>self advocacy</w:t>
      </w:r>
      <w:proofErr w:type="spellEnd"/>
      <w:r>
        <w:t>, citizen advocacy, family advocacy and/or legal</w:t>
      </w:r>
      <w:r>
        <w:rPr>
          <w:spacing w:val="-2"/>
        </w:rPr>
        <w:t xml:space="preserve"> </w:t>
      </w:r>
      <w:r>
        <w:t>advocacy)</w:t>
      </w:r>
    </w:p>
    <w:p w14:paraId="34E5D1F8" w14:textId="77777777" w:rsidR="005E205A" w:rsidRDefault="005E205A" w:rsidP="005E205A">
      <w:pPr>
        <w:pStyle w:val="ListParagraph"/>
        <w:numPr>
          <w:ilvl w:val="0"/>
          <w:numId w:val="10"/>
        </w:numPr>
        <w:rPr>
          <w:rFonts w:ascii="Symbol" w:hAnsi="Symbol"/>
        </w:rPr>
      </w:pPr>
      <w:r>
        <w:t>systemic</w:t>
      </w:r>
      <w:r>
        <w:rPr>
          <w:spacing w:val="-1"/>
        </w:rPr>
        <w:t xml:space="preserve"> </w:t>
      </w:r>
      <w:r>
        <w:t>advocacy.</w:t>
      </w:r>
    </w:p>
    <w:p w14:paraId="6FB4D7FB" w14:textId="77777777" w:rsidR="005E205A" w:rsidRDefault="005E205A" w:rsidP="005E205A">
      <w:pPr>
        <w:pStyle w:val="BodyText"/>
      </w:pPr>
      <w:r>
        <w:t xml:space="preserve">This approach is designed to ensure that providers can deliver the advocacy a person needs, rather than be constrained by requirements in the grant agreement. Further information on the commonly understood models of disability advocacy are provided at </w:t>
      </w:r>
      <w:r>
        <w:rPr>
          <w:b/>
        </w:rPr>
        <w:t xml:space="preserve">Table 1 </w:t>
      </w:r>
      <w:r>
        <w:t>below.</w:t>
      </w:r>
    </w:p>
    <w:p w14:paraId="07CE9D91" w14:textId="77777777" w:rsidR="005E205A" w:rsidRDefault="005E205A" w:rsidP="005E205A">
      <w:pPr>
        <w:pStyle w:val="Heading5"/>
      </w:pPr>
    </w:p>
    <w:p w14:paraId="1C7F6E03" w14:textId="77777777" w:rsidR="005E205A" w:rsidRDefault="005E205A" w:rsidP="005E205A">
      <w:pPr>
        <w:pStyle w:val="Heading5"/>
      </w:pPr>
      <w:r>
        <w:lastRenderedPageBreak/>
        <w:t>Table</w:t>
      </w:r>
      <w:r>
        <w:rPr>
          <w:spacing w:val="-1"/>
        </w:rPr>
        <w:t xml:space="preserve"> </w:t>
      </w:r>
      <w:r>
        <w:t>1 Models of Disability</w:t>
      </w:r>
      <w:r>
        <w:rPr>
          <w:spacing w:val="-3"/>
        </w:rPr>
        <w:t xml:space="preserve"> </w:t>
      </w:r>
      <w:r>
        <w:t>Advocacy</w:t>
      </w:r>
    </w:p>
    <w:p w14:paraId="71DD2C80" w14:textId="28BF2903" w:rsidR="005E205A" w:rsidRDefault="005E205A" w:rsidP="005E205A">
      <w:pPr>
        <w:tabs>
          <w:tab w:val="left" w:pos="8550"/>
        </w:tabs>
        <w:rPr>
          <w:sz w:val="15"/>
        </w:rPr>
      </w:pPr>
    </w:p>
    <w:p w14:paraId="4895117C" w14:textId="0C41A49C" w:rsidR="00C5713F" w:rsidRDefault="00C5713F" w:rsidP="005E205A">
      <w:pPr>
        <w:tabs>
          <w:tab w:val="left" w:pos="8550"/>
        </w:tabs>
        <w:rPr>
          <w:sz w:val="15"/>
        </w:rPr>
      </w:pPr>
    </w:p>
    <w:tbl>
      <w:tblPr>
        <w:tblStyle w:val="TableGrid"/>
        <w:tblW w:w="10060" w:type="dxa"/>
        <w:tblLayout w:type="fixed"/>
        <w:tblLook w:val="01A0" w:firstRow="1" w:lastRow="0" w:firstColumn="1" w:lastColumn="1" w:noHBand="0" w:noVBand="0"/>
        <w:tblCaption w:val="Models of Disability Advocacy"/>
        <w:tblDescription w:val="This table provides a description of the types of individual and systemic advocacy models."/>
      </w:tblPr>
      <w:tblGrid>
        <w:gridCol w:w="10060"/>
      </w:tblGrid>
      <w:tr w:rsidR="00C5713F" w14:paraId="758B5065" w14:textId="77777777" w:rsidTr="0092522C">
        <w:trPr>
          <w:trHeight w:val="388"/>
          <w:tblHeader/>
        </w:trPr>
        <w:tc>
          <w:tcPr>
            <w:tcW w:w="10060" w:type="dxa"/>
            <w:shd w:val="clear" w:color="auto" w:fill="D6E3BC" w:themeFill="accent3" w:themeFillTint="66"/>
          </w:tcPr>
          <w:p w14:paraId="14A0BD50" w14:textId="20D13FB7" w:rsidR="00C5713F" w:rsidRDefault="00C5713F" w:rsidP="0064555D">
            <w:pPr>
              <w:pStyle w:val="TableParagraph"/>
              <w:spacing w:before="120" w:after="120"/>
              <w:ind w:left="54"/>
              <w:rPr>
                <w:b/>
                <w:sz w:val="20"/>
              </w:rPr>
            </w:pPr>
            <w:r>
              <w:rPr>
                <w:b/>
                <w:sz w:val="20"/>
              </w:rPr>
              <w:t>Advocacy Models</w:t>
            </w:r>
          </w:p>
        </w:tc>
      </w:tr>
      <w:tr w:rsidR="00C5713F" w14:paraId="25900DF9" w14:textId="77777777" w:rsidTr="0092522C">
        <w:trPr>
          <w:trHeight w:val="2569"/>
        </w:trPr>
        <w:tc>
          <w:tcPr>
            <w:tcW w:w="10060" w:type="dxa"/>
          </w:tcPr>
          <w:p w14:paraId="7C982494" w14:textId="77777777" w:rsidR="00C5713F" w:rsidRDefault="00C5713F" w:rsidP="0064555D">
            <w:pPr>
              <w:pStyle w:val="TableParagraph"/>
              <w:spacing w:before="120" w:after="120" w:line="242" w:lineRule="auto"/>
              <w:ind w:left="54"/>
              <w:rPr>
                <w:sz w:val="20"/>
              </w:rPr>
            </w:pPr>
            <w:r>
              <w:rPr>
                <w:b/>
                <w:sz w:val="20"/>
              </w:rPr>
              <w:t xml:space="preserve">Individual advocacy </w:t>
            </w:r>
            <w:r>
              <w:rPr>
                <w:sz w:val="20"/>
              </w:rPr>
              <w:t>– seeks to uphold the rights and interests of people with all types of disabilities on a one-on-one basis by addressing instances of discrimination, abuse and neglect.</w:t>
            </w:r>
          </w:p>
          <w:p w14:paraId="73C04590" w14:textId="77777777" w:rsidR="00C5713F" w:rsidRDefault="00C5713F" w:rsidP="0064555D">
            <w:pPr>
              <w:pStyle w:val="TableParagraph"/>
              <w:spacing w:before="120" w:after="120"/>
              <w:ind w:left="54" w:right="293"/>
              <w:rPr>
                <w:sz w:val="20"/>
              </w:rPr>
            </w:pPr>
            <w:r>
              <w:rPr>
                <w:sz w:val="20"/>
              </w:rPr>
              <w:t>Individual advocates work with people with disability on either a short-term or issue-specific basis. Individual advocates:</w:t>
            </w:r>
          </w:p>
          <w:p w14:paraId="323992A2" w14:textId="77777777" w:rsidR="00C5713F" w:rsidRDefault="00C5713F" w:rsidP="0064555D">
            <w:pPr>
              <w:pStyle w:val="TableParagraph"/>
              <w:numPr>
                <w:ilvl w:val="0"/>
                <w:numId w:val="7"/>
              </w:numPr>
              <w:tabs>
                <w:tab w:val="left" w:pos="414"/>
                <w:tab w:val="left" w:pos="415"/>
              </w:tabs>
              <w:spacing w:before="120" w:after="120" w:line="220" w:lineRule="auto"/>
              <w:ind w:right="393"/>
              <w:rPr>
                <w:sz w:val="20"/>
              </w:rPr>
            </w:pPr>
            <w:r>
              <w:rPr>
                <w:sz w:val="20"/>
              </w:rPr>
              <w:t>develop a plan of action (sometimes called an individual advocacy plan) in</w:t>
            </w:r>
            <w:r>
              <w:rPr>
                <w:spacing w:val="-29"/>
                <w:sz w:val="20"/>
              </w:rPr>
              <w:t xml:space="preserve"> </w:t>
            </w:r>
            <w:r>
              <w:rPr>
                <w:sz w:val="20"/>
              </w:rPr>
              <w:t>partnership with the person with disability that maps out clearly defined</w:t>
            </w:r>
            <w:r>
              <w:rPr>
                <w:spacing w:val="-10"/>
                <w:sz w:val="20"/>
              </w:rPr>
              <w:t xml:space="preserve"> </w:t>
            </w:r>
            <w:proofErr w:type="gramStart"/>
            <w:r>
              <w:rPr>
                <w:sz w:val="20"/>
              </w:rPr>
              <w:t>goals;</w:t>
            </w:r>
            <w:proofErr w:type="gramEnd"/>
          </w:p>
          <w:p w14:paraId="65BB2B4A" w14:textId="77777777" w:rsidR="00C5713F" w:rsidRDefault="00C5713F" w:rsidP="0064555D">
            <w:pPr>
              <w:pStyle w:val="TableParagraph"/>
              <w:numPr>
                <w:ilvl w:val="0"/>
                <w:numId w:val="7"/>
              </w:numPr>
              <w:tabs>
                <w:tab w:val="left" w:pos="414"/>
                <w:tab w:val="left" w:pos="415"/>
              </w:tabs>
              <w:spacing w:before="120" w:after="120"/>
              <w:ind w:hanging="361"/>
              <w:rPr>
                <w:sz w:val="20"/>
              </w:rPr>
            </w:pPr>
            <w:r>
              <w:rPr>
                <w:sz w:val="20"/>
              </w:rPr>
              <w:t>educate people with disability about their rights;</w:t>
            </w:r>
            <w:r>
              <w:rPr>
                <w:spacing w:val="-7"/>
                <w:sz w:val="20"/>
              </w:rPr>
              <w:t xml:space="preserve"> </w:t>
            </w:r>
            <w:r>
              <w:rPr>
                <w:sz w:val="20"/>
              </w:rPr>
              <w:t>and</w:t>
            </w:r>
          </w:p>
          <w:p w14:paraId="587898F0" w14:textId="77777777" w:rsidR="00C5713F" w:rsidRDefault="00C5713F" w:rsidP="0064555D">
            <w:pPr>
              <w:pStyle w:val="TableParagraph"/>
              <w:numPr>
                <w:ilvl w:val="0"/>
                <w:numId w:val="7"/>
              </w:numPr>
              <w:tabs>
                <w:tab w:val="left" w:pos="414"/>
                <w:tab w:val="left" w:pos="415"/>
              </w:tabs>
              <w:spacing w:before="120" w:after="120"/>
              <w:ind w:hanging="361"/>
              <w:rPr>
                <w:sz w:val="20"/>
              </w:rPr>
            </w:pPr>
            <w:r>
              <w:rPr>
                <w:sz w:val="20"/>
              </w:rPr>
              <w:t xml:space="preserve">work through the individual advocacy plan </w:t>
            </w:r>
            <w:r>
              <w:rPr>
                <w:spacing w:val="2"/>
                <w:sz w:val="20"/>
              </w:rPr>
              <w:t xml:space="preserve">in </w:t>
            </w:r>
            <w:r>
              <w:rPr>
                <w:sz w:val="20"/>
              </w:rPr>
              <w:t>partnership with the person with</w:t>
            </w:r>
            <w:r>
              <w:rPr>
                <w:spacing w:val="-20"/>
                <w:sz w:val="20"/>
              </w:rPr>
              <w:t xml:space="preserve"> </w:t>
            </w:r>
            <w:r>
              <w:rPr>
                <w:sz w:val="20"/>
              </w:rPr>
              <w:t>disability.</w:t>
            </w:r>
          </w:p>
        </w:tc>
      </w:tr>
      <w:tr w:rsidR="00C5713F" w14:paraId="377C8E1F" w14:textId="77777777" w:rsidTr="0092522C">
        <w:trPr>
          <w:trHeight w:val="1556"/>
        </w:trPr>
        <w:tc>
          <w:tcPr>
            <w:tcW w:w="10060" w:type="dxa"/>
          </w:tcPr>
          <w:p w14:paraId="2274DAAE" w14:textId="77777777" w:rsidR="00C5713F" w:rsidRDefault="00C5713F" w:rsidP="0064555D">
            <w:pPr>
              <w:pStyle w:val="TableParagraph"/>
              <w:spacing w:before="120" w:after="120"/>
              <w:ind w:left="54" w:right="115"/>
              <w:rPr>
                <w:sz w:val="20"/>
              </w:rPr>
            </w:pPr>
            <w:r>
              <w:rPr>
                <w:b/>
                <w:sz w:val="20"/>
              </w:rPr>
              <w:t xml:space="preserve">Citizen advocacy </w:t>
            </w:r>
            <w:r>
              <w:rPr>
                <w:sz w:val="20"/>
              </w:rPr>
              <w:t>– seeks to support vulnerable or isolated people with disability (also called protégés) by matching them with volunteers. Some of the matches made may last for life.</w:t>
            </w:r>
          </w:p>
          <w:p w14:paraId="77F61B27" w14:textId="77777777" w:rsidR="00C5713F" w:rsidRDefault="00C5713F" w:rsidP="0064555D">
            <w:pPr>
              <w:pStyle w:val="TableParagraph"/>
              <w:spacing w:before="120" w:after="120"/>
              <w:ind w:left="54" w:right="293"/>
              <w:rPr>
                <w:sz w:val="20"/>
              </w:rPr>
            </w:pPr>
            <w:r>
              <w:rPr>
                <w:sz w:val="20"/>
              </w:rPr>
              <w:t>Citizen advocates are encouraged to represent the interests of a person with disability as if they were their own and be free from conflict of interest. Citizen advocates are recruited, trained and supported by a coordinator who manages the work of the citizen advocacy agency.</w:t>
            </w:r>
          </w:p>
        </w:tc>
      </w:tr>
      <w:tr w:rsidR="00C5713F" w14:paraId="3AC2F7E8" w14:textId="77777777" w:rsidTr="0092522C">
        <w:trPr>
          <w:trHeight w:val="1504"/>
        </w:trPr>
        <w:tc>
          <w:tcPr>
            <w:tcW w:w="10060" w:type="dxa"/>
          </w:tcPr>
          <w:p w14:paraId="406504EB" w14:textId="77777777" w:rsidR="00C5713F" w:rsidRDefault="00C5713F" w:rsidP="0064555D">
            <w:pPr>
              <w:pStyle w:val="TableParagraph"/>
              <w:spacing w:before="120" w:after="120" w:line="242" w:lineRule="auto"/>
              <w:ind w:left="54"/>
              <w:rPr>
                <w:sz w:val="20"/>
              </w:rPr>
            </w:pPr>
            <w:r>
              <w:rPr>
                <w:b/>
                <w:sz w:val="20"/>
              </w:rPr>
              <w:t xml:space="preserve">Family advocacy </w:t>
            </w:r>
            <w:r>
              <w:rPr>
                <w:sz w:val="20"/>
              </w:rPr>
              <w:t>– works with parents and family members to enable them to act as advocates with, and on behalf of, a family member with disability. Family advocates work with parents and family members on either a short-term or an issue-specific basis.</w:t>
            </w:r>
          </w:p>
          <w:p w14:paraId="7E7A740C" w14:textId="77777777" w:rsidR="00C5713F" w:rsidRDefault="00C5713F" w:rsidP="0064555D">
            <w:pPr>
              <w:pStyle w:val="TableParagraph"/>
              <w:spacing w:before="120" w:after="120"/>
              <w:ind w:left="54"/>
              <w:rPr>
                <w:sz w:val="20"/>
              </w:rPr>
            </w:pPr>
            <w:r>
              <w:rPr>
                <w:sz w:val="20"/>
              </w:rPr>
              <w:t>Family advocates work within the fundamental principle that the rights and interests of the person with disability are upheld at all times</w:t>
            </w:r>
          </w:p>
        </w:tc>
      </w:tr>
      <w:tr w:rsidR="00C5713F" w14:paraId="66E52717" w14:textId="77777777" w:rsidTr="0092522C">
        <w:trPr>
          <w:trHeight w:val="1153"/>
        </w:trPr>
        <w:tc>
          <w:tcPr>
            <w:tcW w:w="10060" w:type="dxa"/>
          </w:tcPr>
          <w:p w14:paraId="64AD4962" w14:textId="77777777" w:rsidR="00C5713F" w:rsidRDefault="00C5713F" w:rsidP="0064555D">
            <w:pPr>
              <w:pStyle w:val="TableParagraph"/>
              <w:spacing w:before="120" w:after="120"/>
              <w:ind w:left="54"/>
              <w:rPr>
                <w:sz w:val="20"/>
              </w:rPr>
            </w:pPr>
            <w:proofErr w:type="spellStart"/>
            <w:r>
              <w:rPr>
                <w:b/>
                <w:sz w:val="20"/>
              </w:rPr>
              <w:t>Self advocacy</w:t>
            </w:r>
            <w:proofErr w:type="spellEnd"/>
            <w:r>
              <w:rPr>
                <w:b/>
                <w:sz w:val="20"/>
              </w:rPr>
              <w:t xml:space="preserve"> </w:t>
            </w:r>
            <w:r>
              <w:rPr>
                <w:sz w:val="20"/>
              </w:rPr>
              <w:t xml:space="preserve">– supports people with disability to advocate on their own behalf, to the extent possible, or on a one-on-one or group basis. </w:t>
            </w:r>
            <w:proofErr w:type="spellStart"/>
            <w:r>
              <w:rPr>
                <w:sz w:val="20"/>
              </w:rPr>
              <w:t>Self advocacy</w:t>
            </w:r>
            <w:proofErr w:type="spellEnd"/>
            <w:r>
              <w:rPr>
                <w:sz w:val="20"/>
              </w:rPr>
              <w:t xml:space="preserve"> advocates work with people with disability to develop their personal skills and self-confidence to enable them to advocate on their own behalf; and educate people with disability about their rights.</w:t>
            </w:r>
          </w:p>
        </w:tc>
      </w:tr>
      <w:tr w:rsidR="00C5713F" w14:paraId="654D542B" w14:textId="77777777" w:rsidTr="0092522C">
        <w:trPr>
          <w:trHeight w:val="1620"/>
        </w:trPr>
        <w:tc>
          <w:tcPr>
            <w:tcW w:w="10060" w:type="dxa"/>
          </w:tcPr>
          <w:p w14:paraId="00198C2E" w14:textId="77777777" w:rsidR="00C5713F" w:rsidRDefault="00C5713F" w:rsidP="00C5713F">
            <w:pPr>
              <w:pStyle w:val="TableParagraph"/>
              <w:spacing w:before="60" w:after="120"/>
              <w:ind w:left="54"/>
              <w:rPr>
                <w:sz w:val="20"/>
              </w:rPr>
            </w:pPr>
            <w:r>
              <w:rPr>
                <w:b/>
                <w:sz w:val="20"/>
              </w:rPr>
              <w:t xml:space="preserve">Legal advocacy </w:t>
            </w:r>
            <w:r>
              <w:rPr>
                <w:rFonts w:ascii="Malgun Gothic Semilight" w:hAnsi="Malgun Gothic Semilight"/>
                <w:sz w:val="20"/>
              </w:rPr>
              <w:t xml:space="preserve">– </w:t>
            </w:r>
            <w:r>
              <w:rPr>
                <w:sz w:val="20"/>
              </w:rPr>
              <w:t>seeks to uphold the rights and interests of people with all types of disabilities on a one-on-one basis by addressing legal aspects of instances of discrimination, abuse and neglect. Legal advocates may:</w:t>
            </w:r>
          </w:p>
          <w:p w14:paraId="6F23669F" w14:textId="77777777" w:rsidR="00C5713F" w:rsidRDefault="00C5713F" w:rsidP="0064555D">
            <w:pPr>
              <w:pStyle w:val="TableParagraph"/>
              <w:numPr>
                <w:ilvl w:val="0"/>
                <w:numId w:val="10"/>
              </w:numPr>
              <w:tabs>
                <w:tab w:val="left" w:pos="486"/>
              </w:tabs>
              <w:spacing w:before="120" w:after="120" w:line="223" w:lineRule="auto"/>
              <w:ind w:right="221"/>
              <w:rPr>
                <w:sz w:val="20"/>
              </w:rPr>
            </w:pPr>
            <w:r>
              <w:rPr>
                <w:sz w:val="20"/>
              </w:rPr>
              <w:t>provide legal representation for people with disability as they come into contact with</w:t>
            </w:r>
            <w:r w:rsidRPr="001F4A9C">
              <w:rPr>
                <w:sz w:val="20"/>
              </w:rPr>
              <w:t xml:space="preserve"> </w:t>
            </w:r>
            <w:r>
              <w:rPr>
                <w:sz w:val="20"/>
              </w:rPr>
              <w:t>the justice</w:t>
            </w:r>
            <w:r w:rsidRPr="001F4A9C">
              <w:rPr>
                <w:sz w:val="20"/>
              </w:rPr>
              <w:t xml:space="preserve"> </w:t>
            </w:r>
            <w:proofErr w:type="gramStart"/>
            <w:r>
              <w:rPr>
                <w:sz w:val="20"/>
              </w:rPr>
              <w:t>system;</w:t>
            </w:r>
            <w:proofErr w:type="gramEnd"/>
          </w:p>
          <w:p w14:paraId="3C24DE85" w14:textId="77777777" w:rsidR="00C5713F" w:rsidRDefault="00C5713F" w:rsidP="0064555D">
            <w:pPr>
              <w:pStyle w:val="TableParagraph"/>
              <w:numPr>
                <w:ilvl w:val="0"/>
                <w:numId w:val="10"/>
              </w:numPr>
              <w:tabs>
                <w:tab w:val="left" w:pos="486"/>
              </w:tabs>
              <w:spacing w:before="120" w:after="120" w:line="223" w:lineRule="auto"/>
              <w:ind w:right="221"/>
              <w:rPr>
                <w:sz w:val="20"/>
              </w:rPr>
            </w:pPr>
            <w:r>
              <w:rPr>
                <w:sz w:val="20"/>
              </w:rPr>
              <w:t>pursue positive changes to legislation for people with disability;</w:t>
            </w:r>
            <w:r w:rsidRPr="001F4A9C">
              <w:rPr>
                <w:sz w:val="20"/>
              </w:rPr>
              <w:t xml:space="preserve"> </w:t>
            </w:r>
            <w:r>
              <w:rPr>
                <w:sz w:val="20"/>
              </w:rPr>
              <w:t>and</w:t>
            </w:r>
          </w:p>
          <w:p w14:paraId="6D796610" w14:textId="77777777" w:rsidR="00C5713F" w:rsidRDefault="00C5713F" w:rsidP="0064555D">
            <w:pPr>
              <w:pStyle w:val="TableParagraph"/>
              <w:numPr>
                <w:ilvl w:val="0"/>
                <w:numId w:val="10"/>
              </w:numPr>
              <w:tabs>
                <w:tab w:val="left" w:pos="486"/>
              </w:tabs>
              <w:spacing w:before="120" w:after="120" w:line="223" w:lineRule="auto"/>
              <w:ind w:right="221"/>
              <w:rPr>
                <w:sz w:val="20"/>
              </w:rPr>
            </w:pPr>
            <w:r>
              <w:rPr>
                <w:sz w:val="20"/>
              </w:rPr>
              <w:t>assist people with disability to understand their legal</w:t>
            </w:r>
            <w:r>
              <w:rPr>
                <w:spacing w:val="-4"/>
                <w:sz w:val="20"/>
              </w:rPr>
              <w:t xml:space="preserve"> </w:t>
            </w:r>
            <w:r>
              <w:rPr>
                <w:sz w:val="20"/>
              </w:rPr>
              <w:t>rights.</w:t>
            </w:r>
          </w:p>
        </w:tc>
      </w:tr>
      <w:tr w:rsidR="00C5713F" w14:paraId="1E678C3A" w14:textId="77777777" w:rsidTr="0092522C">
        <w:trPr>
          <w:trHeight w:val="1020"/>
        </w:trPr>
        <w:tc>
          <w:tcPr>
            <w:tcW w:w="10060" w:type="dxa"/>
          </w:tcPr>
          <w:p w14:paraId="62A2E63D" w14:textId="77777777" w:rsidR="00C5713F" w:rsidRDefault="00C5713F" w:rsidP="0064555D">
            <w:pPr>
              <w:pStyle w:val="TableParagraph"/>
              <w:spacing w:before="120" w:after="120" w:line="237" w:lineRule="auto"/>
              <w:ind w:left="54"/>
              <w:rPr>
                <w:b/>
                <w:sz w:val="20"/>
              </w:rPr>
            </w:pPr>
            <w:r>
              <w:rPr>
                <w:b/>
                <w:sz w:val="20"/>
              </w:rPr>
              <w:t xml:space="preserve">Systemic advocacy </w:t>
            </w:r>
            <w:r>
              <w:rPr>
                <w:sz w:val="20"/>
              </w:rPr>
              <w:t>– seeks to influence or secure positive long-term changes that remove barriers and address discriminatory practices to ensure the collective rights and interests of people with disability are upheld.</w:t>
            </w:r>
          </w:p>
        </w:tc>
      </w:tr>
    </w:tbl>
    <w:p w14:paraId="4D54B975" w14:textId="77777777" w:rsidR="00C5713F" w:rsidRPr="00766402" w:rsidRDefault="00C5713F" w:rsidP="005E205A">
      <w:pPr>
        <w:tabs>
          <w:tab w:val="left" w:pos="8550"/>
        </w:tabs>
        <w:rPr>
          <w:sz w:val="15"/>
        </w:rPr>
        <w:sectPr w:rsidR="00C5713F" w:rsidRPr="00766402" w:rsidSect="002D4503">
          <w:pgSz w:w="11910" w:h="16840"/>
          <w:pgMar w:top="1420" w:right="1134" w:bottom="1740" w:left="1242" w:header="0" w:footer="1554" w:gutter="0"/>
          <w:cols w:space="720"/>
        </w:sectPr>
      </w:pPr>
    </w:p>
    <w:p w14:paraId="4D0124C8" w14:textId="77777777" w:rsidR="005E205A" w:rsidRDefault="005E205A" w:rsidP="005E205A">
      <w:pPr>
        <w:pStyle w:val="BodyText"/>
      </w:pPr>
      <w:r>
        <w:rPr>
          <w:noProof/>
          <w:lang w:eastAsia="en-AU"/>
        </w:rPr>
        <w:lastRenderedPageBreak/>
        <mc:AlternateContent>
          <mc:Choice Requires="wpg">
            <w:drawing>
              <wp:inline distT="0" distB="0" distL="0" distR="0" wp14:anchorId="3FECF748" wp14:editId="00D74AD8">
                <wp:extent cx="5769610" cy="6350"/>
                <wp:effectExtent l="635" t="1270" r="1905" b="1905"/>
                <wp:docPr id="1" name="Group 2"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6350"/>
                          <a:chOff x="0" y="0"/>
                          <a:chExt cx="9086" cy="10"/>
                        </a:xfrm>
                      </wpg:grpSpPr>
                      <wps:wsp>
                        <wps:cNvPr id="2" name="Rectangle 3"/>
                        <wps:cNvSpPr>
                          <a:spLocks noChangeArrowheads="1"/>
                        </wps:cNvSpPr>
                        <wps:spPr bwMode="auto">
                          <a:xfrm>
                            <a:off x="0" y="0"/>
                            <a:ext cx="908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0A06A21" id="Group 2" o:spid="_x0000_s1026" alt="Title: LIne" style="width:454.3pt;height:.5pt;mso-position-horizontal-relative:char;mso-position-vertical-relative:line" coordsize="90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">
                <v:rect id="Rectangle 3" o:spid="_x0000_s1027" style="position:absolute;width:908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w10:anchorlock/>
              </v:group>
            </w:pict>
          </mc:Fallback>
        </mc:AlternateContent>
      </w:r>
    </w:p>
    <w:p w14:paraId="55F6CD71" w14:textId="77777777" w:rsidR="005E205A" w:rsidRDefault="005E205A" w:rsidP="005E205A">
      <w:pPr>
        <w:pStyle w:val="Heading1"/>
        <w:numPr>
          <w:ilvl w:val="0"/>
          <w:numId w:val="0"/>
        </w:numPr>
        <w:ind w:left="360" w:hanging="360"/>
      </w:pPr>
      <w:bookmarkStart w:id="57" w:name="_Attachment_B_–_1"/>
      <w:bookmarkStart w:id="58" w:name="_Toc144895274"/>
      <w:bookmarkEnd w:id="57"/>
      <w:r>
        <w:t>Attachment B – National Centre for Disability Advocacy and Disability Advocacy Support Helpline</w:t>
      </w:r>
      <w:bookmarkEnd w:id="58"/>
      <w:r>
        <w:t xml:space="preserve"> </w:t>
      </w:r>
    </w:p>
    <w:p w14:paraId="78343FA4" w14:textId="77777777" w:rsidR="005E205A" w:rsidRPr="004F4205" w:rsidRDefault="005E205A" w:rsidP="005E205A">
      <w:pPr>
        <w:pStyle w:val="Heading3"/>
      </w:pPr>
      <w:bookmarkStart w:id="59" w:name="_Toc144895275"/>
      <w:r w:rsidRPr="002D795C">
        <w:t>National Centre for Disability Advocacy</w:t>
      </w:r>
      <w:bookmarkEnd w:id="59"/>
      <w:r w:rsidRPr="002D795C">
        <w:t xml:space="preserve"> </w:t>
      </w:r>
    </w:p>
    <w:p w14:paraId="077A5D62" w14:textId="77777777" w:rsidR="005E205A" w:rsidRPr="007E2D6A" w:rsidRDefault="005E205A" w:rsidP="005E205A">
      <w:pPr>
        <w:pStyle w:val="BodyText"/>
      </w:pPr>
      <w:r w:rsidRPr="00216597">
        <w:t>The National Centre for Disability Advocacy (NCDA) is delivered by the Disability Advocacy Network (DANA)</w:t>
      </w:r>
      <w:r w:rsidRPr="007E2D6A">
        <w:t>.</w:t>
      </w:r>
    </w:p>
    <w:p w14:paraId="7C5D342B" w14:textId="77777777" w:rsidR="005E205A" w:rsidRPr="003F4F31" w:rsidRDefault="005E205A" w:rsidP="00156D99">
      <w:pPr>
        <w:pStyle w:val="ListParagraph"/>
        <w:numPr>
          <w:ilvl w:val="0"/>
          <w:numId w:val="10"/>
        </w:numPr>
        <w:rPr>
          <w:rFonts w:eastAsiaTheme="minorHAnsi"/>
        </w:rPr>
      </w:pPr>
      <w:r w:rsidRPr="00264848">
        <w:t>The National Centre for Disability Advocacy (NCDA)</w:t>
      </w:r>
      <w:r w:rsidRPr="003F4F31">
        <w:t xml:space="preserve"> is intended to complement and support NDAP providers and build on existing strengths of the disability advocacy workforce. </w:t>
      </w:r>
    </w:p>
    <w:p w14:paraId="1EA73EF9" w14:textId="77777777" w:rsidR="005E205A" w:rsidRPr="003F4F31" w:rsidRDefault="005E205A" w:rsidP="00156D99">
      <w:pPr>
        <w:pStyle w:val="ListParagraph"/>
        <w:numPr>
          <w:ilvl w:val="0"/>
          <w:numId w:val="10"/>
        </w:numPr>
      </w:pPr>
      <w:r>
        <w:t xml:space="preserve">The NCDA </w:t>
      </w:r>
      <w:r w:rsidRPr="003F4F31">
        <w:t xml:space="preserve">will support NDAP providers improve access to, and quality of, their individual advocacy services by: </w:t>
      </w:r>
    </w:p>
    <w:p w14:paraId="112798EC" w14:textId="77777777" w:rsidR="005E205A" w:rsidRPr="003F4F31" w:rsidRDefault="005E205A" w:rsidP="00156D99">
      <w:pPr>
        <w:pStyle w:val="ListParagraph"/>
        <w:numPr>
          <w:ilvl w:val="1"/>
          <w:numId w:val="10"/>
        </w:numPr>
      </w:pPr>
      <w:r w:rsidRPr="003F4F31">
        <w:t xml:space="preserve">providing </w:t>
      </w:r>
      <w:r w:rsidRPr="003F4F31">
        <w:rPr>
          <w:b/>
        </w:rPr>
        <w:t>workforce development</w:t>
      </w:r>
      <w:r w:rsidRPr="003F4F31">
        <w:t xml:space="preserve"> activities for individual advocates, including training and resource development</w:t>
      </w:r>
    </w:p>
    <w:p w14:paraId="37224DA2" w14:textId="77777777" w:rsidR="005E205A" w:rsidRPr="003F4F31" w:rsidRDefault="005E205A" w:rsidP="00156D99">
      <w:pPr>
        <w:pStyle w:val="ListParagraph"/>
        <w:numPr>
          <w:ilvl w:val="1"/>
          <w:numId w:val="10"/>
        </w:numPr>
      </w:pPr>
      <w:r w:rsidRPr="003F4F31">
        <w:t xml:space="preserve">building an evidence base to </w:t>
      </w:r>
      <w:r w:rsidRPr="003F4F31">
        <w:rPr>
          <w:b/>
        </w:rPr>
        <w:t>understand and inform responses to unmet demand and service gaps</w:t>
      </w:r>
      <w:r w:rsidRPr="003F4F31">
        <w:t xml:space="preserve"> for individual advocacy services</w:t>
      </w:r>
    </w:p>
    <w:p w14:paraId="3A0906A9" w14:textId="77777777" w:rsidR="005E205A" w:rsidRPr="003F4F31" w:rsidRDefault="005E205A" w:rsidP="00156D99">
      <w:pPr>
        <w:pStyle w:val="ListParagraph"/>
        <w:numPr>
          <w:ilvl w:val="1"/>
          <w:numId w:val="10"/>
        </w:numPr>
      </w:pPr>
      <w:r w:rsidRPr="003F4F31">
        <w:t xml:space="preserve">establishing an agreed process for NDAP providers to raise </w:t>
      </w:r>
      <w:r w:rsidRPr="003F4F31">
        <w:rPr>
          <w:b/>
        </w:rPr>
        <w:t>systemic issues</w:t>
      </w:r>
      <w:r w:rsidRPr="003F4F31">
        <w:t xml:space="preserve"> in the advocacy sector with relevant government and non-government bodies.</w:t>
      </w:r>
    </w:p>
    <w:p w14:paraId="07514DD3" w14:textId="77777777" w:rsidR="005E205A" w:rsidRDefault="005E205A" w:rsidP="005E205A">
      <w:pPr>
        <w:pStyle w:val="ListParagraph"/>
        <w:widowControl/>
        <w:numPr>
          <w:ilvl w:val="0"/>
          <w:numId w:val="83"/>
        </w:numPr>
        <w:tabs>
          <w:tab w:val="clear" w:pos="837"/>
          <w:tab w:val="clear" w:pos="838"/>
        </w:tabs>
        <w:autoSpaceDE/>
        <w:autoSpaceDN/>
        <w:spacing w:before="120" w:line="240" w:lineRule="atLeast"/>
        <w:contextualSpacing/>
        <w:rPr>
          <w:rFonts w:asciiTheme="minorHAnsi" w:hAnsiTheme="minorHAnsi" w:cstheme="minorHAnsi"/>
          <w:sz w:val="24"/>
          <w:szCs w:val="24"/>
        </w:rPr>
      </w:pPr>
      <w:r w:rsidRPr="003F4F31">
        <w:t>The NCDA will work with the sector to refine focus areas and priorities</w:t>
      </w:r>
      <w:r>
        <w:rPr>
          <w:rFonts w:asciiTheme="minorHAnsi" w:hAnsiTheme="minorHAnsi" w:cstheme="minorHAnsi"/>
          <w:sz w:val="24"/>
          <w:szCs w:val="24"/>
        </w:rPr>
        <w:t xml:space="preserve">. </w:t>
      </w:r>
    </w:p>
    <w:p w14:paraId="5523559E" w14:textId="77777777" w:rsidR="005E205A" w:rsidRDefault="005E205A" w:rsidP="005E205A">
      <w:pPr>
        <w:pStyle w:val="Heading3"/>
      </w:pPr>
      <w:bookmarkStart w:id="60" w:name="_Toc144895276"/>
      <w:r>
        <w:t>Disability Advocacy Support Helpline</w:t>
      </w:r>
      <w:bookmarkEnd w:id="60"/>
      <w:r>
        <w:t xml:space="preserve"> </w:t>
      </w:r>
    </w:p>
    <w:p w14:paraId="4798708E" w14:textId="6566737C" w:rsidR="005E205A" w:rsidRPr="003F4F31" w:rsidRDefault="005E205A" w:rsidP="00156D99">
      <w:pPr>
        <w:pStyle w:val="BodyText"/>
      </w:pPr>
      <w:r w:rsidRPr="003F4F31">
        <w:t>The</w:t>
      </w:r>
      <w:r w:rsidR="000A0C99">
        <w:t xml:space="preserve"> Disability Advocacy Support Helpline (the</w:t>
      </w:r>
      <w:r w:rsidRPr="003F4F31">
        <w:t xml:space="preserve"> Helpline</w:t>
      </w:r>
      <w:r w:rsidR="000A0C99">
        <w:t>)</w:t>
      </w:r>
      <w:r w:rsidRPr="003F4F31">
        <w:t xml:space="preserve"> is a three-year pilot phone-based individual advocacy service delivered by Advocacy </w:t>
      </w:r>
      <w:proofErr w:type="gramStart"/>
      <w:r w:rsidRPr="003F4F31">
        <w:t>Law Alliance, and</w:t>
      </w:r>
      <w:proofErr w:type="gramEnd"/>
      <w:r w:rsidRPr="003F4F31">
        <w:t xml:space="preserve"> accessed through the Disability Gateway. The Helpline will provide people with disability access to advocacy support over the </w:t>
      </w:r>
      <w:proofErr w:type="gramStart"/>
      <w:r w:rsidRPr="003F4F31">
        <w:t>phone, and</w:t>
      </w:r>
      <w:proofErr w:type="gramEnd"/>
      <w:r w:rsidRPr="003F4F31">
        <w:t xml:space="preserve"> refer to in-person </w:t>
      </w:r>
      <w:r>
        <w:t>NDAP</w:t>
      </w:r>
      <w:r w:rsidRPr="003F4F31">
        <w:t xml:space="preserve"> providers and other community and government agencies as required. </w:t>
      </w:r>
    </w:p>
    <w:p w14:paraId="3E22CF7A" w14:textId="77777777" w:rsidR="005E205A" w:rsidRPr="003F4F31" w:rsidRDefault="005E205A" w:rsidP="00156D99">
      <w:pPr>
        <w:pStyle w:val="BodyText"/>
      </w:pPr>
      <w:r w:rsidRPr="003F4F31">
        <w:t xml:space="preserve">The Helpline is available in all states and territories and is appropriate for people who require short-term advocacy support and are comfortable with a phone-based service. </w:t>
      </w:r>
    </w:p>
    <w:p w14:paraId="587E57A1" w14:textId="77777777" w:rsidR="005E205A" w:rsidRPr="003F4F31" w:rsidRDefault="005E205A" w:rsidP="00156D99">
      <w:pPr>
        <w:pStyle w:val="BodyText"/>
      </w:pPr>
      <w:r w:rsidRPr="003F4F31">
        <w:t xml:space="preserve">Currently, </w:t>
      </w:r>
      <w:r>
        <w:t>t</w:t>
      </w:r>
      <w:r w:rsidRPr="003F4F31">
        <w:t>he Helpline is accessed via the Disability Gateway Contact Centre. In mid to late 2023, the service will be expanded to facilitate:</w:t>
      </w:r>
    </w:p>
    <w:p w14:paraId="01F4B34D" w14:textId="77777777" w:rsidR="005E205A" w:rsidRPr="003F4F31" w:rsidRDefault="005E205A" w:rsidP="00156D99">
      <w:pPr>
        <w:pStyle w:val="ListParagraph"/>
        <w:numPr>
          <w:ilvl w:val="0"/>
          <w:numId w:val="10"/>
        </w:numPr>
      </w:pPr>
      <w:r w:rsidRPr="003F4F31">
        <w:t xml:space="preserve">clients self-referring using a web form </w:t>
      </w:r>
    </w:p>
    <w:p w14:paraId="238F5576" w14:textId="77777777" w:rsidR="005E205A" w:rsidRPr="003F4F31" w:rsidRDefault="005E205A" w:rsidP="00156D99">
      <w:pPr>
        <w:pStyle w:val="ListParagraph"/>
        <w:numPr>
          <w:ilvl w:val="0"/>
          <w:numId w:val="10"/>
        </w:numPr>
      </w:pPr>
      <w:r w:rsidRPr="003F4F31">
        <w:t>NDAP providers referring suitable clients to the Helpline.</w:t>
      </w:r>
    </w:p>
    <w:p w14:paraId="4CCE4418" w14:textId="77777777" w:rsidR="005E205A" w:rsidRPr="00E44BE7" w:rsidRDefault="005E205A" w:rsidP="005E205A">
      <w:pPr>
        <w:pStyle w:val="BodyText"/>
      </w:pPr>
      <w:r w:rsidRPr="003F4F31">
        <w:t>Currently, the Helpline does not provide advocacy support on NDIS Appeals matters</w:t>
      </w:r>
      <w:r>
        <w:t>.</w:t>
      </w:r>
      <w:r>
        <w:br w:type="page"/>
      </w:r>
    </w:p>
    <w:p w14:paraId="23D26663" w14:textId="435C72EF" w:rsidR="00CE105B" w:rsidRPr="004F4205" w:rsidRDefault="00CE105B" w:rsidP="00E44BE7">
      <w:pPr>
        <w:pStyle w:val="Heading1"/>
        <w:numPr>
          <w:ilvl w:val="0"/>
          <w:numId w:val="0"/>
        </w:numPr>
      </w:pPr>
      <w:bookmarkStart w:id="61" w:name="_Attachment_CA_–"/>
      <w:bookmarkStart w:id="62" w:name="_Toc144895277"/>
      <w:bookmarkEnd w:id="61"/>
      <w:r w:rsidRPr="004F4205">
        <w:lastRenderedPageBreak/>
        <w:t xml:space="preserve">Attachment </w:t>
      </w:r>
      <w:r w:rsidR="005E205A">
        <w:t>C</w:t>
      </w:r>
      <w:r w:rsidRPr="004F4205">
        <w:t xml:space="preserve"> </w:t>
      </w:r>
      <w:r w:rsidRPr="002D795C">
        <w:t>– Serious Incident Notification Form</w:t>
      </w:r>
      <w:bookmarkEnd w:id="62"/>
    </w:p>
    <w:p w14:paraId="59AEB436" w14:textId="77777777" w:rsidR="00CE105B" w:rsidRPr="00012F65" w:rsidRDefault="00CE105B" w:rsidP="00E44BE7">
      <w:pPr>
        <w:pStyle w:val="BodyText"/>
        <w:rPr>
          <w:b/>
        </w:rPr>
      </w:pPr>
      <w:r w:rsidRPr="00012F65">
        <w:rPr>
          <w:b/>
        </w:rPr>
        <w:t xml:space="preserve">Who should use this form </w:t>
      </w:r>
    </w:p>
    <w:p w14:paraId="1E446A10" w14:textId="77777777" w:rsidR="00CE105B" w:rsidRPr="00FC3F88" w:rsidRDefault="00CE105B" w:rsidP="00E44BE7">
      <w:pPr>
        <w:pStyle w:val="BodyText"/>
      </w:pPr>
      <w:r w:rsidRPr="00FC3F88">
        <w:t xml:space="preserve">This template is provided for the use of </w:t>
      </w:r>
      <w:r>
        <w:t>NDAP</w:t>
      </w:r>
      <w:r w:rsidRPr="00FC3F88">
        <w:t xml:space="preserve"> providers should a serious or reportable incident occur as outlined at 16 of the Operational Guidelines. </w:t>
      </w:r>
    </w:p>
    <w:p w14:paraId="41A5B79D" w14:textId="77777777" w:rsidR="00CE105B" w:rsidRPr="00012F65" w:rsidRDefault="00CE105B" w:rsidP="00E44BE7">
      <w:pPr>
        <w:pStyle w:val="BodyText"/>
        <w:rPr>
          <w:b/>
        </w:rPr>
      </w:pPr>
      <w:r w:rsidRPr="00012F65">
        <w:rPr>
          <w:b/>
        </w:rPr>
        <w:t xml:space="preserve">When to use this form </w:t>
      </w:r>
    </w:p>
    <w:p w14:paraId="0D81C6AC" w14:textId="77777777" w:rsidR="00CE105B" w:rsidRPr="00FC3F88" w:rsidRDefault="00CE105B" w:rsidP="00E44BE7">
      <w:pPr>
        <w:pStyle w:val="BodyText"/>
      </w:pPr>
      <w:r w:rsidRPr="00FC3F88">
        <w:t>Providers should use this form when notif</w:t>
      </w:r>
      <w:r>
        <w:t>ying the D</w:t>
      </w:r>
      <w:r w:rsidRPr="00FC3F88">
        <w:t xml:space="preserve">epartment of a serious or reportable incident, as outlined in the Operational Guidelines. </w:t>
      </w:r>
      <w:r>
        <w:t>NDAP</w:t>
      </w:r>
      <w:r w:rsidRPr="00FC3F88">
        <w:t xml:space="preserve"> providers should submit a completed form to their Funding Arrangement Manager within the timeframes outlined in the Operational Guidelines, while updates on incidents should be provided within 5 days. </w:t>
      </w:r>
    </w:p>
    <w:p w14:paraId="46AF76A5" w14:textId="77777777" w:rsidR="00CE105B" w:rsidRPr="00012F65" w:rsidRDefault="00CE105B" w:rsidP="00E44BE7">
      <w:pPr>
        <w:pStyle w:val="BodyText"/>
        <w:rPr>
          <w:b/>
        </w:rPr>
      </w:pPr>
      <w:r w:rsidRPr="00012F65">
        <w:rPr>
          <w:b/>
        </w:rPr>
        <w:t xml:space="preserve">Organisation details </w:t>
      </w:r>
    </w:p>
    <w:p w14:paraId="546780B1" w14:textId="77777777" w:rsidR="00CE105B" w:rsidRPr="00012F65" w:rsidRDefault="00CE105B" w:rsidP="00E44BE7">
      <w:pPr>
        <w:pStyle w:val="BodyText"/>
        <w:rPr>
          <w:b/>
        </w:rPr>
      </w:pPr>
      <w:r w:rsidRPr="00012F65">
        <w:rPr>
          <w:b/>
        </w:rPr>
        <w:t xml:space="preserve">Organisation: </w:t>
      </w:r>
    </w:p>
    <w:p w14:paraId="21C0DD98" w14:textId="77777777" w:rsidR="00CE105B" w:rsidRPr="00012F65" w:rsidRDefault="00CE105B" w:rsidP="00E44BE7">
      <w:pPr>
        <w:pStyle w:val="BodyText"/>
        <w:rPr>
          <w:b/>
        </w:rPr>
      </w:pPr>
      <w:r w:rsidRPr="00012F65">
        <w:rPr>
          <w:b/>
        </w:rPr>
        <w:t>Site address:</w:t>
      </w:r>
    </w:p>
    <w:p w14:paraId="7F01DB25" w14:textId="77777777" w:rsidR="00CE105B" w:rsidRPr="00012F65" w:rsidRDefault="00CE105B" w:rsidP="00E44BE7">
      <w:pPr>
        <w:pStyle w:val="BodyText"/>
        <w:rPr>
          <w:b/>
        </w:rPr>
      </w:pPr>
      <w:r w:rsidRPr="00012F65">
        <w:rPr>
          <w:b/>
        </w:rPr>
        <w:t xml:space="preserve">Name of site manager: </w:t>
      </w:r>
    </w:p>
    <w:p w14:paraId="05410CDC" w14:textId="77777777" w:rsidR="00CE105B" w:rsidRPr="00012F65" w:rsidRDefault="00CE105B" w:rsidP="00E44BE7">
      <w:pPr>
        <w:pStyle w:val="BodyText"/>
        <w:rPr>
          <w:b/>
        </w:rPr>
      </w:pPr>
      <w:r w:rsidRPr="00012F65">
        <w:rPr>
          <w:b/>
        </w:rPr>
        <w:t xml:space="preserve">Signature of site manager: </w:t>
      </w:r>
    </w:p>
    <w:p w14:paraId="2B97157C" w14:textId="77777777" w:rsidR="00CE105B" w:rsidRPr="00FC3F88" w:rsidRDefault="00CE105B" w:rsidP="00E44BE7">
      <w:pPr>
        <w:pStyle w:val="BodyText"/>
      </w:pPr>
      <w:r w:rsidRPr="00012F65">
        <w:rPr>
          <w:b/>
        </w:rPr>
        <w:t>Date</w:t>
      </w:r>
      <w:r w:rsidRPr="00FC3F88">
        <w:t xml:space="preserve">: </w:t>
      </w:r>
    </w:p>
    <w:p w14:paraId="5E200D69" w14:textId="77777777" w:rsidR="00CE105B" w:rsidRPr="00FC3F88" w:rsidRDefault="00CE105B" w:rsidP="00E44BE7">
      <w:pPr>
        <w:pStyle w:val="BodyText"/>
      </w:pPr>
    </w:p>
    <w:p w14:paraId="0EAF6D68" w14:textId="77777777" w:rsidR="00CE105B" w:rsidRPr="00012F65" w:rsidRDefault="00CE105B" w:rsidP="00E44BE7">
      <w:pPr>
        <w:pStyle w:val="BodyText"/>
        <w:rPr>
          <w:b/>
        </w:rPr>
      </w:pPr>
      <w:r w:rsidRPr="00012F65">
        <w:rPr>
          <w:b/>
        </w:rPr>
        <w:t xml:space="preserve">Details of incident </w:t>
      </w:r>
    </w:p>
    <w:p w14:paraId="7B04F6B6" w14:textId="77777777" w:rsidR="00CE105B" w:rsidRPr="00012F65" w:rsidRDefault="00CE105B" w:rsidP="00E44BE7">
      <w:pPr>
        <w:pStyle w:val="BodyText"/>
        <w:rPr>
          <w:b/>
        </w:rPr>
      </w:pPr>
      <w:r w:rsidRPr="00012F65">
        <w:rPr>
          <w:b/>
        </w:rPr>
        <w:t xml:space="preserve">Type of incident (serious or reportable): </w:t>
      </w:r>
    </w:p>
    <w:p w14:paraId="08798C59" w14:textId="77777777" w:rsidR="00CE105B" w:rsidRPr="00012F65" w:rsidRDefault="00CE105B" w:rsidP="00E44BE7">
      <w:pPr>
        <w:pStyle w:val="BodyText"/>
        <w:rPr>
          <w:b/>
        </w:rPr>
      </w:pPr>
      <w:r w:rsidRPr="00012F65">
        <w:rPr>
          <w:b/>
        </w:rPr>
        <w:t xml:space="preserve">Date of incident: </w:t>
      </w:r>
    </w:p>
    <w:p w14:paraId="3A09D8EC" w14:textId="77777777" w:rsidR="00CE105B" w:rsidRPr="00012F65" w:rsidRDefault="00CE105B" w:rsidP="00E44BE7">
      <w:pPr>
        <w:pStyle w:val="BodyText"/>
        <w:rPr>
          <w:b/>
        </w:rPr>
      </w:pPr>
      <w:r w:rsidRPr="00012F65">
        <w:rPr>
          <w:b/>
        </w:rPr>
        <w:t xml:space="preserve">Time of incident: </w:t>
      </w:r>
    </w:p>
    <w:p w14:paraId="26D39E1E" w14:textId="77777777" w:rsidR="00CE105B" w:rsidRPr="00012F65" w:rsidRDefault="00CE105B" w:rsidP="00E44BE7">
      <w:pPr>
        <w:pStyle w:val="BodyText"/>
        <w:rPr>
          <w:b/>
        </w:rPr>
      </w:pPr>
      <w:r w:rsidRPr="00012F65">
        <w:rPr>
          <w:b/>
        </w:rPr>
        <w:t xml:space="preserve">No. of individual/s involved: </w:t>
      </w:r>
    </w:p>
    <w:p w14:paraId="1F65AA36" w14:textId="77777777" w:rsidR="00CE105B" w:rsidRPr="00012F65" w:rsidRDefault="00CE105B" w:rsidP="00E44BE7">
      <w:pPr>
        <w:pStyle w:val="BodyText"/>
        <w:rPr>
          <w:b/>
        </w:rPr>
      </w:pPr>
      <w:r w:rsidRPr="00012F65">
        <w:rPr>
          <w:b/>
        </w:rPr>
        <w:t xml:space="preserve">Gender of individual/s: </w:t>
      </w:r>
    </w:p>
    <w:p w14:paraId="1A3F8DC5" w14:textId="77777777" w:rsidR="00CE105B" w:rsidRPr="00012F65" w:rsidRDefault="00CE105B" w:rsidP="00E44BE7">
      <w:pPr>
        <w:pStyle w:val="BodyText"/>
        <w:rPr>
          <w:b/>
        </w:rPr>
      </w:pPr>
      <w:r w:rsidRPr="00012F65">
        <w:rPr>
          <w:b/>
        </w:rPr>
        <w:t xml:space="preserve">Age/s of individual/s involved: </w:t>
      </w:r>
    </w:p>
    <w:p w14:paraId="132E823B" w14:textId="77777777" w:rsidR="00CE105B" w:rsidRPr="00012F65" w:rsidRDefault="00CE105B" w:rsidP="00E44BE7">
      <w:pPr>
        <w:pStyle w:val="BodyText"/>
        <w:rPr>
          <w:b/>
        </w:rPr>
      </w:pPr>
      <w:r w:rsidRPr="00012F65">
        <w:rPr>
          <w:b/>
        </w:rPr>
        <w:t xml:space="preserve">Status of individual/s: </w:t>
      </w:r>
    </w:p>
    <w:p w14:paraId="7A46C5BB" w14:textId="77777777" w:rsidR="00CE105B" w:rsidRPr="00012F65" w:rsidRDefault="00CE105B" w:rsidP="00E44BE7">
      <w:pPr>
        <w:pStyle w:val="BodyText"/>
        <w:rPr>
          <w:b/>
        </w:rPr>
      </w:pPr>
      <w:r w:rsidRPr="00012F65">
        <w:rPr>
          <w:b/>
        </w:rPr>
        <w:t xml:space="preserve">Location of incident (Address and location): </w:t>
      </w:r>
    </w:p>
    <w:p w14:paraId="081C8EE6" w14:textId="77777777" w:rsidR="00CE105B" w:rsidRPr="00FC3F88" w:rsidRDefault="00CE105B" w:rsidP="00E44BE7">
      <w:pPr>
        <w:pStyle w:val="BodyText"/>
      </w:pPr>
      <w:r w:rsidRPr="00012F65">
        <w:rPr>
          <w:b/>
        </w:rPr>
        <w:t>Incident details</w:t>
      </w:r>
      <w:r w:rsidRPr="00FC3F88">
        <w:t xml:space="preserve"> (Describe what occurred, including what led up to the incident, if applicable. Where there is more than one individual involved, you may refer to the individuals involved as Staff1, Client1, if needed): </w:t>
      </w:r>
    </w:p>
    <w:p w14:paraId="4AA2B9B0" w14:textId="77777777" w:rsidR="00CE105B" w:rsidRPr="00FC3F88" w:rsidRDefault="00CE105B" w:rsidP="00E44BE7">
      <w:pPr>
        <w:pStyle w:val="BodyText"/>
      </w:pPr>
      <w:r w:rsidRPr="00012F65">
        <w:rPr>
          <w:b/>
        </w:rPr>
        <w:t>Response to the incident</w:t>
      </w:r>
      <w:r w:rsidRPr="00FC3F88">
        <w:t xml:space="preserve"> (What actions were taken as a result of the incident occurring): </w:t>
      </w:r>
    </w:p>
    <w:p w14:paraId="5FBA6E40" w14:textId="77777777" w:rsidR="00CE105B" w:rsidRPr="00FC3F88" w:rsidRDefault="00CE105B" w:rsidP="00E44BE7">
      <w:pPr>
        <w:pStyle w:val="BodyText"/>
      </w:pPr>
      <w:r w:rsidRPr="00012F65">
        <w:rPr>
          <w:b/>
        </w:rPr>
        <w:t>Preventative action</w:t>
      </w:r>
      <w:r w:rsidRPr="00FC3F88">
        <w:t xml:space="preserve"> (What has been implemented, or will be, in order to prevent the incident from happening again):</w:t>
      </w:r>
    </w:p>
    <w:p w14:paraId="0E247AE0" w14:textId="1F7E9AEF" w:rsidR="00CE105B" w:rsidRDefault="00CE105B" w:rsidP="00E44BE7">
      <w:pPr>
        <w:pStyle w:val="BodyText"/>
      </w:pPr>
      <w:r w:rsidRPr="00012F65">
        <w:rPr>
          <w:b/>
        </w:rPr>
        <w:t>Media coverage</w:t>
      </w:r>
      <w:r w:rsidRPr="00FC3F88">
        <w:t xml:space="preserve"> (Outline whether media coverage </w:t>
      </w:r>
      <w:r w:rsidR="00AD116A">
        <w:t xml:space="preserve">has occurred, or </w:t>
      </w:r>
      <w:r w:rsidRPr="00FC3F88">
        <w:t>is likely</w:t>
      </w:r>
      <w:r w:rsidR="00AD116A">
        <w:t xml:space="preserve"> to occur</w:t>
      </w:r>
      <w:r w:rsidRPr="00FC3F88">
        <w:t>):</w:t>
      </w:r>
      <w:r w:rsidRPr="00CE0173">
        <w:t xml:space="preserve"> </w:t>
      </w:r>
    </w:p>
    <w:p w14:paraId="31EA1566" w14:textId="23E13417" w:rsidR="00CE105B" w:rsidRDefault="00CE105B" w:rsidP="00E44BE7">
      <w:pPr>
        <w:pStyle w:val="BodyText"/>
      </w:pPr>
    </w:p>
    <w:p w14:paraId="23B3FD70" w14:textId="05919134" w:rsidR="00F743B7" w:rsidRDefault="00F743B7" w:rsidP="0039780F">
      <w:pPr>
        <w:rPr>
          <w:rFonts w:ascii="Symbol" w:hAnsi="Symbol"/>
        </w:rPr>
      </w:pPr>
      <w:bookmarkStart w:id="63" w:name="_Attachment_B_–"/>
      <w:bookmarkStart w:id="64" w:name="_Attachment_C_–"/>
      <w:bookmarkStart w:id="65" w:name="_Attachment_C"/>
      <w:bookmarkEnd w:id="63"/>
      <w:bookmarkEnd w:id="64"/>
      <w:bookmarkEnd w:id="65"/>
    </w:p>
    <w:sectPr w:rsidR="00F743B7" w:rsidSect="002D4503">
      <w:pgSz w:w="11910" w:h="16840"/>
      <w:pgMar w:top="1340" w:right="1134" w:bottom="1780" w:left="1242" w:header="0" w:footer="15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EE46C" w14:textId="77777777" w:rsidR="002B20C1" w:rsidRDefault="002B20C1">
      <w:r>
        <w:separator/>
      </w:r>
    </w:p>
  </w:endnote>
  <w:endnote w:type="continuationSeparator" w:id="0">
    <w:p w14:paraId="20BCB351" w14:textId="77777777" w:rsidR="002B20C1" w:rsidRDefault="002B2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1111134"/>
      <w:docPartObj>
        <w:docPartGallery w:val="Page Numbers (Bottom of Page)"/>
        <w:docPartUnique/>
      </w:docPartObj>
    </w:sdtPr>
    <w:sdtEndPr>
      <w:rPr>
        <w:color w:val="7F7F7F" w:themeColor="background1" w:themeShade="7F"/>
        <w:spacing w:val="60"/>
      </w:rPr>
    </w:sdtEndPr>
    <w:sdtContent>
      <w:p w14:paraId="5C9B656E" w14:textId="12C2F817" w:rsidR="0064555D" w:rsidRDefault="0064555D">
        <w:pPr>
          <w:pStyle w:val="Footer"/>
          <w:pBdr>
            <w:top w:val="single" w:sz="4" w:space="1" w:color="D9D9D9" w:themeColor="background1" w:themeShade="D9"/>
          </w:pBdr>
          <w:jc w:val="right"/>
        </w:pPr>
        <w:r>
          <w:fldChar w:fldCharType="begin"/>
        </w:r>
        <w:r>
          <w:instrText xml:space="preserve"> PAGE   \* MERGEFORMAT </w:instrText>
        </w:r>
        <w:r>
          <w:fldChar w:fldCharType="separate"/>
        </w:r>
        <w:r w:rsidR="00D43C3F">
          <w:rPr>
            <w:noProof/>
          </w:rPr>
          <w:t>1</w:t>
        </w:r>
        <w:r>
          <w:rPr>
            <w:noProof/>
          </w:rPr>
          <w:fldChar w:fldCharType="end"/>
        </w:r>
        <w:r>
          <w:t xml:space="preserve"> | </w:t>
        </w:r>
        <w:r w:rsidRPr="00731274">
          <w:rPr>
            <w:color w:val="595959" w:themeColor="text1" w:themeTint="A6"/>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C5A1A" w14:textId="77777777" w:rsidR="002B20C1" w:rsidRDefault="002B20C1">
      <w:r>
        <w:separator/>
      </w:r>
    </w:p>
  </w:footnote>
  <w:footnote w:type="continuationSeparator" w:id="0">
    <w:p w14:paraId="264E32AF" w14:textId="77777777" w:rsidR="002B20C1" w:rsidRDefault="002B2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4B0E6B6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Department of Social Services" style="width:360.6pt;height:193.8pt;visibility:visible;mso-wrap-style:square" o:bullet="t">
        <v:imagedata r:id="rId1" o:title="Department of Social Services"/>
      </v:shape>
    </w:pict>
  </w:numPicBullet>
  <w:abstractNum w:abstractNumId="0" w15:restartNumberingAfterBreak="0">
    <w:nsid w:val="03B7415C"/>
    <w:multiLevelType w:val="hybridMultilevel"/>
    <w:tmpl w:val="3802F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6857F1"/>
    <w:multiLevelType w:val="hybridMultilevel"/>
    <w:tmpl w:val="7F241D06"/>
    <w:lvl w:ilvl="0" w:tplc="60366B7A">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61F33"/>
    <w:multiLevelType w:val="hybridMultilevel"/>
    <w:tmpl w:val="24702538"/>
    <w:lvl w:ilvl="0" w:tplc="36A25F7C">
      <w:numFmt w:val="bullet"/>
      <w:lvlText w:val=""/>
      <w:lvlJc w:val="left"/>
      <w:pPr>
        <w:ind w:left="828" w:hanging="360"/>
      </w:pPr>
      <w:rPr>
        <w:rFonts w:ascii="Symbol" w:eastAsia="Symbol" w:hAnsi="Symbol" w:cs="Symbol" w:hint="default"/>
        <w:w w:val="100"/>
        <w:sz w:val="22"/>
        <w:szCs w:val="22"/>
        <w:lang w:val="en-AU" w:eastAsia="en-US" w:bidi="ar-SA"/>
      </w:rPr>
    </w:lvl>
    <w:lvl w:ilvl="1" w:tplc="8924D1B2">
      <w:numFmt w:val="bullet"/>
      <w:lvlText w:val="•"/>
      <w:lvlJc w:val="left"/>
      <w:pPr>
        <w:ind w:left="1417" w:hanging="360"/>
      </w:pPr>
      <w:rPr>
        <w:rFonts w:hint="default"/>
        <w:lang w:val="en-AU" w:eastAsia="en-US" w:bidi="ar-SA"/>
      </w:rPr>
    </w:lvl>
    <w:lvl w:ilvl="2" w:tplc="5B4619CC">
      <w:numFmt w:val="bullet"/>
      <w:lvlText w:val="•"/>
      <w:lvlJc w:val="left"/>
      <w:pPr>
        <w:ind w:left="2015" w:hanging="360"/>
      </w:pPr>
      <w:rPr>
        <w:rFonts w:hint="default"/>
        <w:lang w:val="en-AU" w:eastAsia="en-US" w:bidi="ar-SA"/>
      </w:rPr>
    </w:lvl>
    <w:lvl w:ilvl="3" w:tplc="2DDEFE60">
      <w:numFmt w:val="bullet"/>
      <w:lvlText w:val="•"/>
      <w:lvlJc w:val="left"/>
      <w:pPr>
        <w:ind w:left="2612" w:hanging="360"/>
      </w:pPr>
      <w:rPr>
        <w:rFonts w:hint="default"/>
        <w:lang w:val="en-AU" w:eastAsia="en-US" w:bidi="ar-SA"/>
      </w:rPr>
    </w:lvl>
    <w:lvl w:ilvl="4" w:tplc="6390E5D6">
      <w:numFmt w:val="bullet"/>
      <w:lvlText w:val="•"/>
      <w:lvlJc w:val="left"/>
      <w:pPr>
        <w:ind w:left="3210" w:hanging="360"/>
      </w:pPr>
      <w:rPr>
        <w:rFonts w:hint="default"/>
        <w:lang w:val="en-AU" w:eastAsia="en-US" w:bidi="ar-SA"/>
      </w:rPr>
    </w:lvl>
    <w:lvl w:ilvl="5" w:tplc="BFFA56B0">
      <w:numFmt w:val="bullet"/>
      <w:lvlText w:val="•"/>
      <w:lvlJc w:val="left"/>
      <w:pPr>
        <w:ind w:left="3808" w:hanging="360"/>
      </w:pPr>
      <w:rPr>
        <w:rFonts w:hint="default"/>
        <w:lang w:val="en-AU" w:eastAsia="en-US" w:bidi="ar-SA"/>
      </w:rPr>
    </w:lvl>
    <w:lvl w:ilvl="6" w:tplc="1D9EB0EE">
      <w:numFmt w:val="bullet"/>
      <w:lvlText w:val="•"/>
      <w:lvlJc w:val="left"/>
      <w:pPr>
        <w:ind w:left="4405" w:hanging="360"/>
      </w:pPr>
      <w:rPr>
        <w:rFonts w:hint="default"/>
        <w:lang w:val="en-AU" w:eastAsia="en-US" w:bidi="ar-SA"/>
      </w:rPr>
    </w:lvl>
    <w:lvl w:ilvl="7" w:tplc="32569D20">
      <w:numFmt w:val="bullet"/>
      <w:lvlText w:val="•"/>
      <w:lvlJc w:val="left"/>
      <w:pPr>
        <w:ind w:left="5003" w:hanging="360"/>
      </w:pPr>
      <w:rPr>
        <w:rFonts w:hint="default"/>
        <w:lang w:val="en-AU" w:eastAsia="en-US" w:bidi="ar-SA"/>
      </w:rPr>
    </w:lvl>
    <w:lvl w:ilvl="8" w:tplc="61EE6B46">
      <w:numFmt w:val="bullet"/>
      <w:lvlText w:val="•"/>
      <w:lvlJc w:val="left"/>
      <w:pPr>
        <w:ind w:left="5600" w:hanging="360"/>
      </w:pPr>
      <w:rPr>
        <w:rFonts w:hint="default"/>
        <w:lang w:val="en-AU" w:eastAsia="en-US" w:bidi="ar-SA"/>
      </w:rPr>
    </w:lvl>
  </w:abstractNum>
  <w:abstractNum w:abstractNumId="3" w15:restartNumberingAfterBreak="0">
    <w:nsid w:val="0C27751C"/>
    <w:multiLevelType w:val="multilevel"/>
    <w:tmpl w:val="F8603A2C"/>
    <w:lvl w:ilvl="0">
      <w:start w:val="2"/>
      <w:numFmt w:val="decimal"/>
      <w:lvlText w:val="%1"/>
      <w:lvlJc w:val="left"/>
      <w:pPr>
        <w:ind w:left="693" w:hanging="577"/>
      </w:pPr>
      <w:rPr>
        <w:rFonts w:hint="default"/>
        <w:lang w:val="en-AU" w:eastAsia="en-US" w:bidi="ar-SA"/>
      </w:rPr>
    </w:lvl>
    <w:lvl w:ilvl="1">
      <w:start w:val="1"/>
      <w:numFmt w:val="decimal"/>
      <w:pStyle w:val="Heading2"/>
      <w:lvlText w:val="1.%2"/>
      <w:lvlJc w:val="left"/>
      <w:pPr>
        <w:ind w:left="693" w:hanging="577"/>
      </w:pPr>
      <w:rPr>
        <w:rFonts w:ascii="Arial" w:eastAsia="Arial" w:hAnsi="Arial" w:cs="Arial" w:hint="default"/>
        <w:b/>
        <w:bCs/>
        <w:spacing w:val="-1"/>
        <w:w w:val="99"/>
        <w:sz w:val="26"/>
        <w:szCs w:val="26"/>
        <w:lang w:val="en-AU" w:eastAsia="en-US" w:bidi="ar-SA"/>
      </w:rPr>
    </w:lvl>
    <w:lvl w:ilvl="2">
      <w:numFmt w:val="bullet"/>
      <w:lvlText w:val=""/>
      <w:lvlJc w:val="left"/>
      <w:pPr>
        <w:ind w:left="837" w:hanging="360"/>
      </w:pPr>
      <w:rPr>
        <w:rFonts w:ascii="Symbol" w:eastAsia="Symbol" w:hAnsi="Symbol" w:cs="Symbol" w:hint="default"/>
        <w:w w:val="100"/>
        <w:sz w:val="22"/>
        <w:szCs w:val="22"/>
        <w:lang w:val="en-AU" w:eastAsia="en-US" w:bidi="ar-SA"/>
      </w:rPr>
    </w:lvl>
    <w:lvl w:ilvl="3">
      <w:numFmt w:val="bullet"/>
      <w:lvlText w:val="•"/>
      <w:lvlJc w:val="left"/>
      <w:pPr>
        <w:ind w:left="2783" w:hanging="360"/>
      </w:pPr>
      <w:rPr>
        <w:rFonts w:hint="default"/>
        <w:lang w:val="en-AU" w:eastAsia="en-US" w:bidi="ar-SA"/>
      </w:rPr>
    </w:lvl>
    <w:lvl w:ilvl="4">
      <w:numFmt w:val="bullet"/>
      <w:lvlText w:val="•"/>
      <w:lvlJc w:val="left"/>
      <w:pPr>
        <w:ind w:left="3755" w:hanging="360"/>
      </w:pPr>
      <w:rPr>
        <w:rFonts w:hint="default"/>
        <w:lang w:val="en-AU" w:eastAsia="en-US" w:bidi="ar-SA"/>
      </w:rPr>
    </w:lvl>
    <w:lvl w:ilvl="5">
      <w:numFmt w:val="bullet"/>
      <w:lvlText w:val="•"/>
      <w:lvlJc w:val="left"/>
      <w:pPr>
        <w:ind w:left="4727" w:hanging="360"/>
      </w:pPr>
      <w:rPr>
        <w:rFonts w:hint="default"/>
        <w:lang w:val="en-AU" w:eastAsia="en-US" w:bidi="ar-SA"/>
      </w:rPr>
    </w:lvl>
    <w:lvl w:ilvl="6">
      <w:numFmt w:val="bullet"/>
      <w:lvlText w:val="•"/>
      <w:lvlJc w:val="left"/>
      <w:pPr>
        <w:ind w:left="5699" w:hanging="360"/>
      </w:pPr>
      <w:rPr>
        <w:rFonts w:hint="default"/>
        <w:lang w:val="en-AU" w:eastAsia="en-US" w:bidi="ar-SA"/>
      </w:rPr>
    </w:lvl>
    <w:lvl w:ilvl="7">
      <w:numFmt w:val="bullet"/>
      <w:lvlText w:val="•"/>
      <w:lvlJc w:val="left"/>
      <w:pPr>
        <w:ind w:left="6670" w:hanging="360"/>
      </w:pPr>
      <w:rPr>
        <w:rFonts w:hint="default"/>
        <w:lang w:val="en-AU" w:eastAsia="en-US" w:bidi="ar-SA"/>
      </w:rPr>
    </w:lvl>
    <w:lvl w:ilvl="8">
      <w:numFmt w:val="bullet"/>
      <w:lvlText w:val="•"/>
      <w:lvlJc w:val="left"/>
      <w:pPr>
        <w:ind w:left="7642" w:hanging="360"/>
      </w:pPr>
      <w:rPr>
        <w:rFonts w:hint="default"/>
        <w:lang w:val="en-AU" w:eastAsia="en-US" w:bidi="ar-SA"/>
      </w:rPr>
    </w:lvl>
  </w:abstractNum>
  <w:abstractNum w:abstractNumId="4" w15:restartNumberingAfterBreak="0">
    <w:nsid w:val="11007293"/>
    <w:multiLevelType w:val="hybridMultilevel"/>
    <w:tmpl w:val="E3BAF3E0"/>
    <w:lvl w:ilvl="0" w:tplc="0C090001">
      <w:start w:val="1"/>
      <w:numFmt w:val="bullet"/>
      <w:lvlText w:val=""/>
      <w:lvlJc w:val="left"/>
      <w:pPr>
        <w:ind w:left="919" w:hanging="360"/>
      </w:pPr>
      <w:rPr>
        <w:rFonts w:ascii="Symbol" w:hAnsi="Symbol" w:hint="default"/>
      </w:rPr>
    </w:lvl>
    <w:lvl w:ilvl="1" w:tplc="0C090003" w:tentative="1">
      <w:start w:val="1"/>
      <w:numFmt w:val="bullet"/>
      <w:lvlText w:val="o"/>
      <w:lvlJc w:val="left"/>
      <w:pPr>
        <w:ind w:left="1639" w:hanging="360"/>
      </w:pPr>
      <w:rPr>
        <w:rFonts w:ascii="Courier New" w:hAnsi="Courier New" w:cs="Courier New" w:hint="default"/>
      </w:rPr>
    </w:lvl>
    <w:lvl w:ilvl="2" w:tplc="0C090005" w:tentative="1">
      <w:start w:val="1"/>
      <w:numFmt w:val="bullet"/>
      <w:lvlText w:val=""/>
      <w:lvlJc w:val="left"/>
      <w:pPr>
        <w:ind w:left="2359" w:hanging="360"/>
      </w:pPr>
      <w:rPr>
        <w:rFonts w:ascii="Wingdings" w:hAnsi="Wingdings" w:hint="default"/>
      </w:rPr>
    </w:lvl>
    <w:lvl w:ilvl="3" w:tplc="0C090001" w:tentative="1">
      <w:start w:val="1"/>
      <w:numFmt w:val="bullet"/>
      <w:lvlText w:val=""/>
      <w:lvlJc w:val="left"/>
      <w:pPr>
        <w:ind w:left="3079" w:hanging="360"/>
      </w:pPr>
      <w:rPr>
        <w:rFonts w:ascii="Symbol" w:hAnsi="Symbol" w:hint="default"/>
      </w:rPr>
    </w:lvl>
    <w:lvl w:ilvl="4" w:tplc="0C090003" w:tentative="1">
      <w:start w:val="1"/>
      <w:numFmt w:val="bullet"/>
      <w:lvlText w:val="o"/>
      <w:lvlJc w:val="left"/>
      <w:pPr>
        <w:ind w:left="3799" w:hanging="360"/>
      </w:pPr>
      <w:rPr>
        <w:rFonts w:ascii="Courier New" w:hAnsi="Courier New" w:cs="Courier New" w:hint="default"/>
      </w:rPr>
    </w:lvl>
    <w:lvl w:ilvl="5" w:tplc="0C090005" w:tentative="1">
      <w:start w:val="1"/>
      <w:numFmt w:val="bullet"/>
      <w:lvlText w:val=""/>
      <w:lvlJc w:val="left"/>
      <w:pPr>
        <w:ind w:left="4519" w:hanging="360"/>
      </w:pPr>
      <w:rPr>
        <w:rFonts w:ascii="Wingdings" w:hAnsi="Wingdings" w:hint="default"/>
      </w:rPr>
    </w:lvl>
    <w:lvl w:ilvl="6" w:tplc="0C090001" w:tentative="1">
      <w:start w:val="1"/>
      <w:numFmt w:val="bullet"/>
      <w:lvlText w:val=""/>
      <w:lvlJc w:val="left"/>
      <w:pPr>
        <w:ind w:left="5239" w:hanging="360"/>
      </w:pPr>
      <w:rPr>
        <w:rFonts w:ascii="Symbol" w:hAnsi="Symbol" w:hint="default"/>
      </w:rPr>
    </w:lvl>
    <w:lvl w:ilvl="7" w:tplc="0C090003" w:tentative="1">
      <w:start w:val="1"/>
      <w:numFmt w:val="bullet"/>
      <w:lvlText w:val="o"/>
      <w:lvlJc w:val="left"/>
      <w:pPr>
        <w:ind w:left="5959" w:hanging="360"/>
      </w:pPr>
      <w:rPr>
        <w:rFonts w:ascii="Courier New" w:hAnsi="Courier New" w:cs="Courier New" w:hint="default"/>
      </w:rPr>
    </w:lvl>
    <w:lvl w:ilvl="8" w:tplc="0C090005" w:tentative="1">
      <w:start w:val="1"/>
      <w:numFmt w:val="bullet"/>
      <w:lvlText w:val=""/>
      <w:lvlJc w:val="left"/>
      <w:pPr>
        <w:ind w:left="6679" w:hanging="360"/>
      </w:pPr>
      <w:rPr>
        <w:rFonts w:ascii="Wingdings" w:hAnsi="Wingdings" w:hint="default"/>
      </w:rPr>
    </w:lvl>
  </w:abstractNum>
  <w:abstractNum w:abstractNumId="5" w15:restartNumberingAfterBreak="0">
    <w:nsid w:val="126673E5"/>
    <w:multiLevelType w:val="hybridMultilevel"/>
    <w:tmpl w:val="A1B87B76"/>
    <w:lvl w:ilvl="0" w:tplc="007CE648">
      <w:start w:val="1"/>
      <w:numFmt w:val="bullet"/>
      <w:pStyle w:val="ListParagraph"/>
      <w:lvlText w:val=""/>
      <w:lvlJc w:val="left"/>
      <w:pPr>
        <w:ind w:left="473" w:hanging="360"/>
      </w:pPr>
      <w:rPr>
        <w:rFonts w:ascii="Symbol" w:hAnsi="Symbol" w:hint="default"/>
      </w:rPr>
    </w:lvl>
    <w:lvl w:ilvl="1" w:tplc="0C090003">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6" w15:restartNumberingAfterBreak="0">
    <w:nsid w:val="127A05D4"/>
    <w:multiLevelType w:val="hybridMultilevel"/>
    <w:tmpl w:val="692C52CE"/>
    <w:lvl w:ilvl="0" w:tplc="3BFA4BE2">
      <w:numFmt w:val="bullet"/>
      <w:lvlText w:val=""/>
      <w:lvlJc w:val="left"/>
      <w:pPr>
        <w:ind w:left="828" w:hanging="360"/>
      </w:pPr>
      <w:rPr>
        <w:rFonts w:ascii="Symbol" w:eastAsia="Symbol" w:hAnsi="Symbol" w:cs="Symbol" w:hint="default"/>
        <w:w w:val="100"/>
        <w:sz w:val="22"/>
        <w:szCs w:val="22"/>
        <w:lang w:val="en-AU" w:eastAsia="en-US" w:bidi="ar-SA"/>
      </w:rPr>
    </w:lvl>
    <w:lvl w:ilvl="1" w:tplc="B5726DC0">
      <w:numFmt w:val="bullet"/>
      <w:lvlText w:val="•"/>
      <w:lvlJc w:val="left"/>
      <w:pPr>
        <w:ind w:left="1417" w:hanging="360"/>
      </w:pPr>
      <w:rPr>
        <w:rFonts w:hint="default"/>
        <w:lang w:val="en-AU" w:eastAsia="en-US" w:bidi="ar-SA"/>
      </w:rPr>
    </w:lvl>
    <w:lvl w:ilvl="2" w:tplc="00F8A888">
      <w:numFmt w:val="bullet"/>
      <w:lvlText w:val="•"/>
      <w:lvlJc w:val="left"/>
      <w:pPr>
        <w:ind w:left="2015" w:hanging="360"/>
      </w:pPr>
      <w:rPr>
        <w:rFonts w:hint="default"/>
        <w:lang w:val="en-AU" w:eastAsia="en-US" w:bidi="ar-SA"/>
      </w:rPr>
    </w:lvl>
    <w:lvl w:ilvl="3" w:tplc="F0EE6064">
      <w:numFmt w:val="bullet"/>
      <w:lvlText w:val="•"/>
      <w:lvlJc w:val="left"/>
      <w:pPr>
        <w:ind w:left="2612" w:hanging="360"/>
      </w:pPr>
      <w:rPr>
        <w:rFonts w:hint="default"/>
        <w:lang w:val="en-AU" w:eastAsia="en-US" w:bidi="ar-SA"/>
      </w:rPr>
    </w:lvl>
    <w:lvl w:ilvl="4" w:tplc="322AD5D6">
      <w:numFmt w:val="bullet"/>
      <w:lvlText w:val="•"/>
      <w:lvlJc w:val="left"/>
      <w:pPr>
        <w:ind w:left="3210" w:hanging="360"/>
      </w:pPr>
      <w:rPr>
        <w:rFonts w:hint="default"/>
        <w:lang w:val="en-AU" w:eastAsia="en-US" w:bidi="ar-SA"/>
      </w:rPr>
    </w:lvl>
    <w:lvl w:ilvl="5" w:tplc="2884DCAE">
      <w:numFmt w:val="bullet"/>
      <w:lvlText w:val="•"/>
      <w:lvlJc w:val="left"/>
      <w:pPr>
        <w:ind w:left="3808" w:hanging="360"/>
      </w:pPr>
      <w:rPr>
        <w:rFonts w:hint="default"/>
        <w:lang w:val="en-AU" w:eastAsia="en-US" w:bidi="ar-SA"/>
      </w:rPr>
    </w:lvl>
    <w:lvl w:ilvl="6" w:tplc="914A4374">
      <w:numFmt w:val="bullet"/>
      <w:lvlText w:val="•"/>
      <w:lvlJc w:val="left"/>
      <w:pPr>
        <w:ind w:left="4405" w:hanging="360"/>
      </w:pPr>
      <w:rPr>
        <w:rFonts w:hint="default"/>
        <w:lang w:val="en-AU" w:eastAsia="en-US" w:bidi="ar-SA"/>
      </w:rPr>
    </w:lvl>
    <w:lvl w:ilvl="7" w:tplc="245AD2EC">
      <w:numFmt w:val="bullet"/>
      <w:lvlText w:val="•"/>
      <w:lvlJc w:val="left"/>
      <w:pPr>
        <w:ind w:left="5003" w:hanging="360"/>
      </w:pPr>
      <w:rPr>
        <w:rFonts w:hint="default"/>
        <w:lang w:val="en-AU" w:eastAsia="en-US" w:bidi="ar-SA"/>
      </w:rPr>
    </w:lvl>
    <w:lvl w:ilvl="8" w:tplc="5C5473E2">
      <w:numFmt w:val="bullet"/>
      <w:lvlText w:val="•"/>
      <w:lvlJc w:val="left"/>
      <w:pPr>
        <w:ind w:left="5600" w:hanging="360"/>
      </w:pPr>
      <w:rPr>
        <w:rFonts w:hint="default"/>
        <w:lang w:val="en-AU" w:eastAsia="en-US" w:bidi="ar-SA"/>
      </w:rPr>
    </w:lvl>
  </w:abstractNum>
  <w:abstractNum w:abstractNumId="7" w15:restartNumberingAfterBreak="0">
    <w:nsid w:val="12AE577F"/>
    <w:multiLevelType w:val="hybridMultilevel"/>
    <w:tmpl w:val="E0641CDA"/>
    <w:lvl w:ilvl="0" w:tplc="2E6EAF9E">
      <w:numFmt w:val="bullet"/>
      <w:lvlText w:val=""/>
      <w:lvlJc w:val="left"/>
      <w:pPr>
        <w:ind w:left="2270" w:hanging="356"/>
      </w:pPr>
      <w:rPr>
        <w:rFonts w:ascii="Symbol" w:eastAsia="Symbol" w:hAnsi="Symbol" w:cs="Symbol" w:hint="default"/>
        <w:w w:val="100"/>
        <w:sz w:val="22"/>
        <w:szCs w:val="22"/>
        <w:lang w:val="en-AU" w:eastAsia="en-US" w:bidi="ar-SA"/>
      </w:rPr>
    </w:lvl>
    <w:lvl w:ilvl="1" w:tplc="B4688C40">
      <w:numFmt w:val="bullet"/>
      <w:lvlText w:val="o"/>
      <w:lvlJc w:val="left"/>
      <w:pPr>
        <w:ind w:left="3194" w:hanging="360"/>
      </w:pPr>
      <w:rPr>
        <w:rFonts w:ascii="Courier New" w:eastAsia="Courier New" w:hAnsi="Courier New" w:cs="Courier New" w:hint="default"/>
        <w:w w:val="100"/>
        <w:sz w:val="22"/>
        <w:szCs w:val="22"/>
        <w:lang w:val="en-AU" w:eastAsia="en-US" w:bidi="ar-SA"/>
      </w:rPr>
    </w:lvl>
    <w:lvl w:ilvl="2" w:tplc="091A6B62">
      <w:numFmt w:val="bullet"/>
      <w:lvlText w:val="•"/>
      <w:lvlJc w:val="left"/>
      <w:pPr>
        <w:ind w:left="3200" w:hanging="360"/>
      </w:pPr>
      <w:rPr>
        <w:rFonts w:hint="default"/>
        <w:lang w:val="en-AU" w:eastAsia="en-US" w:bidi="ar-SA"/>
      </w:rPr>
    </w:lvl>
    <w:lvl w:ilvl="3" w:tplc="03A63654">
      <w:numFmt w:val="bullet"/>
      <w:lvlText w:val="•"/>
      <w:lvlJc w:val="left"/>
      <w:pPr>
        <w:ind w:left="4178" w:hanging="360"/>
      </w:pPr>
      <w:rPr>
        <w:rFonts w:hint="default"/>
        <w:lang w:val="en-AU" w:eastAsia="en-US" w:bidi="ar-SA"/>
      </w:rPr>
    </w:lvl>
    <w:lvl w:ilvl="4" w:tplc="BC8847E2">
      <w:numFmt w:val="bullet"/>
      <w:lvlText w:val="•"/>
      <w:lvlJc w:val="left"/>
      <w:pPr>
        <w:ind w:left="5156" w:hanging="360"/>
      </w:pPr>
      <w:rPr>
        <w:rFonts w:hint="default"/>
        <w:lang w:val="en-AU" w:eastAsia="en-US" w:bidi="ar-SA"/>
      </w:rPr>
    </w:lvl>
    <w:lvl w:ilvl="5" w:tplc="362E0AC6">
      <w:numFmt w:val="bullet"/>
      <w:lvlText w:val="•"/>
      <w:lvlJc w:val="left"/>
      <w:pPr>
        <w:ind w:left="6134" w:hanging="360"/>
      </w:pPr>
      <w:rPr>
        <w:rFonts w:hint="default"/>
        <w:lang w:val="en-AU" w:eastAsia="en-US" w:bidi="ar-SA"/>
      </w:rPr>
    </w:lvl>
    <w:lvl w:ilvl="6" w:tplc="C82A95C6">
      <w:numFmt w:val="bullet"/>
      <w:lvlText w:val="•"/>
      <w:lvlJc w:val="left"/>
      <w:pPr>
        <w:ind w:left="7113" w:hanging="360"/>
      </w:pPr>
      <w:rPr>
        <w:rFonts w:hint="default"/>
        <w:lang w:val="en-AU" w:eastAsia="en-US" w:bidi="ar-SA"/>
      </w:rPr>
    </w:lvl>
    <w:lvl w:ilvl="7" w:tplc="5AC80742">
      <w:numFmt w:val="bullet"/>
      <w:lvlText w:val="•"/>
      <w:lvlJc w:val="left"/>
      <w:pPr>
        <w:ind w:left="8091" w:hanging="360"/>
      </w:pPr>
      <w:rPr>
        <w:rFonts w:hint="default"/>
        <w:lang w:val="en-AU" w:eastAsia="en-US" w:bidi="ar-SA"/>
      </w:rPr>
    </w:lvl>
    <w:lvl w:ilvl="8" w:tplc="CAD85AF0">
      <w:numFmt w:val="bullet"/>
      <w:lvlText w:val="•"/>
      <w:lvlJc w:val="left"/>
      <w:pPr>
        <w:ind w:left="9069" w:hanging="360"/>
      </w:pPr>
      <w:rPr>
        <w:rFonts w:hint="default"/>
        <w:lang w:val="en-AU" w:eastAsia="en-US" w:bidi="ar-SA"/>
      </w:rPr>
    </w:lvl>
  </w:abstractNum>
  <w:abstractNum w:abstractNumId="8" w15:restartNumberingAfterBreak="0">
    <w:nsid w:val="154363F6"/>
    <w:multiLevelType w:val="hybridMultilevel"/>
    <w:tmpl w:val="4F6EA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6E3697"/>
    <w:multiLevelType w:val="hybridMultilevel"/>
    <w:tmpl w:val="0A0CB8F4"/>
    <w:lvl w:ilvl="0" w:tplc="1116E900">
      <w:numFmt w:val="bullet"/>
      <w:lvlText w:val=""/>
      <w:lvlJc w:val="left"/>
      <w:pPr>
        <w:ind w:left="828" w:hanging="360"/>
      </w:pPr>
      <w:rPr>
        <w:rFonts w:ascii="Symbol" w:eastAsia="Symbol" w:hAnsi="Symbol" w:cs="Symbol" w:hint="default"/>
        <w:w w:val="100"/>
        <w:sz w:val="22"/>
        <w:szCs w:val="22"/>
        <w:lang w:val="en-AU" w:eastAsia="en-US" w:bidi="ar-SA"/>
      </w:rPr>
    </w:lvl>
    <w:lvl w:ilvl="1" w:tplc="3C5AD304">
      <w:numFmt w:val="bullet"/>
      <w:lvlText w:val="•"/>
      <w:lvlJc w:val="left"/>
      <w:pPr>
        <w:ind w:left="1417" w:hanging="360"/>
      </w:pPr>
      <w:rPr>
        <w:rFonts w:hint="default"/>
        <w:lang w:val="en-AU" w:eastAsia="en-US" w:bidi="ar-SA"/>
      </w:rPr>
    </w:lvl>
    <w:lvl w:ilvl="2" w:tplc="BBDECF52">
      <w:numFmt w:val="bullet"/>
      <w:lvlText w:val="•"/>
      <w:lvlJc w:val="left"/>
      <w:pPr>
        <w:ind w:left="2015" w:hanging="360"/>
      </w:pPr>
      <w:rPr>
        <w:rFonts w:hint="default"/>
        <w:lang w:val="en-AU" w:eastAsia="en-US" w:bidi="ar-SA"/>
      </w:rPr>
    </w:lvl>
    <w:lvl w:ilvl="3" w:tplc="2004A88A">
      <w:numFmt w:val="bullet"/>
      <w:lvlText w:val="•"/>
      <w:lvlJc w:val="left"/>
      <w:pPr>
        <w:ind w:left="2612" w:hanging="360"/>
      </w:pPr>
      <w:rPr>
        <w:rFonts w:hint="default"/>
        <w:lang w:val="en-AU" w:eastAsia="en-US" w:bidi="ar-SA"/>
      </w:rPr>
    </w:lvl>
    <w:lvl w:ilvl="4" w:tplc="5F907C1A">
      <w:numFmt w:val="bullet"/>
      <w:lvlText w:val="•"/>
      <w:lvlJc w:val="left"/>
      <w:pPr>
        <w:ind w:left="3210" w:hanging="360"/>
      </w:pPr>
      <w:rPr>
        <w:rFonts w:hint="default"/>
        <w:lang w:val="en-AU" w:eastAsia="en-US" w:bidi="ar-SA"/>
      </w:rPr>
    </w:lvl>
    <w:lvl w:ilvl="5" w:tplc="77B01EAC">
      <w:numFmt w:val="bullet"/>
      <w:lvlText w:val="•"/>
      <w:lvlJc w:val="left"/>
      <w:pPr>
        <w:ind w:left="3808" w:hanging="360"/>
      </w:pPr>
      <w:rPr>
        <w:rFonts w:hint="default"/>
        <w:lang w:val="en-AU" w:eastAsia="en-US" w:bidi="ar-SA"/>
      </w:rPr>
    </w:lvl>
    <w:lvl w:ilvl="6" w:tplc="2DE27CD0">
      <w:numFmt w:val="bullet"/>
      <w:lvlText w:val="•"/>
      <w:lvlJc w:val="left"/>
      <w:pPr>
        <w:ind w:left="4405" w:hanging="360"/>
      </w:pPr>
      <w:rPr>
        <w:rFonts w:hint="default"/>
        <w:lang w:val="en-AU" w:eastAsia="en-US" w:bidi="ar-SA"/>
      </w:rPr>
    </w:lvl>
    <w:lvl w:ilvl="7" w:tplc="CD1408B8">
      <w:numFmt w:val="bullet"/>
      <w:lvlText w:val="•"/>
      <w:lvlJc w:val="left"/>
      <w:pPr>
        <w:ind w:left="5003" w:hanging="360"/>
      </w:pPr>
      <w:rPr>
        <w:rFonts w:hint="default"/>
        <w:lang w:val="en-AU" w:eastAsia="en-US" w:bidi="ar-SA"/>
      </w:rPr>
    </w:lvl>
    <w:lvl w:ilvl="8" w:tplc="F4085742">
      <w:numFmt w:val="bullet"/>
      <w:lvlText w:val="•"/>
      <w:lvlJc w:val="left"/>
      <w:pPr>
        <w:ind w:left="5600" w:hanging="360"/>
      </w:pPr>
      <w:rPr>
        <w:rFonts w:hint="default"/>
        <w:lang w:val="en-AU" w:eastAsia="en-US" w:bidi="ar-SA"/>
      </w:rPr>
    </w:lvl>
  </w:abstractNum>
  <w:abstractNum w:abstractNumId="10" w15:restartNumberingAfterBreak="0">
    <w:nsid w:val="19BD12E7"/>
    <w:multiLevelType w:val="multilevel"/>
    <w:tmpl w:val="C94CDF5C"/>
    <w:lvl w:ilvl="0">
      <w:start w:val="1"/>
      <w:numFmt w:val="bullet"/>
      <w:pStyle w:val="List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0730744"/>
    <w:multiLevelType w:val="hybridMultilevel"/>
    <w:tmpl w:val="CCEC2632"/>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2" w15:restartNumberingAfterBreak="0">
    <w:nsid w:val="2A2C215A"/>
    <w:multiLevelType w:val="hybridMultilevel"/>
    <w:tmpl w:val="5D446BBE"/>
    <w:lvl w:ilvl="0" w:tplc="B210B68C">
      <w:numFmt w:val="bullet"/>
      <w:lvlText w:val="o"/>
      <w:lvlJc w:val="left"/>
      <w:pPr>
        <w:ind w:left="414" w:hanging="360"/>
      </w:pPr>
      <w:rPr>
        <w:rFonts w:ascii="Courier New" w:eastAsia="Courier New" w:hAnsi="Courier New" w:cs="Courier New" w:hint="default"/>
        <w:w w:val="99"/>
        <w:sz w:val="20"/>
        <w:szCs w:val="20"/>
        <w:lang w:val="en-AU" w:eastAsia="en-US" w:bidi="ar-SA"/>
      </w:rPr>
    </w:lvl>
    <w:lvl w:ilvl="1" w:tplc="CBAAD8F4">
      <w:numFmt w:val="bullet"/>
      <w:lvlText w:val="•"/>
      <w:lvlJc w:val="left"/>
      <w:pPr>
        <w:ind w:left="1219" w:hanging="360"/>
      </w:pPr>
      <w:rPr>
        <w:rFonts w:hint="default"/>
        <w:lang w:val="en-AU" w:eastAsia="en-US" w:bidi="ar-SA"/>
      </w:rPr>
    </w:lvl>
    <w:lvl w:ilvl="2" w:tplc="C60EB448">
      <w:numFmt w:val="bullet"/>
      <w:lvlText w:val="•"/>
      <w:lvlJc w:val="left"/>
      <w:pPr>
        <w:ind w:left="2019" w:hanging="360"/>
      </w:pPr>
      <w:rPr>
        <w:rFonts w:hint="default"/>
        <w:lang w:val="en-AU" w:eastAsia="en-US" w:bidi="ar-SA"/>
      </w:rPr>
    </w:lvl>
    <w:lvl w:ilvl="3" w:tplc="C98CBD1A">
      <w:numFmt w:val="bullet"/>
      <w:lvlText w:val="•"/>
      <w:lvlJc w:val="left"/>
      <w:pPr>
        <w:ind w:left="2818" w:hanging="360"/>
      </w:pPr>
      <w:rPr>
        <w:rFonts w:hint="default"/>
        <w:lang w:val="en-AU" w:eastAsia="en-US" w:bidi="ar-SA"/>
      </w:rPr>
    </w:lvl>
    <w:lvl w:ilvl="4" w:tplc="1E3079FA">
      <w:numFmt w:val="bullet"/>
      <w:lvlText w:val="•"/>
      <w:lvlJc w:val="left"/>
      <w:pPr>
        <w:ind w:left="3618" w:hanging="360"/>
      </w:pPr>
      <w:rPr>
        <w:rFonts w:hint="default"/>
        <w:lang w:val="en-AU" w:eastAsia="en-US" w:bidi="ar-SA"/>
      </w:rPr>
    </w:lvl>
    <w:lvl w:ilvl="5" w:tplc="0EB22ED0">
      <w:numFmt w:val="bullet"/>
      <w:lvlText w:val="•"/>
      <w:lvlJc w:val="left"/>
      <w:pPr>
        <w:ind w:left="4418" w:hanging="360"/>
      </w:pPr>
      <w:rPr>
        <w:rFonts w:hint="default"/>
        <w:lang w:val="en-AU" w:eastAsia="en-US" w:bidi="ar-SA"/>
      </w:rPr>
    </w:lvl>
    <w:lvl w:ilvl="6" w:tplc="638C8590">
      <w:numFmt w:val="bullet"/>
      <w:lvlText w:val="•"/>
      <w:lvlJc w:val="left"/>
      <w:pPr>
        <w:ind w:left="5217" w:hanging="360"/>
      </w:pPr>
      <w:rPr>
        <w:rFonts w:hint="default"/>
        <w:lang w:val="en-AU" w:eastAsia="en-US" w:bidi="ar-SA"/>
      </w:rPr>
    </w:lvl>
    <w:lvl w:ilvl="7" w:tplc="7E5AB15A">
      <w:numFmt w:val="bullet"/>
      <w:lvlText w:val="•"/>
      <w:lvlJc w:val="left"/>
      <w:pPr>
        <w:ind w:left="6017" w:hanging="360"/>
      </w:pPr>
      <w:rPr>
        <w:rFonts w:hint="default"/>
        <w:lang w:val="en-AU" w:eastAsia="en-US" w:bidi="ar-SA"/>
      </w:rPr>
    </w:lvl>
    <w:lvl w:ilvl="8" w:tplc="6FDE0FDA">
      <w:numFmt w:val="bullet"/>
      <w:lvlText w:val="•"/>
      <w:lvlJc w:val="left"/>
      <w:pPr>
        <w:ind w:left="6816" w:hanging="360"/>
      </w:pPr>
      <w:rPr>
        <w:rFonts w:hint="default"/>
        <w:lang w:val="en-AU" w:eastAsia="en-US" w:bidi="ar-SA"/>
      </w:rPr>
    </w:lvl>
  </w:abstractNum>
  <w:abstractNum w:abstractNumId="13" w15:restartNumberingAfterBreak="0">
    <w:nsid w:val="3CD27D43"/>
    <w:multiLevelType w:val="multilevel"/>
    <w:tmpl w:val="52282F6A"/>
    <w:lvl w:ilvl="0">
      <w:start w:val="12"/>
      <w:numFmt w:val="none"/>
      <w:lvlText w:val="11."/>
      <w:lvlJc w:val="left"/>
      <w:pPr>
        <w:ind w:left="360" w:hanging="360"/>
      </w:pPr>
      <w:rPr>
        <w:rFonts w:hint="default"/>
      </w:rPr>
    </w:lvl>
    <w:lvl w:ilvl="1">
      <w:start w:val="1"/>
      <w:numFmt w:val="decimal"/>
      <w:isLgl/>
      <w:lvlText w:val="%1.%2"/>
      <w:lvlJc w:val="left"/>
      <w:pPr>
        <w:ind w:left="835" w:hanging="720"/>
      </w:pPr>
      <w:rPr>
        <w:rFonts w:hint="default"/>
      </w:rPr>
    </w:lvl>
    <w:lvl w:ilvl="2">
      <w:start w:val="1"/>
      <w:numFmt w:val="decimal"/>
      <w:isLgl/>
      <w:lvlText w:val="%1.%2.%3"/>
      <w:lvlJc w:val="left"/>
      <w:pPr>
        <w:ind w:left="950"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2015" w:hanging="1440"/>
      </w:pPr>
      <w:rPr>
        <w:rFonts w:hint="default"/>
      </w:rPr>
    </w:lvl>
    <w:lvl w:ilvl="6">
      <w:start w:val="1"/>
      <w:numFmt w:val="decimal"/>
      <w:isLgl/>
      <w:lvlText w:val="%1.%2.%3.%4.%5.%6.%7"/>
      <w:lvlJc w:val="left"/>
      <w:pPr>
        <w:ind w:left="2490" w:hanging="1800"/>
      </w:pPr>
      <w:rPr>
        <w:rFonts w:hint="default"/>
      </w:rPr>
    </w:lvl>
    <w:lvl w:ilvl="7">
      <w:start w:val="1"/>
      <w:numFmt w:val="decimal"/>
      <w:isLgl/>
      <w:lvlText w:val="%1.%2.%3.%4.%5.%6.%7.%8"/>
      <w:lvlJc w:val="left"/>
      <w:pPr>
        <w:ind w:left="2605" w:hanging="1800"/>
      </w:pPr>
      <w:rPr>
        <w:rFonts w:hint="default"/>
      </w:rPr>
    </w:lvl>
    <w:lvl w:ilvl="8">
      <w:start w:val="1"/>
      <w:numFmt w:val="decimal"/>
      <w:isLgl/>
      <w:lvlText w:val="%1.%2.%3.%4.%5.%6.%7.%8.%9"/>
      <w:lvlJc w:val="left"/>
      <w:pPr>
        <w:ind w:left="3080" w:hanging="2160"/>
      </w:pPr>
      <w:rPr>
        <w:rFonts w:hint="default"/>
      </w:rPr>
    </w:lvl>
  </w:abstractNum>
  <w:abstractNum w:abstractNumId="14" w15:restartNumberingAfterBreak="0">
    <w:nsid w:val="40751243"/>
    <w:multiLevelType w:val="multilevel"/>
    <w:tmpl w:val="1608B60C"/>
    <w:lvl w:ilvl="0">
      <w:start w:val="1"/>
      <w:numFmt w:val="decimal"/>
      <w:lvlText w:val="%1."/>
      <w:lvlJc w:val="left"/>
      <w:pPr>
        <w:ind w:left="766" w:hanging="567"/>
      </w:pPr>
      <w:rPr>
        <w:rFonts w:ascii="Arial" w:eastAsia="Arial" w:hAnsi="Arial" w:cs="Arial" w:hint="default"/>
        <w:b/>
        <w:bCs/>
        <w:w w:val="99"/>
        <w:sz w:val="32"/>
        <w:szCs w:val="32"/>
        <w:lang w:val="en-AU" w:eastAsia="en-US" w:bidi="ar-SA"/>
      </w:rPr>
    </w:lvl>
    <w:lvl w:ilvl="1">
      <w:start w:val="1"/>
      <w:numFmt w:val="decimal"/>
      <w:lvlText w:val="%1.%2"/>
      <w:lvlJc w:val="left"/>
      <w:pPr>
        <w:ind w:left="920" w:hanging="720"/>
      </w:pPr>
      <w:rPr>
        <w:rFonts w:ascii="Arial" w:eastAsia="Arial" w:hAnsi="Arial" w:cs="Arial" w:hint="default"/>
        <w:b/>
        <w:bCs/>
        <w:spacing w:val="-1"/>
        <w:w w:val="99"/>
        <w:sz w:val="26"/>
        <w:szCs w:val="26"/>
        <w:lang w:val="en-AU" w:eastAsia="en-US" w:bidi="ar-SA"/>
      </w:rPr>
    </w:lvl>
    <w:lvl w:ilvl="2">
      <w:start w:val="1"/>
      <w:numFmt w:val="lowerLetter"/>
      <w:lvlText w:val="(%3)"/>
      <w:lvlJc w:val="left"/>
      <w:pPr>
        <w:ind w:left="920" w:hanging="360"/>
      </w:pPr>
      <w:rPr>
        <w:rFonts w:ascii="Arial" w:eastAsia="Arial" w:hAnsi="Arial" w:cs="Arial" w:hint="default"/>
        <w:w w:val="100"/>
        <w:sz w:val="22"/>
        <w:szCs w:val="22"/>
        <w:lang w:val="en-AU" w:eastAsia="en-US" w:bidi="ar-SA"/>
      </w:rPr>
    </w:lvl>
    <w:lvl w:ilvl="3">
      <w:numFmt w:val="bullet"/>
      <w:lvlText w:val="•"/>
      <w:lvlJc w:val="left"/>
      <w:pPr>
        <w:ind w:left="3028" w:hanging="360"/>
      </w:pPr>
      <w:rPr>
        <w:rFonts w:hint="default"/>
        <w:lang w:val="en-AU" w:eastAsia="en-US" w:bidi="ar-SA"/>
      </w:rPr>
    </w:lvl>
    <w:lvl w:ilvl="4">
      <w:numFmt w:val="bullet"/>
      <w:lvlText w:val="•"/>
      <w:lvlJc w:val="left"/>
      <w:pPr>
        <w:ind w:left="4082" w:hanging="360"/>
      </w:pPr>
      <w:rPr>
        <w:rFonts w:hint="default"/>
        <w:lang w:val="en-AU" w:eastAsia="en-US" w:bidi="ar-SA"/>
      </w:rPr>
    </w:lvl>
    <w:lvl w:ilvl="5">
      <w:numFmt w:val="bullet"/>
      <w:lvlText w:val="•"/>
      <w:lvlJc w:val="left"/>
      <w:pPr>
        <w:ind w:left="5136" w:hanging="360"/>
      </w:pPr>
      <w:rPr>
        <w:rFonts w:hint="default"/>
        <w:lang w:val="en-AU" w:eastAsia="en-US" w:bidi="ar-SA"/>
      </w:rPr>
    </w:lvl>
    <w:lvl w:ilvl="6">
      <w:numFmt w:val="bullet"/>
      <w:lvlText w:val="•"/>
      <w:lvlJc w:val="left"/>
      <w:pPr>
        <w:ind w:left="6190" w:hanging="360"/>
      </w:pPr>
      <w:rPr>
        <w:rFonts w:hint="default"/>
        <w:lang w:val="en-AU" w:eastAsia="en-US" w:bidi="ar-SA"/>
      </w:rPr>
    </w:lvl>
    <w:lvl w:ilvl="7">
      <w:numFmt w:val="bullet"/>
      <w:lvlText w:val="•"/>
      <w:lvlJc w:val="left"/>
      <w:pPr>
        <w:ind w:left="7244" w:hanging="360"/>
      </w:pPr>
      <w:rPr>
        <w:rFonts w:hint="default"/>
        <w:lang w:val="en-AU" w:eastAsia="en-US" w:bidi="ar-SA"/>
      </w:rPr>
    </w:lvl>
    <w:lvl w:ilvl="8">
      <w:numFmt w:val="bullet"/>
      <w:lvlText w:val="•"/>
      <w:lvlJc w:val="left"/>
      <w:pPr>
        <w:ind w:left="8298" w:hanging="360"/>
      </w:pPr>
      <w:rPr>
        <w:rFonts w:hint="default"/>
        <w:lang w:val="en-AU" w:eastAsia="en-US" w:bidi="ar-SA"/>
      </w:rPr>
    </w:lvl>
  </w:abstractNum>
  <w:abstractNum w:abstractNumId="15" w15:restartNumberingAfterBreak="0">
    <w:nsid w:val="411627E3"/>
    <w:multiLevelType w:val="hybridMultilevel"/>
    <w:tmpl w:val="DEA85A9A"/>
    <w:lvl w:ilvl="0" w:tplc="1D20C942">
      <w:start w:val="4"/>
      <w:numFmt w:val="lowerLetter"/>
      <w:lvlText w:val="(%1)"/>
      <w:lvlJc w:val="left"/>
      <w:pPr>
        <w:ind w:left="1210" w:hanging="360"/>
      </w:pPr>
      <w:rPr>
        <w:rFonts w:ascii="Arial" w:eastAsia="Arial" w:hAnsi="Arial" w:cs="Arial" w:hint="default"/>
        <w:i w:val="0"/>
        <w:w w:val="100"/>
        <w:sz w:val="22"/>
        <w:szCs w:val="22"/>
        <w:lang w:val="en-AU" w:eastAsia="en-US" w:bidi="ar-SA"/>
      </w:rPr>
    </w:lvl>
    <w:lvl w:ilvl="1" w:tplc="BA525F84">
      <w:numFmt w:val="bullet"/>
      <w:lvlText w:val="•"/>
      <w:lvlJc w:val="left"/>
      <w:pPr>
        <w:ind w:left="2158" w:hanging="360"/>
      </w:pPr>
      <w:rPr>
        <w:rFonts w:hint="default"/>
        <w:lang w:val="en-AU" w:eastAsia="en-US" w:bidi="ar-SA"/>
      </w:rPr>
    </w:lvl>
    <w:lvl w:ilvl="2" w:tplc="9F5AE466">
      <w:numFmt w:val="bullet"/>
      <w:lvlText w:val="•"/>
      <w:lvlJc w:val="left"/>
      <w:pPr>
        <w:ind w:left="3107" w:hanging="360"/>
      </w:pPr>
      <w:rPr>
        <w:rFonts w:hint="default"/>
        <w:lang w:val="en-AU" w:eastAsia="en-US" w:bidi="ar-SA"/>
      </w:rPr>
    </w:lvl>
    <w:lvl w:ilvl="3" w:tplc="B9F20614">
      <w:numFmt w:val="bullet"/>
      <w:lvlText w:val="•"/>
      <w:lvlJc w:val="left"/>
      <w:pPr>
        <w:ind w:left="4055" w:hanging="360"/>
      </w:pPr>
      <w:rPr>
        <w:rFonts w:hint="default"/>
        <w:lang w:val="en-AU" w:eastAsia="en-US" w:bidi="ar-SA"/>
      </w:rPr>
    </w:lvl>
    <w:lvl w:ilvl="4" w:tplc="6BBA15E4">
      <w:numFmt w:val="bullet"/>
      <w:lvlText w:val="•"/>
      <w:lvlJc w:val="left"/>
      <w:pPr>
        <w:ind w:left="5004" w:hanging="360"/>
      </w:pPr>
      <w:rPr>
        <w:rFonts w:hint="default"/>
        <w:lang w:val="en-AU" w:eastAsia="en-US" w:bidi="ar-SA"/>
      </w:rPr>
    </w:lvl>
    <w:lvl w:ilvl="5" w:tplc="0F662936">
      <w:numFmt w:val="bullet"/>
      <w:lvlText w:val="•"/>
      <w:lvlJc w:val="left"/>
      <w:pPr>
        <w:ind w:left="5953" w:hanging="360"/>
      </w:pPr>
      <w:rPr>
        <w:rFonts w:hint="default"/>
        <w:lang w:val="en-AU" w:eastAsia="en-US" w:bidi="ar-SA"/>
      </w:rPr>
    </w:lvl>
    <w:lvl w:ilvl="6" w:tplc="468AAE84">
      <w:numFmt w:val="bullet"/>
      <w:lvlText w:val="•"/>
      <w:lvlJc w:val="left"/>
      <w:pPr>
        <w:ind w:left="6901" w:hanging="360"/>
      </w:pPr>
      <w:rPr>
        <w:rFonts w:hint="default"/>
        <w:lang w:val="en-AU" w:eastAsia="en-US" w:bidi="ar-SA"/>
      </w:rPr>
    </w:lvl>
    <w:lvl w:ilvl="7" w:tplc="7BEA62A2">
      <w:numFmt w:val="bullet"/>
      <w:lvlText w:val="•"/>
      <w:lvlJc w:val="left"/>
      <w:pPr>
        <w:ind w:left="7850" w:hanging="360"/>
      </w:pPr>
      <w:rPr>
        <w:rFonts w:hint="default"/>
        <w:lang w:val="en-AU" w:eastAsia="en-US" w:bidi="ar-SA"/>
      </w:rPr>
    </w:lvl>
    <w:lvl w:ilvl="8" w:tplc="3AC03E4E">
      <w:numFmt w:val="bullet"/>
      <w:lvlText w:val="•"/>
      <w:lvlJc w:val="left"/>
      <w:pPr>
        <w:ind w:left="8799" w:hanging="360"/>
      </w:pPr>
      <w:rPr>
        <w:rFonts w:hint="default"/>
        <w:lang w:val="en-AU" w:eastAsia="en-US" w:bidi="ar-SA"/>
      </w:rPr>
    </w:lvl>
  </w:abstractNum>
  <w:abstractNum w:abstractNumId="16" w15:restartNumberingAfterBreak="0">
    <w:nsid w:val="42934ECF"/>
    <w:multiLevelType w:val="hybridMultilevel"/>
    <w:tmpl w:val="0B0A04A2"/>
    <w:lvl w:ilvl="0" w:tplc="52D62F26">
      <w:numFmt w:val="bullet"/>
      <w:lvlText w:val="-"/>
      <w:lvlJc w:val="left"/>
      <w:pPr>
        <w:ind w:left="473" w:hanging="360"/>
      </w:pPr>
      <w:rPr>
        <w:rFonts w:ascii="Arial" w:eastAsia="Arial" w:hAnsi="Arial" w:cs="Aria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7" w15:restartNumberingAfterBreak="0">
    <w:nsid w:val="4B8B4843"/>
    <w:multiLevelType w:val="hybridMultilevel"/>
    <w:tmpl w:val="0CBCFD78"/>
    <w:lvl w:ilvl="0" w:tplc="0C090001">
      <w:start w:val="1"/>
      <w:numFmt w:val="bullet"/>
      <w:lvlText w:val=""/>
      <w:lvlJc w:val="left"/>
      <w:pPr>
        <w:ind w:left="975" w:hanging="360"/>
      </w:pPr>
      <w:rPr>
        <w:rFonts w:ascii="Symbol" w:hAnsi="Symbol" w:hint="default"/>
      </w:rPr>
    </w:lvl>
    <w:lvl w:ilvl="1" w:tplc="0C090003" w:tentative="1">
      <w:start w:val="1"/>
      <w:numFmt w:val="bullet"/>
      <w:lvlText w:val="o"/>
      <w:lvlJc w:val="left"/>
      <w:pPr>
        <w:ind w:left="1695" w:hanging="360"/>
      </w:pPr>
      <w:rPr>
        <w:rFonts w:ascii="Courier New" w:hAnsi="Courier New" w:cs="Courier New" w:hint="default"/>
      </w:rPr>
    </w:lvl>
    <w:lvl w:ilvl="2" w:tplc="0C090005" w:tentative="1">
      <w:start w:val="1"/>
      <w:numFmt w:val="bullet"/>
      <w:lvlText w:val=""/>
      <w:lvlJc w:val="left"/>
      <w:pPr>
        <w:ind w:left="2415" w:hanging="360"/>
      </w:pPr>
      <w:rPr>
        <w:rFonts w:ascii="Wingdings" w:hAnsi="Wingdings" w:hint="default"/>
      </w:rPr>
    </w:lvl>
    <w:lvl w:ilvl="3" w:tplc="0C090001" w:tentative="1">
      <w:start w:val="1"/>
      <w:numFmt w:val="bullet"/>
      <w:lvlText w:val=""/>
      <w:lvlJc w:val="left"/>
      <w:pPr>
        <w:ind w:left="3135" w:hanging="360"/>
      </w:pPr>
      <w:rPr>
        <w:rFonts w:ascii="Symbol" w:hAnsi="Symbol" w:hint="default"/>
      </w:rPr>
    </w:lvl>
    <w:lvl w:ilvl="4" w:tplc="0C090003" w:tentative="1">
      <w:start w:val="1"/>
      <w:numFmt w:val="bullet"/>
      <w:lvlText w:val="o"/>
      <w:lvlJc w:val="left"/>
      <w:pPr>
        <w:ind w:left="3855" w:hanging="360"/>
      </w:pPr>
      <w:rPr>
        <w:rFonts w:ascii="Courier New" w:hAnsi="Courier New" w:cs="Courier New" w:hint="default"/>
      </w:rPr>
    </w:lvl>
    <w:lvl w:ilvl="5" w:tplc="0C090005" w:tentative="1">
      <w:start w:val="1"/>
      <w:numFmt w:val="bullet"/>
      <w:lvlText w:val=""/>
      <w:lvlJc w:val="left"/>
      <w:pPr>
        <w:ind w:left="4575" w:hanging="360"/>
      </w:pPr>
      <w:rPr>
        <w:rFonts w:ascii="Wingdings" w:hAnsi="Wingdings" w:hint="default"/>
      </w:rPr>
    </w:lvl>
    <w:lvl w:ilvl="6" w:tplc="0C090001" w:tentative="1">
      <w:start w:val="1"/>
      <w:numFmt w:val="bullet"/>
      <w:lvlText w:val=""/>
      <w:lvlJc w:val="left"/>
      <w:pPr>
        <w:ind w:left="5295" w:hanging="360"/>
      </w:pPr>
      <w:rPr>
        <w:rFonts w:ascii="Symbol" w:hAnsi="Symbol" w:hint="default"/>
      </w:rPr>
    </w:lvl>
    <w:lvl w:ilvl="7" w:tplc="0C090003" w:tentative="1">
      <w:start w:val="1"/>
      <w:numFmt w:val="bullet"/>
      <w:lvlText w:val="o"/>
      <w:lvlJc w:val="left"/>
      <w:pPr>
        <w:ind w:left="6015" w:hanging="360"/>
      </w:pPr>
      <w:rPr>
        <w:rFonts w:ascii="Courier New" w:hAnsi="Courier New" w:cs="Courier New" w:hint="default"/>
      </w:rPr>
    </w:lvl>
    <w:lvl w:ilvl="8" w:tplc="0C090005" w:tentative="1">
      <w:start w:val="1"/>
      <w:numFmt w:val="bullet"/>
      <w:lvlText w:val=""/>
      <w:lvlJc w:val="left"/>
      <w:pPr>
        <w:ind w:left="6735" w:hanging="360"/>
      </w:pPr>
      <w:rPr>
        <w:rFonts w:ascii="Wingdings" w:hAnsi="Wingdings" w:hint="default"/>
      </w:rPr>
    </w:lvl>
  </w:abstractNum>
  <w:abstractNum w:abstractNumId="18" w15:restartNumberingAfterBreak="0">
    <w:nsid w:val="4DEB00E1"/>
    <w:multiLevelType w:val="hybridMultilevel"/>
    <w:tmpl w:val="F1E69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E06378"/>
    <w:multiLevelType w:val="multilevel"/>
    <w:tmpl w:val="581A541A"/>
    <w:lvl w:ilvl="0">
      <w:start w:val="1"/>
      <w:numFmt w:val="decimal"/>
      <w:lvlText w:val="%1."/>
      <w:lvlJc w:val="left"/>
      <w:pPr>
        <w:ind w:left="627" w:hanging="428"/>
      </w:pPr>
      <w:rPr>
        <w:rFonts w:ascii="Arial" w:eastAsia="Arial" w:hAnsi="Arial" w:cs="Arial" w:hint="default"/>
        <w:b/>
        <w:bCs/>
        <w:spacing w:val="-1"/>
        <w:w w:val="100"/>
        <w:sz w:val="22"/>
        <w:szCs w:val="22"/>
        <w:lang w:val="en-AU" w:eastAsia="en-US" w:bidi="ar-SA"/>
      </w:rPr>
    </w:lvl>
    <w:lvl w:ilvl="1">
      <w:start w:val="1"/>
      <w:numFmt w:val="decimal"/>
      <w:lvlText w:val="%1.%2"/>
      <w:lvlJc w:val="left"/>
      <w:pPr>
        <w:ind w:left="1052" w:hanging="425"/>
      </w:pPr>
      <w:rPr>
        <w:rFonts w:ascii="Arial" w:eastAsia="Arial" w:hAnsi="Arial" w:cs="Arial" w:hint="default"/>
        <w:w w:val="100"/>
        <w:sz w:val="22"/>
        <w:szCs w:val="22"/>
        <w:lang w:val="en-AU" w:eastAsia="en-US" w:bidi="ar-SA"/>
      </w:rPr>
    </w:lvl>
    <w:lvl w:ilvl="2">
      <w:numFmt w:val="bullet"/>
      <w:lvlText w:val="•"/>
      <w:lvlJc w:val="left"/>
      <w:pPr>
        <w:ind w:left="2098" w:hanging="425"/>
      </w:pPr>
      <w:rPr>
        <w:rFonts w:hint="default"/>
        <w:lang w:val="en-AU" w:eastAsia="en-US" w:bidi="ar-SA"/>
      </w:rPr>
    </w:lvl>
    <w:lvl w:ilvl="3">
      <w:numFmt w:val="bullet"/>
      <w:lvlText w:val="•"/>
      <w:lvlJc w:val="left"/>
      <w:pPr>
        <w:ind w:left="3136" w:hanging="425"/>
      </w:pPr>
      <w:rPr>
        <w:rFonts w:hint="default"/>
        <w:lang w:val="en-AU" w:eastAsia="en-US" w:bidi="ar-SA"/>
      </w:rPr>
    </w:lvl>
    <w:lvl w:ilvl="4">
      <w:numFmt w:val="bullet"/>
      <w:lvlText w:val="•"/>
      <w:lvlJc w:val="left"/>
      <w:pPr>
        <w:ind w:left="4175" w:hanging="425"/>
      </w:pPr>
      <w:rPr>
        <w:rFonts w:hint="default"/>
        <w:lang w:val="en-AU" w:eastAsia="en-US" w:bidi="ar-SA"/>
      </w:rPr>
    </w:lvl>
    <w:lvl w:ilvl="5">
      <w:numFmt w:val="bullet"/>
      <w:lvlText w:val="•"/>
      <w:lvlJc w:val="left"/>
      <w:pPr>
        <w:ind w:left="5213" w:hanging="425"/>
      </w:pPr>
      <w:rPr>
        <w:rFonts w:hint="default"/>
        <w:lang w:val="en-AU" w:eastAsia="en-US" w:bidi="ar-SA"/>
      </w:rPr>
    </w:lvl>
    <w:lvl w:ilvl="6">
      <w:numFmt w:val="bullet"/>
      <w:lvlText w:val="•"/>
      <w:lvlJc w:val="left"/>
      <w:pPr>
        <w:ind w:left="6252" w:hanging="425"/>
      </w:pPr>
      <w:rPr>
        <w:rFonts w:hint="default"/>
        <w:lang w:val="en-AU" w:eastAsia="en-US" w:bidi="ar-SA"/>
      </w:rPr>
    </w:lvl>
    <w:lvl w:ilvl="7">
      <w:numFmt w:val="bullet"/>
      <w:lvlText w:val="•"/>
      <w:lvlJc w:val="left"/>
      <w:pPr>
        <w:ind w:left="7290" w:hanging="425"/>
      </w:pPr>
      <w:rPr>
        <w:rFonts w:hint="default"/>
        <w:lang w:val="en-AU" w:eastAsia="en-US" w:bidi="ar-SA"/>
      </w:rPr>
    </w:lvl>
    <w:lvl w:ilvl="8">
      <w:numFmt w:val="bullet"/>
      <w:lvlText w:val="•"/>
      <w:lvlJc w:val="left"/>
      <w:pPr>
        <w:ind w:left="8329" w:hanging="425"/>
      </w:pPr>
      <w:rPr>
        <w:rFonts w:hint="default"/>
        <w:lang w:val="en-AU" w:eastAsia="en-US" w:bidi="ar-SA"/>
      </w:rPr>
    </w:lvl>
  </w:abstractNum>
  <w:abstractNum w:abstractNumId="20" w15:restartNumberingAfterBreak="0">
    <w:nsid w:val="52EB3ADD"/>
    <w:multiLevelType w:val="hybridMultilevel"/>
    <w:tmpl w:val="E6527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7572CE"/>
    <w:multiLevelType w:val="hybridMultilevel"/>
    <w:tmpl w:val="25E668A8"/>
    <w:lvl w:ilvl="0" w:tplc="970E8E7C">
      <w:numFmt w:val="bullet"/>
      <w:lvlText w:val="-"/>
      <w:lvlJc w:val="left"/>
      <w:pPr>
        <w:ind w:left="766" w:hanging="360"/>
      </w:pPr>
      <w:rPr>
        <w:rFonts w:ascii="Calibri" w:eastAsia="Calibri" w:hAnsi="Calibri" w:cs="Calibri" w:hint="default"/>
        <w:w w:val="100"/>
        <w:sz w:val="22"/>
        <w:szCs w:val="22"/>
        <w:lang w:val="en-AU" w:eastAsia="en-US" w:bidi="ar-SA"/>
      </w:rPr>
    </w:lvl>
    <w:lvl w:ilvl="1" w:tplc="A0FECDD6">
      <w:numFmt w:val="bullet"/>
      <w:lvlText w:val="•"/>
      <w:lvlJc w:val="left"/>
      <w:pPr>
        <w:ind w:left="1724" w:hanging="360"/>
      </w:pPr>
      <w:rPr>
        <w:rFonts w:hint="default"/>
        <w:lang w:val="en-AU" w:eastAsia="en-US" w:bidi="ar-SA"/>
      </w:rPr>
    </w:lvl>
    <w:lvl w:ilvl="2" w:tplc="39CCB980">
      <w:numFmt w:val="bullet"/>
      <w:lvlText w:val="•"/>
      <w:lvlJc w:val="left"/>
      <w:pPr>
        <w:ind w:left="2689" w:hanging="360"/>
      </w:pPr>
      <w:rPr>
        <w:rFonts w:hint="default"/>
        <w:lang w:val="en-AU" w:eastAsia="en-US" w:bidi="ar-SA"/>
      </w:rPr>
    </w:lvl>
    <w:lvl w:ilvl="3" w:tplc="FB2EDC7A">
      <w:numFmt w:val="bullet"/>
      <w:lvlText w:val="•"/>
      <w:lvlJc w:val="left"/>
      <w:pPr>
        <w:ind w:left="3653" w:hanging="360"/>
      </w:pPr>
      <w:rPr>
        <w:rFonts w:hint="default"/>
        <w:lang w:val="en-AU" w:eastAsia="en-US" w:bidi="ar-SA"/>
      </w:rPr>
    </w:lvl>
    <w:lvl w:ilvl="4" w:tplc="CADA9670">
      <w:numFmt w:val="bullet"/>
      <w:lvlText w:val="•"/>
      <w:lvlJc w:val="left"/>
      <w:pPr>
        <w:ind w:left="4618" w:hanging="360"/>
      </w:pPr>
      <w:rPr>
        <w:rFonts w:hint="default"/>
        <w:lang w:val="en-AU" w:eastAsia="en-US" w:bidi="ar-SA"/>
      </w:rPr>
    </w:lvl>
    <w:lvl w:ilvl="5" w:tplc="CC00C824">
      <w:numFmt w:val="bullet"/>
      <w:lvlText w:val="•"/>
      <w:lvlJc w:val="left"/>
      <w:pPr>
        <w:ind w:left="5583" w:hanging="360"/>
      </w:pPr>
      <w:rPr>
        <w:rFonts w:hint="default"/>
        <w:lang w:val="en-AU" w:eastAsia="en-US" w:bidi="ar-SA"/>
      </w:rPr>
    </w:lvl>
    <w:lvl w:ilvl="6" w:tplc="B3A2F88C">
      <w:numFmt w:val="bullet"/>
      <w:lvlText w:val="•"/>
      <w:lvlJc w:val="left"/>
      <w:pPr>
        <w:ind w:left="6547" w:hanging="360"/>
      </w:pPr>
      <w:rPr>
        <w:rFonts w:hint="default"/>
        <w:lang w:val="en-AU" w:eastAsia="en-US" w:bidi="ar-SA"/>
      </w:rPr>
    </w:lvl>
    <w:lvl w:ilvl="7" w:tplc="A04AC4C2">
      <w:numFmt w:val="bullet"/>
      <w:lvlText w:val="•"/>
      <w:lvlJc w:val="left"/>
      <w:pPr>
        <w:ind w:left="7512" w:hanging="360"/>
      </w:pPr>
      <w:rPr>
        <w:rFonts w:hint="default"/>
        <w:lang w:val="en-AU" w:eastAsia="en-US" w:bidi="ar-SA"/>
      </w:rPr>
    </w:lvl>
    <w:lvl w:ilvl="8" w:tplc="E3306492">
      <w:numFmt w:val="bullet"/>
      <w:lvlText w:val="•"/>
      <w:lvlJc w:val="left"/>
      <w:pPr>
        <w:ind w:left="8477" w:hanging="360"/>
      </w:pPr>
      <w:rPr>
        <w:rFonts w:hint="default"/>
        <w:lang w:val="en-AU" w:eastAsia="en-US" w:bidi="ar-SA"/>
      </w:rPr>
    </w:lvl>
  </w:abstractNum>
  <w:abstractNum w:abstractNumId="22" w15:restartNumberingAfterBreak="0">
    <w:nsid w:val="59C11B49"/>
    <w:multiLevelType w:val="hybridMultilevel"/>
    <w:tmpl w:val="C62618CC"/>
    <w:lvl w:ilvl="0" w:tplc="92B81DB6">
      <w:numFmt w:val="bullet"/>
      <w:lvlText w:val=""/>
      <w:lvlJc w:val="left"/>
      <w:pPr>
        <w:ind w:left="740" w:hanging="360"/>
      </w:pPr>
      <w:rPr>
        <w:rFonts w:ascii="Symbol" w:eastAsia="Symbol" w:hAnsi="Symbol" w:cs="Symbol" w:hint="default"/>
        <w:w w:val="99"/>
        <w:sz w:val="20"/>
        <w:szCs w:val="20"/>
        <w:lang w:val="en-AU" w:eastAsia="en-US" w:bidi="ar-SA"/>
      </w:rPr>
    </w:lvl>
    <w:lvl w:ilvl="1" w:tplc="25AC9C32">
      <w:numFmt w:val="bullet"/>
      <w:lvlText w:val=""/>
      <w:lvlJc w:val="left"/>
      <w:pPr>
        <w:ind w:left="920" w:hanging="360"/>
      </w:pPr>
      <w:rPr>
        <w:rFonts w:hint="default"/>
        <w:w w:val="100"/>
        <w:lang w:val="en-AU" w:eastAsia="en-US" w:bidi="ar-SA"/>
      </w:rPr>
    </w:lvl>
    <w:lvl w:ilvl="2" w:tplc="A5AC3B54">
      <w:numFmt w:val="bullet"/>
      <w:lvlText w:val="•"/>
      <w:lvlJc w:val="left"/>
      <w:pPr>
        <w:ind w:left="1974" w:hanging="360"/>
      </w:pPr>
      <w:rPr>
        <w:rFonts w:hint="default"/>
        <w:lang w:val="en-AU" w:eastAsia="en-US" w:bidi="ar-SA"/>
      </w:rPr>
    </w:lvl>
    <w:lvl w:ilvl="3" w:tplc="8810780A">
      <w:numFmt w:val="bullet"/>
      <w:lvlText w:val="•"/>
      <w:lvlJc w:val="left"/>
      <w:pPr>
        <w:ind w:left="3028" w:hanging="360"/>
      </w:pPr>
      <w:rPr>
        <w:rFonts w:hint="default"/>
        <w:lang w:val="en-AU" w:eastAsia="en-US" w:bidi="ar-SA"/>
      </w:rPr>
    </w:lvl>
    <w:lvl w:ilvl="4" w:tplc="882444BC">
      <w:numFmt w:val="bullet"/>
      <w:lvlText w:val="•"/>
      <w:lvlJc w:val="left"/>
      <w:pPr>
        <w:ind w:left="4082" w:hanging="360"/>
      </w:pPr>
      <w:rPr>
        <w:rFonts w:hint="default"/>
        <w:lang w:val="en-AU" w:eastAsia="en-US" w:bidi="ar-SA"/>
      </w:rPr>
    </w:lvl>
    <w:lvl w:ilvl="5" w:tplc="60FABB98">
      <w:numFmt w:val="bullet"/>
      <w:lvlText w:val="•"/>
      <w:lvlJc w:val="left"/>
      <w:pPr>
        <w:ind w:left="5136" w:hanging="360"/>
      </w:pPr>
      <w:rPr>
        <w:rFonts w:hint="default"/>
        <w:lang w:val="en-AU" w:eastAsia="en-US" w:bidi="ar-SA"/>
      </w:rPr>
    </w:lvl>
    <w:lvl w:ilvl="6" w:tplc="52DC1B52">
      <w:numFmt w:val="bullet"/>
      <w:lvlText w:val="•"/>
      <w:lvlJc w:val="left"/>
      <w:pPr>
        <w:ind w:left="6190" w:hanging="360"/>
      </w:pPr>
      <w:rPr>
        <w:rFonts w:hint="default"/>
        <w:lang w:val="en-AU" w:eastAsia="en-US" w:bidi="ar-SA"/>
      </w:rPr>
    </w:lvl>
    <w:lvl w:ilvl="7" w:tplc="9C026E98">
      <w:numFmt w:val="bullet"/>
      <w:lvlText w:val="•"/>
      <w:lvlJc w:val="left"/>
      <w:pPr>
        <w:ind w:left="7244" w:hanging="360"/>
      </w:pPr>
      <w:rPr>
        <w:rFonts w:hint="default"/>
        <w:lang w:val="en-AU" w:eastAsia="en-US" w:bidi="ar-SA"/>
      </w:rPr>
    </w:lvl>
    <w:lvl w:ilvl="8" w:tplc="19F42252">
      <w:numFmt w:val="bullet"/>
      <w:lvlText w:val="•"/>
      <w:lvlJc w:val="left"/>
      <w:pPr>
        <w:ind w:left="8298" w:hanging="360"/>
      </w:pPr>
      <w:rPr>
        <w:rFonts w:hint="default"/>
        <w:lang w:val="en-AU" w:eastAsia="en-US" w:bidi="ar-SA"/>
      </w:rPr>
    </w:lvl>
  </w:abstractNum>
  <w:abstractNum w:abstractNumId="23" w15:restartNumberingAfterBreak="0">
    <w:nsid w:val="5AA837E5"/>
    <w:multiLevelType w:val="hybridMultilevel"/>
    <w:tmpl w:val="A6E07C08"/>
    <w:lvl w:ilvl="0" w:tplc="C07C037A">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A955E8"/>
    <w:multiLevelType w:val="multilevel"/>
    <w:tmpl w:val="143A5564"/>
    <w:lvl w:ilvl="0">
      <w:start w:val="1"/>
      <w:numFmt w:val="decimal"/>
      <w:pStyle w:val="Heading1"/>
      <w:lvlText w:val="%1."/>
      <w:lvlJc w:val="left"/>
      <w:pPr>
        <w:ind w:left="360" w:hanging="360"/>
      </w:pPr>
      <w:rPr>
        <w:sz w:val="32"/>
        <w:szCs w:val="32"/>
      </w:rPr>
    </w:lvl>
    <w:lvl w:ilvl="1">
      <w:start w:val="1"/>
      <w:numFmt w:val="decimal"/>
      <w:isLgl/>
      <w:lvlText w:val="%1.%2"/>
      <w:lvlJc w:val="left"/>
      <w:pPr>
        <w:ind w:left="835" w:hanging="720"/>
      </w:pPr>
      <w:rPr>
        <w:rFonts w:hint="default"/>
      </w:rPr>
    </w:lvl>
    <w:lvl w:ilvl="2">
      <w:start w:val="1"/>
      <w:numFmt w:val="decimal"/>
      <w:isLgl/>
      <w:lvlText w:val="%1.%2.%3"/>
      <w:lvlJc w:val="left"/>
      <w:pPr>
        <w:ind w:left="950"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2015" w:hanging="1440"/>
      </w:pPr>
      <w:rPr>
        <w:rFonts w:hint="default"/>
      </w:rPr>
    </w:lvl>
    <w:lvl w:ilvl="6">
      <w:start w:val="1"/>
      <w:numFmt w:val="decimal"/>
      <w:isLgl/>
      <w:lvlText w:val="%1.%2.%3.%4.%5.%6.%7"/>
      <w:lvlJc w:val="left"/>
      <w:pPr>
        <w:ind w:left="2490" w:hanging="1800"/>
      </w:pPr>
      <w:rPr>
        <w:rFonts w:hint="default"/>
      </w:rPr>
    </w:lvl>
    <w:lvl w:ilvl="7">
      <w:start w:val="1"/>
      <w:numFmt w:val="decimal"/>
      <w:isLgl/>
      <w:lvlText w:val="%1.%2.%3.%4.%5.%6.%7.%8"/>
      <w:lvlJc w:val="left"/>
      <w:pPr>
        <w:ind w:left="2605" w:hanging="1800"/>
      </w:pPr>
      <w:rPr>
        <w:rFonts w:hint="default"/>
      </w:rPr>
    </w:lvl>
    <w:lvl w:ilvl="8">
      <w:start w:val="1"/>
      <w:numFmt w:val="decimal"/>
      <w:isLgl/>
      <w:lvlText w:val="%1.%2.%3.%4.%5.%6.%7.%8.%9"/>
      <w:lvlJc w:val="left"/>
      <w:pPr>
        <w:ind w:left="3080" w:hanging="2160"/>
      </w:pPr>
      <w:rPr>
        <w:rFonts w:hint="default"/>
      </w:rPr>
    </w:lvl>
  </w:abstractNum>
  <w:abstractNum w:abstractNumId="25" w15:restartNumberingAfterBreak="0">
    <w:nsid w:val="5BEF32EE"/>
    <w:multiLevelType w:val="hybridMultilevel"/>
    <w:tmpl w:val="28E2B794"/>
    <w:lvl w:ilvl="0" w:tplc="0C090001">
      <w:start w:val="1"/>
      <w:numFmt w:val="bullet"/>
      <w:lvlText w:val=""/>
      <w:lvlJc w:val="left"/>
      <w:pPr>
        <w:ind w:left="560" w:hanging="358"/>
      </w:pPr>
      <w:rPr>
        <w:rFonts w:ascii="Symbol" w:hAnsi="Symbol" w:hint="default"/>
        <w:w w:val="100"/>
        <w:lang w:val="en-AU" w:eastAsia="en-US" w:bidi="ar-SA"/>
      </w:rPr>
    </w:lvl>
    <w:lvl w:ilvl="1" w:tplc="FFA05E4E">
      <w:numFmt w:val="bullet"/>
      <w:lvlText w:val="o"/>
      <w:lvlJc w:val="left"/>
      <w:pPr>
        <w:ind w:left="1124" w:hanging="358"/>
      </w:pPr>
      <w:rPr>
        <w:rFonts w:ascii="Courier New" w:eastAsia="Courier New" w:hAnsi="Courier New" w:cs="Courier New" w:hint="default"/>
        <w:w w:val="100"/>
        <w:sz w:val="22"/>
        <w:szCs w:val="22"/>
        <w:lang w:val="en-AU" w:eastAsia="en-US" w:bidi="ar-SA"/>
      </w:rPr>
    </w:lvl>
    <w:lvl w:ilvl="2" w:tplc="50C05B1A">
      <w:numFmt w:val="bullet"/>
      <w:lvlText w:val="•"/>
      <w:lvlJc w:val="left"/>
      <w:pPr>
        <w:ind w:left="1640" w:hanging="358"/>
      </w:pPr>
      <w:rPr>
        <w:rFonts w:hint="default"/>
        <w:lang w:val="en-AU" w:eastAsia="en-US" w:bidi="ar-SA"/>
      </w:rPr>
    </w:lvl>
    <w:lvl w:ilvl="3" w:tplc="62523F3A">
      <w:numFmt w:val="bullet"/>
      <w:lvlText w:val="•"/>
      <w:lvlJc w:val="left"/>
      <w:pPr>
        <w:ind w:left="2735" w:hanging="358"/>
      </w:pPr>
      <w:rPr>
        <w:rFonts w:hint="default"/>
        <w:lang w:val="en-AU" w:eastAsia="en-US" w:bidi="ar-SA"/>
      </w:rPr>
    </w:lvl>
    <w:lvl w:ilvl="4" w:tplc="FB72E1E8">
      <w:numFmt w:val="bullet"/>
      <w:lvlText w:val="•"/>
      <w:lvlJc w:val="left"/>
      <w:pPr>
        <w:ind w:left="3831" w:hanging="358"/>
      </w:pPr>
      <w:rPr>
        <w:rFonts w:hint="default"/>
        <w:lang w:val="en-AU" w:eastAsia="en-US" w:bidi="ar-SA"/>
      </w:rPr>
    </w:lvl>
    <w:lvl w:ilvl="5" w:tplc="FF12EFA6">
      <w:numFmt w:val="bullet"/>
      <w:lvlText w:val="•"/>
      <w:lvlJc w:val="left"/>
      <w:pPr>
        <w:ind w:left="4927" w:hanging="358"/>
      </w:pPr>
      <w:rPr>
        <w:rFonts w:hint="default"/>
        <w:lang w:val="en-AU" w:eastAsia="en-US" w:bidi="ar-SA"/>
      </w:rPr>
    </w:lvl>
    <w:lvl w:ilvl="6" w:tplc="667ACC5C">
      <w:numFmt w:val="bullet"/>
      <w:lvlText w:val="•"/>
      <w:lvlJc w:val="left"/>
      <w:pPr>
        <w:ind w:left="6023" w:hanging="358"/>
      </w:pPr>
      <w:rPr>
        <w:rFonts w:hint="default"/>
        <w:lang w:val="en-AU" w:eastAsia="en-US" w:bidi="ar-SA"/>
      </w:rPr>
    </w:lvl>
    <w:lvl w:ilvl="7" w:tplc="9F24D968">
      <w:numFmt w:val="bullet"/>
      <w:lvlText w:val="•"/>
      <w:lvlJc w:val="left"/>
      <w:pPr>
        <w:ind w:left="7119" w:hanging="358"/>
      </w:pPr>
      <w:rPr>
        <w:rFonts w:hint="default"/>
        <w:lang w:val="en-AU" w:eastAsia="en-US" w:bidi="ar-SA"/>
      </w:rPr>
    </w:lvl>
    <w:lvl w:ilvl="8" w:tplc="F7007B4C">
      <w:numFmt w:val="bullet"/>
      <w:lvlText w:val="•"/>
      <w:lvlJc w:val="left"/>
      <w:pPr>
        <w:ind w:left="8214" w:hanging="358"/>
      </w:pPr>
      <w:rPr>
        <w:rFonts w:hint="default"/>
        <w:lang w:val="en-AU" w:eastAsia="en-US" w:bidi="ar-SA"/>
      </w:rPr>
    </w:lvl>
  </w:abstractNum>
  <w:abstractNum w:abstractNumId="26" w15:restartNumberingAfterBreak="0">
    <w:nsid w:val="5DDC1D9B"/>
    <w:multiLevelType w:val="hybridMultilevel"/>
    <w:tmpl w:val="01E041EC"/>
    <w:lvl w:ilvl="0" w:tplc="0C090001">
      <w:start w:val="1"/>
      <w:numFmt w:val="bullet"/>
      <w:lvlText w:val=""/>
      <w:lvlJc w:val="left"/>
      <w:pPr>
        <w:ind w:left="919" w:hanging="360"/>
      </w:pPr>
      <w:rPr>
        <w:rFonts w:ascii="Symbol" w:hAnsi="Symbol" w:hint="default"/>
      </w:rPr>
    </w:lvl>
    <w:lvl w:ilvl="1" w:tplc="0C090003" w:tentative="1">
      <w:start w:val="1"/>
      <w:numFmt w:val="bullet"/>
      <w:lvlText w:val="o"/>
      <w:lvlJc w:val="left"/>
      <w:pPr>
        <w:ind w:left="1639" w:hanging="360"/>
      </w:pPr>
      <w:rPr>
        <w:rFonts w:ascii="Courier New" w:hAnsi="Courier New" w:cs="Courier New" w:hint="default"/>
      </w:rPr>
    </w:lvl>
    <w:lvl w:ilvl="2" w:tplc="0C090005" w:tentative="1">
      <w:start w:val="1"/>
      <w:numFmt w:val="bullet"/>
      <w:lvlText w:val=""/>
      <w:lvlJc w:val="left"/>
      <w:pPr>
        <w:ind w:left="2359" w:hanging="360"/>
      </w:pPr>
      <w:rPr>
        <w:rFonts w:ascii="Wingdings" w:hAnsi="Wingdings" w:hint="default"/>
      </w:rPr>
    </w:lvl>
    <w:lvl w:ilvl="3" w:tplc="0C090001" w:tentative="1">
      <w:start w:val="1"/>
      <w:numFmt w:val="bullet"/>
      <w:lvlText w:val=""/>
      <w:lvlJc w:val="left"/>
      <w:pPr>
        <w:ind w:left="3079" w:hanging="360"/>
      </w:pPr>
      <w:rPr>
        <w:rFonts w:ascii="Symbol" w:hAnsi="Symbol" w:hint="default"/>
      </w:rPr>
    </w:lvl>
    <w:lvl w:ilvl="4" w:tplc="0C090003" w:tentative="1">
      <w:start w:val="1"/>
      <w:numFmt w:val="bullet"/>
      <w:lvlText w:val="o"/>
      <w:lvlJc w:val="left"/>
      <w:pPr>
        <w:ind w:left="3799" w:hanging="360"/>
      </w:pPr>
      <w:rPr>
        <w:rFonts w:ascii="Courier New" w:hAnsi="Courier New" w:cs="Courier New" w:hint="default"/>
      </w:rPr>
    </w:lvl>
    <w:lvl w:ilvl="5" w:tplc="0C090005" w:tentative="1">
      <w:start w:val="1"/>
      <w:numFmt w:val="bullet"/>
      <w:lvlText w:val=""/>
      <w:lvlJc w:val="left"/>
      <w:pPr>
        <w:ind w:left="4519" w:hanging="360"/>
      </w:pPr>
      <w:rPr>
        <w:rFonts w:ascii="Wingdings" w:hAnsi="Wingdings" w:hint="default"/>
      </w:rPr>
    </w:lvl>
    <w:lvl w:ilvl="6" w:tplc="0C090001" w:tentative="1">
      <w:start w:val="1"/>
      <w:numFmt w:val="bullet"/>
      <w:lvlText w:val=""/>
      <w:lvlJc w:val="left"/>
      <w:pPr>
        <w:ind w:left="5239" w:hanging="360"/>
      </w:pPr>
      <w:rPr>
        <w:rFonts w:ascii="Symbol" w:hAnsi="Symbol" w:hint="default"/>
      </w:rPr>
    </w:lvl>
    <w:lvl w:ilvl="7" w:tplc="0C090003" w:tentative="1">
      <w:start w:val="1"/>
      <w:numFmt w:val="bullet"/>
      <w:lvlText w:val="o"/>
      <w:lvlJc w:val="left"/>
      <w:pPr>
        <w:ind w:left="5959" w:hanging="360"/>
      </w:pPr>
      <w:rPr>
        <w:rFonts w:ascii="Courier New" w:hAnsi="Courier New" w:cs="Courier New" w:hint="default"/>
      </w:rPr>
    </w:lvl>
    <w:lvl w:ilvl="8" w:tplc="0C090005" w:tentative="1">
      <w:start w:val="1"/>
      <w:numFmt w:val="bullet"/>
      <w:lvlText w:val=""/>
      <w:lvlJc w:val="left"/>
      <w:pPr>
        <w:ind w:left="6679" w:hanging="360"/>
      </w:pPr>
      <w:rPr>
        <w:rFonts w:ascii="Wingdings" w:hAnsi="Wingdings" w:hint="default"/>
      </w:rPr>
    </w:lvl>
  </w:abstractNum>
  <w:abstractNum w:abstractNumId="27" w15:restartNumberingAfterBreak="0">
    <w:nsid w:val="5FF21B5F"/>
    <w:multiLevelType w:val="hybridMultilevel"/>
    <w:tmpl w:val="6A1E62D0"/>
    <w:lvl w:ilvl="0" w:tplc="46CA0496">
      <w:start w:val="31"/>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BE547D"/>
    <w:multiLevelType w:val="hybridMultilevel"/>
    <w:tmpl w:val="332A5202"/>
    <w:lvl w:ilvl="0" w:tplc="0C090001">
      <w:start w:val="1"/>
      <w:numFmt w:val="bullet"/>
      <w:lvlText w:val=""/>
      <w:lvlJc w:val="left"/>
      <w:pPr>
        <w:ind w:left="920" w:hanging="360"/>
      </w:pPr>
      <w:rPr>
        <w:rFonts w:ascii="Symbol" w:hAnsi="Symbol" w:hint="default"/>
      </w:rPr>
    </w:lvl>
    <w:lvl w:ilvl="1" w:tplc="0C090003" w:tentative="1">
      <w:start w:val="1"/>
      <w:numFmt w:val="bullet"/>
      <w:lvlText w:val="o"/>
      <w:lvlJc w:val="left"/>
      <w:pPr>
        <w:ind w:left="1640" w:hanging="360"/>
      </w:pPr>
      <w:rPr>
        <w:rFonts w:ascii="Courier New" w:hAnsi="Courier New" w:cs="Courier New" w:hint="default"/>
      </w:rPr>
    </w:lvl>
    <w:lvl w:ilvl="2" w:tplc="0C090005" w:tentative="1">
      <w:start w:val="1"/>
      <w:numFmt w:val="bullet"/>
      <w:lvlText w:val=""/>
      <w:lvlJc w:val="left"/>
      <w:pPr>
        <w:ind w:left="2360" w:hanging="360"/>
      </w:pPr>
      <w:rPr>
        <w:rFonts w:ascii="Wingdings" w:hAnsi="Wingdings" w:hint="default"/>
      </w:rPr>
    </w:lvl>
    <w:lvl w:ilvl="3" w:tplc="0C090001" w:tentative="1">
      <w:start w:val="1"/>
      <w:numFmt w:val="bullet"/>
      <w:lvlText w:val=""/>
      <w:lvlJc w:val="left"/>
      <w:pPr>
        <w:ind w:left="3080" w:hanging="360"/>
      </w:pPr>
      <w:rPr>
        <w:rFonts w:ascii="Symbol" w:hAnsi="Symbol" w:hint="default"/>
      </w:rPr>
    </w:lvl>
    <w:lvl w:ilvl="4" w:tplc="0C090003" w:tentative="1">
      <w:start w:val="1"/>
      <w:numFmt w:val="bullet"/>
      <w:lvlText w:val="o"/>
      <w:lvlJc w:val="left"/>
      <w:pPr>
        <w:ind w:left="3800" w:hanging="360"/>
      </w:pPr>
      <w:rPr>
        <w:rFonts w:ascii="Courier New" w:hAnsi="Courier New" w:cs="Courier New" w:hint="default"/>
      </w:rPr>
    </w:lvl>
    <w:lvl w:ilvl="5" w:tplc="0C090005" w:tentative="1">
      <w:start w:val="1"/>
      <w:numFmt w:val="bullet"/>
      <w:lvlText w:val=""/>
      <w:lvlJc w:val="left"/>
      <w:pPr>
        <w:ind w:left="4520" w:hanging="360"/>
      </w:pPr>
      <w:rPr>
        <w:rFonts w:ascii="Wingdings" w:hAnsi="Wingdings" w:hint="default"/>
      </w:rPr>
    </w:lvl>
    <w:lvl w:ilvl="6" w:tplc="0C090001" w:tentative="1">
      <w:start w:val="1"/>
      <w:numFmt w:val="bullet"/>
      <w:lvlText w:val=""/>
      <w:lvlJc w:val="left"/>
      <w:pPr>
        <w:ind w:left="5240" w:hanging="360"/>
      </w:pPr>
      <w:rPr>
        <w:rFonts w:ascii="Symbol" w:hAnsi="Symbol" w:hint="default"/>
      </w:rPr>
    </w:lvl>
    <w:lvl w:ilvl="7" w:tplc="0C090003" w:tentative="1">
      <w:start w:val="1"/>
      <w:numFmt w:val="bullet"/>
      <w:lvlText w:val="o"/>
      <w:lvlJc w:val="left"/>
      <w:pPr>
        <w:ind w:left="5960" w:hanging="360"/>
      </w:pPr>
      <w:rPr>
        <w:rFonts w:ascii="Courier New" w:hAnsi="Courier New" w:cs="Courier New" w:hint="default"/>
      </w:rPr>
    </w:lvl>
    <w:lvl w:ilvl="8" w:tplc="0C090005" w:tentative="1">
      <w:start w:val="1"/>
      <w:numFmt w:val="bullet"/>
      <w:lvlText w:val=""/>
      <w:lvlJc w:val="left"/>
      <w:pPr>
        <w:ind w:left="6680" w:hanging="360"/>
      </w:pPr>
      <w:rPr>
        <w:rFonts w:ascii="Wingdings" w:hAnsi="Wingdings" w:hint="default"/>
      </w:rPr>
    </w:lvl>
  </w:abstractNum>
  <w:abstractNum w:abstractNumId="29" w15:restartNumberingAfterBreak="0">
    <w:nsid w:val="661A37F0"/>
    <w:multiLevelType w:val="hybridMultilevel"/>
    <w:tmpl w:val="574C70F4"/>
    <w:lvl w:ilvl="0" w:tplc="0C090003">
      <w:start w:val="1"/>
      <w:numFmt w:val="bullet"/>
      <w:lvlText w:val="o"/>
      <w:lvlJc w:val="left"/>
      <w:pPr>
        <w:ind w:left="2360" w:hanging="360"/>
      </w:pPr>
      <w:rPr>
        <w:rFonts w:ascii="Courier New" w:hAnsi="Courier New" w:cs="Courier New" w:hint="default"/>
      </w:rPr>
    </w:lvl>
    <w:lvl w:ilvl="1" w:tplc="0C090003">
      <w:start w:val="1"/>
      <w:numFmt w:val="bullet"/>
      <w:lvlText w:val="o"/>
      <w:lvlJc w:val="left"/>
      <w:pPr>
        <w:ind w:left="3080" w:hanging="360"/>
      </w:pPr>
      <w:rPr>
        <w:rFonts w:ascii="Courier New" w:hAnsi="Courier New" w:cs="Courier New" w:hint="default"/>
      </w:rPr>
    </w:lvl>
    <w:lvl w:ilvl="2" w:tplc="0C090005">
      <w:start w:val="1"/>
      <w:numFmt w:val="bullet"/>
      <w:lvlText w:val=""/>
      <w:lvlJc w:val="left"/>
      <w:pPr>
        <w:ind w:left="3800" w:hanging="360"/>
      </w:pPr>
      <w:rPr>
        <w:rFonts w:ascii="Wingdings" w:hAnsi="Wingdings" w:hint="default"/>
      </w:rPr>
    </w:lvl>
    <w:lvl w:ilvl="3" w:tplc="0C090001" w:tentative="1">
      <w:start w:val="1"/>
      <w:numFmt w:val="bullet"/>
      <w:lvlText w:val=""/>
      <w:lvlJc w:val="left"/>
      <w:pPr>
        <w:ind w:left="4520" w:hanging="360"/>
      </w:pPr>
      <w:rPr>
        <w:rFonts w:ascii="Symbol" w:hAnsi="Symbol" w:hint="default"/>
      </w:rPr>
    </w:lvl>
    <w:lvl w:ilvl="4" w:tplc="0C090003" w:tentative="1">
      <w:start w:val="1"/>
      <w:numFmt w:val="bullet"/>
      <w:lvlText w:val="o"/>
      <w:lvlJc w:val="left"/>
      <w:pPr>
        <w:ind w:left="5240" w:hanging="360"/>
      </w:pPr>
      <w:rPr>
        <w:rFonts w:ascii="Courier New" w:hAnsi="Courier New" w:cs="Courier New" w:hint="default"/>
      </w:rPr>
    </w:lvl>
    <w:lvl w:ilvl="5" w:tplc="0C090005" w:tentative="1">
      <w:start w:val="1"/>
      <w:numFmt w:val="bullet"/>
      <w:lvlText w:val=""/>
      <w:lvlJc w:val="left"/>
      <w:pPr>
        <w:ind w:left="5960" w:hanging="360"/>
      </w:pPr>
      <w:rPr>
        <w:rFonts w:ascii="Wingdings" w:hAnsi="Wingdings" w:hint="default"/>
      </w:rPr>
    </w:lvl>
    <w:lvl w:ilvl="6" w:tplc="0C090001" w:tentative="1">
      <w:start w:val="1"/>
      <w:numFmt w:val="bullet"/>
      <w:lvlText w:val=""/>
      <w:lvlJc w:val="left"/>
      <w:pPr>
        <w:ind w:left="6680" w:hanging="360"/>
      </w:pPr>
      <w:rPr>
        <w:rFonts w:ascii="Symbol" w:hAnsi="Symbol" w:hint="default"/>
      </w:rPr>
    </w:lvl>
    <w:lvl w:ilvl="7" w:tplc="0C090003" w:tentative="1">
      <w:start w:val="1"/>
      <w:numFmt w:val="bullet"/>
      <w:lvlText w:val="o"/>
      <w:lvlJc w:val="left"/>
      <w:pPr>
        <w:ind w:left="7400" w:hanging="360"/>
      </w:pPr>
      <w:rPr>
        <w:rFonts w:ascii="Courier New" w:hAnsi="Courier New" w:cs="Courier New" w:hint="default"/>
      </w:rPr>
    </w:lvl>
    <w:lvl w:ilvl="8" w:tplc="0C090005" w:tentative="1">
      <w:start w:val="1"/>
      <w:numFmt w:val="bullet"/>
      <w:lvlText w:val=""/>
      <w:lvlJc w:val="left"/>
      <w:pPr>
        <w:ind w:left="8120" w:hanging="360"/>
      </w:pPr>
      <w:rPr>
        <w:rFonts w:ascii="Wingdings" w:hAnsi="Wingdings" w:hint="default"/>
      </w:rPr>
    </w:lvl>
  </w:abstractNum>
  <w:abstractNum w:abstractNumId="30" w15:restartNumberingAfterBreak="0">
    <w:nsid w:val="67F87597"/>
    <w:multiLevelType w:val="hybridMultilevel"/>
    <w:tmpl w:val="B8D8C11C"/>
    <w:lvl w:ilvl="0" w:tplc="A6E884B0">
      <w:numFmt w:val="bullet"/>
      <w:lvlText w:val=""/>
      <w:lvlJc w:val="left"/>
      <w:pPr>
        <w:ind w:left="720" w:hanging="360"/>
      </w:pPr>
      <w:rPr>
        <w:rFonts w:ascii="Symbol" w:eastAsiaTheme="minorHAnsi"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BA2036F"/>
    <w:multiLevelType w:val="hybridMultilevel"/>
    <w:tmpl w:val="EEDC2AEC"/>
    <w:lvl w:ilvl="0" w:tplc="FBE65902">
      <w:numFmt w:val="bullet"/>
      <w:lvlText w:val=""/>
      <w:lvlJc w:val="left"/>
      <w:pPr>
        <w:ind w:left="828" w:hanging="360"/>
      </w:pPr>
      <w:rPr>
        <w:rFonts w:ascii="Symbol" w:eastAsia="Symbol" w:hAnsi="Symbol" w:cs="Symbol" w:hint="default"/>
        <w:w w:val="100"/>
        <w:sz w:val="22"/>
        <w:szCs w:val="22"/>
        <w:lang w:val="en-AU" w:eastAsia="en-US" w:bidi="ar-SA"/>
      </w:rPr>
    </w:lvl>
    <w:lvl w:ilvl="1" w:tplc="38F8FC24">
      <w:numFmt w:val="bullet"/>
      <w:lvlText w:val="•"/>
      <w:lvlJc w:val="left"/>
      <w:pPr>
        <w:ind w:left="1417" w:hanging="360"/>
      </w:pPr>
      <w:rPr>
        <w:rFonts w:hint="default"/>
        <w:lang w:val="en-AU" w:eastAsia="en-US" w:bidi="ar-SA"/>
      </w:rPr>
    </w:lvl>
    <w:lvl w:ilvl="2" w:tplc="7862EB62">
      <w:numFmt w:val="bullet"/>
      <w:lvlText w:val="•"/>
      <w:lvlJc w:val="left"/>
      <w:pPr>
        <w:ind w:left="2015" w:hanging="360"/>
      </w:pPr>
      <w:rPr>
        <w:rFonts w:hint="default"/>
        <w:lang w:val="en-AU" w:eastAsia="en-US" w:bidi="ar-SA"/>
      </w:rPr>
    </w:lvl>
    <w:lvl w:ilvl="3" w:tplc="D67E3C4A">
      <w:numFmt w:val="bullet"/>
      <w:lvlText w:val="•"/>
      <w:lvlJc w:val="left"/>
      <w:pPr>
        <w:ind w:left="2612" w:hanging="360"/>
      </w:pPr>
      <w:rPr>
        <w:rFonts w:hint="default"/>
        <w:lang w:val="en-AU" w:eastAsia="en-US" w:bidi="ar-SA"/>
      </w:rPr>
    </w:lvl>
    <w:lvl w:ilvl="4" w:tplc="368C1220">
      <w:numFmt w:val="bullet"/>
      <w:lvlText w:val="•"/>
      <w:lvlJc w:val="left"/>
      <w:pPr>
        <w:ind w:left="3210" w:hanging="360"/>
      </w:pPr>
      <w:rPr>
        <w:rFonts w:hint="default"/>
        <w:lang w:val="en-AU" w:eastAsia="en-US" w:bidi="ar-SA"/>
      </w:rPr>
    </w:lvl>
    <w:lvl w:ilvl="5" w:tplc="AD24EF42">
      <w:numFmt w:val="bullet"/>
      <w:lvlText w:val="•"/>
      <w:lvlJc w:val="left"/>
      <w:pPr>
        <w:ind w:left="3808" w:hanging="360"/>
      </w:pPr>
      <w:rPr>
        <w:rFonts w:hint="default"/>
        <w:lang w:val="en-AU" w:eastAsia="en-US" w:bidi="ar-SA"/>
      </w:rPr>
    </w:lvl>
    <w:lvl w:ilvl="6" w:tplc="3ABA4730">
      <w:numFmt w:val="bullet"/>
      <w:lvlText w:val="•"/>
      <w:lvlJc w:val="left"/>
      <w:pPr>
        <w:ind w:left="4405" w:hanging="360"/>
      </w:pPr>
      <w:rPr>
        <w:rFonts w:hint="default"/>
        <w:lang w:val="en-AU" w:eastAsia="en-US" w:bidi="ar-SA"/>
      </w:rPr>
    </w:lvl>
    <w:lvl w:ilvl="7" w:tplc="9168DDA6">
      <w:numFmt w:val="bullet"/>
      <w:lvlText w:val="•"/>
      <w:lvlJc w:val="left"/>
      <w:pPr>
        <w:ind w:left="5003" w:hanging="360"/>
      </w:pPr>
      <w:rPr>
        <w:rFonts w:hint="default"/>
        <w:lang w:val="en-AU" w:eastAsia="en-US" w:bidi="ar-SA"/>
      </w:rPr>
    </w:lvl>
    <w:lvl w:ilvl="8" w:tplc="E294CC74">
      <w:numFmt w:val="bullet"/>
      <w:lvlText w:val="•"/>
      <w:lvlJc w:val="left"/>
      <w:pPr>
        <w:ind w:left="5600" w:hanging="360"/>
      </w:pPr>
      <w:rPr>
        <w:rFonts w:hint="default"/>
        <w:lang w:val="en-AU" w:eastAsia="en-US" w:bidi="ar-SA"/>
      </w:rPr>
    </w:lvl>
  </w:abstractNum>
  <w:abstractNum w:abstractNumId="32" w15:restartNumberingAfterBreak="0">
    <w:nsid w:val="707918BC"/>
    <w:multiLevelType w:val="hybridMultilevel"/>
    <w:tmpl w:val="3F7CFA0A"/>
    <w:lvl w:ilvl="0" w:tplc="0C090001">
      <w:start w:val="1"/>
      <w:numFmt w:val="bullet"/>
      <w:lvlText w:val=""/>
      <w:lvlJc w:val="left"/>
      <w:pPr>
        <w:ind w:left="920" w:hanging="360"/>
      </w:pPr>
      <w:rPr>
        <w:rFonts w:ascii="Symbol" w:hAnsi="Symbol" w:hint="default"/>
      </w:rPr>
    </w:lvl>
    <w:lvl w:ilvl="1" w:tplc="0C090003" w:tentative="1">
      <w:start w:val="1"/>
      <w:numFmt w:val="bullet"/>
      <w:lvlText w:val="o"/>
      <w:lvlJc w:val="left"/>
      <w:pPr>
        <w:ind w:left="1640" w:hanging="360"/>
      </w:pPr>
      <w:rPr>
        <w:rFonts w:ascii="Courier New" w:hAnsi="Courier New" w:cs="Courier New" w:hint="default"/>
      </w:rPr>
    </w:lvl>
    <w:lvl w:ilvl="2" w:tplc="0C090005" w:tentative="1">
      <w:start w:val="1"/>
      <w:numFmt w:val="bullet"/>
      <w:lvlText w:val=""/>
      <w:lvlJc w:val="left"/>
      <w:pPr>
        <w:ind w:left="2360" w:hanging="360"/>
      </w:pPr>
      <w:rPr>
        <w:rFonts w:ascii="Wingdings" w:hAnsi="Wingdings" w:hint="default"/>
      </w:rPr>
    </w:lvl>
    <w:lvl w:ilvl="3" w:tplc="0C090001" w:tentative="1">
      <w:start w:val="1"/>
      <w:numFmt w:val="bullet"/>
      <w:lvlText w:val=""/>
      <w:lvlJc w:val="left"/>
      <w:pPr>
        <w:ind w:left="3080" w:hanging="360"/>
      </w:pPr>
      <w:rPr>
        <w:rFonts w:ascii="Symbol" w:hAnsi="Symbol" w:hint="default"/>
      </w:rPr>
    </w:lvl>
    <w:lvl w:ilvl="4" w:tplc="0C090003" w:tentative="1">
      <w:start w:val="1"/>
      <w:numFmt w:val="bullet"/>
      <w:lvlText w:val="o"/>
      <w:lvlJc w:val="left"/>
      <w:pPr>
        <w:ind w:left="3800" w:hanging="360"/>
      </w:pPr>
      <w:rPr>
        <w:rFonts w:ascii="Courier New" w:hAnsi="Courier New" w:cs="Courier New" w:hint="default"/>
      </w:rPr>
    </w:lvl>
    <w:lvl w:ilvl="5" w:tplc="0C090005" w:tentative="1">
      <w:start w:val="1"/>
      <w:numFmt w:val="bullet"/>
      <w:lvlText w:val=""/>
      <w:lvlJc w:val="left"/>
      <w:pPr>
        <w:ind w:left="4520" w:hanging="360"/>
      </w:pPr>
      <w:rPr>
        <w:rFonts w:ascii="Wingdings" w:hAnsi="Wingdings" w:hint="default"/>
      </w:rPr>
    </w:lvl>
    <w:lvl w:ilvl="6" w:tplc="0C090001" w:tentative="1">
      <w:start w:val="1"/>
      <w:numFmt w:val="bullet"/>
      <w:lvlText w:val=""/>
      <w:lvlJc w:val="left"/>
      <w:pPr>
        <w:ind w:left="5240" w:hanging="360"/>
      </w:pPr>
      <w:rPr>
        <w:rFonts w:ascii="Symbol" w:hAnsi="Symbol" w:hint="default"/>
      </w:rPr>
    </w:lvl>
    <w:lvl w:ilvl="7" w:tplc="0C090003" w:tentative="1">
      <w:start w:val="1"/>
      <w:numFmt w:val="bullet"/>
      <w:lvlText w:val="o"/>
      <w:lvlJc w:val="left"/>
      <w:pPr>
        <w:ind w:left="5960" w:hanging="360"/>
      </w:pPr>
      <w:rPr>
        <w:rFonts w:ascii="Courier New" w:hAnsi="Courier New" w:cs="Courier New" w:hint="default"/>
      </w:rPr>
    </w:lvl>
    <w:lvl w:ilvl="8" w:tplc="0C090005" w:tentative="1">
      <w:start w:val="1"/>
      <w:numFmt w:val="bullet"/>
      <w:lvlText w:val=""/>
      <w:lvlJc w:val="left"/>
      <w:pPr>
        <w:ind w:left="6680" w:hanging="360"/>
      </w:pPr>
      <w:rPr>
        <w:rFonts w:ascii="Wingdings" w:hAnsi="Wingdings" w:hint="default"/>
      </w:rPr>
    </w:lvl>
  </w:abstractNum>
  <w:abstractNum w:abstractNumId="33" w15:restartNumberingAfterBreak="0">
    <w:nsid w:val="76295AF1"/>
    <w:multiLevelType w:val="hybridMultilevel"/>
    <w:tmpl w:val="3118F270"/>
    <w:lvl w:ilvl="0" w:tplc="0C090001">
      <w:start w:val="1"/>
      <w:numFmt w:val="bullet"/>
      <w:lvlText w:val=""/>
      <w:lvlJc w:val="left"/>
      <w:pPr>
        <w:ind w:left="560" w:hanging="358"/>
      </w:pPr>
      <w:rPr>
        <w:rFonts w:ascii="Symbol" w:hAnsi="Symbol" w:hint="default"/>
        <w:w w:val="100"/>
        <w:lang w:val="en-AU" w:eastAsia="en-US" w:bidi="ar-SA"/>
      </w:rPr>
    </w:lvl>
    <w:lvl w:ilvl="1" w:tplc="FFA05E4E">
      <w:numFmt w:val="bullet"/>
      <w:lvlText w:val="o"/>
      <w:lvlJc w:val="left"/>
      <w:pPr>
        <w:ind w:left="1124" w:hanging="358"/>
      </w:pPr>
      <w:rPr>
        <w:rFonts w:ascii="Courier New" w:eastAsia="Courier New" w:hAnsi="Courier New" w:cs="Courier New" w:hint="default"/>
        <w:w w:val="100"/>
        <w:sz w:val="22"/>
        <w:szCs w:val="22"/>
        <w:lang w:val="en-AU" w:eastAsia="en-US" w:bidi="ar-SA"/>
      </w:rPr>
    </w:lvl>
    <w:lvl w:ilvl="2" w:tplc="50C05B1A">
      <w:numFmt w:val="bullet"/>
      <w:lvlText w:val="•"/>
      <w:lvlJc w:val="left"/>
      <w:pPr>
        <w:ind w:left="1640" w:hanging="358"/>
      </w:pPr>
      <w:rPr>
        <w:rFonts w:hint="default"/>
        <w:lang w:val="en-AU" w:eastAsia="en-US" w:bidi="ar-SA"/>
      </w:rPr>
    </w:lvl>
    <w:lvl w:ilvl="3" w:tplc="62523F3A">
      <w:numFmt w:val="bullet"/>
      <w:lvlText w:val="•"/>
      <w:lvlJc w:val="left"/>
      <w:pPr>
        <w:ind w:left="2735" w:hanging="358"/>
      </w:pPr>
      <w:rPr>
        <w:rFonts w:hint="default"/>
        <w:lang w:val="en-AU" w:eastAsia="en-US" w:bidi="ar-SA"/>
      </w:rPr>
    </w:lvl>
    <w:lvl w:ilvl="4" w:tplc="FB72E1E8">
      <w:numFmt w:val="bullet"/>
      <w:lvlText w:val="•"/>
      <w:lvlJc w:val="left"/>
      <w:pPr>
        <w:ind w:left="3831" w:hanging="358"/>
      </w:pPr>
      <w:rPr>
        <w:rFonts w:hint="default"/>
        <w:lang w:val="en-AU" w:eastAsia="en-US" w:bidi="ar-SA"/>
      </w:rPr>
    </w:lvl>
    <w:lvl w:ilvl="5" w:tplc="FF12EFA6">
      <w:numFmt w:val="bullet"/>
      <w:lvlText w:val="•"/>
      <w:lvlJc w:val="left"/>
      <w:pPr>
        <w:ind w:left="4927" w:hanging="358"/>
      </w:pPr>
      <w:rPr>
        <w:rFonts w:hint="default"/>
        <w:lang w:val="en-AU" w:eastAsia="en-US" w:bidi="ar-SA"/>
      </w:rPr>
    </w:lvl>
    <w:lvl w:ilvl="6" w:tplc="667ACC5C">
      <w:numFmt w:val="bullet"/>
      <w:lvlText w:val="•"/>
      <w:lvlJc w:val="left"/>
      <w:pPr>
        <w:ind w:left="6023" w:hanging="358"/>
      </w:pPr>
      <w:rPr>
        <w:rFonts w:hint="default"/>
        <w:lang w:val="en-AU" w:eastAsia="en-US" w:bidi="ar-SA"/>
      </w:rPr>
    </w:lvl>
    <w:lvl w:ilvl="7" w:tplc="9F24D968">
      <w:numFmt w:val="bullet"/>
      <w:lvlText w:val="•"/>
      <w:lvlJc w:val="left"/>
      <w:pPr>
        <w:ind w:left="7119" w:hanging="358"/>
      </w:pPr>
      <w:rPr>
        <w:rFonts w:hint="default"/>
        <w:lang w:val="en-AU" w:eastAsia="en-US" w:bidi="ar-SA"/>
      </w:rPr>
    </w:lvl>
    <w:lvl w:ilvl="8" w:tplc="F7007B4C">
      <w:numFmt w:val="bullet"/>
      <w:lvlText w:val="•"/>
      <w:lvlJc w:val="left"/>
      <w:pPr>
        <w:ind w:left="8214" w:hanging="358"/>
      </w:pPr>
      <w:rPr>
        <w:rFonts w:hint="default"/>
        <w:lang w:val="en-AU" w:eastAsia="en-US" w:bidi="ar-SA"/>
      </w:rPr>
    </w:lvl>
  </w:abstractNum>
  <w:abstractNum w:abstractNumId="34" w15:restartNumberingAfterBreak="0">
    <w:nsid w:val="78D855C2"/>
    <w:multiLevelType w:val="hybridMultilevel"/>
    <w:tmpl w:val="A62A31A8"/>
    <w:lvl w:ilvl="0" w:tplc="868E805C">
      <w:numFmt w:val="bullet"/>
      <w:lvlText w:val=""/>
      <w:lvlJc w:val="left"/>
      <w:pPr>
        <w:ind w:left="720" w:hanging="360"/>
      </w:pPr>
      <w:rPr>
        <w:rFonts w:ascii="Symbol" w:eastAsiaTheme="minorHAns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7E163B"/>
    <w:multiLevelType w:val="hybridMultilevel"/>
    <w:tmpl w:val="1C4E2C0E"/>
    <w:lvl w:ilvl="0" w:tplc="8C8EA4C4">
      <w:numFmt w:val="bullet"/>
      <w:lvlText w:val="o"/>
      <w:lvlJc w:val="left"/>
      <w:pPr>
        <w:ind w:left="486" w:hanging="360"/>
      </w:pPr>
      <w:rPr>
        <w:rFonts w:ascii="Courier New" w:eastAsia="Courier New" w:hAnsi="Courier New" w:cs="Courier New" w:hint="default"/>
        <w:w w:val="99"/>
        <w:sz w:val="20"/>
        <w:szCs w:val="20"/>
        <w:lang w:val="en-AU" w:eastAsia="en-US" w:bidi="ar-SA"/>
      </w:rPr>
    </w:lvl>
    <w:lvl w:ilvl="1" w:tplc="77A21100">
      <w:numFmt w:val="bullet"/>
      <w:lvlText w:val="•"/>
      <w:lvlJc w:val="left"/>
      <w:pPr>
        <w:ind w:left="1273" w:hanging="360"/>
      </w:pPr>
      <w:rPr>
        <w:rFonts w:hint="default"/>
        <w:lang w:val="en-AU" w:eastAsia="en-US" w:bidi="ar-SA"/>
      </w:rPr>
    </w:lvl>
    <w:lvl w:ilvl="2" w:tplc="B22A69DA">
      <w:numFmt w:val="bullet"/>
      <w:lvlText w:val="•"/>
      <w:lvlJc w:val="left"/>
      <w:pPr>
        <w:ind w:left="2067" w:hanging="360"/>
      </w:pPr>
      <w:rPr>
        <w:rFonts w:hint="default"/>
        <w:lang w:val="en-AU" w:eastAsia="en-US" w:bidi="ar-SA"/>
      </w:rPr>
    </w:lvl>
    <w:lvl w:ilvl="3" w:tplc="5D5298F4">
      <w:numFmt w:val="bullet"/>
      <w:lvlText w:val="•"/>
      <w:lvlJc w:val="left"/>
      <w:pPr>
        <w:ind w:left="2860" w:hanging="360"/>
      </w:pPr>
      <w:rPr>
        <w:rFonts w:hint="default"/>
        <w:lang w:val="en-AU" w:eastAsia="en-US" w:bidi="ar-SA"/>
      </w:rPr>
    </w:lvl>
    <w:lvl w:ilvl="4" w:tplc="34701E9E">
      <w:numFmt w:val="bullet"/>
      <w:lvlText w:val="•"/>
      <w:lvlJc w:val="left"/>
      <w:pPr>
        <w:ind w:left="3654" w:hanging="360"/>
      </w:pPr>
      <w:rPr>
        <w:rFonts w:hint="default"/>
        <w:lang w:val="en-AU" w:eastAsia="en-US" w:bidi="ar-SA"/>
      </w:rPr>
    </w:lvl>
    <w:lvl w:ilvl="5" w:tplc="164EFE5C">
      <w:numFmt w:val="bullet"/>
      <w:lvlText w:val="•"/>
      <w:lvlJc w:val="left"/>
      <w:pPr>
        <w:ind w:left="4448" w:hanging="360"/>
      </w:pPr>
      <w:rPr>
        <w:rFonts w:hint="default"/>
        <w:lang w:val="en-AU" w:eastAsia="en-US" w:bidi="ar-SA"/>
      </w:rPr>
    </w:lvl>
    <w:lvl w:ilvl="6" w:tplc="93C0A606">
      <w:numFmt w:val="bullet"/>
      <w:lvlText w:val="•"/>
      <w:lvlJc w:val="left"/>
      <w:pPr>
        <w:ind w:left="5241" w:hanging="360"/>
      </w:pPr>
      <w:rPr>
        <w:rFonts w:hint="default"/>
        <w:lang w:val="en-AU" w:eastAsia="en-US" w:bidi="ar-SA"/>
      </w:rPr>
    </w:lvl>
    <w:lvl w:ilvl="7" w:tplc="A0D20A18">
      <w:numFmt w:val="bullet"/>
      <w:lvlText w:val="•"/>
      <w:lvlJc w:val="left"/>
      <w:pPr>
        <w:ind w:left="6035" w:hanging="360"/>
      </w:pPr>
      <w:rPr>
        <w:rFonts w:hint="default"/>
        <w:lang w:val="en-AU" w:eastAsia="en-US" w:bidi="ar-SA"/>
      </w:rPr>
    </w:lvl>
    <w:lvl w:ilvl="8" w:tplc="81CE5F38">
      <w:numFmt w:val="bullet"/>
      <w:lvlText w:val="•"/>
      <w:lvlJc w:val="left"/>
      <w:pPr>
        <w:ind w:left="6828" w:hanging="360"/>
      </w:pPr>
      <w:rPr>
        <w:rFonts w:hint="default"/>
        <w:lang w:val="en-AU" w:eastAsia="en-US" w:bidi="ar-SA"/>
      </w:rPr>
    </w:lvl>
  </w:abstractNum>
  <w:num w:numId="1" w16cid:durableId="1160121104">
    <w:abstractNumId w:val="6"/>
  </w:num>
  <w:num w:numId="2" w16cid:durableId="14498501">
    <w:abstractNumId w:val="9"/>
  </w:num>
  <w:num w:numId="3" w16cid:durableId="1600672017">
    <w:abstractNumId w:val="31"/>
  </w:num>
  <w:num w:numId="4" w16cid:durableId="1240672327">
    <w:abstractNumId w:val="2"/>
  </w:num>
  <w:num w:numId="5" w16cid:durableId="643198020">
    <w:abstractNumId w:val="22"/>
  </w:num>
  <w:num w:numId="6" w16cid:durableId="716440747">
    <w:abstractNumId w:val="35"/>
  </w:num>
  <w:num w:numId="7" w16cid:durableId="1717460672">
    <w:abstractNumId w:val="12"/>
  </w:num>
  <w:num w:numId="8" w16cid:durableId="1273171893">
    <w:abstractNumId w:val="15"/>
  </w:num>
  <w:num w:numId="9" w16cid:durableId="1053121154">
    <w:abstractNumId w:val="21"/>
  </w:num>
  <w:num w:numId="10" w16cid:durableId="2049407231">
    <w:abstractNumId w:val="25"/>
  </w:num>
  <w:num w:numId="11" w16cid:durableId="645164365">
    <w:abstractNumId w:val="14"/>
  </w:num>
  <w:num w:numId="12" w16cid:durableId="1539782722">
    <w:abstractNumId w:val="19"/>
  </w:num>
  <w:num w:numId="13" w16cid:durableId="135535667">
    <w:abstractNumId w:val="8"/>
  </w:num>
  <w:num w:numId="14" w16cid:durableId="1654915164">
    <w:abstractNumId w:val="28"/>
  </w:num>
  <w:num w:numId="15" w16cid:durableId="2059669837">
    <w:abstractNumId w:val="4"/>
  </w:num>
  <w:num w:numId="16" w16cid:durableId="855190654">
    <w:abstractNumId w:val="13"/>
  </w:num>
  <w:num w:numId="17" w16cid:durableId="1137605478">
    <w:abstractNumId w:val="32"/>
  </w:num>
  <w:num w:numId="18" w16cid:durableId="1889032752">
    <w:abstractNumId w:val="18"/>
  </w:num>
  <w:num w:numId="19" w16cid:durableId="41028566">
    <w:abstractNumId w:val="34"/>
  </w:num>
  <w:num w:numId="20" w16cid:durableId="808549642">
    <w:abstractNumId w:val="26"/>
  </w:num>
  <w:num w:numId="21" w16cid:durableId="151411782">
    <w:abstractNumId w:val="33"/>
  </w:num>
  <w:num w:numId="22" w16cid:durableId="1141114730">
    <w:abstractNumId w:val="27"/>
  </w:num>
  <w:num w:numId="23" w16cid:durableId="1543663891">
    <w:abstractNumId w:val="17"/>
  </w:num>
  <w:num w:numId="24" w16cid:durableId="940452603">
    <w:abstractNumId w:val="10"/>
  </w:num>
  <w:num w:numId="25" w16cid:durableId="1051807681">
    <w:abstractNumId w:val="20"/>
  </w:num>
  <w:num w:numId="26" w16cid:durableId="1395858074">
    <w:abstractNumId w:val="5"/>
  </w:num>
  <w:num w:numId="27" w16cid:durableId="923994426">
    <w:abstractNumId w:val="24"/>
  </w:num>
  <w:num w:numId="28" w16cid:durableId="1059552688">
    <w:abstractNumId w:val="3"/>
  </w:num>
  <w:num w:numId="29" w16cid:durableId="709842097">
    <w:abstractNumId w:val="24"/>
  </w:num>
  <w:num w:numId="30" w16cid:durableId="417219546">
    <w:abstractNumId w:val="7"/>
  </w:num>
  <w:num w:numId="31" w16cid:durableId="1377461934">
    <w:abstractNumId w:val="3"/>
  </w:num>
  <w:num w:numId="32" w16cid:durableId="1658924659">
    <w:abstractNumId w:val="3"/>
  </w:num>
  <w:num w:numId="33" w16cid:durableId="892303932">
    <w:abstractNumId w:val="3"/>
  </w:num>
  <w:num w:numId="34" w16cid:durableId="701589809">
    <w:abstractNumId w:val="3"/>
  </w:num>
  <w:num w:numId="35" w16cid:durableId="646013207">
    <w:abstractNumId w:val="3"/>
  </w:num>
  <w:num w:numId="36" w16cid:durableId="236596001">
    <w:abstractNumId w:val="5"/>
  </w:num>
  <w:num w:numId="37" w16cid:durableId="1299411130">
    <w:abstractNumId w:val="5"/>
  </w:num>
  <w:num w:numId="38" w16cid:durableId="1688561359">
    <w:abstractNumId w:val="5"/>
  </w:num>
  <w:num w:numId="39" w16cid:durableId="247429210">
    <w:abstractNumId w:val="5"/>
  </w:num>
  <w:num w:numId="40" w16cid:durableId="173686045">
    <w:abstractNumId w:val="5"/>
  </w:num>
  <w:num w:numId="41" w16cid:durableId="1488084523">
    <w:abstractNumId w:val="5"/>
  </w:num>
  <w:num w:numId="42" w16cid:durableId="683750575">
    <w:abstractNumId w:val="5"/>
  </w:num>
  <w:num w:numId="43" w16cid:durableId="1726176856">
    <w:abstractNumId w:val="5"/>
  </w:num>
  <w:num w:numId="44" w16cid:durableId="666790497">
    <w:abstractNumId w:val="5"/>
  </w:num>
  <w:num w:numId="45" w16cid:durableId="896207361">
    <w:abstractNumId w:val="5"/>
  </w:num>
  <w:num w:numId="46" w16cid:durableId="2033532528">
    <w:abstractNumId w:val="5"/>
  </w:num>
  <w:num w:numId="47" w16cid:durableId="242182936">
    <w:abstractNumId w:val="24"/>
  </w:num>
  <w:num w:numId="48" w16cid:durableId="148718211">
    <w:abstractNumId w:val="24"/>
  </w:num>
  <w:num w:numId="49" w16cid:durableId="1993951155">
    <w:abstractNumId w:val="24"/>
  </w:num>
  <w:num w:numId="50" w16cid:durableId="327635950">
    <w:abstractNumId w:val="24"/>
  </w:num>
  <w:num w:numId="51" w16cid:durableId="422149634">
    <w:abstractNumId w:val="24"/>
  </w:num>
  <w:num w:numId="52" w16cid:durableId="32537171">
    <w:abstractNumId w:val="24"/>
  </w:num>
  <w:num w:numId="53" w16cid:durableId="1335112880">
    <w:abstractNumId w:val="24"/>
  </w:num>
  <w:num w:numId="54" w16cid:durableId="135221622">
    <w:abstractNumId w:val="24"/>
  </w:num>
  <w:num w:numId="55" w16cid:durableId="1307128253">
    <w:abstractNumId w:val="24"/>
  </w:num>
  <w:num w:numId="56" w16cid:durableId="1885098583">
    <w:abstractNumId w:val="5"/>
  </w:num>
  <w:num w:numId="57" w16cid:durableId="1211574806">
    <w:abstractNumId w:val="5"/>
  </w:num>
  <w:num w:numId="58" w16cid:durableId="1449931341">
    <w:abstractNumId w:val="5"/>
  </w:num>
  <w:num w:numId="59" w16cid:durableId="190729996">
    <w:abstractNumId w:val="5"/>
  </w:num>
  <w:num w:numId="60" w16cid:durableId="512844366">
    <w:abstractNumId w:val="5"/>
  </w:num>
  <w:num w:numId="61" w16cid:durableId="3433999">
    <w:abstractNumId w:val="5"/>
  </w:num>
  <w:num w:numId="62" w16cid:durableId="1085153932">
    <w:abstractNumId w:val="5"/>
  </w:num>
  <w:num w:numId="63" w16cid:durableId="1819608418">
    <w:abstractNumId w:val="5"/>
  </w:num>
  <w:num w:numId="64" w16cid:durableId="2101290117">
    <w:abstractNumId w:val="5"/>
  </w:num>
  <w:num w:numId="65" w16cid:durableId="224876414">
    <w:abstractNumId w:val="5"/>
  </w:num>
  <w:num w:numId="66" w16cid:durableId="136653715">
    <w:abstractNumId w:val="5"/>
  </w:num>
  <w:num w:numId="67" w16cid:durableId="243539166">
    <w:abstractNumId w:val="5"/>
  </w:num>
  <w:num w:numId="68" w16cid:durableId="1518349301">
    <w:abstractNumId w:val="5"/>
  </w:num>
  <w:num w:numId="69" w16cid:durableId="807357949">
    <w:abstractNumId w:val="5"/>
  </w:num>
  <w:num w:numId="70" w16cid:durableId="1575772811">
    <w:abstractNumId w:val="5"/>
  </w:num>
  <w:num w:numId="71" w16cid:durableId="942539224">
    <w:abstractNumId w:val="5"/>
  </w:num>
  <w:num w:numId="72" w16cid:durableId="956175750">
    <w:abstractNumId w:val="5"/>
  </w:num>
  <w:num w:numId="73" w16cid:durableId="1708141473">
    <w:abstractNumId w:val="5"/>
  </w:num>
  <w:num w:numId="74" w16cid:durableId="123427261">
    <w:abstractNumId w:val="5"/>
  </w:num>
  <w:num w:numId="75" w16cid:durableId="1983384681">
    <w:abstractNumId w:val="5"/>
  </w:num>
  <w:num w:numId="76" w16cid:durableId="1742286447">
    <w:abstractNumId w:val="5"/>
  </w:num>
  <w:num w:numId="77" w16cid:durableId="1364401290">
    <w:abstractNumId w:val="5"/>
  </w:num>
  <w:num w:numId="78" w16cid:durableId="1572539421">
    <w:abstractNumId w:val="5"/>
  </w:num>
  <w:num w:numId="79" w16cid:durableId="517039141">
    <w:abstractNumId w:val="5"/>
  </w:num>
  <w:num w:numId="80" w16cid:durableId="112096489">
    <w:abstractNumId w:val="5"/>
  </w:num>
  <w:num w:numId="81" w16cid:durableId="1554392758">
    <w:abstractNumId w:val="11"/>
  </w:num>
  <w:num w:numId="82" w16cid:durableId="429550163">
    <w:abstractNumId w:val="30"/>
  </w:num>
  <w:num w:numId="83" w16cid:durableId="1722050183">
    <w:abstractNumId w:val="30"/>
  </w:num>
  <w:num w:numId="84" w16cid:durableId="344523085">
    <w:abstractNumId w:val="0"/>
  </w:num>
  <w:num w:numId="85" w16cid:durableId="227958749">
    <w:abstractNumId w:val="1"/>
  </w:num>
  <w:num w:numId="86" w16cid:durableId="1806772000">
    <w:abstractNumId w:val="16"/>
  </w:num>
  <w:num w:numId="87" w16cid:durableId="229733007">
    <w:abstractNumId w:val="5"/>
  </w:num>
  <w:num w:numId="88" w16cid:durableId="145821463">
    <w:abstractNumId w:val="5"/>
  </w:num>
  <w:num w:numId="89" w16cid:durableId="1380131096">
    <w:abstractNumId w:val="5"/>
  </w:num>
  <w:num w:numId="90" w16cid:durableId="1059355552">
    <w:abstractNumId w:val="5"/>
  </w:num>
  <w:num w:numId="91" w16cid:durableId="1840654690">
    <w:abstractNumId w:val="5"/>
  </w:num>
  <w:num w:numId="92" w16cid:durableId="960920339">
    <w:abstractNumId w:val="5"/>
  </w:num>
  <w:num w:numId="93" w16cid:durableId="1523471476">
    <w:abstractNumId w:val="5"/>
  </w:num>
  <w:num w:numId="94" w16cid:durableId="729304988">
    <w:abstractNumId w:val="3"/>
  </w:num>
  <w:num w:numId="95" w16cid:durableId="793837865">
    <w:abstractNumId w:val="5"/>
  </w:num>
  <w:num w:numId="96" w16cid:durableId="506865319">
    <w:abstractNumId w:val="5"/>
  </w:num>
  <w:num w:numId="97" w16cid:durableId="649485544">
    <w:abstractNumId w:val="23"/>
  </w:num>
  <w:num w:numId="98" w16cid:durableId="1912079965">
    <w:abstractNumId w:val="3"/>
  </w:num>
  <w:num w:numId="99" w16cid:durableId="164053703">
    <w:abstractNumId w:val="3"/>
  </w:num>
  <w:num w:numId="100" w16cid:durableId="326641294">
    <w:abstractNumId w:val="5"/>
  </w:num>
  <w:num w:numId="101" w16cid:durableId="95640141">
    <w:abstractNumId w:val="5"/>
  </w:num>
  <w:num w:numId="102" w16cid:durableId="964232918">
    <w:abstractNumId w:val="5"/>
  </w:num>
  <w:num w:numId="103" w16cid:durableId="1874725758">
    <w:abstractNumId w:val="5"/>
  </w:num>
  <w:num w:numId="104" w16cid:durableId="145754791">
    <w:abstractNumId w:val="5"/>
  </w:num>
  <w:num w:numId="105" w16cid:durableId="938177658">
    <w:abstractNumId w:val="5"/>
  </w:num>
  <w:num w:numId="106" w16cid:durableId="1238859158">
    <w:abstractNumId w:val="5"/>
  </w:num>
  <w:num w:numId="107" w16cid:durableId="1319729181">
    <w:abstractNumId w:val="5"/>
  </w:num>
  <w:num w:numId="108" w16cid:durableId="859395101">
    <w:abstractNumId w:val="29"/>
  </w:num>
  <w:num w:numId="109" w16cid:durableId="2115049424">
    <w:abstractNumId w:val="5"/>
  </w:num>
  <w:num w:numId="110" w16cid:durableId="1861042907">
    <w:abstractNumId w:val="5"/>
  </w:num>
  <w:num w:numId="111" w16cid:durableId="1843542555">
    <w:abstractNumId w:val="5"/>
  </w:num>
  <w:num w:numId="112" w16cid:durableId="1891573823">
    <w:abstractNumId w:val="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3B7"/>
    <w:rsid w:val="00002939"/>
    <w:rsid w:val="000117CB"/>
    <w:rsid w:val="00012F65"/>
    <w:rsid w:val="000174D0"/>
    <w:rsid w:val="000254AD"/>
    <w:rsid w:val="00030D2C"/>
    <w:rsid w:val="000414B5"/>
    <w:rsid w:val="0004327B"/>
    <w:rsid w:val="000544CB"/>
    <w:rsid w:val="000935A9"/>
    <w:rsid w:val="000A0C99"/>
    <w:rsid w:val="000A6FC6"/>
    <w:rsid w:val="000C7011"/>
    <w:rsid w:val="000C71E4"/>
    <w:rsid w:val="000C73C7"/>
    <w:rsid w:val="000C7E95"/>
    <w:rsid w:val="000D0972"/>
    <w:rsid w:val="000F099E"/>
    <w:rsid w:val="00103F35"/>
    <w:rsid w:val="00112EE7"/>
    <w:rsid w:val="00113F51"/>
    <w:rsid w:val="00115033"/>
    <w:rsid w:val="001151B0"/>
    <w:rsid w:val="0011705B"/>
    <w:rsid w:val="00137CA4"/>
    <w:rsid w:val="001505CB"/>
    <w:rsid w:val="00154935"/>
    <w:rsid w:val="00156D99"/>
    <w:rsid w:val="001634D6"/>
    <w:rsid w:val="00185A19"/>
    <w:rsid w:val="001A2960"/>
    <w:rsid w:val="001B0A23"/>
    <w:rsid w:val="001C029B"/>
    <w:rsid w:val="001C143F"/>
    <w:rsid w:val="001C37B2"/>
    <w:rsid w:val="001F4A9C"/>
    <w:rsid w:val="00206AD0"/>
    <w:rsid w:val="00211FD7"/>
    <w:rsid w:val="00216597"/>
    <w:rsid w:val="00217935"/>
    <w:rsid w:val="0022313E"/>
    <w:rsid w:val="00250415"/>
    <w:rsid w:val="00253A17"/>
    <w:rsid w:val="00273A4A"/>
    <w:rsid w:val="00285752"/>
    <w:rsid w:val="00296755"/>
    <w:rsid w:val="002A34D0"/>
    <w:rsid w:val="002A3A80"/>
    <w:rsid w:val="002A3D01"/>
    <w:rsid w:val="002B20C1"/>
    <w:rsid w:val="002B3839"/>
    <w:rsid w:val="002C1039"/>
    <w:rsid w:val="002C6E21"/>
    <w:rsid w:val="002D24C3"/>
    <w:rsid w:val="002D4503"/>
    <w:rsid w:val="002D795C"/>
    <w:rsid w:val="002F6948"/>
    <w:rsid w:val="00306247"/>
    <w:rsid w:val="00343364"/>
    <w:rsid w:val="00344D60"/>
    <w:rsid w:val="0034678E"/>
    <w:rsid w:val="00352B9D"/>
    <w:rsid w:val="00354132"/>
    <w:rsid w:val="0035572E"/>
    <w:rsid w:val="00360740"/>
    <w:rsid w:val="00381120"/>
    <w:rsid w:val="00391886"/>
    <w:rsid w:val="0039780F"/>
    <w:rsid w:val="003A3289"/>
    <w:rsid w:val="003A47A5"/>
    <w:rsid w:val="003A6FFB"/>
    <w:rsid w:val="003B0099"/>
    <w:rsid w:val="003D7282"/>
    <w:rsid w:val="003D7635"/>
    <w:rsid w:val="003E5F56"/>
    <w:rsid w:val="004059D4"/>
    <w:rsid w:val="00410CAB"/>
    <w:rsid w:val="00420A8F"/>
    <w:rsid w:val="00443E28"/>
    <w:rsid w:val="00445DB1"/>
    <w:rsid w:val="004534DA"/>
    <w:rsid w:val="00466E5D"/>
    <w:rsid w:val="004672C7"/>
    <w:rsid w:val="00482976"/>
    <w:rsid w:val="00484371"/>
    <w:rsid w:val="0048639C"/>
    <w:rsid w:val="004C0FCE"/>
    <w:rsid w:val="004D7F00"/>
    <w:rsid w:val="004F4205"/>
    <w:rsid w:val="00504090"/>
    <w:rsid w:val="00526760"/>
    <w:rsid w:val="005311CA"/>
    <w:rsid w:val="00535B98"/>
    <w:rsid w:val="005474D7"/>
    <w:rsid w:val="005740BC"/>
    <w:rsid w:val="00590813"/>
    <w:rsid w:val="0059123E"/>
    <w:rsid w:val="005B064C"/>
    <w:rsid w:val="005C5946"/>
    <w:rsid w:val="005D59E1"/>
    <w:rsid w:val="005E205A"/>
    <w:rsid w:val="005E7C95"/>
    <w:rsid w:val="005F2903"/>
    <w:rsid w:val="006007A7"/>
    <w:rsid w:val="006126EA"/>
    <w:rsid w:val="00630DFC"/>
    <w:rsid w:val="0064300A"/>
    <w:rsid w:val="0064555D"/>
    <w:rsid w:val="00646F4E"/>
    <w:rsid w:val="0067165F"/>
    <w:rsid w:val="006830A4"/>
    <w:rsid w:val="00695233"/>
    <w:rsid w:val="006B6652"/>
    <w:rsid w:val="006C0266"/>
    <w:rsid w:val="006C65E2"/>
    <w:rsid w:val="006D1B63"/>
    <w:rsid w:val="006D7263"/>
    <w:rsid w:val="0070309A"/>
    <w:rsid w:val="0070437E"/>
    <w:rsid w:val="0073100E"/>
    <w:rsid w:val="00731274"/>
    <w:rsid w:val="00733ECB"/>
    <w:rsid w:val="007345A0"/>
    <w:rsid w:val="00766402"/>
    <w:rsid w:val="00766C59"/>
    <w:rsid w:val="0078564A"/>
    <w:rsid w:val="0079256C"/>
    <w:rsid w:val="00793280"/>
    <w:rsid w:val="00794448"/>
    <w:rsid w:val="007A3E0E"/>
    <w:rsid w:val="007A4C81"/>
    <w:rsid w:val="007C2613"/>
    <w:rsid w:val="007C31FC"/>
    <w:rsid w:val="007C5605"/>
    <w:rsid w:val="007C6877"/>
    <w:rsid w:val="007E2D6A"/>
    <w:rsid w:val="007F4CB2"/>
    <w:rsid w:val="007F666C"/>
    <w:rsid w:val="00827141"/>
    <w:rsid w:val="00833C75"/>
    <w:rsid w:val="00836944"/>
    <w:rsid w:val="00846BF8"/>
    <w:rsid w:val="00850514"/>
    <w:rsid w:val="00853D3F"/>
    <w:rsid w:val="0085737B"/>
    <w:rsid w:val="00864C0D"/>
    <w:rsid w:val="00865C12"/>
    <w:rsid w:val="0087280C"/>
    <w:rsid w:val="008949D6"/>
    <w:rsid w:val="008B3DE5"/>
    <w:rsid w:val="008B4F41"/>
    <w:rsid w:val="008C5129"/>
    <w:rsid w:val="008C6748"/>
    <w:rsid w:val="008C7FD2"/>
    <w:rsid w:val="008E0137"/>
    <w:rsid w:val="008E2353"/>
    <w:rsid w:val="008E429C"/>
    <w:rsid w:val="00900794"/>
    <w:rsid w:val="00902293"/>
    <w:rsid w:val="00902794"/>
    <w:rsid w:val="00921DED"/>
    <w:rsid w:val="009235A1"/>
    <w:rsid w:val="0092522C"/>
    <w:rsid w:val="00927D63"/>
    <w:rsid w:val="00942734"/>
    <w:rsid w:val="009501DF"/>
    <w:rsid w:val="00970B96"/>
    <w:rsid w:val="0099006F"/>
    <w:rsid w:val="009925A8"/>
    <w:rsid w:val="009A73C7"/>
    <w:rsid w:val="009B1A62"/>
    <w:rsid w:val="009D1214"/>
    <w:rsid w:val="009D39BA"/>
    <w:rsid w:val="009E4D8D"/>
    <w:rsid w:val="009E7827"/>
    <w:rsid w:val="009F6D4F"/>
    <w:rsid w:val="009F7C54"/>
    <w:rsid w:val="00A1253B"/>
    <w:rsid w:val="00A14E56"/>
    <w:rsid w:val="00A23583"/>
    <w:rsid w:val="00A50ED3"/>
    <w:rsid w:val="00A60E65"/>
    <w:rsid w:val="00A80C60"/>
    <w:rsid w:val="00A81A03"/>
    <w:rsid w:val="00AA1E47"/>
    <w:rsid w:val="00AA2484"/>
    <w:rsid w:val="00AB029C"/>
    <w:rsid w:val="00AB266E"/>
    <w:rsid w:val="00AD116A"/>
    <w:rsid w:val="00B02035"/>
    <w:rsid w:val="00B048E4"/>
    <w:rsid w:val="00B10600"/>
    <w:rsid w:val="00B113E5"/>
    <w:rsid w:val="00B14265"/>
    <w:rsid w:val="00B228C1"/>
    <w:rsid w:val="00B25881"/>
    <w:rsid w:val="00B33DFC"/>
    <w:rsid w:val="00B37190"/>
    <w:rsid w:val="00B41CD5"/>
    <w:rsid w:val="00B42D1D"/>
    <w:rsid w:val="00B567D6"/>
    <w:rsid w:val="00B65A6E"/>
    <w:rsid w:val="00B90673"/>
    <w:rsid w:val="00BB19DB"/>
    <w:rsid w:val="00BB6A58"/>
    <w:rsid w:val="00BC06E0"/>
    <w:rsid w:val="00BC13BC"/>
    <w:rsid w:val="00BD16FD"/>
    <w:rsid w:val="00BD1805"/>
    <w:rsid w:val="00BF5260"/>
    <w:rsid w:val="00C0043B"/>
    <w:rsid w:val="00C0104B"/>
    <w:rsid w:val="00C04BF8"/>
    <w:rsid w:val="00C07057"/>
    <w:rsid w:val="00C07578"/>
    <w:rsid w:val="00C174A5"/>
    <w:rsid w:val="00C2286F"/>
    <w:rsid w:val="00C31020"/>
    <w:rsid w:val="00C44B15"/>
    <w:rsid w:val="00C5306F"/>
    <w:rsid w:val="00C54863"/>
    <w:rsid w:val="00C5713F"/>
    <w:rsid w:val="00C7031B"/>
    <w:rsid w:val="00C70C08"/>
    <w:rsid w:val="00C809AD"/>
    <w:rsid w:val="00C86D89"/>
    <w:rsid w:val="00C950F7"/>
    <w:rsid w:val="00CA6945"/>
    <w:rsid w:val="00CA6C92"/>
    <w:rsid w:val="00CC012F"/>
    <w:rsid w:val="00CC1BCB"/>
    <w:rsid w:val="00CC220A"/>
    <w:rsid w:val="00CC54F4"/>
    <w:rsid w:val="00CE105B"/>
    <w:rsid w:val="00CE14DC"/>
    <w:rsid w:val="00D223F5"/>
    <w:rsid w:val="00D31424"/>
    <w:rsid w:val="00D316A7"/>
    <w:rsid w:val="00D349BE"/>
    <w:rsid w:val="00D43C3F"/>
    <w:rsid w:val="00D83DAC"/>
    <w:rsid w:val="00D9450E"/>
    <w:rsid w:val="00D974EB"/>
    <w:rsid w:val="00DA0190"/>
    <w:rsid w:val="00DA21EB"/>
    <w:rsid w:val="00DA4D12"/>
    <w:rsid w:val="00DA634A"/>
    <w:rsid w:val="00DD237C"/>
    <w:rsid w:val="00E01C28"/>
    <w:rsid w:val="00E05AE8"/>
    <w:rsid w:val="00E2233F"/>
    <w:rsid w:val="00E27152"/>
    <w:rsid w:val="00E274AD"/>
    <w:rsid w:val="00E44BE7"/>
    <w:rsid w:val="00E547FE"/>
    <w:rsid w:val="00E62A7B"/>
    <w:rsid w:val="00E652E0"/>
    <w:rsid w:val="00E808EA"/>
    <w:rsid w:val="00E937E7"/>
    <w:rsid w:val="00EA03F9"/>
    <w:rsid w:val="00EA5511"/>
    <w:rsid w:val="00EA5D19"/>
    <w:rsid w:val="00EE104D"/>
    <w:rsid w:val="00EE2DEA"/>
    <w:rsid w:val="00F42F3D"/>
    <w:rsid w:val="00F53B9B"/>
    <w:rsid w:val="00F631FD"/>
    <w:rsid w:val="00F63437"/>
    <w:rsid w:val="00F654BC"/>
    <w:rsid w:val="00F66262"/>
    <w:rsid w:val="00F7129E"/>
    <w:rsid w:val="00F73D8B"/>
    <w:rsid w:val="00F743B7"/>
    <w:rsid w:val="00F82887"/>
    <w:rsid w:val="00F86CFC"/>
    <w:rsid w:val="00F96DB4"/>
    <w:rsid w:val="00FA40EE"/>
    <w:rsid w:val="00FC6405"/>
    <w:rsid w:val="00FE42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442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AU"/>
    </w:rPr>
  </w:style>
  <w:style w:type="paragraph" w:styleId="Heading1">
    <w:name w:val="heading 1"/>
    <w:basedOn w:val="Normal"/>
    <w:uiPriority w:val="1"/>
    <w:qFormat/>
    <w:rsid w:val="008C5129"/>
    <w:pPr>
      <w:numPr>
        <w:numId w:val="27"/>
      </w:numPr>
      <w:spacing w:after="120"/>
      <w:outlineLvl w:val="0"/>
    </w:pPr>
    <w:rPr>
      <w:b/>
      <w:bCs/>
      <w:sz w:val="32"/>
      <w:szCs w:val="32"/>
    </w:rPr>
  </w:style>
  <w:style w:type="paragraph" w:styleId="Heading2">
    <w:name w:val="heading 2"/>
    <w:basedOn w:val="Normal"/>
    <w:uiPriority w:val="1"/>
    <w:qFormat/>
    <w:rsid w:val="00C07578"/>
    <w:pPr>
      <w:numPr>
        <w:ilvl w:val="1"/>
        <w:numId w:val="28"/>
      </w:numPr>
      <w:tabs>
        <w:tab w:val="left" w:pos="693"/>
        <w:tab w:val="left" w:pos="694"/>
      </w:tabs>
      <w:spacing w:before="240" w:after="120"/>
      <w:outlineLvl w:val="1"/>
    </w:pPr>
    <w:rPr>
      <w:b/>
      <w:bCs/>
      <w:sz w:val="26"/>
      <w:szCs w:val="26"/>
    </w:rPr>
  </w:style>
  <w:style w:type="paragraph" w:styleId="Heading3">
    <w:name w:val="heading 3"/>
    <w:basedOn w:val="Normal"/>
    <w:uiPriority w:val="1"/>
    <w:qFormat/>
    <w:rsid w:val="00285752"/>
    <w:pPr>
      <w:spacing w:before="92" w:after="120"/>
      <w:ind w:left="198"/>
      <w:outlineLvl w:val="2"/>
    </w:pPr>
    <w:rPr>
      <w:b/>
      <w:bCs/>
      <w:sz w:val="26"/>
      <w:szCs w:val="26"/>
    </w:rPr>
  </w:style>
  <w:style w:type="paragraph" w:styleId="Heading4">
    <w:name w:val="heading 4"/>
    <w:basedOn w:val="Heading1"/>
    <w:uiPriority w:val="1"/>
    <w:qFormat/>
    <w:rsid w:val="00285752"/>
    <w:pPr>
      <w:outlineLvl w:val="3"/>
    </w:pPr>
  </w:style>
  <w:style w:type="paragraph" w:styleId="Heading5">
    <w:name w:val="heading 5"/>
    <w:basedOn w:val="Normal"/>
    <w:uiPriority w:val="1"/>
    <w:qFormat/>
    <w:pPr>
      <w:ind w:left="200"/>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9"/>
      <w:ind w:left="627" w:hanging="428"/>
    </w:pPr>
    <w:rPr>
      <w:b/>
      <w:bCs/>
    </w:rPr>
  </w:style>
  <w:style w:type="paragraph" w:styleId="TOC2">
    <w:name w:val="toc 2"/>
    <w:basedOn w:val="Normal"/>
    <w:uiPriority w:val="39"/>
    <w:qFormat/>
    <w:pPr>
      <w:spacing w:before="100"/>
      <w:ind w:left="1052" w:hanging="426"/>
    </w:pPr>
  </w:style>
  <w:style w:type="paragraph" w:styleId="BodyText">
    <w:name w:val="Body Text"/>
    <w:basedOn w:val="Normal"/>
    <w:link w:val="BodyTextChar"/>
    <w:uiPriority w:val="1"/>
    <w:qFormat/>
    <w:rsid w:val="008C5129"/>
    <w:pPr>
      <w:spacing w:after="120"/>
      <w:ind w:left="113"/>
    </w:pPr>
  </w:style>
  <w:style w:type="paragraph" w:styleId="ListParagraph">
    <w:name w:val="List Paragraph"/>
    <w:aliases w:val="List Paragraph1,Recommendation,List Paragraph11,L,Number,#List Paragraph,Bullet,b,b1,b + line,Body,level 1,List Paragraph111,F5 List Paragraph,Dot pt,CV text,Medium Grid 1 - Accent 21,Numbered Paragraph,MAIN CONTENT,Bullet Points,Bullet 1"/>
    <w:basedOn w:val="Normal"/>
    <w:link w:val="ListParagraphChar"/>
    <w:uiPriority w:val="34"/>
    <w:qFormat/>
    <w:rsid w:val="008C5129"/>
    <w:pPr>
      <w:numPr>
        <w:numId w:val="26"/>
      </w:numPr>
      <w:tabs>
        <w:tab w:val="left" w:pos="837"/>
        <w:tab w:val="left" w:pos="838"/>
      </w:tabs>
      <w:spacing w:after="120" w:line="237" w:lineRule="auto"/>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66402"/>
    <w:pPr>
      <w:tabs>
        <w:tab w:val="center" w:pos="4513"/>
        <w:tab w:val="right" w:pos="9026"/>
      </w:tabs>
    </w:pPr>
  </w:style>
  <w:style w:type="character" w:customStyle="1" w:styleId="HeaderChar">
    <w:name w:val="Header Char"/>
    <w:basedOn w:val="DefaultParagraphFont"/>
    <w:link w:val="Header"/>
    <w:uiPriority w:val="99"/>
    <w:rsid w:val="00766402"/>
    <w:rPr>
      <w:rFonts w:ascii="Arial" w:eastAsia="Arial" w:hAnsi="Arial" w:cs="Arial"/>
      <w:lang w:val="en-AU"/>
    </w:rPr>
  </w:style>
  <w:style w:type="paragraph" w:styleId="Footer">
    <w:name w:val="footer"/>
    <w:basedOn w:val="Normal"/>
    <w:link w:val="FooterChar"/>
    <w:uiPriority w:val="99"/>
    <w:unhideWhenUsed/>
    <w:rsid w:val="00766402"/>
    <w:pPr>
      <w:tabs>
        <w:tab w:val="center" w:pos="4513"/>
        <w:tab w:val="right" w:pos="9026"/>
      </w:tabs>
    </w:pPr>
  </w:style>
  <w:style w:type="character" w:customStyle="1" w:styleId="FooterChar">
    <w:name w:val="Footer Char"/>
    <w:basedOn w:val="DefaultParagraphFont"/>
    <w:link w:val="Footer"/>
    <w:uiPriority w:val="99"/>
    <w:rsid w:val="00766402"/>
    <w:rPr>
      <w:rFonts w:ascii="Arial" w:eastAsia="Arial" w:hAnsi="Arial" w:cs="Arial"/>
      <w:lang w:val="en-AU"/>
    </w:rPr>
  </w:style>
  <w:style w:type="character" w:styleId="Hyperlink">
    <w:name w:val="Hyperlink"/>
    <w:basedOn w:val="DefaultParagraphFont"/>
    <w:uiPriority w:val="99"/>
    <w:unhideWhenUsed/>
    <w:rsid w:val="00766402"/>
    <w:rPr>
      <w:color w:val="0000FF" w:themeColor="hyperlink"/>
      <w:u w:val="single"/>
    </w:rPr>
  </w:style>
  <w:style w:type="character" w:styleId="FollowedHyperlink">
    <w:name w:val="FollowedHyperlink"/>
    <w:basedOn w:val="DefaultParagraphFont"/>
    <w:uiPriority w:val="99"/>
    <w:semiHidden/>
    <w:unhideWhenUsed/>
    <w:rsid w:val="00766402"/>
    <w:rPr>
      <w:color w:val="800080" w:themeColor="followedHyperlink"/>
      <w:u w:val="single"/>
    </w:rPr>
  </w:style>
  <w:style w:type="paragraph" w:styleId="TOCHeading">
    <w:name w:val="TOC Heading"/>
    <w:basedOn w:val="Heading1"/>
    <w:next w:val="Normal"/>
    <w:uiPriority w:val="39"/>
    <w:unhideWhenUsed/>
    <w:qFormat/>
    <w:rsid w:val="00C5306F"/>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lang w:val="en-US"/>
    </w:rPr>
  </w:style>
  <w:style w:type="paragraph" w:styleId="TOC3">
    <w:name w:val="toc 3"/>
    <w:basedOn w:val="Normal"/>
    <w:next w:val="Normal"/>
    <w:autoRedefine/>
    <w:uiPriority w:val="39"/>
    <w:unhideWhenUsed/>
    <w:rsid w:val="00C5306F"/>
    <w:pPr>
      <w:spacing w:after="100"/>
      <w:ind w:left="440"/>
    </w:pPr>
  </w:style>
  <w:style w:type="character" w:styleId="CommentReference">
    <w:name w:val="annotation reference"/>
    <w:basedOn w:val="DefaultParagraphFont"/>
    <w:uiPriority w:val="99"/>
    <w:semiHidden/>
    <w:unhideWhenUsed/>
    <w:rsid w:val="0048639C"/>
    <w:rPr>
      <w:sz w:val="16"/>
      <w:szCs w:val="16"/>
    </w:rPr>
  </w:style>
  <w:style w:type="paragraph" w:styleId="CommentText">
    <w:name w:val="annotation text"/>
    <w:basedOn w:val="Normal"/>
    <w:link w:val="CommentTextChar"/>
    <w:uiPriority w:val="99"/>
    <w:unhideWhenUsed/>
    <w:rsid w:val="0048639C"/>
    <w:rPr>
      <w:sz w:val="20"/>
      <w:szCs w:val="20"/>
    </w:rPr>
  </w:style>
  <w:style w:type="character" w:customStyle="1" w:styleId="CommentTextChar">
    <w:name w:val="Comment Text Char"/>
    <w:basedOn w:val="DefaultParagraphFont"/>
    <w:link w:val="CommentText"/>
    <w:uiPriority w:val="99"/>
    <w:rsid w:val="0048639C"/>
    <w:rPr>
      <w:rFonts w:ascii="Arial" w:eastAsia="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48639C"/>
    <w:rPr>
      <w:b/>
      <w:bCs/>
    </w:rPr>
  </w:style>
  <w:style w:type="character" w:customStyle="1" w:styleId="CommentSubjectChar">
    <w:name w:val="Comment Subject Char"/>
    <w:basedOn w:val="CommentTextChar"/>
    <w:link w:val="CommentSubject"/>
    <w:uiPriority w:val="99"/>
    <w:semiHidden/>
    <w:rsid w:val="0048639C"/>
    <w:rPr>
      <w:rFonts w:ascii="Arial" w:eastAsia="Arial" w:hAnsi="Arial" w:cs="Arial"/>
      <w:b/>
      <w:bCs/>
      <w:sz w:val="20"/>
      <w:szCs w:val="20"/>
      <w:lang w:val="en-AU"/>
    </w:rPr>
  </w:style>
  <w:style w:type="paragraph" w:styleId="BalloonText">
    <w:name w:val="Balloon Text"/>
    <w:basedOn w:val="Normal"/>
    <w:link w:val="BalloonTextChar"/>
    <w:uiPriority w:val="99"/>
    <w:semiHidden/>
    <w:unhideWhenUsed/>
    <w:rsid w:val="004863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39C"/>
    <w:rPr>
      <w:rFonts w:ascii="Segoe UI" w:eastAsia="Arial" w:hAnsi="Segoe UI" w:cs="Segoe UI"/>
      <w:sz w:val="18"/>
      <w:szCs w:val="18"/>
      <w:lang w:val="en-AU"/>
    </w:rPr>
  </w:style>
  <w:style w:type="character" w:customStyle="1" w:styleId="BodyTextChar">
    <w:name w:val="Body Text Char"/>
    <w:basedOn w:val="DefaultParagraphFont"/>
    <w:link w:val="BodyText"/>
    <w:uiPriority w:val="1"/>
    <w:rsid w:val="008C5129"/>
    <w:rPr>
      <w:rFonts w:ascii="Arial" w:eastAsia="Arial" w:hAnsi="Arial" w:cs="Arial"/>
      <w:lang w:val="en-AU"/>
    </w:rPr>
  </w:style>
  <w:style w:type="paragraph" w:styleId="Revision">
    <w:name w:val="Revision"/>
    <w:hidden/>
    <w:uiPriority w:val="99"/>
    <w:semiHidden/>
    <w:rsid w:val="005F2903"/>
    <w:pPr>
      <w:widowControl/>
      <w:autoSpaceDE/>
      <w:autoSpaceDN/>
    </w:pPr>
    <w:rPr>
      <w:rFonts w:ascii="Arial" w:eastAsia="Arial" w:hAnsi="Arial" w:cs="Arial"/>
      <w:lang w:val="en-AU"/>
    </w:rPr>
  </w:style>
  <w:style w:type="paragraph" w:styleId="ListBullet">
    <w:name w:val="List Bullet"/>
    <w:basedOn w:val="Normal"/>
    <w:uiPriority w:val="99"/>
    <w:rsid w:val="00DD237C"/>
    <w:pPr>
      <w:widowControl/>
      <w:numPr>
        <w:numId w:val="24"/>
      </w:numPr>
      <w:autoSpaceDE/>
      <w:autoSpaceDN/>
      <w:spacing w:before="40" w:after="80" w:line="280" w:lineRule="atLeast"/>
    </w:pPr>
    <w:rPr>
      <w:rFonts w:eastAsia="Times New Roman" w:cs="Times New Roman"/>
      <w:iCs/>
      <w:sz w:val="20"/>
      <w:szCs w:val="20"/>
    </w:rPr>
  </w:style>
  <w:style w:type="character" w:customStyle="1" w:styleId="ListParagraphChar">
    <w:name w:val="List Paragraph Char"/>
    <w:aliases w:val="List Paragraph1 Char,Recommendation Char,List Paragraph11 Char,L Char,Number Char,#List Paragraph Char,Bullet Char,b Char,b1 Char,b + line Char,Body Char,level 1 Char,List Paragraph111 Char,F5 List Paragraph Char,Dot pt Char"/>
    <w:basedOn w:val="DefaultParagraphFont"/>
    <w:link w:val="ListParagraph"/>
    <w:uiPriority w:val="34"/>
    <w:qFormat/>
    <w:locked/>
    <w:rsid w:val="00360740"/>
    <w:rPr>
      <w:rFonts w:ascii="Arial" w:eastAsia="Arial" w:hAnsi="Arial" w:cs="Arial"/>
      <w:lang w:val="en-AU"/>
    </w:rPr>
  </w:style>
  <w:style w:type="paragraph" w:styleId="NoSpacing">
    <w:name w:val="No Spacing"/>
    <w:basedOn w:val="Normal"/>
    <w:link w:val="NoSpacingChar"/>
    <w:uiPriority w:val="1"/>
    <w:qFormat/>
    <w:rsid w:val="007E2D6A"/>
    <w:pPr>
      <w:widowControl/>
      <w:autoSpaceDE/>
      <w:autoSpaceDN/>
    </w:pPr>
    <w:rPr>
      <w:rFonts w:eastAsiaTheme="minorHAnsi" w:cstheme="minorBidi"/>
    </w:rPr>
  </w:style>
  <w:style w:type="character" w:customStyle="1" w:styleId="NoSpacingChar">
    <w:name w:val="No Spacing Char"/>
    <w:basedOn w:val="DefaultParagraphFont"/>
    <w:link w:val="NoSpacing"/>
    <w:uiPriority w:val="1"/>
    <w:rsid w:val="007E2D6A"/>
    <w:rPr>
      <w:rFonts w:ascii="Arial" w:hAnsi="Arial"/>
      <w:lang w:val="en-AU"/>
    </w:rPr>
  </w:style>
  <w:style w:type="character" w:customStyle="1" w:styleId="BodywlinespaceChar">
    <w:name w:val="Body (w/ line space) Char"/>
    <w:basedOn w:val="DefaultParagraphFont"/>
    <w:link w:val="Bodywlinespace"/>
    <w:uiPriority w:val="8"/>
    <w:locked/>
    <w:rsid w:val="007E2D6A"/>
    <w:rPr>
      <w:rFonts w:ascii="Times New Roman" w:eastAsiaTheme="minorEastAsia" w:hAnsi="Times New Roman" w:cs="Times New Roman"/>
    </w:rPr>
  </w:style>
  <w:style w:type="paragraph" w:customStyle="1" w:styleId="Bodywlinespace">
    <w:name w:val="Body (w/ line space)"/>
    <w:basedOn w:val="Normal"/>
    <w:link w:val="BodywlinespaceChar"/>
    <w:uiPriority w:val="8"/>
    <w:qFormat/>
    <w:rsid w:val="007E2D6A"/>
    <w:pPr>
      <w:widowControl/>
      <w:autoSpaceDE/>
      <w:autoSpaceDN/>
      <w:spacing w:afterLines="100" w:line="288" w:lineRule="auto"/>
    </w:pPr>
    <w:rPr>
      <w:rFonts w:ascii="Times New Roman" w:eastAsiaTheme="minorEastAsia" w:hAnsi="Times New Roman" w:cs="Times New Roman"/>
      <w:lang w:val="en-US"/>
    </w:rPr>
  </w:style>
  <w:style w:type="paragraph" w:customStyle="1" w:styleId="Default">
    <w:name w:val="Default"/>
    <w:rsid w:val="000C7E95"/>
    <w:pPr>
      <w:widowControl/>
      <w:adjustRightInd w:val="0"/>
    </w:pPr>
    <w:rPr>
      <w:rFonts w:ascii="Arial" w:hAnsi="Arial" w:cs="Arial"/>
      <w:color w:val="000000"/>
      <w:sz w:val="24"/>
      <w:szCs w:val="24"/>
      <w:lang w:val="en-AU"/>
    </w:rPr>
  </w:style>
  <w:style w:type="table" w:styleId="TableGrid">
    <w:name w:val="Table Grid"/>
    <w:basedOn w:val="TableNormal"/>
    <w:uiPriority w:val="39"/>
    <w:rsid w:val="008B3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C7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079224">
      <w:bodyDiv w:val="1"/>
      <w:marLeft w:val="0"/>
      <w:marRight w:val="0"/>
      <w:marTop w:val="0"/>
      <w:marBottom w:val="0"/>
      <w:divBdr>
        <w:top w:val="none" w:sz="0" w:space="0" w:color="auto"/>
        <w:left w:val="none" w:sz="0" w:space="0" w:color="auto"/>
        <w:bottom w:val="none" w:sz="0" w:space="0" w:color="auto"/>
        <w:right w:val="none" w:sz="0" w:space="0" w:color="auto"/>
      </w:divBdr>
    </w:div>
    <w:div w:id="484203142">
      <w:bodyDiv w:val="1"/>
      <w:marLeft w:val="0"/>
      <w:marRight w:val="0"/>
      <w:marTop w:val="0"/>
      <w:marBottom w:val="0"/>
      <w:divBdr>
        <w:top w:val="none" w:sz="0" w:space="0" w:color="auto"/>
        <w:left w:val="none" w:sz="0" w:space="0" w:color="auto"/>
        <w:bottom w:val="none" w:sz="0" w:space="0" w:color="auto"/>
        <w:right w:val="none" w:sz="0" w:space="0" w:color="auto"/>
      </w:divBdr>
    </w:div>
    <w:div w:id="607393582">
      <w:bodyDiv w:val="1"/>
      <w:marLeft w:val="0"/>
      <w:marRight w:val="0"/>
      <w:marTop w:val="0"/>
      <w:marBottom w:val="0"/>
      <w:divBdr>
        <w:top w:val="none" w:sz="0" w:space="0" w:color="auto"/>
        <w:left w:val="none" w:sz="0" w:space="0" w:color="auto"/>
        <w:bottom w:val="none" w:sz="0" w:space="0" w:color="auto"/>
        <w:right w:val="none" w:sz="0" w:space="0" w:color="auto"/>
      </w:divBdr>
    </w:div>
    <w:div w:id="1609463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skizzy.org.au/disability-advocacy-finder" TargetMode="External"/><Relationship Id="rId18" Type="http://schemas.openxmlformats.org/officeDocument/2006/relationships/hyperlink" Target="https://dex.dss.gov.au/" TargetMode="External"/><Relationship Id="rId26" Type="http://schemas.openxmlformats.org/officeDocument/2006/relationships/hyperlink" Target="https://dex.dss.gov.au/" TargetMode="External"/><Relationship Id="rId3" Type="http://schemas.openxmlformats.org/officeDocument/2006/relationships/styles" Target="styles.xml"/><Relationship Id="rId21" Type="http://schemas.openxmlformats.org/officeDocument/2006/relationships/hyperlink" Target="https://dex.dss.gov.au/document/466"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ss.gov.au/our-responsibilities/disability-and-carers/standards-and-quality-assurance/national-standards-for-disability-services" TargetMode="External"/><Relationship Id="rId17" Type="http://schemas.openxmlformats.org/officeDocument/2006/relationships/hyperlink" Target="https://www.oaic.gov.au/" TargetMode="External"/><Relationship Id="rId25" Type="http://schemas.openxmlformats.org/officeDocument/2006/relationships/hyperlink" Target="https://dex.dss.gov.au/data-exchange-protocol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ss.gov.au/our-responsibilities/disability-and-carers/standards-and-quality-assurance/national-standards-for-disability-services" TargetMode="External"/><Relationship Id="rId20" Type="http://schemas.openxmlformats.org/officeDocument/2006/relationships/hyperlink" Target="https://dex.dss.gov.au/data-exchange-protocols" TargetMode="External"/><Relationship Id="rId29" Type="http://schemas.openxmlformats.org/officeDocument/2006/relationships/hyperlink" Target="mailto:complaints@ds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s.gov.au/our-responsibilities/disability-and-carers/standards-and-quality-assurance/national-standards-for-disability-services" TargetMode="External"/><Relationship Id="rId24" Type="http://schemas.openxmlformats.org/officeDocument/2006/relationships/hyperlink" Target="https://dex.dss.gov.au/sites/default/files/documents/2022-08/1471-program-specific-guidance.pdf" TargetMode="External"/><Relationship Id="rId32" Type="http://schemas.openxmlformats.org/officeDocument/2006/relationships/hyperlink" Target="mailto:disabilityadvocacy@dss.gov.au" TargetMode="External"/><Relationship Id="rId5" Type="http://schemas.openxmlformats.org/officeDocument/2006/relationships/webSettings" Target="webSettings.xml"/><Relationship Id="rId15" Type="http://schemas.openxmlformats.org/officeDocument/2006/relationships/hyperlink" Target="https://www.dss.gov.au/our-responsibilities/disability-and-carers/standards-and-quality-assurance/national-standards-for-disability-services" TargetMode="External"/><Relationship Id="rId23" Type="http://schemas.openxmlformats.org/officeDocument/2006/relationships/hyperlink" Target="https://www.oaic.gov.au/privacy/australian-privacy-principles/" TargetMode="External"/><Relationship Id="rId28" Type="http://schemas.openxmlformats.org/officeDocument/2006/relationships/hyperlink" Target="http://www.jobaccess.gov.au/complaints/crrs" TargetMode="External"/><Relationship Id="rId10" Type="http://schemas.openxmlformats.org/officeDocument/2006/relationships/hyperlink" Target="https://www.dss.gov.au/" TargetMode="External"/><Relationship Id="rId19" Type="http://schemas.openxmlformats.org/officeDocument/2006/relationships/hyperlink" Target="https://dex.dss.gov.au/policy-guidance/dex_data_exchange_protocols/" TargetMode="External"/><Relationship Id="rId31" Type="http://schemas.openxmlformats.org/officeDocument/2006/relationships/hyperlink" Target="https://www.dss.gov.au/contact/feedback-compliments-complaints-and-enquiries/complaints-pag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isonline.tisnational.gov.au/RegisterAgency" TargetMode="External"/><Relationship Id="rId22" Type="http://schemas.openxmlformats.org/officeDocument/2006/relationships/hyperlink" Target="https://www.legislation.gov.au/Details/C2022C00361" TargetMode="External"/><Relationship Id="rId27" Type="http://schemas.openxmlformats.org/officeDocument/2006/relationships/hyperlink" Target="https://www.dss.gov.au/node/46776" TargetMode="External"/><Relationship Id="rId30" Type="http://schemas.openxmlformats.org/officeDocument/2006/relationships/hyperlink" Target="https://www.dss.gov.au/contact/feedback-compliments-complaints-and-enquiries/feedback-for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30FDF-FCCF-4815-BE9D-C52E068A9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7336</Words>
  <Characters>42186</Characters>
  <Application>Microsoft Office Word</Application>
  <DocSecurity>0</DocSecurity>
  <Lines>834</Lines>
  <Paragraphs>449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[SEC=OFFICIAL]</cp:keywords>
  <cp:lastModifiedBy/>
  <cp:revision>1</cp:revision>
  <dcterms:created xsi:type="dcterms:W3CDTF">2024-10-08T03:17:00Z</dcterms:created>
  <dcterms:modified xsi:type="dcterms:W3CDTF">2024-10-08T03:17:00Z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DisplayValueSecClassificationWithQualifier">
    <vt:lpwstr>OFFICIAL</vt:lpwstr>
  </property>
  <property fmtid="{D5CDD505-2E9C-101B-9397-08002B2CF9AE}" pid="4" name="PMHMAC">
    <vt:lpwstr>v=2022.1;a=SHA256;h=F804D9C73853B954302296B22E71A9D3942340287BED1998BFE823D7F87DE230</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F86EC281F10045E8B20C183577006032</vt:lpwstr>
  </property>
  <property fmtid="{D5CDD505-2E9C-101B-9397-08002B2CF9AE}" pid="9" name="PM_ProtectiveMarkingValue_Footer">
    <vt:lpwstr>OFFICIAL</vt:lpwstr>
  </property>
  <property fmtid="{D5CDD505-2E9C-101B-9397-08002B2CF9AE}" pid="10" name="PM_Originator_Hash_SHA1">
    <vt:lpwstr>F2B1A0DBBCFE88AA5B1F312AB77B9B9984DBCA1F</vt:lpwstr>
  </property>
  <property fmtid="{D5CDD505-2E9C-101B-9397-08002B2CF9AE}" pid="11" name="PM_OriginationTimeStamp">
    <vt:lpwstr>2023-12-06T01:41:17Z</vt:lpwstr>
  </property>
  <property fmtid="{D5CDD505-2E9C-101B-9397-08002B2CF9AE}" pid="12" name="PM_ProtectiveMarkingValue_Header">
    <vt:lpwstr>OFFICIAL</vt:lpwstr>
  </property>
  <property fmtid="{D5CDD505-2E9C-101B-9397-08002B2CF9AE}" pid="13" name="MSIP_Label_eb34d90b-fc41-464d-af60-f74d721d0790_SetDate">
    <vt:lpwstr>2023-12-06T01:41:17Z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2022.1</vt:lpwstr>
  </property>
  <property fmtid="{D5CDD505-2E9C-101B-9397-08002B2CF9AE}" pid="22" name="PM_Hash_Salt_Prev">
    <vt:lpwstr>6C62F97ABB57683EB6AD60F50B1C9AEB</vt:lpwstr>
  </property>
  <property fmtid="{D5CDD505-2E9C-101B-9397-08002B2CF9AE}" pid="23" name="PM_Hash_Salt">
    <vt:lpwstr>C4B1C7034933C5037FB5A54405A81747</vt:lpwstr>
  </property>
  <property fmtid="{D5CDD505-2E9C-101B-9397-08002B2CF9AE}" pid="24" name="PM_Hash_SHA1">
    <vt:lpwstr>F231B8382EB07FDB89CA80B136A4936D7153A8E5</vt:lpwstr>
  </property>
  <property fmtid="{D5CDD505-2E9C-101B-9397-08002B2CF9AE}" pid="25" name="PM_OriginatorUserAccountName_SHA256">
    <vt:lpwstr>52B97822998D45A5FE76FBF575035034760AD13EE13D3825DB38D567D3AEDC5E</vt:lpwstr>
  </property>
  <property fmtid="{D5CDD505-2E9C-101B-9397-08002B2CF9AE}" pid="26" name="PM_OriginatorDomainName_SHA256">
    <vt:lpwstr>E83A2A66C4061446A7E3732E8D44762184B6B377D962B96C83DC624302585857</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MSIP_Label_eb34d90b-fc41-464d-af60-f74d721d0790_SiteId">
    <vt:lpwstr>61e36dd1-ca6e-4d61-aa0a-2b4eb88317a3</vt:lpwstr>
  </property>
  <property fmtid="{D5CDD505-2E9C-101B-9397-08002B2CF9AE}" pid="30" name="MSIP_Label_eb34d90b-fc41-464d-af60-f74d721d0790_Enabled">
    <vt:lpwstr>true</vt:lpwstr>
  </property>
  <property fmtid="{D5CDD505-2E9C-101B-9397-08002B2CF9AE}" pid="31" name="MSIP_Label_eb34d90b-fc41-464d-af60-f74d721d0790_ContentBits">
    <vt:lpwstr>0</vt:lpwstr>
  </property>
  <property fmtid="{D5CDD505-2E9C-101B-9397-08002B2CF9AE}" pid="32" name="MSIP_Label_eb34d90b-fc41-464d-af60-f74d721d0790_Method">
    <vt:lpwstr>Privileged</vt:lpwstr>
  </property>
  <property fmtid="{D5CDD505-2E9C-101B-9397-08002B2CF9AE}" pid="33" name="MSIP_Label_eb34d90b-fc41-464d-af60-f74d721d0790_ActionId">
    <vt:lpwstr>4ab0ce7c163b4f29b1ed2e9816e8032b</vt:lpwstr>
  </property>
  <property fmtid="{D5CDD505-2E9C-101B-9397-08002B2CF9AE}" pid="34" name="PMUuid">
    <vt:lpwstr>v=2022.2;d=gov.au;g=46DD6D7C-8107-577B-BC6E-F348953B2E44</vt:lpwstr>
  </property>
  <property fmtid="{D5CDD505-2E9C-101B-9397-08002B2CF9AE}" pid="35" name="PM_Caveats_Count">
    <vt:lpwstr>0</vt:lpwstr>
  </property>
</Properties>
</file>