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0EE708C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7C885FC4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57942">
        <w:t>31 October</w:t>
      </w:r>
      <w:r w:rsidRPr="007D188D">
        <w:t xml:space="preserve"> 2024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6217F7ED" w:rsidR="00E57942" w:rsidRPr="00AF0B8F" w:rsidRDefault="00A86A20" w:rsidP="00AF0B8F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Pr="000D4C0F">
        <w:rPr>
          <w:rFonts w:eastAsia="Times New Roman"/>
          <w:sz w:val="18"/>
          <w:szCs w:val="18"/>
        </w:rPr>
        <w:t>3</w:t>
      </w:r>
      <w:r w:rsidR="00E57942">
        <w:rPr>
          <w:rFonts w:eastAsia="Times New Roman"/>
          <w:sz w:val="18"/>
          <w:szCs w:val="18"/>
        </w:rPr>
        <w:t>1 Octobe</w:t>
      </w:r>
      <w:r>
        <w:rPr>
          <w:rFonts w:eastAsia="Times New Roman"/>
          <w:sz w:val="18"/>
          <w:szCs w:val="18"/>
        </w:rPr>
        <w:t>r</w:t>
      </w:r>
      <w:r w:rsidRPr="000D4C0F">
        <w:rPr>
          <w:rFonts w:eastAsia="Times New Roman"/>
          <w:sz w:val="18"/>
          <w:szCs w:val="18"/>
        </w:rPr>
        <w:t xml:space="preserve"> 2024 and is subject to regular changes. </w:t>
      </w:r>
    </w:p>
    <w:p w14:paraId="72244C35" w14:textId="77777777" w:rsidR="00A86A20" w:rsidRPr="000D4C0F" w:rsidRDefault="00A86A20" w:rsidP="00A86A20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Not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 as this is dependent on individual jurisdictional contractual arrangements with service providers already in place.</w:t>
      </w:r>
    </w:p>
    <w:p w14:paraId="14925B07" w14:textId="77777777" w:rsidR="00651185" w:rsidRPr="000D4C0F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7777777" w:rsidR="00651185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 and are working with victim-survivors.</w:t>
      </w:r>
    </w:p>
    <w:p w14:paraId="14E0CAC1" w14:textId="10B0CFE1" w:rsidR="00651185" w:rsidRPr="000D4C0F" w:rsidRDefault="00651185" w:rsidP="00651185">
      <w:pPr>
        <w:pStyle w:val="ListParagraph"/>
        <w:numPr>
          <w:ilvl w:val="1"/>
          <w:numId w:val="8"/>
        </w:numPr>
        <w:spacing w:after="12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2E06CE" w:rsidRPr="007D188D" w14:paraId="4A365E03" w14:textId="77777777" w:rsidTr="00BE1B91">
        <w:trPr>
          <w:trHeight w:val="811"/>
        </w:trPr>
        <w:tc>
          <w:tcPr>
            <w:tcW w:w="2499" w:type="dxa"/>
          </w:tcPr>
          <w:p w14:paraId="45C2FEDC" w14:textId="4EEC3568" w:rsidR="002E06CE" w:rsidRPr="00F823CD" w:rsidRDefault="002E06CE" w:rsidP="002E06C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F823CD"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7F175206" w:rsidR="002E06CE" w:rsidRPr="0055387E" w:rsidRDefault="00F823CD" w:rsidP="002E06C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119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43888163" w:rsidR="002E06CE" w:rsidRPr="0055387E" w:rsidRDefault="00F823CD" w:rsidP="002E06C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106.6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51198" w14:textId="77777777" w:rsidR="00F823CD" w:rsidRDefault="00F823CD" w:rsidP="00F823CD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5040B854" w14:textId="77777777" w:rsidR="00F823CD" w:rsidRDefault="00F823CD" w:rsidP="00F823CD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119 workers (106.2 FTE) are now delivering domestic, family and sexual violence services (DFSV) across NSW. </w:t>
            </w:r>
          </w:p>
          <w:p w14:paraId="5DEC4CA0" w14:textId="77777777" w:rsidR="00F823CD" w:rsidRDefault="00F823CD" w:rsidP="00F823CD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remainder of the 2023-24 quota all have recruitment activity underway, with 11.8 FTE in the final stages of recruitment. </w:t>
            </w:r>
          </w:p>
          <w:p w14:paraId="4D44755C" w14:textId="77777777" w:rsidR="00F823CD" w:rsidRDefault="00F823CD" w:rsidP="00F823CD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NSW has awarded contracts to 78 service providers to deliver 142.4 FTE. </w:t>
            </w:r>
          </w:p>
          <w:p w14:paraId="60196B4D" w14:textId="56571F17" w:rsidR="002E06CE" w:rsidRPr="0055387E" w:rsidRDefault="00F823CD" w:rsidP="00F823CD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The contracts for the remaining 6 FTE are in an active procurement process.</w:t>
            </w:r>
            <w:bookmarkEnd w:id="2"/>
          </w:p>
        </w:tc>
      </w:tr>
      <w:tr w:rsidR="0086237D" w:rsidRPr="007D188D" w14:paraId="1CBB847F" w14:textId="77777777" w:rsidTr="00AF0B8F">
        <w:tc>
          <w:tcPr>
            <w:tcW w:w="0" w:type="dxa"/>
          </w:tcPr>
          <w:p w14:paraId="22C1684B" w14:textId="79EB33AB" w:rsidR="0086237D" w:rsidRPr="0055387E" w:rsidRDefault="0086237D" w:rsidP="0086237D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45C220F1" w:rsidR="0086237D" w:rsidRPr="0086237D" w:rsidRDefault="0086237D" w:rsidP="0086237D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 w:rsidRPr="00AF0B8F">
              <w:rPr>
                <w:rFonts w:cstheme="minorHAnsi"/>
                <w:szCs w:val="22"/>
              </w:rPr>
              <w:t>51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4376A062" w:rsidR="0086237D" w:rsidRPr="0086237D" w:rsidRDefault="0086237D" w:rsidP="0086237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AF0B8F">
              <w:rPr>
                <w:rFonts w:cstheme="minorHAnsi"/>
                <w:szCs w:val="22"/>
              </w:rPr>
              <w:t>46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8C125" w14:textId="77777777" w:rsidR="0086237D" w:rsidRPr="0086237D" w:rsidRDefault="0086237D" w:rsidP="0086237D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1"/>
                <w:szCs w:val="21"/>
              </w:rPr>
            </w:pPr>
            <w:r w:rsidRPr="0086237D">
              <w:rPr>
                <w:rFonts w:cstheme="minorHAnsi"/>
                <w:sz w:val="21"/>
                <w:szCs w:val="21"/>
              </w:rPr>
              <w:t xml:space="preserve">The recruitment of new workers is progressing in line with Victoria’s plan: </w:t>
            </w:r>
          </w:p>
          <w:p w14:paraId="63A691CA" w14:textId="667F4E91" w:rsidR="0086237D" w:rsidRPr="00AF0B8F" w:rsidRDefault="0086237D" w:rsidP="0086237D">
            <w:pPr>
              <w:pStyle w:val="ListParagraph"/>
              <w:numPr>
                <w:ilvl w:val="1"/>
                <w:numId w:val="22"/>
              </w:numPr>
              <w:spacing w:after="0" w:line="276" w:lineRule="auto"/>
              <w:ind w:left="720"/>
              <w:rPr>
                <w:sz w:val="21"/>
                <w:szCs w:val="21"/>
              </w:rPr>
            </w:pPr>
            <w:r w:rsidRPr="00AF0B8F">
              <w:rPr>
                <w:sz w:val="21"/>
                <w:szCs w:val="21"/>
              </w:rPr>
              <w:t>46 roles (FTE) have been filled by 51 people, who have commenced as of 30</w:t>
            </w:r>
            <w:r w:rsidR="00AF0B8F">
              <w:rPr>
                <w:sz w:val="21"/>
                <w:szCs w:val="21"/>
              </w:rPr>
              <w:t> </w:t>
            </w:r>
            <w:r w:rsidRPr="00AF0B8F">
              <w:rPr>
                <w:sz w:val="21"/>
                <w:szCs w:val="21"/>
              </w:rPr>
              <w:t>October 2024. A further position (1 FTE) will be filled by a worker who will start on 11 November 2024.</w:t>
            </w:r>
          </w:p>
          <w:p w14:paraId="0833DB10" w14:textId="77777777" w:rsidR="0086237D" w:rsidRPr="0086237D" w:rsidRDefault="0086237D" w:rsidP="0086237D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1"/>
                <w:szCs w:val="21"/>
              </w:rPr>
            </w:pPr>
            <w:r w:rsidRPr="0086237D">
              <w:rPr>
                <w:rFonts w:cstheme="minorHAnsi"/>
                <w:sz w:val="21"/>
                <w:szCs w:val="21"/>
              </w:rPr>
              <w:t xml:space="preserve">The commenced roles include: </w:t>
            </w:r>
          </w:p>
          <w:p w14:paraId="48679EC6" w14:textId="77777777" w:rsidR="0086237D" w:rsidRPr="0086237D" w:rsidRDefault="0086237D" w:rsidP="0086237D">
            <w:pPr>
              <w:pStyle w:val="ListParagraph"/>
              <w:numPr>
                <w:ilvl w:val="1"/>
                <w:numId w:val="22"/>
              </w:numPr>
              <w:spacing w:after="0" w:line="276" w:lineRule="auto"/>
              <w:ind w:left="720"/>
              <w:rPr>
                <w:sz w:val="21"/>
                <w:szCs w:val="21"/>
              </w:rPr>
            </w:pPr>
            <w:r w:rsidRPr="0086237D">
              <w:rPr>
                <w:sz w:val="21"/>
                <w:szCs w:val="21"/>
              </w:rPr>
              <w:t xml:space="preserve">16 case managers </w:t>
            </w:r>
            <w:r w:rsidRPr="00AF0B8F">
              <w:rPr>
                <w:sz w:val="21"/>
                <w:szCs w:val="21"/>
              </w:rPr>
              <w:t>working with people from CALD communities</w:t>
            </w:r>
            <w:r w:rsidRPr="0086237D">
              <w:rPr>
                <w:sz w:val="21"/>
                <w:szCs w:val="21"/>
              </w:rPr>
              <w:t xml:space="preserve">. Collectively, they speak Mandarin, Cantonese, Tamil, Hindi, Urdu, Arabic, Ukrainian and Russian, as well as all speaking English. </w:t>
            </w:r>
          </w:p>
          <w:p w14:paraId="4A42E0FB" w14:textId="77777777" w:rsidR="0086237D" w:rsidRPr="0086237D" w:rsidRDefault="0086237D" w:rsidP="0086237D">
            <w:pPr>
              <w:pStyle w:val="ListParagraph"/>
              <w:numPr>
                <w:ilvl w:val="1"/>
                <w:numId w:val="22"/>
              </w:numPr>
              <w:spacing w:after="0" w:line="276" w:lineRule="auto"/>
              <w:ind w:left="720"/>
              <w:rPr>
                <w:rFonts w:cstheme="minorHAnsi"/>
                <w:sz w:val="21"/>
                <w:szCs w:val="21"/>
              </w:rPr>
            </w:pPr>
            <w:r w:rsidRPr="0086237D">
              <w:rPr>
                <w:rFonts w:cstheme="minorHAnsi"/>
                <w:sz w:val="21"/>
                <w:szCs w:val="21"/>
              </w:rPr>
              <w:t xml:space="preserve">2 workers employed at an Aboriginal Community Controlled Organisation. </w:t>
            </w:r>
          </w:p>
          <w:p w14:paraId="02BDC8DE" w14:textId="77777777" w:rsidR="0086237D" w:rsidRPr="0086237D" w:rsidRDefault="0086237D" w:rsidP="0086237D">
            <w:pPr>
              <w:pStyle w:val="ListParagraph"/>
              <w:numPr>
                <w:ilvl w:val="0"/>
                <w:numId w:val="21"/>
              </w:numPr>
              <w:spacing w:after="0" w:line="276" w:lineRule="auto"/>
            </w:pPr>
            <w:r w:rsidRPr="0086237D">
              <w:rPr>
                <w:lang w:eastAsia="en-AU"/>
              </w:rPr>
              <w:lastRenderedPageBreak/>
              <w:t xml:space="preserve">An </w:t>
            </w:r>
            <w:r w:rsidRPr="0086237D">
              <w:rPr>
                <w:rFonts w:cstheme="minorHAnsi"/>
                <w:sz w:val="21"/>
                <w:szCs w:val="21"/>
              </w:rPr>
              <w:t>additional</w:t>
            </w:r>
            <w:r w:rsidRPr="0086237D">
              <w:rPr>
                <w:lang w:eastAsia="en-AU"/>
              </w:rPr>
              <w:t xml:space="preserve"> </w:t>
            </w:r>
            <w:r w:rsidRPr="00AF0B8F">
              <w:rPr>
                <w:lang w:eastAsia="en-AU"/>
              </w:rPr>
              <w:t>3</w:t>
            </w:r>
            <w:r w:rsidRPr="0086237D">
              <w:rPr>
                <w:lang w:eastAsia="en-AU"/>
              </w:rPr>
              <w:t xml:space="preserve"> </w:t>
            </w:r>
            <w:r w:rsidRPr="0086237D">
              <w:t>positions</w:t>
            </w:r>
            <w:r w:rsidRPr="0086237D">
              <w:rPr>
                <w:lang w:eastAsia="en-AU"/>
              </w:rPr>
              <w:t xml:space="preserve"> are in the final stages of the recruitment process. </w:t>
            </w:r>
          </w:p>
          <w:p w14:paraId="45CF8B4B" w14:textId="77777777" w:rsidR="0086237D" w:rsidRPr="00AF0B8F" w:rsidRDefault="0086237D" w:rsidP="0086237D">
            <w:pPr>
              <w:pStyle w:val="ListParagraph"/>
              <w:numPr>
                <w:ilvl w:val="0"/>
                <w:numId w:val="21"/>
              </w:numPr>
              <w:spacing w:after="0" w:line="276" w:lineRule="auto"/>
            </w:pPr>
            <w:r w:rsidRPr="00AF0B8F">
              <w:rPr>
                <w:lang w:eastAsia="en-AU"/>
              </w:rPr>
              <w:t xml:space="preserve">Offers have been made for 2 positions with anticipated commencement dates in December 2024 and January 2025 respectively. </w:t>
            </w:r>
          </w:p>
          <w:p w14:paraId="461FA140" w14:textId="77777777" w:rsidR="0086237D" w:rsidRPr="00AF0B8F" w:rsidRDefault="0086237D" w:rsidP="0086237D">
            <w:pPr>
              <w:pStyle w:val="ListParagraph"/>
              <w:numPr>
                <w:ilvl w:val="0"/>
                <w:numId w:val="21"/>
              </w:numPr>
              <w:spacing w:after="0" w:line="276" w:lineRule="auto"/>
            </w:pPr>
            <w:r w:rsidRPr="00AF0B8F">
              <w:rPr>
                <w:lang w:eastAsia="en-AU"/>
              </w:rPr>
              <w:t>Five positions are currently being advertised.</w:t>
            </w:r>
          </w:p>
          <w:p w14:paraId="4679FF66" w14:textId="77777777" w:rsidR="0086237D" w:rsidRPr="00AF0B8F" w:rsidRDefault="0086237D" w:rsidP="0086237D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1"/>
                <w:szCs w:val="21"/>
              </w:rPr>
            </w:pPr>
            <w:r w:rsidRPr="00AF0B8F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Two positions are in the planning process. </w:t>
            </w:r>
          </w:p>
          <w:p w14:paraId="29F7A682" w14:textId="00AEFD34" w:rsidR="0086237D" w:rsidRPr="0086237D" w:rsidRDefault="0086237D" w:rsidP="0086237D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bookmarkStart w:id="3" w:name="_Hlk175675710"/>
            <w:r w:rsidRPr="0086237D">
              <w:rPr>
                <w:rFonts w:eastAsia="Times New Roman" w:cstheme="minorHAnsi"/>
                <w:sz w:val="21"/>
                <w:szCs w:val="21"/>
                <w:lang w:eastAsia="en-AU"/>
              </w:rPr>
              <w:t>Victoria is working with peak bodies on the next stage of this important projec</w:t>
            </w:r>
            <w:bookmarkEnd w:id="3"/>
            <w:r w:rsidRPr="0086237D">
              <w:rPr>
                <w:rFonts w:eastAsia="Times New Roman" w:cstheme="minorHAnsi"/>
                <w:sz w:val="21"/>
                <w:szCs w:val="21"/>
                <w:lang w:eastAsia="en-AU"/>
              </w:rPr>
              <w:t>t.</w:t>
            </w:r>
          </w:p>
        </w:tc>
      </w:tr>
      <w:tr w:rsidR="0030365A" w:rsidRPr="007D188D" w14:paraId="096965C3" w14:textId="77777777" w:rsidTr="00AF0B8F">
        <w:tc>
          <w:tcPr>
            <w:tcW w:w="0" w:type="dxa"/>
          </w:tcPr>
          <w:p w14:paraId="60D6C99C" w14:textId="10520A0A" w:rsidR="0030365A" w:rsidRPr="0055387E" w:rsidRDefault="0030365A" w:rsidP="0030365A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54345D2D" w:rsidR="0030365A" w:rsidRPr="0055387E" w:rsidRDefault="0030365A" w:rsidP="0030365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102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77E76468" w:rsidR="0030365A" w:rsidRPr="0055387E" w:rsidRDefault="0030365A" w:rsidP="0030365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88.7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7FA9A" w14:textId="77777777" w:rsidR="0030365A" w:rsidRDefault="0030365A" w:rsidP="0030365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D95DD03" w14:textId="77777777" w:rsidR="0030365A" w:rsidRDefault="0030365A" w:rsidP="0030365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This includes funding allocated to LGBTIQA+ community health organisations to employ 3 FTE. Service delivery is expected to commence in December 2024. </w:t>
            </w:r>
          </w:p>
          <w:p w14:paraId="0665C5FE" w14:textId="0FDB0238" w:rsidR="0030365A" w:rsidRPr="0055387E" w:rsidRDefault="0030365A" w:rsidP="0030365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27230E" w:rsidRPr="007D188D" w14:paraId="571EB20E" w14:textId="77777777" w:rsidTr="00AF0B8F">
        <w:tc>
          <w:tcPr>
            <w:tcW w:w="0" w:type="dxa"/>
          </w:tcPr>
          <w:p w14:paraId="2B719E11" w14:textId="2550B836" w:rsidR="0027230E" w:rsidRPr="0055387E" w:rsidRDefault="0027230E" w:rsidP="0027230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5FF0C8FA" w:rsidR="0027230E" w:rsidRPr="0055387E" w:rsidRDefault="0027230E" w:rsidP="0027230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EA4CFE">
              <w:rPr>
                <w:rFonts w:cstheme="minorHAnsi"/>
                <w:szCs w:val="22"/>
              </w:rPr>
              <w:t>30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335B0639" w:rsidR="0027230E" w:rsidRPr="0055387E" w:rsidRDefault="0027230E" w:rsidP="0027230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</w:rPr>
              <w:t>30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AF549" w14:textId="77777777" w:rsidR="0027230E" w:rsidRPr="0055387E" w:rsidRDefault="0027230E" w:rsidP="0027230E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As at mid-May 2024, service contracts with organisations have been awarded for all workers.</w:t>
            </w:r>
          </w:p>
          <w:p w14:paraId="1970AEAA" w14:textId="77777777" w:rsidR="0027230E" w:rsidRPr="0055387E" w:rsidRDefault="0027230E" w:rsidP="0027230E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is progressing, with organisation progress ranging from positions advertised, to organisations having offered employment contracts (workers not yet commenced). </w:t>
            </w:r>
          </w:p>
          <w:p w14:paraId="7B49BE83" w14:textId="1D77D39B" w:rsidR="0027230E" w:rsidRPr="0055387E" w:rsidRDefault="0027230E" w:rsidP="002723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Commenced FTE is as </w:t>
            </w:r>
            <w:proofErr w:type="gramStart"/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at</w:t>
            </w:r>
            <w:proofErr w:type="gramEnd"/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20 October 2024 </w:t>
            </w:r>
          </w:p>
        </w:tc>
      </w:tr>
      <w:tr w:rsidR="00987CA9" w:rsidRPr="007D188D" w14:paraId="5DAA2E1E" w14:textId="77777777" w:rsidTr="00BE1B91">
        <w:tc>
          <w:tcPr>
            <w:tcW w:w="2499" w:type="dxa"/>
          </w:tcPr>
          <w:p w14:paraId="4FA1B6B3" w14:textId="79F3947A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</w:tcPr>
          <w:p w14:paraId="09EAD549" w14:textId="18FD9576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</w:rPr>
              <w:t>3</w:t>
            </w:r>
            <w:r w:rsidR="002744C8" w:rsidRPr="0055387E">
              <w:rPr>
                <w:rFonts w:cstheme="minorHAnsi"/>
                <w:szCs w:val="22"/>
              </w:rPr>
              <w:t>9</w:t>
            </w:r>
          </w:p>
        </w:tc>
        <w:tc>
          <w:tcPr>
            <w:tcW w:w="1602" w:type="dxa"/>
          </w:tcPr>
          <w:p w14:paraId="11050659" w14:textId="7B377CB4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</w:rPr>
              <w:t>2</w:t>
            </w:r>
            <w:r w:rsidR="002744C8" w:rsidRPr="0055387E">
              <w:rPr>
                <w:rFonts w:cstheme="minorHAnsi"/>
                <w:szCs w:val="22"/>
              </w:rPr>
              <w:t>8</w:t>
            </w:r>
            <w:r w:rsidRPr="0055387E">
              <w:rPr>
                <w:rFonts w:cstheme="minorHAnsi"/>
                <w:szCs w:val="22"/>
              </w:rPr>
              <w:t>.</w:t>
            </w:r>
            <w:r w:rsidR="002744C8" w:rsidRPr="0055387E">
              <w:rPr>
                <w:rFonts w:cstheme="minorHAnsi"/>
                <w:szCs w:val="22"/>
              </w:rPr>
              <w:t>1</w:t>
            </w:r>
          </w:p>
        </w:tc>
        <w:tc>
          <w:tcPr>
            <w:tcW w:w="8326" w:type="dxa"/>
          </w:tcPr>
          <w:p w14:paraId="4030B21D" w14:textId="77777777" w:rsidR="00987CA9" w:rsidRPr="0055387E" w:rsidRDefault="00987CA9" w:rsidP="00987CA9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All service agreements now executed.</w:t>
            </w:r>
          </w:p>
          <w:p w14:paraId="08D139FC" w14:textId="78B83545" w:rsidR="00987CA9" w:rsidRPr="0055387E" w:rsidRDefault="00987CA9" w:rsidP="00987CA9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Organisations are now recruiting and working towards having full FTE as soon as possible noting that workforce availability remains an ongoing challenge, particularly for regional service providers.</w:t>
            </w:r>
          </w:p>
        </w:tc>
      </w:tr>
      <w:tr w:rsidR="00C80ACF" w:rsidRPr="007D188D" w14:paraId="1F25C0EB" w14:textId="77777777" w:rsidTr="00BE1B91">
        <w:tc>
          <w:tcPr>
            <w:tcW w:w="2499" w:type="dxa"/>
          </w:tcPr>
          <w:p w14:paraId="64B8303A" w14:textId="4DE094F9" w:rsidR="00C80ACF" w:rsidRPr="0055387E" w:rsidRDefault="00C80ACF" w:rsidP="00C80AC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1AB7FD5A" w:rsidR="00C80ACF" w:rsidRPr="0055387E" w:rsidRDefault="00C80ACF" w:rsidP="00C80AC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  <w:lang w:eastAsia="en-AU"/>
              </w:rPr>
              <w:t>2</w:t>
            </w:r>
            <w:r w:rsidR="004440B7">
              <w:rPr>
                <w:rFonts w:cstheme="minorHAnsi"/>
                <w:szCs w:val="22"/>
                <w:lang w:eastAsia="en-AU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1F7F3832" w:rsidR="00C80ACF" w:rsidRPr="0055387E" w:rsidRDefault="00C80ACF" w:rsidP="00C80AC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  <w:lang w:eastAsia="en-AU"/>
              </w:rPr>
              <w:t>2</w:t>
            </w:r>
            <w:r w:rsidR="004440B7">
              <w:rPr>
                <w:rFonts w:cstheme="minorHAnsi"/>
                <w:szCs w:val="22"/>
                <w:lang w:eastAsia="en-AU"/>
              </w:rPr>
              <w:t>2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959D5" w14:textId="578BFFCD" w:rsidR="00C80ACF" w:rsidRPr="0055387E" w:rsidRDefault="00C80ACF" w:rsidP="00C80ACF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</w:rPr>
              <w:t xml:space="preserve">Recruitment continues, with Tasmania on track to deliver 24.6 </w:t>
            </w:r>
            <w:r w:rsidR="00B36C20">
              <w:rPr>
                <w:rFonts w:eastAsia="Times New Roman" w:cstheme="minorHAnsi"/>
                <w:sz w:val="21"/>
                <w:szCs w:val="21"/>
              </w:rPr>
              <w:t xml:space="preserve">FTE </w:t>
            </w:r>
            <w:r w:rsidRPr="0055387E">
              <w:rPr>
                <w:rFonts w:eastAsia="Times New Roman" w:cstheme="minorHAnsi"/>
                <w:sz w:val="21"/>
                <w:szCs w:val="21"/>
              </w:rPr>
              <w:t>workers by the end of 2024-25.</w:t>
            </w:r>
          </w:p>
          <w:p w14:paraId="1D74A68A" w14:textId="38485C64" w:rsidR="00C80ACF" w:rsidRPr="0055387E" w:rsidRDefault="00C80ACF" w:rsidP="00C80ACF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The number of FTE workers commenced has increased by 6.4 in 2024-25 including 1 FTE in October, with recruitment action underway for the remaining FTE workers.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987CA9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987CA9">
            <w:pPr>
              <w:pStyle w:val="ListParagraph"/>
              <w:framePr w:hSpace="180" w:wrap="around" w:vAnchor="text" w:hAnchor="text"/>
              <w:numPr>
                <w:ilvl w:val="0"/>
                <w:numId w:val="15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987CA9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734E08" w14:paraId="4F20B279" w14:textId="77777777" w:rsidTr="00AF0B8F">
        <w:tc>
          <w:tcPr>
            <w:tcW w:w="0" w:type="dxa"/>
          </w:tcPr>
          <w:p w14:paraId="4C83C285" w14:textId="2DFC86B9" w:rsidR="00734E08" w:rsidRPr="00E57942" w:rsidRDefault="00734E08" w:rsidP="00734E08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0" w:type="dxa"/>
          </w:tcPr>
          <w:p w14:paraId="75CA40BB" w14:textId="6E9B891D" w:rsidR="00734E08" w:rsidRPr="00E57942" w:rsidRDefault="00734E08" w:rsidP="00734E08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8</w:t>
            </w:r>
          </w:p>
        </w:tc>
        <w:tc>
          <w:tcPr>
            <w:tcW w:w="0" w:type="dxa"/>
          </w:tcPr>
          <w:p w14:paraId="6B222CA8" w14:textId="38D214F6" w:rsidR="00734E08" w:rsidRPr="00E57942" w:rsidRDefault="00734E08" w:rsidP="00734E08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szCs w:val="22"/>
                <w:lang w:eastAsia="en-AU"/>
              </w:rPr>
              <w:t>7</w:t>
            </w:r>
            <w:r>
              <w:rPr>
                <w:rFonts w:cstheme="minorHAnsi"/>
                <w:szCs w:val="22"/>
                <w:lang w:eastAsia="en-AU"/>
              </w:rPr>
              <w:t>.6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7315C" w14:textId="3026E6DF" w:rsidR="00734E08" w:rsidRDefault="00734E08" w:rsidP="00734E0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Service providers are currently recruiting for the 18 allocated positions for 2023-24 with 8 positions (7.6 FTE) already commenced in 2024, including 1 in October 2024. </w:t>
            </w:r>
          </w:p>
          <w:p w14:paraId="1CCD55E3" w14:textId="77777777" w:rsidR="00734E08" w:rsidRDefault="00734E08" w:rsidP="00734E0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Commenced of workers include:</w:t>
            </w:r>
          </w:p>
          <w:p w14:paraId="0C64B98A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Wadeye Safe House</w:t>
            </w:r>
          </w:p>
          <w:p w14:paraId="0F2E8EF8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Galiwinku Women’s Space</w:t>
            </w:r>
          </w:p>
          <w:p w14:paraId="082F7D8A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Tennant Creek Women’s Refuge</w:t>
            </w:r>
          </w:p>
          <w:p w14:paraId="20EFC883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(0.6 FTE) worker with Salvation Army</w:t>
            </w:r>
          </w:p>
          <w:p w14:paraId="29EC17F7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 (1 FTE) worker with </w:t>
            </w:r>
            <w:proofErr w:type="spellStart"/>
            <w:r>
              <w:rPr>
                <w:rFonts w:cstheme="minorHAnsi"/>
                <w:sz w:val="21"/>
                <w:szCs w:val="21"/>
              </w:rPr>
              <w:t>CatholicCare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NT</w:t>
            </w:r>
          </w:p>
          <w:p w14:paraId="6160386B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Central Australian Aboriginal Family Legal Unit Aboriginal Corporation</w:t>
            </w:r>
          </w:p>
          <w:p w14:paraId="43614AF8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 (2 FTE) workers with YWCA.</w:t>
            </w:r>
          </w:p>
          <w:p w14:paraId="0685EDBB" w14:textId="77777777" w:rsidR="00734E08" w:rsidRDefault="00734E08" w:rsidP="00734E0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Funding agreements have been executed and active recruitment is underway for a further 10 roles including:</w:t>
            </w:r>
          </w:p>
          <w:p w14:paraId="5AFDC60B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 (5.4 FTE) children’s DFSV workers</w:t>
            </w:r>
          </w:p>
          <w:p w14:paraId="54A38D27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 (2 FTE) non-legal court support workers</w:t>
            </w:r>
          </w:p>
          <w:p w14:paraId="216B065C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 (2 FTE) co-responder pilot victim-survivor case managers</w:t>
            </w:r>
          </w:p>
          <w:p w14:paraId="21DFAE32" w14:textId="77777777" w:rsidR="00734E08" w:rsidRDefault="00734E08" w:rsidP="00734E08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Men’s Behaviour Change Program partner contact worker</w:t>
            </w:r>
          </w:p>
          <w:p w14:paraId="1D2A858A" w14:textId="77777777" w:rsidR="00734E08" w:rsidRDefault="00734E08" w:rsidP="00734E0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0.2 FTE worker allocation for 2023-24 is still under negotiation.</w:t>
            </w:r>
          </w:p>
          <w:p w14:paraId="22958C2D" w14:textId="77777777" w:rsidR="0052725C" w:rsidRDefault="00734E08" w:rsidP="0052725C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The Department has been working with service providers to provide support and navigate recruitment challenges. </w:t>
            </w:r>
          </w:p>
          <w:p w14:paraId="19182A6F" w14:textId="7DB1A1B5" w:rsidR="00734E08" w:rsidRPr="0052725C" w:rsidRDefault="00734E08" w:rsidP="0052725C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 w:rsidRPr="0052725C">
              <w:rPr>
                <w:rFonts w:cstheme="minorHAnsi"/>
                <w:sz w:val="21"/>
                <w:szCs w:val="21"/>
              </w:rPr>
              <w:t xml:space="preserve">A further 2 positions will be allocated to meet the 20 workers allocation from </w:t>
            </w:r>
            <w:r w:rsidRPr="0052725C">
              <w:rPr>
                <w:rFonts w:cstheme="minorHAnsi"/>
                <w:sz w:val="21"/>
                <w:szCs w:val="21"/>
              </w:rPr>
              <w:br/>
              <w:t>2024-25 with the worker allocation to be determined based on identified need.</w:t>
            </w:r>
          </w:p>
        </w:tc>
      </w:tr>
      <w:tr w:rsidR="00734E08" w:rsidRPr="007D188D" w14:paraId="1DACB3E7" w14:textId="77777777" w:rsidTr="00BE1B91">
        <w:tc>
          <w:tcPr>
            <w:tcW w:w="2499" w:type="dxa"/>
          </w:tcPr>
          <w:p w14:paraId="421C62C0" w14:textId="77777777" w:rsidR="00734E08" w:rsidRPr="00F120C1" w:rsidRDefault="00734E08" w:rsidP="00734E08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t>TOTAL</w:t>
            </w:r>
          </w:p>
        </w:tc>
        <w:tc>
          <w:tcPr>
            <w:tcW w:w="1602" w:type="dxa"/>
          </w:tcPr>
          <w:p w14:paraId="560527FB" w14:textId="5E5B82EB" w:rsidR="00734E08" w:rsidRPr="00B36C20" w:rsidRDefault="00F823CD" w:rsidP="00734E08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385</w:t>
            </w:r>
          </w:p>
        </w:tc>
        <w:tc>
          <w:tcPr>
            <w:tcW w:w="1602" w:type="dxa"/>
          </w:tcPr>
          <w:p w14:paraId="1EDBA5EC" w14:textId="74002F15" w:rsidR="00734E08" w:rsidRPr="00B36C20" w:rsidRDefault="00F823CD" w:rsidP="00734E08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336.6</w:t>
            </w:r>
          </w:p>
        </w:tc>
        <w:tc>
          <w:tcPr>
            <w:tcW w:w="8326" w:type="dxa"/>
          </w:tcPr>
          <w:p w14:paraId="6B790B20" w14:textId="77777777" w:rsidR="00734E08" w:rsidRPr="007D188D" w:rsidRDefault="00734E08" w:rsidP="00734E08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35C56E9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3D56" w14:textId="77777777" w:rsidR="004234A5" w:rsidRDefault="004234A5" w:rsidP="008F3023">
      <w:pPr>
        <w:spacing w:after="0" w:line="240" w:lineRule="auto"/>
      </w:pPr>
      <w:r>
        <w:separator/>
      </w:r>
    </w:p>
  </w:endnote>
  <w:endnote w:type="continuationSeparator" w:id="0">
    <w:p w14:paraId="6AEC00D5" w14:textId="77777777" w:rsidR="004234A5" w:rsidRDefault="004234A5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6214" w14:textId="77777777" w:rsidR="004234A5" w:rsidRDefault="004234A5" w:rsidP="008F3023">
      <w:pPr>
        <w:spacing w:after="0" w:line="240" w:lineRule="auto"/>
      </w:pPr>
      <w:r>
        <w:separator/>
      </w:r>
    </w:p>
  </w:footnote>
  <w:footnote w:type="continuationSeparator" w:id="0">
    <w:p w14:paraId="3278B526" w14:textId="77777777" w:rsidR="004234A5" w:rsidRDefault="004234A5" w:rsidP="008F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AFE5" w14:textId="77777777" w:rsidR="00FB119D" w:rsidRDefault="00FB119D" w:rsidP="00FB119D">
    <w:pPr>
      <w:pStyle w:val="Spac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FDDA" w14:textId="77777777" w:rsidR="00BA5842" w:rsidRDefault="00BA5842" w:rsidP="00A81138">
    <w:pPr>
      <w:pStyle w:val="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112C"/>
    <w:multiLevelType w:val="hybridMultilevel"/>
    <w:tmpl w:val="4364C78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1013"/>
    <w:multiLevelType w:val="hybridMultilevel"/>
    <w:tmpl w:val="208AB7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9" w15:restartNumberingAfterBreak="0">
    <w:nsid w:val="7C1D33A8"/>
    <w:multiLevelType w:val="hybridMultilevel"/>
    <w:tmpl w:val="47FC1D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8"/>
  </w:num>
  <w:num w:numId="2" w16cid:durableId="501120408">
    <w:abstractNumId w:val="10"/>
  </w:num>
  <w:num w:numId="3" w16cid:durableId="978261373">
    <w:abstractNumId w:val="0"/>
  </w:num>
  <w:num w:numId="4" w16cid:durableId="1959069768">
    <w:abstractNumId w:val="1"/>
  </w:num>
  <w:num w:numId="5" w16cid:durableId="1379469987">
    <w:abstractNumId w:val="3"/>
  </w:num>
  <w:num w:numId="6" w16cid:durableId="1154952017">
    <w:abstractNumId w:val="4"/>
  </w:num>
  <w:num w:numId="7" w16cid:durableId="334378769">
    <w:abstractNumId w:val="5"/>
  </w:num>
  <w:num w:numId="8" w16cid:durableId="35980726">
    <w:abstractNumId w:val="7"/>
  </w:num>
  <w:num w:numId="9" w16cid:durableId="2099907384">
    <w:abstractNumId w:val="2"/>
  </w:num>
  <w:num w:numId="10" w16cid:durableId="2137871289">
    <w:abstractNumId w:val="9"/>
  </w:num>
  <w:num w:numId="11" w16cid:durableId="193928295">
    <w:abstractNumId w:val="6"/>
  </w:num>
  <w:num w:numId="12" w16cid:durableId="1246568096">
    <w:abstractNumId w:val="5"/>
  </w:num>
  <w:num w:numId="13" w16cid:durableId="1475486426">
    <w:abstractNumId w:val="1"/>
  </w:num>
  <w:num w:numId="14" w16cid:durableId="75372029">
    <w:abstractNumId w:val="5"/>
  </w:num>
  <w:num w:numId="15" w16cid:durableId="1974552927">
    <w:abstractNumId w:val="6"/>
  </w:num>
  <w:num w:numId="16" w16cid:durableId="364913930">
    <w:abstractNumId w:val="1"/>
  </w:num>
  <w:num w:numId="17" w16cid:durableId="1964073009">
    <w:abstractNumId w:val="5"/>
  </w:num>
  <w:num w:numId="18" w16cid:durableId="781343235">
    <w:abstractNumId w:val="5"/>
  </w:num>
  <w:num w:numId="19" w16cid:durableId="1310525146">
    <w:abstractNumId w:val="5"/>
  </w:num>
  <w:num w:numId="20" w16cid:durableId="98793278">
    <w:abstractNumId w:val="1"/>
  </w:num>
  <w:num w:numId="21" w16cid:durableId="320889710">
    <w:abstractNumId w:val="5"/>
  </w:num>
  <w:num w:numId="22" w16cid:durableId="2060935437">
    <w:abstractNumId w:val="2"/>
  </w:num>
  <w:num w:numId="23" w16cid:durableId="129821785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317E3"/>
    <w:rsid w:val="00044684"/>
    <w:rsid w:val="00062B78"/>
    <w:rsid w:val="00064140"/>
    <w:rsid w:val="000750D2"/>
    <w:rsid w:val="00081610"/>
    <w:rsid w:val="00091ABE"/>
    <w:rsid w:val="000A08CE"/>
    <w:rsid w:val="000C1501"/>
    <w:rsid w:val="000C4A0F"/>
    <w:rsid w:val="000D5965"/>
    <w:rsid w:val="000E6227"/>
    <w:rsid w:val="000F7266"/>
    <w:rsid w:val="000F75FC"/>
    <w:rsid w:val="0010713A"/>
    <w:rsid w:val="001255D2"/>
    <w:rsid w:val="001401BF"/>
    <w:rsid w:val="001424F4"/>
    <w:rsid w:val="001510D7"/>
    <w:rsid w:val="00161696"/>
    <w:rsid w:val="001A7461"/>
    <w:rsid w:val="001B2263"/>
    <w:rsid w:val="001C5CE6"/>
    <w:rsid w:val="001D0F6D"/>
    <w:rsid w:val="001E630D"/>
    <w:rsid w:val="001F6546"/>
    <w:rsid w:val="00201E92"/>
    <w:rsid w:val="00206EB4"/>
    <w:rsid w:val="0021253A"/>
    <w:rsid w:val="002226AD"/>
    <w:rsid w:val="002346B5"/>
    <w:rsid w:val="00235375"/>
    <w:rsid w:val="00240A6E"/>
    <w:rsid w:val="00260051"/>
    <w:rsid w:val="00262CDD"/>
    <w:rsid w:val="0027230E"/>
    <w:rsid w:val="002744C8"/>
    <w:rsid w:val="002756EE"/>
    <w:rsid w:val="00275EA9"/>
    <w:rsid w:val="00277896"/>
    <w:rsid w:val="00281DFB"/>
    <w:rsid w:val="00282835"/>
    <w:rsid w:val="0029061D"/>
    <w:rsid w:val="00295934"/>
    <w:rsid w:val="002B3CC6"/>
    <w:rsid w:val="002B7002"/>
    <w:rsid w:val="002C3A52"/>
    <w:rsid w:val="002E06CE"/>
    <w:rsid w:val="00302FFA"/>
    <w:rsid w:val="0030365A"/>
    <w:rsid w:val="00311FC7"/>
    <w:rsid w:val="00335A14"/>
    <w:rsid w:val="00336B5E"/>
    <w:rsid w:val="00337926"/>
    <w:rsid w:val="003407FF"/>
    <w:rsid w:val="00347FE0"/>
    <w:rsid w:val="0038044C"/>
    <w:rsid w:val="003A3F52"/>
    <w:rsid w:val="003A70C3"/>
    <w:rsid w:val="003B0D19"/>
    <w:rsid w:val="003B1786"/>
    <w:rsid w:val="003B2BB8"/>
    <w:rsid w:val="003B7424"/>
    <w:rsid w:val="003D34FF"/>
    <w:rsid w:val="003E0A57"/>
    <w:rsid w:val="003E10A6"/>
    <w:rsid w:val="003E2B62"/>
    <w:rsid w:val="00403055"/>
    <w:rsid w:val="00415B6C"/>
    <w:rsid w:val="004234A5"/>
    <w:rsid w:val="004243F2"/>
    <w:rsid w:val="004354E6"/>
    <w:rsid w:val="00440CB8"/>
    <w:rsid w:val="00441FD7"/>
    <w:rsid w:val="004440B7"/>
    <w:rsid w:val="0045365D"/>
    <w:rsid w:val="00471456"/>
    <w:rsid w:val="0047261D"/>
    <w:rsid w:val="004837A4"/>
    <w:rsid w:val="00490F3B"/>
    <w:rsid w:val="004913D4"/>
    <w:rsid w:val="004A2151"/>
    <w:rsid w:val="004B54CA"/>
    <w:rsid w:val="004B653B"/>
    <w:rsid w:val="004C37B7"/>
    <w:rsid w:val="004E48E4"/>
    <w:rsid w:val="004E5CBF"/>
    <w:rsid w:val="004F77F4"/>
    <w:rsid w:val="005072B0"/>
    <w:rsid w:val="00515ED5"/>
    <w:rsid w:val="00517AE4"/>
    <w:rsid w:val="0052725C"/>
    <w:rsid w:val="005312DA"/>
    <w:rsid w:val="00541691"/>
    <w:rsid w:val="0054713E"/>
    <w:rsid w:val="0055387E"/>
    <w:rsid w:val="0055403E"/>
    <w:rsid w:val="005543A8"/>
    <w:rsid w:val="005636A2"/>
    <w:rsid w:val="0056418F"/>
    <w:rsid w:val="00567053"/>
    <w:rsid w:val="00584FC1"/>
    <w:rsid w:val="00586246"/>
    <w:rsid w:val="005877DC"/>
    <w:rsid w:val="0059023E"/>
    <w:rsid w:val="00597852"/>
    <w:rsid w:val="005A4ECD"/>
    <w:rsid w:val="005B06DE"/>
    <w:rsid w:val="005C3AA9"/>
    <w:rsid w:val="005D2384"/>
    <w:rsid w:val="005D3578"/>
    <w:rsid w:val="005D6069"/>
    <w:rsid w:val="005F2041"/>
    <w:rsid w:val="005F5EEF"/>
    <w:rsid w:val="00613437"/>
    <w:rsid w:val="00626821"/>
    <w:rsid w:val="00631A2C"/>
    <w:rsid w:val="00633DDB"/>
    <w:rsid w:val="00651185"/>
    <w:rsid w:val="00670318"/>
    <w:rsid w:val="00671991"/>
    <w:rsid w:val="00673213"/>
    <w:rsid w:val="0068164E"/>
    <w:rsid w:val="00686716"/>
    <w:rsid w:val="006A4CE7"/>
    <w:rsid w:val="006A7DD3"/>
    <w:rsid w:val="006B2D84"/>
    <w:rsid w:val="006C15C9"/>
    <w:rsid w:val="006D2DA3"/>
    <w:rsid w:val="006D622A"/>
    <w:rsid w:val="006F3D9C"/>
    <w:rsid w:val="007065F3"/>
    <w:rsid w:val="00732B7B"/>
    <w:rsid w:val="0073320E"/>
    <w:rsid w:val="00734E08"/>
    <w:rsid w:val="007418BA"/>
    <w:rsid w:val="00756716"/>
    <w:rsid w:val="007570EC"/>
    <w:rsid w:val="00765A7C"/>
    <w:rsid w:val="00785261"/>
    <w:rsid w:val="00795CEA"/>
    <w:rsid w:val="007B0256"/>
    <w:rsid w:val="007C11FD"/>
    <w:rsid w:val="007C1E5D"/>
    <w:rsid w:val="007D1C2F"/>
    <w:rsid w:val="007D30A2"/>
    <w:rsid w:val="007E007C"/>
    <w:rsid w:val="007E3959"/>
    <w:rsid w:val="007E3B8B"/>
    <w:rsid w:val="0080363D"/>
    <w:rsid w:val="00815A31"/>
    <w:rsid w:val="00837F4E"/>
    <w:rsid w:val="0084227C"/>
    <w:rsid w:val="008565DF"/>
    <w:rsid w:val="0085710F"/>
    <w:rsid w:val="008574AD"/>
    <w:rsid w:val="0086237D"/>
    <w:rsid w:val="00874643"/>
    <w:rsid w:val="00876CA6"/>
    <w:rsid w:val="00877018"/>
    <w:rsid w:val="008844D7"/>
    <w:rsid w:val="008916D6"/>
    <w:rsid w:val="008C3726"/>
    <w:rsid w:val="008E0C72"/>
    <w:rsid w:val="008F3023"/>
    <w:rsid w:val="00903AE4"/>
    <w:rsid w:val="009225F0"/>
    <w:rsid w:val="009236BB"/>
    <w:rsid w:val="0094563F"/>
    <w:rsid w:val="009473C3"/>
    <w:rsid w:val="00972814"/>
    <w:rsid w:val="00987714"/>
    <w:rsid w:val="00987CA9"/>
    <w:rsid w:val="009B5AB3"/>
    <w:rsid w:val="009C77DE"/>
    <w:rsid w:val="009D2227"/>
    <w:rsid w:val="009D2DF8"/>
    <w:rsid w:val="009D3CCB"/>
    <w:rsid w:val="009E0C76"/>
    <w:rsid w:val="009F7169"/>
    <w:rsid w:val="00A13549"/>
    <w:rsid w:val="00A1785D"/>
    <w:rsid w:val="00A43E66"/>
    <w:rsid w:val="00A4462B"/>
    <w:rsid w:val="00A6317F"/>
    <w:rsid w:val="00A74769"/>
    <w:rsid w:val="00A80DE0"/>
    <w:rsid w:val="00A81138"/>
    <w:rsid w:val="00A85365"/>
    <w:rsid w:val="00A86A20"/>
    <w:rsid w:val="00A92F9A"/>
    <w:rsid w:val="00AA7226"/>
    <w:rsid w:val="00AB1B09"/>
    <w:rsid w:val="00AD627F"/>
    <w:rsid w:val="00AE58F6"/>
    <w:rsid w:val="00AF0B8F"/>
    <w:rsid w:val="00AF77F3"/>
    <w:rsid w:val="00B10EA9"/>
    <w:rsid w:val="00B10EB1"/>
    <w:rsid w:val="00B171F7"/>
    <w:rsid w:val="00B21745"/>
    <w:rsid w:val="00B246E8"/>
    <w:rsid w:val="00B25125"/>
    <w:rsid w:val="00B31D33"/>
    <w:rsid w:val="00B36B86"/>
    <w:rsid w:val="00B36C20"/>
    <w:rsid w:val="00B37603"/>
    <w:rsid w:val="00B413E1"/>
    <w:rsid w:val="00B44F9B"/>
    <w:rsid w:val="00B45428"/>
    <w:rsid w:val="00B62DF9"/>
    <w:rsid w:val="00B65A9F"/>
    <w:rsid w:val="00B71EDF"/>
    <w:rsid w:val="00B772ED"/>
    <w:rsid w:val="00B820CD"/>
    <w:rsid w:val="00B85379"/>
    <w:rsid w:val="00B9434A"/>
    <w:rsid w:val="00BA07BB"/>
    <w:rsid w:val="00BA2DB9"/>
    <w:rsid w:val="00BA5842"/>
    <w:rsid w:val="00BA6A09"/>
    <w:rsid w:val="00BB03A8"/>
    <w:rsid w:val="00BC04D2"/>
    <w:rsid w:val="00BC0A30"/>
    <w:rsid w:val="00BC79CD"/>
    <w:rsid w:val="00BE1B91"/>
    <w:rsid w:val="00BE7148"/>
    <w:rsid w:val="00C027B8"/>
    <w:rsid w:val="00C10344"/>
    <w:rsid w:val="00C175D2"/>
    <w:rsid w:val="00C36523"/>
    <w:rsid w:val="00C37AEE"/>
    <w:rsid w:val="00C4058D"/>
    <w:rsid w:val="00C438A6"/>
    <w:rsid w:val="00C55DE7"/>
    <w:rsid w:val="00C57001"/>
    <w:rsid w:val="00C76B3D"/>
    <w:rsid w:val="00C80ACF"/>
    <w:rsid w:val="00C8245C"/>
    <w:rsid w:val="00CA5D88"/>
    <w:rsid w:val="00CB718C"/>
    <w:rsid w:val="00CB74B3"/>
    <w:rsid w:val="00CD5179"/>
    <w:rsid w:val="00CE1CB4"/>
    <w:rsid w:val="00CF62C9"/>
    <w:rsid w:val="00D071DD"/>
    <w:rsid w:val="00D22A8A"/>
    <w:rsid w:val="00D40593"/>
    <w:rsid w:val="00D417A8"/>
    <w:rsid w:val="00D71C54"/>
    <w:rsid w:val="00D83A7C"/>
    <w:rsid w:val="00D86E50"/>
    <w:rsid w:val="00D90D3C"/>
    <w:rsid w:val="00DA1D28"/>
    <w:rsid w:val="00DA33DB"/>
    <w:rsid w:val="00DA66C1"/>
    <w:rsid w:val="00DA7B4A"/>
    <w:rsid w:val="00DB012A"/>
    <w:rsid w:val="00DB145C"/>
    <w:rsid w:val="00DB33E4"/>
    <w:rsid w:val="00DC61A0"/>
    <w:rsid w:val="00DF532D"/>
    <w:rsid w:val="00E30C3C"/>
    <w:rsid w:val="00E51EF1"/>
    <w:rsid w:val="00E57942"/>
    <w:rsid w:val="00E643E0"/>
    <w:rsid w:val="00E708BB"/>
    <w:rsid w:val="00E7560E"/>
    <w:rsid w:val="00E761A2"/>
    <w:rsid w:val="00E82B90"/>
    <w:rsid w:val="00E858A7"/>
    <w:rsid w:val="00E9285A"/>
    <w:rsid w:val="00E956B6"/>
    <w:rsid w:val="00E957B2"/>
    <w:rsid w:val="00EA550A"/>
    <w:rsid w:val="00EA66F0"/>
    <w:rsid w:val="00EB5D2F"/>
    <w:rsid w:val="00EC0DD9"/>
    <w:rsid w:val="00EE34B1"/>
    <w:rsid w:val="00EE3834"/>
    <w:rsid w:val="00EE3E34"/>
    <w:rsid w:val="00EE5D6C"/>
    <w:rsid w:val="00EE67D9"/>
    <w:rsid w:val="00EF3823"/>
    <w:rsid w:val="00F07D2D"/>
    <w:rsid w:val="00F148C2"/>
    <w:rsid w:val="00F15855"/>
    <w:rsid w:val="00F212CF"/>
    <w:rsid w:val="00F260E1"/>
    <w:rsid w:val="00F30908"/>
    <w:rsid w:val="00F369F4"/>
    <w:rsid w:val="00F75321"/>
    <w:rsid w:val="00F823CD"/>
    <w:rsid w:val="00F85669"/>
    <w:rsid w:val="00FA1012"/>
    <w:rsid w:val="00FB119D"/>
    <w:rsid w:val="00FB5D58"/>
    <w:rsid w:val="00FC143A"/>
    <w:rsid w:val="00FC4F8F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  <w15:docId w15:val="{B5AFD852-F7E1-46C4-84B9-DBE6BF5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6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Landscape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7170d-51d3-4300-86b5-46709795e4a7" xsi:nil="true"/>
    <lcf76f155ced4ddcb4097134ff3c332f xmlns="a7de5a0c-838e-4fa2-b328-8d94eb1863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6FF65C11D434B849394B55C1749B3" ma:contentTypeVersion="11" ma:contentTypeDescription="Create a new document." ma:contentTypeScope="" ma:versionID="2e93c427660f62ed1857611039e92307">
  <xsd:schema xmlns:xsd="http://www.w3.org/2001/XMLSchema" xmlns:xs="http://www.w3.org/2001/XMLSchema" xmlns:p="http://schemas.microsoft.com/office/2006/metadata/properties" xmlns:ns2="a7de5a0c-838e-4fa2-b328-8d94eb1863ff" xmlns:ns3="7407170d-51d3-4300-86b5-46709795e4a7" targetNamespace="http://schemas.microsoft.com/office/2006/metadata/properties" ma:root="true" ma:fieldsID="4e7785600457204d9fff10aa0470e169" ns2:_="" ns3:_="">
    <xsd:import namespace="a7de5a0c-838e-4fa2-b328-8d94eb1863ff"/>
    <xsd:import namespace="7407170d-51d3-4300-86b5-46709795e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5a0c-838e-4fa2-b328-8d94eb186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170d-51d3-4300-86b5-46709795e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2c5bf2-c0cd-4857-9401-0bc91054f31d}" ma:internalName="TaxCatchAll" ma:showField="CatchAllData" ma:web="7407170d-51d3-4300-86b5-46709795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3293-3212-4711-AD78-69980025FA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de5a0c-838e-4fa2-b328-8d94eb1863ff"/>
    <ds:schemaRef ds:uri="7407170d-51d3-4300-86b5-46709795e4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97769-BA39-4272-B544-48100465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e5a0c-838e-4fa2-b328-8d94eb1863ff"/>
    <ds:schemaRef ds:uri="7407170d-51d3-4300-86b5-46709795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DSS%20-%20A4%20Landscape%20Fact%20Sheet%20Template.dotx</Template>
  <TotalTime>206</TotalTime>
  <Pages>3</Pages>
  <Words>837</Words>
  <Characters>4442</Characters>
  <Application>Microsoft Office Word</Application>
  <DocSecurity>0</DocSecurity>
  <Lines>119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</dc:title>
  <dc:creator>Maddi Simmonds</dc:creator>
  <cp:keywords>[SEC=OFFICIAL]</cp:keywords>
  <cp:lastModifiedBy>MILLER, Vicky</cp:lastModifiedBy>
  <cp:revision>36</cp:revision>
  <cp:lastPrinted>2014-10-23T23:51:00Z</cp:lastPrinted>
  <dcterms:created xsi:type="dcterms:W3CDTF">2024-08-30T02:23:00Z</dcterms:created>
  <dcterms:modified xsi:type="dcterms:W3CDTF">2024-10-31T05:30:00Z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4EE52A16286C1A52ACB3A63D089543AF</vt:lpwstr>
  </property>
  <property fmtid="{D5CDD505-2E9C-101B-9397-08002B2CF9AE}" pid="21" name="PM_Hash_Salt">
    <vt:lpwstr>450C47895EB892DF07545C4B5DF59F3F</vt:lpwstr>
  </property>
  <property fmtid="{D5CDD505-2E9C-101B-9397-08002B2CF9AE}" pid="22" name="PM_Hash_SHA1">
    <vt:lpwstr>EB4FB0A494EB12E30D0BB334DBFBF7FF950333BB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0x0101009E46FF65C11D434B849394B55C1749B3</vt:lpwstr>
  </property>
  <property fmtid="{D5CDD505-2E9C-101B-9397-08002B2CF9AE}" pid="28" name="MediaServiceImageTags">
    <vt:lpwstr/>
  </property>
  <property fmtid="{D5CDD505-2E9C-101B-9397-08002B2CF9AE}" pid="29" name="PMHMAC">
    <vt:lpwstr>v=2022.1;a=SHA256;h=D25E88B4D4C947B62028987A220540986A5F87B790AD37BD81445E6A70BFB30D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d05fcdc1edca4c27b7910a65659a21f6</vt:lpwstr>
  </property>
  <property fmtid="{D5CDD505-2E9C-101B-9397-08002B2CF9AE}" pid="37" name="PMUuid">
    <vt:lpwstr>v=2022.2;d=gov.au;g=46DD6D7C-8107-577B-BC6E-F348953B2E44</vt:lpwstr>
  </property>
</Properties>
</file>