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60FA1" w14:textId="77777777" w:rsidR="00A51D7B" w:rsidRDefault="00A51D7B">
      <w:pPr>
        <w:pStyle w:val="BodyText"/>
        <w:spacing w:before="10" w:after="1"/>
        <w:rPr>
          <w:rFonts w:ascii="Times New Roman"/>
          <w:sz w:val="27"/>
        </w:rPr>
      </w:pPr>
    </w:p>
    <w:p w14:paraId="79227E7C" w14:textId="67F41269" w:rsidR="00A51D7B" w:rsidRDefault="00A51D7B">
      <w:pPr>
        <w:pStyle w:val="BodyText"/>
        <w:spacing w:line="39" w:lineRule="exact"/>
        <w:ind w:left="7086"/>
        <w:rPr>
          <w:rFonts w:ascii="Times New Roman"/>
          <w:sz w:val="3"/>
        </w:rPr>
      </w:pPr>
    </w:p>
    <w:p w14:paraId="3B5B4393" w14:textId="77777777" w:rsidR="00A51D7B" w:rsidRDefault="00B25E35" w:rsidP="002717F3">
      <w:pPr>
        <w:pStyle w:val="Heading1"/>
      </w:pPr>
      <w:r>
        <w:t>Public Interest Certificate</w:t>
      </w:r>
    </w:p>
    <w:p w14:paraId="373C20DD" w14:textId="57D148EF" w:rsidR="00A51D7B" w:rsidRDefault="00A51D7B">
      <w:pPr>
        <w:pStyle w:val="BodyText"/>
        <w:spacing w:line="20" w:lineRule="exact"/>
        <w:ind w:left="8462"/>
        <w:rPr>
          <w:sz w:val="2"/>
        </w:rPr>
      </w:pPr>
    </w:p>
    <w:p w14:paraId="18C59C8C" w14:textId="77777777" w:rsidR="00A51D7B" w:rsidRDefault="00B25E35">
      <w:pPr>
        <w:spacing w:before="199" w:line="280" w:lineRule="auto"/>
        <w:ind w:left="306" w:hanging="2"/>
        <w:rPr>
          <w:i/>
          <w:sz w:val="21"/>
        </w:rPr>
      </w:pPr>
      <w:r>
        <w:rPr>
          <w:color w:val="3D3D3D"/>
          <w:w w:val="105"/>
          <w:sz w:val="21"/>
        </w:rPr>
        <w:t xml:space="preserve">This </w:t>
      </w:r>
      <w:r>
        <w:rPr>
          <w:i/>
          <w:color w:val="3D3D3D"/>
          <w:w w:val="105"/>
          <w:sz w:val="21"/>
        </w:rPr>
        <w:t xml:space="preserve">public interest certificate </w:t>
      </w:r>
      <w:r>
        <w:rPr>
          <w:color w:val="3D3D3D"/>
          <w:w w:val="105"/>
          <w:sz w:val="21"/>
        </w:rPr>
        <w:t xml:space="preserve">is issued under section 22(1) of the </w:t>
      </w:r>
      <w:r>
        <w:rPr>
          <w:i/>
          <w:color w:val="3D3D3D"/>
          <w:w w:val="105"/>
          <w:sz w:val="21"/>
        </w:rPr>
        <w:t>Government Procurement (Judicial Review) Act 2018.</w:t>
      </w:r>
    </w:p>
    <w:p w14:paraId="70136DAA" w14:textId="77777777" w:rsidR="00A51D7B" w:rsidRDefault="00B25E35">
      <w:pPr>
        <w:pStyle w:val="BodyText"/>
        <w:spacing w:before="180" w:after="25" w:line="278" w:lineRule="auto"/>
        <w:ind w:left="302" w:firstLine="7"/>
      </w:pPr>
      <w:r>
        <w:rPr>
          <w:color w:val="3D3D3D"/>
          <w:w w:val="105"/>
        </w:rPr>
        <w:t xml:space="preserve">I hereby state that it is not in the public interest for the following </w:t>
      </w:r>
      <w:r>
        <w:rPr>
          <w:i/>
          <w:color w:val="3D3D3D"/>
          <w:w w:val="105"/>
        </w:rPr>
        <w:t xml:space="preserve">procurement(s) </w:t>
      </w:r>
      <w:r>
        <w:rPr>
          <w:color w:val="3D3D3D"/>
          <w:w w:val="105"/>
        </w:rPr>
        <w:t xml:space="preserve">by the Department of Social Services to be suspended while complaints under section 18 of </w:t>
      </w:r>
      <w:r>
        <w:rPr>
          <w:i/>
          <w:color w:val="3D3D3D"/>
          <w:w w:val="105"/>
        </w:rPr>
        <w:t xml:space="preserve">the Act </w:t>
      </w:r>
      <w:r>
        <w:rPr>
          <w:color w:val="3D3D3D"/>
          <w:w w:val="105"/>
        </w:rPr>
        <w:t xml:space="preserve">are being investigated or while applications for injunctions under Part 2 of </w:t>
      </w:r>
      <w:r>
        <w:rPr>
          <w:i/>
          <w:color w:val="3D3D3D"/>
          <w:w w:val="105"/>
        </w:rPr>
        <w:t xml:space="preserve">the Act </w:t>
      </w:r>
      <w:r>
        <w:rPr>
          <w:color w:val="3D3D3D"/>
          <w:w w:val="105"/>
        </w:rPr>
        <w:t>are being considered.</w:t>
      </w:r>
    </w:p>
    <w:tbl>
      <w:tblPr>
        <w:tblW w:w="0" w:type="auto"/>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9"/>
        <w:gridCol w:w="6758"/>
      </w:tblGrid>
      <w:tr w:rsidR="00A51D7B" w14:paraId="1D52B61D" w14:textId="77777777">
        <w:trPr>
          <w:trHeight w:val="974"/>
        </w:trPr>
        <w:tc>
          <w:tcPr>
            <w:tcW w:w="2259" w:type="dxa"/>
          </w:tcPr>
          <w:p w14:paraId="3463058D" w14:textId="77777777" w:rsidR="00A51D7B" w:rsidRDefault="00A51D7B">
            <w:pPr>
              <w:pStyle w:val="TableParagraph"/>
              <w:spacing w:before="9"/>
              <w:rPr>
                <w:sz w:val="19"/>
              </w:rPr>
            </w:pPr>
          </w:p>
          <w:p w14:paraId="55D8B030" w14:textId="77777777" w:rsidR="00A51D7B" w:rsidRDefault="00B25E35">
            <w:pPr>
              <w:pStyle w:val="TableParagraph"/>
              <w:ind w:left="124"/>
              <w:rPr>
                <w:sz w:val="21"/>
              </w:rPr>
            </w:pPr>
            <w:proofErr w:type="spellStart"/>
            <w:r>
              <w:rPr>
                <w:color w:val="3D3D3D"/>
                <w:w w:val="105"/>
                <w:sz w:val="21"/>
              </w:rPr>
              <w:t>AusTender</w:t>
            </w:r>
            <w:proofErr w:type="spellEnd"/>
            <w:r>
              <w:rPr>
                <w:color w:val="3D3D3D"/>
                <w:w w:val="105"/>
                <w:sz w:val="21"/>
              </w:rPr>
              <w:t xml:space="preserve"> ID(s)</w:t>
            </w:r>
          </w:p>
        </w:tc>
        <w:tc>
          <w:tcPr>
            <w:tcW w:w="6758" w:type="dxa"/>
          </w:tcPr>
          <w:p w14:paraId="74EC0397" w14:textId="77777777" w:rsidR="00A51D7B" w:rsidRPr="00B25E35" w:rsidRDefault="00B25E35">
            <w:pPr>
              <w:pStyle w:val="TableParagraph"/>
              <w:spacing w:before="228"/>
              <w:ind w:left="135"/>
              <w:rPr>
                <w:b/>
                <w:sz w:val="23"/>
              </w:rPr>
            </w:pPr>
            <w:r w:rsidRPr="00B25E35">
              <w:rPr>
                <w:b/>
                <w:color w:val="3D3D3D"/>
                <w:sz w:val="23"/>
              </w:rPr>
              <w:t>RFT70019059</w:t>
            </w:r>
          </w:p>
        </w:tc>
      </w:tr>
      <w:tr w:rsidR="00A51D7B" w14:paraId="578B6AB1" w14:textId="77777777">
        <w:trPr>
          <w:trHeight w:val="1252"/>
        </w:trPr>
        <w:tc>
          <w:tcPr>
            <w:tcW w:w="2259" w:type="dxa"/>
          </w:tcPr>
          <w:p w14:paraId="09212C90" w14:textId="77777777" w:rsidR="00A51D7B" w:rsidRDefault="00A51D7B">
            <w:pPr>
              <w:pStyle w:val="TableParagraph"/>
              <w:spacing w:before="9"/>
              <w:rPr>
                <w:sz w:val="19"/>
              </w:rPr>
            </w:pPr>
          </w:p>
          <w:p w14:paraId="58B7425D" w14:textId="77777777" w:rsidR="00A51D7B" w:rsidRDefault="00B25E35">
            <w:pPr>
              <w:pStyle w:val="TableParagraph"/>
              <w:spacing w:line="276" w:lineRule="auto"/>
              <w:ind w:left="118" w:right="98" w:firstLine="1"/>
              <w:rPr>
                <w:sz w:val="21"/>
              </w:rPr>
            </w:pPr>
            <w:r>
              <w:rPr>
                <w:color w:val="3D3D3D"/>
                <w:w w:val="105"/>
                <w:sz w:val="21"/>
              </w:rPr>
              <w:t>Tender(s) Close Date and Time</w:t>
            </w:r>
          </w:p>
        </w:tc>
        <w:tc>
          <w:tcPr>
            <w:tcW w:w="6758" w:type="dxa"/>
          </w:tcPr>
          <w:p w14:paraId="0979D084" w14:textId="77777777" w:rsidR="00A51D7B" w:rsidRDefault="00A51D7B">
            <w:pPr>
              <w:pStyle w:val="TableParagraph"/>
              <w:spacing w:before="9"/>
              <w:rPr>
                <w:sz w:val="19"/>
              </w:rPr>
            </w:pPr>
          </w:p>
          <w:p w14:paraId="21410C8E" w14:textId="36267EED" w:rsidR="00A51D7B" w:rsidRDefault="00635796">
            <w:pPr>
              <w:pStyle w:val="TableParagraph"/>
              <w:ind w:left="125"/>
              <w:rPr>
                <w:sz w:val="21"/>
              </w:rPr>
            </w:pPr>
            <w:r>
              <w:rPr>
                <w:color w:val="3D3D3D"/>
                <w:w w:val="105"/>
                <w:sz w:val="21"/>
              </w:rPr>
              <w:t>7</w:t>
            </w:r>
            <w:r w:rsidR="00B25E35">
              <w:rPr>
                <w:color w:val="3D3D3D"/>
                <w:w w:val="105"/>
                <w:sz w:val="21"/>
              </w:rPr>
              <w:t>/0</w:t>
            </w:r>
            <w:r w:rsidR="005C4DF3">
              <w:rPr>
                <w:color w:val="3D3D3D"/>
                <w:w w:val="105"/>
                <w:sz w:val="21"/>
              </w:rPr>
              <w:t>8</w:t>
            </w:r>
            <w:r w:rsidR="00B25E35">
              <w:rPr>
                <w:color w:val="3D3D3D"/>
                <w:w w:val="105"/>
                <w:sz w:val="21"/>
              </w:rPr>
              <w:t>/2024 at 2:00 PM</w:t>
            </w:r>
          </w:p>
        </w:tc>
      </w:tr>
      <w:tr w:rsidR="00A51D7B" w14:paraId="12D3C84F" w14:textId="77777777">
        <w:trPr>
          <w:trHeight w:val="513"/>
        </w:trPr>
        <w:tc>
          <w:tcPr>
            <w:tcW w:w="2259" w:type="dxa"/>
          </w:tcPr>
          <w:p w14:paraId="1A88F09B" w14:textId="77777777" w:rsidR="00A51D7B" w:rsidRDefault="00A51D7B">
            <w:pPr>
              <w:pStyle w:val="TableParagraph"/>
              <w:spacing w:before="9"/>
              <w:rPr>
                <w:sz w:val="19"/>
              </w:rPr>
            </w:pPr>
          </w:p>
          <w:p w14:paraId="128317CB" w14:textId="77777777" w:rsidR="00A51D7B" w:rsidRDefault="00B25E35">
            <w:pPr>
              <w:pStyle w:val="TableParagraph"/>
              <w:ind w:left="118"/>
              <w:rPr>
                <w:sz w:val="21"/>
              </w:rPr>
            </w:pPr>
            <w:r>
              <w:rPr>
                <w:color w:val="3D3D3D"/>
                <w:w w:val="105"/>
                <w:sz w:val="21"/>
              </w:rPr>
              <w:t>Procuring Entity</w:t>
            </w:r>
          </w:p>
        </w:tc>
        <w:tc>
          <w:tcPr>
            <w:tcW w:w="6758" w:type="dxa"/>
          </w:tcPr>
          <w:p w14:paraId="4A34840A" w14:textId="77777777" w:rsidR="00A51D7B" w:rsidRDefault="00A51D7B">
            <w:pPr>
              <w:pStyle w:val="TableParagraph"/>
              <w:spacing w:before="9"/>
              <w:rPr>
                <w:sz w:val="19"/>
              </w:rPr>
            </w:pPr>
          </w:p>
          <w:p w14:paraId="5BBA3D70" w14:textId="77777777" w:rsidR="00A51D7B" w:rsidRDefault="00B25E35">
            <w:pPr>
              <w:pStyle w:val="TableParagraph"/>
              <w:ind w:left="122"/>
              <w:rPr>
                <w:sz w:val="21"/>
              </w:rPr>
            </w:pPr>
            <w:r>
              <w:rPr>
                <w:color w:val="3D3D3D"/>
                <w:w w:val="105"/>
                <w:sz w:val="21"/>
              </w:rPr>
              <w:t>Department of Social Services</w:t>
            </w:r>
          </w:p>
        </w:tc>
      </w:tr>
      <w:tr w:rsidR="00A51D7B" w14:paraId="02ECEA65" w14:textId="77777777">
        <w:trPr>
          <w:trHeight w:val="1435"/>
        </w:trPr>
        <w:tc>
          <w:tcPr>
            <w:tcW w:w="2259" w:type="dxa"/>
          </w:tcPr>
          <w:p w14:paraId="61B83146" w14:textId="77777777" w:rsidR="00A51D7B" w:rsidRDefault="00A51D7B">
            <w:pPr>
              <w:pStyle w:val="TableParagraph"/>
              <w:spacing w:before="9"/>
              <w:rPr>
                <w:sz w:val="19"/>
              </w:rPr>
            </w:pPr>
          </w:p>
          <w:p w14:paraId="72473B92" w14:textId="77777777" w:rsidR="00A51D7B" w:rsidRDefault="00B25E35">
            <w:pPr>
              <w:pStyle w:val="TableParagraph"/>
              <w:ind w:left="118"/>
              <w:rPr>
                <w:sz w:val="21"/>
              </w:rPr>
            </w:pPr>
            <w:r>
              <w:rPr>
                <w:color w:val="3D3D3D"/>
                <w:w w:val="105"/>
                <w:sz w:val="21"/>
              </w:rPr>
              <w:t>Contact Officer</w:t>
            </w:r>
          </w:p>
        </w:tc>
        <w:tc>
          <w:tcPr>
            <w:tcW w:w="6758" w:type="dxa"/>
          </w:tcPr>
          <w:p w14:paraId="31C53485" w14:textId="77777777" w:rsidR="00A51D7B" w:rsidRDefault="00A51D7B">
            <w:pPr>
              <w:pStyle w:val="TableParagraph"/>
              <w:spacing w:before="7"/>
              <w:rPr>
                <w:sz w:val="20"/>
              </w:rPr>
            </w:pPr>
          </w:p>
          <w:p w14:paraId="757C9C1E" w14:textId="24E31699" w:rsidR="00A51D7B" w:rsidRPr="00B25E35" w:rsidRDefault="00635796" w:rsidP="00B25E35">
            <w:pPr>
              <w:pStyle w:val="TableParagraph"/>
              <w:ind w:left="12"/>
              <w:rPr>
                <w:b/>
                <w:sz w:val="20"/>
              </w:rPr>
            </w:pPr>
            <w:r>
              <w:rPr>
                <w:b/>
                <w:color w:val="3D3D3D"/>
                <w:w w:val="105"/>
                <w:sz w:val="20"/>
              </w:rPr>
              <w:t xml:space="preserve"> </w:t>
            </w:r>
            <w:r w:rsidR="00B25E35" w:rsidRPr="00B25E35">
              <w:rPr>
                <w:b/>
                <w:color w:val="3D3D3D"/>
                <w:w w:val="105"/>
                <w:sz w:val="20"/>
              </w:rPr>
              <w:t>Mike</w:t>
            </w:r>
            <w:r w:rsidR="00B25E35" w:rsidRPr="00B25E35">
              <w:rPr>
                <w:b/>
                <w:color w:val="3D3D3D"/>
                <w:spacing w:val="-18"/>
                <w:w w:val="105"/>
                <w:sz w:val="20"/>
              </w:rPr>
              <w:t xml:space="preserve"> </w:t>
            </w:r>
            <w:proofErr w:type="spellStart"/>
            <w:r w:rsidR="00B25E35" w:rsidRPr="00B25E35">
              <w:rPr>
                <w:b/>
                <w:color w:val="3D3D3D"/>
                <w:w w:val="105"/>
                <w:sz w:val="20"/>
              </w:rPr>
              <w:t>Hanbidge</w:t>
            </w:r>
            <w:proofErr w:type="spellEnd"/>
          </w:p>
          <w:p w14:paraId="487E27E1" w14:textId="77777777" w:rsidR="00A51D7B" w:rsidRPr="00B25E35" w:rsidRDefault="00A51D7B" w:rsidP="00B25E35">
            <w:pPr>
              <w:pStyle w:val="TableParagraph"/>
              <w:spacing w:before="3"/>
              <w:rPr>
                <w:sz w:val="19"/>
              </w:rPr>
            </w:pPr>
          </w:p>
          <w:p w14:paraId="2ACCBBAE" w14:textId="36E6C007" w:rsidR="00A51D7B" w:rsidRPr="00B25E35" w:rsidRDefault="00635796" w:rsidP="00B25E35">
            <w:pPr>
              <w:pStyle w:val="TableParagraph"/>
              <w:spacing w:before="1"/>
              <w:rPr>
                <w:b/>
                <w:sz w:val="23"/>
              </w:rPr>
            </w:pPr>
            <w:r>
              <w:rPr>
                <w:b/>
                <w:color w:val="3D3D3D"/>
                <w:w w:val="90"/>
                <w:sz w:val="23"/>
              </w:rPr>
              <w:t xml:space="preserve"> </w:t>
            </w:r>
            <w:r w:rsidR="00B25E35" w:rsidRPr="00B25E35">
              <w:rPr>
                <w:b/>
                <w:color w:val="3D3D3D"/>
                <w:w w:val="90"/>
                <w:sz w:val="23"/>
              </w:rPr>
              <w:t>(02)6146</w:t>
            </w:r>
            <w:r w:rsidR="00B25E35" w:rsidRPr="00B25E35">
              <w:rPr>
                <w:b/>
                <w:color w:val="3D3D3D"/>
                <w:spacing w:val="-85"/>
                <w:w w:val="90"/>
                <w:sz w:val="23"/>
              </w:rPr>
              <w:t xml:space="preserve"> </w:t>
            </w:r>
            <w:r w:rsidR="00B25E35" w:rsidRPr="00B25E35">
              <w:rPr>
                <w:b/>
                <w:color w:val="3D3D3D"/>
                <w:w w:val="90"/>
                <w:sz w:val="23"/>
              </w:rPr>
              <w:t>6431</w:t>
            </w:r>
          </w:p>
          <w:p w14:paraId="0B48CCFE" w14:textId="77777777" w:rsidR="00A51D7B" w:rsidRDefault="00000000">
            <w:pPr>
              <w:pStyle w:val="TableParagraph"/>
              <w:spacing w:before="194"/>
              <w:ind w:left="118"/>
              <w:rPr>
                <w:sz w:val="21"/>
              </w:rPr>
            </w:pPr>
            <w:hyperlink r:id="rId7">
              <w:r w:rsidR="00B25E35">
                <w:rPr>
                  <w:color w:val="3D3D3D"/>
                  <w:w w:val="105"/>
                  <w:sz w:val="21"/>
                </w:rPr>
                <w:t>Mike.Hanbidge@dss.gov.au</w:t>
              </w:r>
            </w:hyperlink>
          </w:p>
        </w:tc>
      </w:tr>
      <w:tr w:rsidR="00A51D7B" w14:paraId="5A672924" w14:textId="77777777">
        <w:trPr>
          <w:trHeight w:val="513"/>
        </w:trPr>
        <w:tc>
          <w:tcPr>
            <w:tcW w:w="2259" w:type="dxa"/>
          </w:tcPr>
          <w:p w14:paraId="55E8C80E" w14:textId="77777777" w:rsidR="00A51D7B" w:rsidRDefault="00A51D7B">
            <w:pPr>
              <w:pStyle w:val="TableParagraph"/>
              <w:spacing w:before="9"/>
              <w:rPr>
                <w:sz w:val="19"/>
              </w:rPr>
            </w:pPr>
          </w:p>
          <w:p w14:paraId="5E4FB719" w14:textId="77777777" w:rsidR="00A51D7B" w:rsidRDefault="00B25E35">
            <w:pPr>
              <w:pStyle w:val="TableParagraph"/>
              <w:ind w:left="118"/>
              <w:rPr>
                <w:sz w:val="21"/>
              </w:rPr>
            </w:pPr>
            <w:r>
              <w:rPr>
                <w:color w:val="3D3D3D"/>
                <w:w w:val="105"/>
                <w:sz w:val="21"/>
              </w:rPr>
              <w:t>Category (UNSPSC)</w:t>
            </w:r>
          </w:p>
        </w:tc>
        <w:tc>
          <w:tcPr>
            <w:tcW w:w="6758" w:type="dxa"/>
          </w:tcPr>
          <w:p w14:paraId="33302E26" w14:textId="77777777" w:rsidR="00A51D7B" w:rsidRDefault="00B25E35">
            <w:pPr>
              <w:pStyle w:val="TableParagraph"/>
              <w:spacing w:before="228"/>
              <w:ind w:left="105"/>
              <w:rPr>
                <w:rFonts w:ascii="Courier New"/>
                <w:b/>
                <w:sz w:val="23"/>
              </w:rPr>
            </w:pPr>
            <w:r>
              <w:rPr>
                <w:rFonts w:ascii="Courier New"/>
                <w:b/>
                <w:color w:val="3D3D3D"/>
                <w:sz w:val="23"/>
              </w:rPr>
              <w:t>93140000</w:t>
            </w:r>
          </w:p>
        </w:tc>
      </w:tr>
      <w:tr w:rsidR="00A51D7B" w14:paraId="467EB253" w14:textId="77777777">
        <w:trPr>
          <w:trHeight w:val="5967"/>
        </w:trPr>
        <w:tc>
          <w:tcPr>
            <w:tcW w:w="2259" w:type="dxa"/>
          </w:tcPr>
          <w:p w14:paraId="42A232E7" w14:textId="77777777" w:rsidR="00A51D7B" w:rsidRDefault="00A51D7B">
            <w:pPr>
              <w:pStyle w:val="TableParagraph"/>
              <w:spacing w:before="9"/>
              <w:rPr>
                <w:sz w:val="19"/>
              </w:rPr>
            </w:pPr>
          </w:p>
          <w:p w14:paraId="6387A62D" w14:textId="77777777" w:rsidR="00A51D7B" w:rsidRDefault="00B25E35">
            <w:pPr>
              <w:pStyle w:val="TableParagraph"/>
              <w:ind w:left="118"/>
              <w:rPr>
                <w:sz w:val="21"/>
              </w:rPr>
            </w:pPr>
            <w:r>
              <w:rPr>
                <w:color w:val="3D3D3D"/>
                <w:w w:val="105"/>
                <w:sz w:val="21"/>
              </w:rPr>
              <w:t>Description</w:t>
            </w:r>
          </w:p>
        </w:tc>
        <w:tc>
          <w:tcPr>
            <w:tcW w:w="6758" w:type="dxa"/>
          </w:tcPr>
          <w:p w14:paraId="65FEF984" w14:textId="77777777" w:rsidR="00A51D7B" w:rsidRDefault="00A51D7B">
            <w:pPr>
              <w:pStyle w:val="TableParagraph"/>
              <w:spacing w:before="4"/>
              <w:rPr>
                <w:sz w:val="19"/>
              </w:rPr>
            </w:pPr>
          </w:p>
          <w:p w14:paraId="01B72FBF" w14:textId="77777777" w:rsidR="00A51D7B" w:rsidRDefault="00B25E35">
            <w:pPr>
              <w:pStyle w:val="TableParagraph"/>
              <w:spacing w:line="278" w:lineRule="auto"/>
              <w:ind w:left="116" w:right="77" w:firstLine="2"/>
              <w:rPr>
                <w:sz w:val="21"/>
              </w:rPr>
            </w:pPr>
            <w:r>
              <w:rPr>
                <w:color w:val="3D3D3D"/>
                <w:w w:val="105"/>
                <w:sz w:val="21"/>
              </w:rPr>
              <w:t>This procurement is planned to engage a Supplier to operate the established Complaints Resolution and Referral Service and Hotline Services.</w:t>
            </w:r>
          </w:p>
          <w:p w14:paraId="6BAF705A" w14:textId="77777777" w:rsidR="00A51D7B" w:rsidRDefault="00B25E35">
            <w:pPr>
              <w:pStyle w:val="TableParagraph"/>
              <w:spacing w:before="178"/>
              <w:ind w:left="119"/>
              <w:rPr>
                <w:b/>
                <w:sz w:val="21"/>
              </w:rPr>
            </w:pPr>
            <w:r>
              <w:rPr>
                <w:b/>
                <w:color w:val="3D3D3D"/>
                <w:w w:val="105"/>
                <w:sz w:val="21"/>
              </w:rPr>
              <w:t>The Hotline</w:t>
            </w:r>
          </w:p>
          <w:p w14:paraId="44760EDB" w14:textId="77777777" w:rsidR="00A51D7B" w:rsidRDefault="00A51D7B">
            <w:pPr>
              <w:pStyle w:val="TableParagraph"/>
              <w:spacing w:before="7"/>
              <w:rPr>
                <w:sz w:val="18"/>
              </w:rPr>
            </w:pPr>
          </w:p>
          <w:p w14:paraId="0024B02B" w14:textId="77777777" w:rsidR="00A51D7B" w:rsidRDefault="00B25E35">
            <w:pPr>
              <w:pStyle w:val="TableParagraph"/>
              <w:spacing w:line="278" w:lineRule="auto"/>
              <w:ind w:left="116" w:firstLine="2"/>
              <w:rPr>
                <w:sz w:val="21"/>
              </w:rPr>
            </w:pPr>
            <w:r>
              <w:rPr>
                <w:color w:val="3D3D3D"/>
                <w:w w:val="105"/>
                <w:sz w:val="21"/>
              </w:rPr>
              <w:t>The Hotline was established to provide a national service to report abuse and neglect of people with disability in Australian Government, State and Territory funded services, and to ensure appropriate referral of the reports. People with disability, parents/carers, advocates, service delivery personnel, and health professionals can use the Hotline.</w:t>
            </w:r>
          </w:p>
          <w:p w14:paraId="1A871579" w14:textId="77777777" w:rsidR="00A51D7B" w:rsidRDefault="00B25E35">
            <w:pPr>
              <w:pStyle w:val="TableParagraph"/>
              <w:spacing w:before="173" w:line="276" w:lineRule="auto"/>
              <w:ind w:left="117" w:right="63" w:firstLine="2"/>
              <w:rPr>
                <w:sz w:val="21"/>
              </w:rPr>
            </w:pPr>
            <w:r>
              <w:rPr>
                <w:color w:val="3D3D3D"/>
                <w:w w:val="105"/>
                <w:sz w:val="21"/>
              </w:rPr>
              <w:t>The Hotline provides a complementary referral service to the complaints handling mechanisms of the States and Territories, as well as other complaints handling bodies such as the Ombudsman, Anti-Discrimination Boards and the Complaints Resolution and Referral Service</w:t>
            </w:r>
            <w:r>
              <w:rPr>
                <w:color w:val="6E6E6E"/>
                <w:w w:val="105"/>
                <w:sz w:val="21"/>
              </w:rPr>
              <w:t>.</w:t>
            </w:r>
          </w:p>
          <w:p w14:paraId="4B4F911C" w14:textId="77777777" w:rsidR="00A51D7B" w:rsidRDefault="00B25E35">
            <w:pPr>
              <w:pStyle w:val="TableParagraph"/>
              <w:spacing w:before="143" w:line="280" w:lineRule="atLeast"/>
              <w:ind w:left="119" w:right="299"/>
              <w:jc w:val="both"/>
              <w:rPr>
                <w:sz w:val="21"/>
              </w:rPr>
            </w:pPr>
            <w:r>
              <w:rPr>
                <w:color w:val="3D3D3D"/>
                <w:w w:val="105"/>
                <w:sz w:val="21"/>
              </w:rPr>
              <w:t>The</w:t>
            </w:r>
            <w:r>
              <w:rPr>
                <w:color w:val="3D3D3D"/>
                <w:spacing w:val="-7"/>
                <w:w w:val="105"/>
                <w:sz w:val="21"/>
              </w:rPr>
              <w:t xml:space="preserve"> </w:t>
            </w:r>
            <w:r>
              <w:rPr>
                <w:color w:val="3D3D3D"/>
                <w:w w:val="105"/>
                <w:sz w:val="21"/>
              </w:rPr>
              <w:t>Hotline</w:t>
            </w:r>
            <w:r>
              <w:rPr>
                <w:color w:val="3D3D3D"/>
                <w:spacing w:val="1"/>
                <w:w w:val="105"/>
                <w:sz w:val="21"/>
              </w:rPr>
              <w:t xml:space="preserve"> </w:t>
            </w:r>
            <w:r>
              <w:rPr>
                <w:color w:val="3D3D3D"/>
                <w:w w:val="105"/>
                <w:sz w:val="21"/>
              </w:rPr>
              <w:t>works</w:t>
            </w:r>
            <w:r>
              <w:rPr>
                <w:color w:val="3D3D3D"/>
                <w:spacing w:val="-5"/>
                <w:w w:val="105"/>
                <w:sz w:val="21"/>
              </w:rPr>
              <w:t xml:space="preserve"> </w:t>
            </w:r>
            <w:r>
              <w:rPr>
                <w:color w:val="3D3D3D"/>
                <w:w w:val="105"/>
                <w:sz w:val="21"/>
              </w:rPr>
              <w:t>with</w:t>
            </w:r>
            <w:r>
              <w:rPr>
                <w:color w:val="3D3D3D"/>
                <w:spacing w:val="-8"/>
                <w:w w:val="105"/>
                <w:sz w:val="21"/>
              </w:rPr>
              <w:t xml:space="preserve"> </w:t>
            </w:r>
            <w:r>
              <w:rPr>
                <w:color w:val="3D3D3D"/>
                <w:w w:val="105"/>
                <w:sz w:val="21"/>
              </w:rPr>
              <w:t>callers</w:t>
            </w:r>
            <w:r>
              <w:rPr>
                <w:color w:val="3D3D3D"/>
                <w:spacing w:val="1"/>
                <w:w w:val="105"/>
                <w:sz w:val="21"/>
              </w:rPr>
              <w:t xml:space="preserve"> </w:t>
            </w:r>
            <w:r>
              <w:rPr>
                <w:color w:val="3D3D3D"/>
                <w:w w:val="105"/>
                <w:sz w:val="21"/>
              </w:rPr>
              <w:t>to</w:t>
            </w:r>
            <w:r>
              <w:rPr>
                <w:color w:val="3D3D3D"/>
                <w:spacing w:val="-11"/>
                <w:w w:val="105"/>
                <w:sz w:val="21"/>
              </w:rPr>
              <w:t xml:space="preserve"> </w:t>
            </w:r>
            <w:r>
              <w:rPr>
                <w:color w:val="3D3D3D"/>
                <w:w w:val="105"/>
                <w:sz w:val="21"/>
              </w:rPr>
              <w:t>find</w:t>
            </w:r>
            <w:r>
              <w:rPr>
                <w:color w:val="3D3D3D"/>
                <w:spacing w:val="-7"/>
                <w:w w:val="105"/>
                <w:sz w:val="21"/>
              </w:rPr>
              <w:t xml:space="preserve"> </w:t>
            </w:r>
            <w:r>
              <w:rPr>
                <w:color w:val="3D3D3D"/>
                <w:w w:val="105"/>
                <w:sz w:val="21"/>
              </w:rPr>
              <w:t>appropriate</w:t>
            </w:r>
            <w:r>
              <w:rPr>
                <w:color w:val="3D3D3D"/>
                <w:spacing w:val="3"/>
                <w:w w:val="105"/>
                <w:sz w:val="21"/>
              </w:rPr>
              <w:t xml:space="preserve"> </w:t>
            </w:r>
            <w:r>
              <w:rPr>
                <w:color w:val="3D3D3D"/>
                <w:w w:val="105"/>
                <w:sz w:val="21"/>
              </w:rPr>
              <w:t>ways</w:t>
            </w:r>
            <w:r>
              <w:rPr>
                <w:color w:val="3D3D3D"/>
                <w:spacing w:val="-4"/>
                <w:w w:val="105"/>
                <w:sz w:val="21"/>
              </w:rPr>
              <w:t xml:space="preserve"> </w:t>
            </w:r>
            <w:r>
              <w:rPr>
                <w:color w:val="3D3D3D"/>
                <w:w w:val="105"/>
                <w:sz w:val="21"/>
              </w:rPr>
              <w:t>of</w:t>
            </w:r>
            <w:r>
              <w:rPr>
                <w:color w:val="3D3D3D"/>
                <w:spacing w:val="-14"/>
                <w:w w:val="105"/>
                <w:sz w:val="21"/>
              </w:rPr>
              <w:t xml:space="preserve"> </w:t>
            </w:r>
            <w:r>
              <w:rPr>
                <w:color w:val="3D3D3D"/>
                <w:w w:val="105"/>
                <w:sz w:val="21"/>
              </w:rPr>
              <w:t>dealing with reports of abuse or neglect through referral, information and support.</w:t>
            </w:r>
          </w:p>
        </w:tc>
      </w:tr>
    </w:tbl>
    <w:p w14:paraId="058BED54" w14:textId="77777777" w:rsidR="00A51D7B" w:rsidRDefault="00A51D7B">
      <w:pPr>
        <w:spacing w:line="280" w:lineRule="atLeast"/>
        <w:jc w:val="both"/>
        <w:rPr>
          <w:sz w:val="21"/>
        </w:rPr>
        <w:sectPr w:rsidR="00A51D7B">
          <w:type w:val="continuous"/>
          <w:pgSz w:w="11910" w:h="16840"/>
          <w:pgMar w:top="1580" w:right="1300" w:bottom="280" w:left="1180" w:header="720" w:footer="720" w:gutter="0"/>
          <w:cols w:space="720"/>
        </w:sectPr>
      </w:pPr>
    </w:p>
    <w:p w14:paraId="641C5474" w14:textId="77777777" w:rsidR="00A51D7B" w:rsidRDefault="00B25E35">
      <w:pPr>
        <w:spacing w:before="83"/>
        <w:ind w:right="262"/>
        <w:jc w:val="right"/>
        <w:rPr>
          <w:b/>
          <w:sz w:val="13"/>
        </w:rPr>
      </w:pPr>
      <w:r>
        <w:rPr>
          <w:b/>
          <w:color w:val="4D4D4D"/>
          <w:w w:val="105"/>
          <w:sz w:val="13"/>
        </w:rPr>
        <w:lastRenderedPageBreak/>
        <w:t>Department of</w:t>
      </w:r>
      <w:r>
        <w:rPr>
          <w:b/>
          <w:color w:val="4D4D4D"/>
          <w:spacing w:val="19"/>
          <w:w w:val="105"/>
          <w:sz w:val="13"/>
        </w:rPr>
        <w:t xml:space="preserve"> </w:t>
      </w:r>
      <w:r>
        <w:rPr>
          <w:b/>
          <w:color w:val="4D4D4D"/>
          <w:w w:val="105"/>
          <w:sz w:val="13"/>
        </w:rPr>
        <w:t>Finance</w:t>
      </w:r>
    </w:p>
    <w:p w14:paraId="2DE0D509" w14:textId="77777777" w:rsidR="00A51D7B" w:rsidRDefault="00B25E35">
      <w:pPr>
        <w:spacing w:before="33"/>
        <w:ind w:right="261"/>
        <w:jc w:val="right"/>
        <w:rPr>
          <w:i/>
          <w:sz w:val="13"/>
        </w:rPr>
      </w:pPr>
      <w:r>
        <w:rPr>
          <w:color w:val="4D4D4D"/>
          <w:w w:val="105"/>
          <w:sz w:val="13"/>
        </w:rPr>
        <w:t xml:space="preserve">RMG-422: Handling complaints under the </w:t>
      </w:r>
      <w:r>
        <w:rPr>
          <w:i/>
          <w:color w:val="4D4D4D"/>
          <w:w w:val="105"/>
          <w:sz w:val="13"/>
        </w:rPr>
        <w:t xml:space="preserve">Government </w:t>
      </w:r>
      <w:proofErr w:type="gramStart"/>
      <w:r>
        <w:rPr>
          <w:i/>
          <w:color w:val="4D4D4D"/>
          <w:w w:val="105"/>
          <w:sz w:val="13"/>
        </w:rPr>
        <w:t>Procurement  (</w:t>
      </w:r>
      <w:proofErr w:type="gramEnd"/>
      <w:r>
        <w:rPr>
          <w:i/>
          <w:color w:val="4D4D4D"/>
          <w:w w:val="105"/>
          <w:sz w:val="13"/>
        </w:rPr>
        <w:t xml:space="preserve">Judicial Review) Act </w:t>
      </w:r>
      <w:r>
        <w:rPr>
          <w:i/>
          <w:color w:val="4D4D4D"/>
          <w:spacing w:val="8"/>
          <w:w w:val="105"/>
          <w:sz w:val="13"/>
        </w:rPr>
        <w:t xml:space="preserve"> </w:t>
      </w:r>
      <w:r>
        <w:rPr>
          <w:i/>
          <w:color w:val="4D4D4D"/>
          <w:w w:val="105"/>
          <w:sz w:val="13"/>
        </w:rPr>
        <w:t>2018</w:t>
      </w:r>
    </w:p>
    <w:p w14:paraId="25598D84" w14:textId="77777777" w:rsidR="00A51D7B" w:rsidRDefault="00A51D7B">
      <w:pPr>
        <w:pStyle w:val="BodyText"/>
        <w:rPr>
          <w:i/>
          <w:sz w:val="20"/>
        </w:rPr>
      </w:pPr>
    </w:p>
    <w:p w14:paraId="7796D339" w14:textId="77777777" w:rsidR="00A51D7B" w:rsidRDefault="00A51D7B">
      <w:pPr>
        <w:pStyle w:val="BodyText"/>
        <w:spacing w:before="4"/>
        <w:rPr>
          <w:i/>
          <w:sz w:val="24"/>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738"/>
      </w:tblGrid>
      <w:tr w:rsidR="00A51D7B" w14:paraId="7EE5EB7A" w14:textId="77777777">
        <w:trPr>
          <w:trHeight w:val="979"/>
        </w:trPr>
        <w:tc>
          <w:tcPr>
            <w:tcW w:w="2268" w:type="dxa"/>
            <w:tcBorders>
              <w:right w:val="single" w:sz="6" w:space="0" w:color="000000"/>
            </w:tcBorders>
          </w:tcPr>
          <w:p w14:paraId="70321C7A" w14:textId="77777777" w:rsidR="00A51D7B" w:rsidRDefault="00A51D7B">
            <w:pPr>
              <w:pStyle w:val="TableParagraph"/>
              <w:spacing w:before="6"/>
              <w:rPr>
                <w:i/>
                <w:sz w:val="19"/>
              </w:rPr>
            </w:pPr>
          </w:p>
          <w:p w14:paraId="4D7B6E61" w14:textId="77777777" w:rsidR="00A51D7B" w:rsidRDefault="00B25E35">
            <w:pPr>
              <w:pStyle w:val="TableParagraph"/>
              <w:spacing w:before="1"/>
              <w:ind w:left="105"/>
              <w:rPr>
                <w:sz w:val="21"/>
              </w:rPr>
            </w:pPr>
            <w:proofErr w:type="spellStart"/>
            <w:r>
              <w:rPr>
                <w:color w:val="4D4D4D"/>
                <w:w w:val="105"/>
                <w:sz w:val="21"/>
              </w:rPr>
              <w:t>AusTender</w:t>
            </w:r>
            <w:proofErr w:type="spellEnd"/>
            <w:r>
              <w:rPr>
                <w:color w:val="4D4D4D"/>
                <w:w w:val="105"/>
                <w:sz w:val="21"/>
              </w:rPr>
              <w:t xml:space="preserve"> ID(s)</w:t>
            </w:r>
          </w:p>
        </w:tc>
        <w:tc>
          <w:tcPr>
            <w:tcW w:w="6738" w:type="dxa"/>
            <w:tcBorders>
              <w:left w:val="single" w:sz="6" w:space="0" w:color="000000"/>
            </w:tcBorders>
          </w:tcPr>
          <w:p w14:paraId="13465509" w14:textId="77777777" w:rsidR="00A51D7B" w:rsidRDefault="00A51D7B">
            <w:pPr>
              <w:pStyle w:val="TableParagraph"/>
              <w:spacing w:before="6"/>
              <w:rPr>
                <w:i/>
                <w:sz w:val="19"/>
              </w:rPr>
            </w:pPr>
          </w:p>
          <w:p w14:paraId="0C38ECED" w14:textId="77777777" w:rsidR="00A51D7B" w:rsidRDefault="00B25E35">
            <w:pPr>
              <w:pStyle w:val="TableParagraph"/>
              <w:spacing w:before="1"/>
              <w:ind w:left="96"/>
              <w:rPr>
                <w:sz w:val="21"/>
              </w:rPr>
            </w:pPr>
            <w:r>
              <w:rPr>
                <w:color w:val="4D4D4D"/>
                <w:w w:val="105"/>
                <w:sz w:val="21"/>
              </w:rPr>
              <w:t>RFT70019059</w:t>
            </w:r>
          </w:p>
        </w:tc>
      </w:tr>
      <w:tr w:rsidR="00A51D7B" w14:paraId="7F4F550B" w14:textId="77777777">
        <w:trPr>
          <w:trHeight w:val="6236"/>
        </w:trPr>
        <w:tc>
          <w:tcPr>
            <w:tcW w:w="2268" w:type="dxa"/>
            <w:tcBorders>
              <w:right w:val="single" w:sz="6" w:space="0" w:color="000000"/>
            </w:tcBorders>
          </w:tcPr>
          <w:p w14:paraId="5587AE0A" w14:textId="77777777" w:rsidR="00A51D7B" w:rsidRDefault="00A51D7B">
            <w:pPr>
              <w:pStyle w:val="TableParagraph"/>
              <w:rPr>
                <w:rFonts w:ascii="Times New Roman"/>
                <w:sz w:val="20"/>
              </w:rPr>
            </w:pPr>
          </w:p>
        </w:tc>
        <w:tc>
          <w:tcPr>
            <w:tcW w:w="6738" w:type="dxa"/>
            <w:tcBorders>
              <w:left w:val="single" w:sz="6" w:space="0" w:color="000000"/>
            </w:tcBorders>
          </w:tcPr>
          <w:p w14:paraId="512CA640" w14:textId="77777777" w:rsidR="00A51D7B" w:rsidRDefault="00B25E35">
            <w:pPr>
              <w:pStyle w:val="TableParagraph"/>
              <w:spacing w:before="167"/>
              <w:ind w:left="98"/>
              <w:rPr>
                <w:b/>
                <w:sz w:val="21"/>
              </w:rPr>
            </w:pPr>
            <w:r>
              <w:rPr>
                <w:b/>
                <w:color w:val="4D4D4D"/>
                <w:sz w:val="21"/>
              </w:rPr>
              <w:t>CRRS</w:t>
            </w:r>
          </w:p>
          <w:p w14:paraId="38F2BF51" w14:textId="77777777" w:rsidR="00A51D7B" w:rsidRDefault="00A51D7B">
            <w:pPr>
              <w:pStyle w:val="TableParagraph"/>
              <w:spacing w:before="8"/>
              <w:rPr>
                <w:i/>
                <w:sz w:val="18"/>
              </w:rPr>
            </w:pPr>
          </w:p>
          <w:p w14:paraId="53A246A3" w14:textId="77777777" w:rsidR="00A51D7B" w:rsidRDefault="00B25E35">
            <w:pPr>
              <w:pStyle w:val="TableParagraph"/>
              <w:spacing w:line="278" w:lineRule="auto"/>
              <w:ind w:left="100" w:hanging="2"/>
              <w:rPr>
                <w:sz w:val="21"/>
              </w:rPr>
            </w:pPr>
            <w:r>
              <w:rPr>
                <w:color w:val="4D4D4D"/>
                <w:w w:val="105"/>
                <w:sz w:val="21"/>
              </w:rPr>
              <w:t>The Complaints Resolution and Referral Service (CRRS) assists with the resolution of complaints from users of Australian Disability Enterprises (ADEs), advocacy services and users of disability employment services funded by the Australian Government.</w:t>
            </w:r>
          </w:p>
          <w:p w14:paraId="137CCE9C" w14:textId="77777777" w:rsidR="00A51D7B" w:rsidRDefault="00B25E35">
            <w:pPr>
              <w:pStyle w:val="TableParagraph"/>
              <w:spacing w:before="181" w:line="278" w:lineRule="auto"/>
              <w:ind w:left="104" w:right="133" w:hanging="1"/>
              <w:rPr>
                <w:sz w:val="21"/>
              </w:rPr>
            </w:pPr>
            <w:r>
              <w:rPr>
                <w:color w:val="4D4D4D"/>
                <w:w w:val="105"/>
                <w:sz w:val="21"/>
              </w:rPr>
              <w:t>The CRRS was established to complement internal dispute resolution mechanisms of service providers, by providing an independent complaints option with a focus on facilitating and encouraging local resolution of issues between service users and service providers, or referral of problems to a more suitable body or jurisdiction where appropriate</w:t>
            </w:r>
            <w:r>
              <w:rPr>
                <w:color w:val="7B7B7B"/>
                <w:w w:val="105"/>
                <w:sz w:val="21"/>
              </w:rPr>
              <w:t>.</w:t>
            </w:r>
          </w:p>
          <w:p w14:paraId="360EDFA9" w14:textId="77777777" w:rsidR="00A51D7B" w:rsidRDefault="00B25E35">
            <w:pPr>
              <w:pStyle w:val="TableParagraph"/>
              <w:spacing w:before="177"/>
              <w:ind w:left="113"/>
              <w:rPr>
                <w:sz w:val="21"/>
              </w:rPr>
            </w:pPr>
            <w:r>
              <w:rPr>
                <w:color w:val="4D4D4D"/>
                <w:w w:val="105"/>
                <w:sz w:val="21"/>
              </w:rPr>
              <w:t>The procurement includes:</w:t>
            </w:r>
          </w:p>
          <w:p w14:paraId="73A71794" w14:textId="77777777" w:rsidR="00A51D7B" w:rsidRDefault="00A51D7B">
            <w:pPr>
              <w:pStyle w:val="TableParagraph"/>
              <w:spacing w:before="3"/>
              <w:rPr>
                <w:i/>
                <w:sz w:val="18"/>
              </w:rPr>
            </w:pPr>
          </w:p>
          <w:p w14:paraId="6C408A04" w14:textId="77777777" w:rsidR="00A51D7B" w:rsidRDefault="00B25E35">
            <w:pPr>
              <w:pStyle w:val="TableParagraph"/>
              <w:numPr>
                <w:ilvl w:val="0"/>
                <w:numId w:val="1"/>
              </w:numPr>
              <w:tabs>
                <w:tab w:val="left" w:pos="826"/>
                <w:tab w:val="left" w:pos="827"/>
              </w:tabs>
              <w:spacing w:line="256" w:lineRule="auto"/>
              <w:ind w:right="194" w:hanging="361"/>
              <w:rPr>
                <w:sz w:val="21"/>
              </w:rPr>
            </w:pPr>
            <w:r>
              <w:rPr>
                <w:color w:val="4D4D4D"/>
                <w:w w:val="105"/>
                <w:sz w:val="21"/>
              </w:rPr>
              <w:t>a single stage open market tender approach via a</w:t>
            </w:r>
            <w:r>
              <w:rPr>
                <w:color w:val="4D4D4D"/>
                <w:spacing w:val="-45"/>
                <w:w w:val="105"/>
                <w:sz w:val="21"/>
              </w:rPr>
              <w:t xml:space="preserve"> </w:t>
            </w:r>
            <w:r>
              <w:rPr>
                <w:color w:val="4D4D4D"/>
                <w:w w:val="105"/>
                <w:sz w:val="21"/>
              </w:rPr>
              <w:t xml:space="preserve">Request for Tender </w:t>
            </w:r>
            <w:r>
              <w:rPr>
                <w:b/>
                <w:color w:val="4D4D4D"/>
                <w:w w:val="105"/>
                <w:sz w:val="21"/>
              </w:rPr>
              <w:t>(RFT};</w:t>
            </w:r>
            <w:r>
              <w:rPr>
                <w:b/>
                <w:color w:val="4D4D4D"/>
                <w:spacing w:val="5"/>
                <w:w w:val="105"/>
                <w:sz w:val="21"/>
              </w:rPr>
              <w:t xml:space="preserve"> </w:t>
            </w:r>
            <w:r>
              <w:rPr>
                <w:color w:val="4D4D4D"/>
                <w:w w:val="105"/>
                <w:sz w:val="21"/>
              </w:rPr>
              <w:t>and</w:t>
            </w:r>
          </w:p>
          <w:p w14:paraId="02FBA209" w14:textId="77777777" w:rsidR="00A51D7B" w:rsidRDefault="00A51D7B">
            <w:pPr>
              <w:pStyle w:val="TableParagraph"/>
              <w:spacing w:before="8"/>
              <w:rPr>
                <w:i/>
                <w:sz w:val="17"/>
              </w:rPr>
            </w:pPr>
          </w:p>
          <w:p w14:paraId="0A83DA03" w14:textId="77777777" w:rsidR="00A51D7B" w:rsidRDefault="00B25E35">
            <w:pPr>
              <w:pStyle w:val="TableParagraph"/>
              <w:numPr>
                <w:ilvl w:val="0"/>
                <w:numId w:val="1"/>
              </w:numPr>
              <w:tabs>
                <w:tab w:val="left" w:pos="826"/>
                <w:tab w:val="left" w:pos="827"/>
              </w:tabs>
              <w:spacing w:line="259" w:lineRule="auto"/>
              <w:ind w:left="830" w:right="98" w:hanging="359"/>
              <w:rPr>
                <w:sz w:val="21"/>
              </w:rPr>
            </w:pPr>
            <w:r>
              <w:rPr>
                <w:color w:val="4D4D4D"/>
                <w:w w:val="105"/>
                <w:sz w:val="21"/>
              </w:rPr>
              <w:t xml:space="preserve">a contract with a planned period of 2 years </w:t>
            </w:r>
            <w:r>
              <w:rPr>
                <w:color w:val="4D4D4D"/>
                <w:spacing w:val="4"/>
                <w:w w:val="105"/>
                <w:sz w:val="21"/>
              </w:rPr>
              <w:t>(1</w:t>
            </w:r>
            <w:r>
              <w:rPr>
                <w:color w:val="4D4D4D"/>
                <w:spacing w:val="-42"/>
                <w:w w:val="105"/>
                <w:sz w:val="21"/>
              </w:rPr>
              <w:t xml:space="preserve"> </w:t>
            </w:r>
            <w:r>
              <w:rPr>
                <w:color w:val="4D4D4D"/>
                <w:w w:val="105"/>
                <w:sz w:val="21"/>
              </w:rPr>
              <w:t>January 2025 to 31 December 2026).  With an extension option for up to a maximum of 1</w:t>
            </w:r>
            <w:r>
              <w:rPr>
                <w:color w:val="4D4D4D"/>
                <w:spacing w:val="6"/>
                <w:w w:val="105"/>
                <w:sz w:val="21"/>
              </w:rPr>
              <w:t xml:space="preserve"> </w:t>
            </w:r>
            <w:r>
              <w:rPr>
                <w:color w:val="4D4D4D"/>
                <w:w w:val="105"/>
                <w:sz w:val="21"/>
              </w:rPr>
              <w:t>year.</w:t>
            </w:r>
          </w:p>
        </w:tc>
      </w:tr>
    </w:tbl>
    <w:p w14:paraId="217E816C" w14:textId="77777777" w:rsidR="00A51D7B" w:rsidRDefault="00A51D7B">
      <w:pPr>
        <w:pStyle w:val="BodyText"/>
        <w:spacing w:before="5"/>
        <w:rPr>
          <w:i/>
          <w:sz w:val="11"/>
        </w:rPr>
      </w:pPr>
    </w:p>
    <w:p w14:paraId="1D69090A" w14:textId="3B14B348" w:rsidR="00A51D7B" w:rsidRDefault="00B25E35">
      <w:pPr>
        <w:pStyle w:val="BodyText"/>
        <w:rPr>
          <w:sz w:val="20"/>
        </w:rPr>
      </w:pPr>
      <w:r>
        <w:rPr>
          <w:noProof/>
        </w:rPr>
        <w:drawing>
          <wp:inline distT="0" distB="0" distL="0" distR="0" wp14:anchorId="242EACB8" wp14:editId="48AE7610">
            <wp:extent cx="2555598" cy="1419225"/>
            <wp:effectExtent l="0" t="0" r="0" b="0"/>
            <wp:docPr id="1838922718" name="Picture 1" descr="Signature of accountable authority/delegate.&#10;&#10;Hand written signature of Kellie Spence, Group Manager, Disability Employment.&#10;&#10;Dated 11th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2718" name="Picture 1" descr="Signature of accountable authority/delegate.&#10;&#10;Hand written signature of Kellie Spence, Group Manager, Disability Employment.&#10;&#10;Dated 11th June 2024"/>
                    <pic:cNvPicPr/>
                  </pic:nvPicPr>
                  <pic:blipFill>
                    <a:blip r:embed="rId8"/>
                    <a:stretch>
                      <a:fillRect/>
                    </a:stretch>
                  </pic:blipFill>
                  <pic:spPr>
                    <a:xfrm>
                      <a:off x="0" y="0"/>
                      <a:ext cx="2568758" cy="1426533"/>
                    </a:xfrm>
                    <a:prstGeom prst="rect">
                      <a:avLst/>
                    </a:prstGeom>
                  </pic:spPr>
                </pic:pic>
              </a:graphicData>
            </a:graphic>
          </wp:inline>
        </w:drawing>
      </w:r>
    </w:p>
    <w:p w14:paraId="618C7509" w14:textId="77777777" w:rsidR="00A51D7B" w:rsidRDefault="00A51D7B">
      <w:pPr>
        <w:pStyle w:val="BodyText"/>
        <w:rPr>
          <w:sz w:val="20"/>
        </w:rPr>
      </w:pPr>
    </w:p>
    <w:p w14:paraId="6472C125" w14:textId="77777777" w:rsidR="00A51D7B" w:rsidRDefault="00A51D7B">
      <w:pPr>
        <w:pStyle w:val="BodyText"/>
        <w:rPr>
          <w:sz w:val="20"/>
        </w:rPr>
      </w:pPr>
    </w:p>
    <w:p w14:paraId="21689158" w14:textId="77777777" w:rsidR="00A51D7B" w:rsidRDefault="00A51D7B">
      <w:pPr>
        <w:pStyle w:val="BodyText"/>
        <w:rPr>
          <w:sz w:val="20"/>
        </w:rPr>
      </w:pPr>
    </w:p>
    <w:p w14:paraId="439C9BD5" w14:textId="77777777" w:rsidR="00A51D7B" w:rsidRDefault="00A51D7B">
      <w:pPr>
        <w:pStyle w:val="BodyText"/>
        <w:rPr>
          <w:sz w:val="20"/>
        </w:rPr>
      </w:pPr>
    </w:p>
    <w:p w14:paraId="6A13236D" w14:textId="77777777" w:rsidR="00A51D7B" w:rsidRDefault="00A51D7B">
      <w:pPr>
        <w:pStyle w:val="BodyText"/>
        <w:rPr>
          <w:sz w:val="20"/>
        </w:rPr>
      </w:pPr>
    </w:p>
    <w:p w14:paraId="7B42FFC2" w14:textId="77777777" w:rsidR="00A51D7B" w:rsidRDefault="00A51D7B">
      <w:pPr>
        <w:pStyle w:val="BodyText"/>
        <w:rPr>
          <w:sz w:val="20"/>
        </w:rPr>
      </w:pPr>
    </w:p>
    <w:p w14:paraId="545ABCA5" w14:textId="77777777" w:rsidR="00A51D7B" w:rsidRDefault="00A51D7B">
      <w:pPr>
        <w:pStyle w:val="BodyText"/>
        <w:rPr>
          <w:sz w:val="20"/>
        </w:rPr>
      </w:pPr>
    </w:p>
    <w:p w14:paraId="3803F9DB" w14:textId="77777777" w:rsidR="00A51D7B" w:rsidRDefault="00A51D7B">
      <w:pPr>
        <w:pStyle w:val="BodyText"/>
        <w:rPr>
          <w:sz w:val="20"/>
        </w:rPr>
      </w:pPr>
    </w:p>
    <w:p w14:paraId="0B952054" w14:textId="77777777" w:rsidR="00A51D7B" w:rsidRDefault="00A51D7B">
      <w:pPr>
        <w:pStyle w:val="BodyText"/>
        <w:rPr>
          <w:sz w:val="20"/>
        </w:rPr>
      </w:pPr>
    </w:p>
    <w:p w14:paraId="7305DADA" w14:textId="77777777" w:rsidR="00A51D7B" w:rsidRDefault="00A51D7B">
      <w:pPr>
        <w:pStyle w:val="BodyText"/>
        <w:rPr>
          <w:sz w:val="20"/>
        </w:rPr>
      </w:pPr>
    </w:p>
    <w:p w14:paraId="42A9E112" w14:textId="77777777" w:rsidR="00A51D7B" w:rsidRDefault="00A51D7B">
      <w:pPr>
        <w:pStyle w:val="BodyText"/>
        <w:rPr>
          <w:sz w:val="20"/>
        </w:rPr>
      </w:pPr>
    </w:p>
    <w:p w14:paraId="0A2C3D65" w14:textId="77777777" w:rsidR="00A51D7B" w:rsidRDefault="00A51D7B">
      <w:pPr>
        <w:pStyle w:val="BodyText"/>
        <w:rPr>
          <w:sz w:val="20"/>
        </w:rPr>
      </w:pPr>
    </w:p>
    <w:p w14:paraId="5E3BF49A" w14:textId="77777777" w:rsidR="00A51D7B" w:rsidRDefault="00A51D7B">
      <w:pPr>
        <w:pStyle w:val="BodyText"/>
        <w:rPr>
          <w:sz w:val="20"/>
        </w:rPr>
      </w:pPr>
    </w:p>
    <w:p w14:paraId="3D239887" w14:textId="77777777" w:rsidR="00A51D7B" w:rsidRDefault="00A51D7B">
      <w:pPr>
        <w:pStyle w:val="BodyText"/>
        <w:rPr>
          <w:sz w:val="20"/>
        </w:rPr>
      </w:pPr>
    </w:p>
    <w:p w14:paraId="199F520E" w14:textId="77777777" w:rsidR="00A51D7B" w:rsidRDefault="00A51D7B">
      <w:pPr>
        <w:pStyle w:val="BodyText"/>
        <w:rPr>
          <w:sz w:val="20"/>
        </w:rPr>
      </w:pPr>
    </w:p>
    <w:p w14:paraId="101BA2DA" w14:textId="77777777" w:rsidR="00A51D7B" w:rsidRDefault="00A51D7B">
      <w:pPr>
        <w:pStyle w:val="BodyText"/>
        <w:rPr>
          <w:sz w:val="20"/>
        </w:rPr>
      </w:pPr>
    </w:p>
    <w:p w14:paraId="0F434EC7" w14:textId="77777777" w:rsidR="00A51D7B" w:rsidRDefault="00A51D7B">
      <w:pPr>
        <w:pStyle w:val="BodyText"/>
        <w:spacing w:before="1"/>
        <w:rPr>
          <w:sz w:val="23"/>
        </w:rPr>
      </w:pPr>
    </w:p>
    <w:p w14:paraId="2431EA02" w14:textId="4B59A1FC" w:rsidR="00A51D7B" w:rsidRDefault="00A51D7B">
      <w:pPr>
        <w:spacing w:before="78"/>
        <w:ind w:right="317"/>
        <w:jc w:val="right"/>
        <w:rPr>
          <w:sz w:val="69"/>
        </w:rPr>
      </w:pPr>
    </w:p>
    <w:sectPr w:rsidR="00A51D7B">
      <w:pgSz w:w="11910" w:h="16840"/>
      <w:pgMar w:top="520" w:right="1300" w:bottom="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4308" w14:textId="77777777" w:rsidR="00F13E4A" w:rsidRDefault="00F13E4A" w:rsidP="00B25E35">
      <w:r>
        <w:separator/>
      </w:r>
    </w:p>
  </w:endnote>
  <w:endnote w:type="continuationSeparator" w:id="0">
    <w:p w14:paraId="075F2FF8" w14:textId="77777777" w:rsidR="00F13E4A" w:rsidRDefault="00F13E4A" w:rsidP="00B2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1C1EF" w14:textId="77777777" w:rsidR="00F13E4A" w:rsidRDefault="00F13E4A" w:rsidP="00B25E35">
      <w:r>
        <w:separator/>
      </w:r>
    </w:p>
  </w:footnote>
  <w:footnote w:type="continuationSeparator" w:id="0">
    <w:p w14:paraId="19BB62B4" w14:textId="77777777" w:rsidR="00F13E4A" w:rsidRDefault="00F13E4A" w:rsidP="00B2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043D3"/>
    <w:multiLevelType w:val="hybridMultilevel"/>
    <w:tmpl w:val="8C865AD6"/>
    <w:lvl w:ilvl="0" w:tplc="425880AE">
      <w:numFmt w:val="bullet"/>
      <w:lvlText w:val="•"/>
      <w:lvlJc w:val="left"/>
      <w:pPr>
        <w:ind w:left="827" w:hanging="360"/>
      </w:pPr>
      <w:rPr>
        <w:rFonts w:ascii="Arial" w:eastAsia="Arial" w:hAnsi="Arial" w:cs="Arial" w:hint="default"/>
        <w:color w:val="4D4D4D"/>
        <w:w w:val="104"/>
        <w:sz w:val="21"/>
        <w:szCs w:val="21"/>
      </w:rPr>
    </w:lvl>
    <w:lvl w:ilvl="1" w:tplc="1762916A">
      <w:numFmt w:val="bullet"/>
      <w:lvlText w:val="•"/>
      <w:lvlJc w:val="left"/>
      <w:pPr>
        <w:ind w:left="1410" w:hanging="360"/>
      </w:pPr>
      <w:rPr>
        <w:rFonts w:hint="default"/>
      </w:rPr>
    </w:lvl>
    <w:lvl w:ilvl="2" w:tplc="163C6E9E">
      <w:numFmt w:val="bullet"/>
      <w:lvlText w:val="•"/>
      <w:lvlJc w:val="left"/>
      <w:pPr>
        <w:ind w:left="2001" w:hanging="360"/>
      </w:pPr>
      <w:rPr>
        <w:rFonts w:hint="default"/>
      </w:rPr>
    </w:lvl>
    <w:lvl w:ilvl="3" w:tplc="1ABABE20">
      <w:numFmt w:val="bullet"/>
      <w:lvlText w:val="•"/>
      <w:lvlJc w:val="left"/>
      <w:pPr>
        <w:ind w:left="2591" w:hanging="360"/>
      </w:pPr>
      <w:rPr>
        <w:rFonts w:hint="default"/>
      </w:rPr>
    </w:lvl>
    <w:lvl w:ilvl="4" w:tplc="887215B4">
      <w:numFmt w:val="bullet"/>
      <w:lvlText w:val="•"/>
      <w:lvlJc w:val="left"/>
      <w:pPr>
        <w:ind w:left="3182" w:hanging="360"/>
      </w:pPr>
      <w:rPr>
        <w:rFonts w:hint="default"/>
      </w:rPr>
    </w:lvl>
    <w:lvl w:ilvl="5" w:tplc="E5FC8FEC">
      <w:numFmt w:val="bullet"/>
      <w:lvlText w:val="•"/>
      <w:lvlJc w:val="left"/>
      <w:pPr>
        <w:ind w:left="3772" w:hanging="360"/>
      </w:pPr>
      <w:rPr>
        <w:rFonts w:hint="default"/>
      </w:rPr>
    </w:lvl>
    <w:lvl w:ilvl="6" w:tplc="E674A3A8">
      <w:numFmt w:val="bullet"/>
      <w:lvlText w:val="•"/>
      <w:lvlJc w:val="left"/>
      <w:pPr>
        <w:ind w:left="4363" w:hanging="360"/>
      </w:pPr>
      <w:rPr>
        <w:rFonts w:hint="default"/>
      </w:rPr>
    </w:lvl>
    <w:lvl w:ilvl="7" w:tplc="ED5A4F34">
      <w:numFmt w:val="bullet"/>
      <w:lvlText w:val="•"/>
      <w:lvlJc w:val="left"/>
      <w:pPr>
        <w:ind w:left="4953" w:hanging="360"/>
      </w:pPr>
      <w:rPr>
        <w:rFonts w:hint="default"/>
      </w:rPr>
    </w:lvl>
    <w:lvl w:ilvl="8" w:tplc="F58ECD1C">
      <w:numFmt w:val="bullet"/>
      <w:lvlText w:val="•"/>
      <w:lvlJc w:val="left"/>
      <w:pPr>
        <w:ind w:left="5544" w:hanging="360"/>
      </w:pPr>
      <w:rPr>
        <w:rFonts w:hint="default"/>
      </w:rPr>
    </w:lvl>
  </w:abstractNum>
  <w:num w:numId="1" w16cid:durableId="143289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7B"/>
    <w:rsid w:val="002717F3"/>
    <w:rsid w:val="002F24F5"/>
    <w:rsid w:val="00566D90"/>
    <w:rsid w:val="005C4DF3"/>
    <w:rsid w:val="00635796"/>
    <w:rsid w:val="006664B7"/>
    <w:rsid w:val="008F1C21"/>
    <w:rsid w:val="009817CE"/>
    <w:rsid w:val="00A05574"/>
    <w:rsid w:val="00A51D7B"/>
    <w:rsid w:val="00B25E35"/>
    <w:rsid w:val="00D44E5E"/>
    <w:rsid w:val="00E87A5E"/>
    <w:rsid w:val="00F13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DE78"/>
  <w15:docId w15:val="{291ABF3B-37AA-4CBC-8735-489787F0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2717F3"/>
    <w:pPr>
      <w:spacing w:line="437" w:lineRule="exact"/>
      <w:ind w:left="310"/>
      <w:outlineLvl w:val="0"/>
    </w:pPr>
    <w:rPr>
      <w:b/>
      <w:color w:val="3D3D3D"/>
      <w:sz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717F3"/>
    <w:rPr>
      <w:rFonts w:ascii="Arial" w:eastAsia="Arial" w:hAnsi="Arial" w:cs="Arial"/>
      <w:b/>
      <w:color w:val="3D3D3D"/>
      <w:sz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ke.Hanbidge@d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2203</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00206BBA278E240611190446</vt:lpstr>
    </vt:vector>
  </TitlesOfParts>
  <Company>Department of Social Services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Certificate</dc:title>
  <cp:keywords>[SEC=OFFICIAL]</cp:keywords>
  <cp:lastModifiedBy>MILLER, Vicky</cp:lastModifiedBy>
  <cp:revision>3</cp:revision>
  <dcterms:created xsi:type="dcterms:W3CDTF">2024-06-11T22:50:00Z</dcterms:created>
  <dcterms:modified xsi:type="dcterms:W3CDTF">2024-07-17T06:51:00Z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NOL2AMFD2</vt:lpwstr>
  </property>
  <property fmtid="{D5CDD505-2E9C-101B-9397-08002B2CF9AE}" pid="4" name="LastSaved">
    <vt:filetime>2024-06-11T00:00:00Z</vt:filetime>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MSIP_Label_eb34d90b-fc41-464d-af60-f74d721d0790_Name">
    <vt:lpwstr>OFFICIAL</vt:lpwstr>
  </property>
  <property fmtid="{D5CDD505-2E9C-101B-9397-08002B2CF9AE}" pid="10" name="PMHMAC">
    <vt:lpwstr>v=2022.1;a=SHA256;h=947AEBBACE1500F361F6AD2DE96618AB4082625D94911D4E36481F8F007016D0</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2024-06-11T22:54:26Z</vt:lpwstr>
  </property>
  <property fmtid="{D5CDD505-2E9C-101B-9397-08002B2CF9AE}" pid="15" name="PM_Markers">
    <vt:lpwstr/>
  </property>
  <property fmtid="{D5CDD505-2E9C-101B-9397-08002B2CF9AE}" pid="16" name="MSIP_Label_eb34d90b-fc41-464d-af60-f74d721d0790_SiteId">
    <vt:lpwstr>61e36dd1-ca6e-4d61-aa0a-2b4eb88317a3</vt:lpwstr>
  </property>
  <property fmtid="{D5CDD505-2E9C-101B-9397-08002B2CF9AE}" pid="17" name="MSIP_Label_eb34d90b-fc41-464d-af60-f74d721d0790_ContentBits">
    <vt:lpwstr>0</vt:lpwstr>
  </property>
  <property fmtid="{D5CDD505-2E9C-101B-9397-08002B2CF9AE}" pid="18" name="MSIP_Label_eb34d90b-fc41-464d-af60-f74d721d0790_Enabled">
    <vt:lpwstr>true</vt:lpwstr>
  </property>
  <property fmtid="{D5CDD505-2E9C-101B-9397-08002B2CF9AE}" pid="19" name="PM_ProtectiveMarkingImage_Footer">
    <vt:lpwstr>C:\Program Files (x86)\Common Files\janusNET Shared\janusSEAL\Images\DocumentSlashBlue.png</vt:lpwstr>
  </property>
  <property fmtid="{D5CDD505-2E9C-101B-9397-08002B2CF9AE}" pid="20" name="MSIP_Label_eb34d90b-fc41-464d-af60-f74d721d0790_SetDate">
    <vt:lpwstr>2024-06-11T22:54:26Z</vt:lpwstr>
  </property>
  <property fmtid="{D5CDD505-2E9C-101B-9397-08002B2CF9AE}" pid="21" name="MSIP_Label_eb34d90b-fc41-464d-af60-f74d721d0790_Method">
    <vt:lpwstr>Privileged</vt:lpwstr>
  </property>
  <property fmtid="{D5CDD505-2E9C-101B-9397-08002B2CF9AE}" pid="22" name="MSIP_Label_eb34d90b-fc41-464d-af60-f74d721d0790_ActionId">
    <vt:lpwstr>d481abaf47b6400badcf325305d698b6</vt:lpwstr>
  </property>
  <property fmtid="{D5CDD505-2E9C-101B-9397-08002B2CF9AE}" pid="23" name="PM_InsertionValue">
    <vt:lpwstr>OFFICIAL</vt:lpwstr>
  </property>
  <property fmtid="{D5CDD505-2E9C-101B-9397-08002B2CF9AE}" pid="24" name="PM_Originator_Hash_SHA1">
    <vt:lpwstr>DAACB08450204C0F46DD78BFF6F8049364488490</vt:lpwstr>
  </property>
  <property fmtid="{D5CDD505-2E9C-101B-9397-08002B2CF9AE}" pid="25" name="PM_DisplayValueSecClassificationWithQualifier">
    <vt:lpwstr>OFFICIAL</vt:lpwstr>
  </property>
  <property fmtid="{D5CDD505-2E9C-101B-9397-08002B2CF9AE}" pid="26" name="PM_Originating_FileId">
    <vt:lpwstr>E1758555ED044F1CA1923512F6B99711</vt:lpwstr>
  </property>
  <property fmtid="{D5CDD505-2E9C-101B-9397-08002B2CF9AE}" pid="27" name="PM_ProtectiveMarkingValue_Footer">
    <vt:lpwstr>OFFICIAL</vt:lpwstr>
  </property>
  <property fmtid="{D5CDD505-2E9C-101B-9397-08002B2CF9AE}" pid="28" name="PM_ProtectiveMarkingImage_Header">
    <vt:lpwstr>C:\Program Files (x86)\Common Files\janusNET Shared\janusSEAL\Images\DocumentSlashBlue.png</vt:lpwstr>
  </property>
  <property fmtid="{D5CDD505-2E9C-101B-9397-08002B2CF9AE}" pid="29" name="PM_Display">
    <vt:lpwstr>OFFICIAL</vt:lpwstr>
  </property>
  <property fmtid="{D5CDD505-2E9C-101B-9397-08002B2CF9AE}" pid="30" name="PM_OriginatorUserAccountName_SHA256">
    <vt:lpwstr>9871F6CFFBF84B5DD096BCB24488EABDE9250CEAA716568F68B24D42DED533FD</vt:lpwstr>
  </property>
  <property fmtid="{D5CDD505-2E9C-101B-9397-08002B2CF9AE}" pid="31" name="PM_OriginatorDomainName_SHA256">
    <vt:lpwstr>E83A2A66C4061446A7E3732E8D44762184B6B377D962B96C83DC624302585857</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B9ACA135A3292D363CFA4C9090356F44</vt:lpwstr>
  </property>
  <property fmtid="{D5CDD505-2E9C-101B-9397-08002B2CF9AE}" pid="35" name="PM_Hash_Salt">
    <vt:lpwstr>C1A84BF91CB3E0E3464C23B840A36205</vt:lpwstr>
  </property>
  <property fmtid="{D5CDD505-2E9C-101B-9397-08002B2CF9AE}" pid="36" name="PM_Hash_SHA1">
    <vt:lpwstr>AB9A82FA29BB0B15E80A60890560BA8E5C258838</vt:lpwstr>
  </property>
  <property fmtid="{D5CDD505-2E9C-101B-9397-08002B2CF9AE}" pid="37" name="PM_SecurityClassification_Prev">
    <vt:lpwstr>OFFICIAL</vt:lpwstr>
  </property>
  <property fmtid="{D5CDD505-2E9C-101B-9397-08002B2CF9AE}" pid="38" name="PM_Qualifier_Prev">
    <vt:lpwstr/>
  </property>
</Properties>
</file>