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6236" w14:textId="77777777" w:rsidR="00FA7485" w:rsidRPr="00AC3ED0" w:rsidRDefault="00FA7485" w:rsidP="00AC3ED0">
      <w:pPr>
        <w:sectPr w:rsidR="00FA7485" w:rsidRPr="00AC3ED0" w:rsidSect="00F51BCF">
          <w:headerReference w:type="even" r:id="rId11"/>
          <w:headerReference w:type="default" r:id="rId12"/>
          <w:footerReference w:type="even" r:id="rId13"/>
          <w:footerReference w:type="default" r:id="rId14"/>
          <w:headerReference w:type="first" r:id="rId15"/>
          <w:footerReference w:type="first" r:id="rId16"/>
          <w:pgSz w:w="11906" w:h="16838"/>
          <w:pgMar w:top="0" w:right="851" w:bottom="1134" w:left="851" w:header="567" w:footer="0" w:gutter="0"/>
          <w:pgNumType w:start="2"/>
          <w:cols w:space="708"/>
          <w:titlePg/>
          <w:docGrid w:linePitch="360"/>
        </w:sectPr>
      </w:pPr>
    </w:p>
    <w:p w14:paraId="6D9AD72B" w14:textId="77777777" w:rsidR="00474745" w:rsidRPr="00D11150" w:rsidRDefault="00474745" w:rsidP="00474745">
      <w:pPr>
        <w:pStyle w:val="Heading1withsubtitle"/>
        <w:rPr>
          <w:smallCaps/>
        </w:rPr>
      </w:pPr>
      <w:bookmarkStart w:id="0" w:name="_Toc140757166"/>
      <w:r>
        <w:t xml:space="preserve">Disability Royal Commission Australian </w:t>
      </w:r>
      <w:r w:rsidRPr="00D11150">
        <w:t xml:space="preserve">Government Response: Volume </w:t>
      </w:r>
      <w:bookmarkEnd w:id="0"/>
      <w:r>
        <w:t>7b</w:t>
      </w:r>
    </w:p>
    <w:p w14:paraId="683D821B" w14:textId="77777777" w:rsidR="00474745" w:rsidRPr="00DE4C4C" w:rsidRDefault="00474745" w:rsidP="00474745">
      <w:pPr>
        <w:pStyle w:val="Subtitle"/>
      </w:pPr>
      <w:bookmarkStart w:id="1" w:name="_Toc395536189"/>
      <w:r>
        <w:t>Inclusive Employment</w:t>
      </w:r>
    </w:p>
    <w:p w14:paraId="1AB53ED2" w14:textId="77777777" w:rsidR="00474745" w:rsidRPr="00972CA8" w:rsidRDefault="00474745" w:rsidP="00474745">
      <w:pPr>
        <w:rPr>
          <w:sz w:val="28"/>
          <w:szCs w:val="28"/>
        </w:rPr>
      </w:pPr>
      <w:r w:rsidRPr="00972CA8">
        <w:rPr>
          <w:sz w:val="28"/>
          <w:szCs w:val="28"/>
        </w:rPr>
        <w:t>Volume 7b considers the experiences of people with disability in accessing inclusive employment. It includes 17 recommendations, all of which are within the Australian Government’s primary or shared responsibility.</w:t>
      </w:r>
    </w:p>
    <w:tbl>
      <w:tblPr>
        <w:tblStyle w:val="TableGridLight"/>
        <w:tblW w:w="10328" w:type="dxa"/>
        <w:tblLook w:val="04E0" w:firstRow="1" w:lastRow="1" w:firstColumn="1" w:lastColumn="0" w:noHBand="0" w:noVBand="1"/>
        <w:tblDescription w:val="Example of a table styled with the first of the two DSS table styles. It is populated with food-related dummy data."/>
      </w:tblPr>
      <w:tblGrid>
        <w:gridCol w:w="6171"/>
        <w:gridCol w:w="4136"/>
        <w:gridCol w:w="21"/>
      </w:tblGrid>
      <w:tr w:rsidR="00474745" w:rsidRPr="00583A8E" w14:paraId="13AE06BB" w14:textId="77777777" w:rsidTr="0048109F">
        <w:trPr>
          <w:cnfStyle w:val="100000000000" w:firstRow="1" w:lastRow="0" w:firstColumn="0" w:lastColumn="0" w:oddVBand="0" w:evenVBand="0" w:oddHBand="0" w:evenHBand="0" w:firstRowFirstColumn="0" w:firstRowLastColumn="0" w:lastRowFirstColumn="0" w:lastRowLastColumn="0"/>
        </w:trPr>
        <w:tc>
          <w:tcPr>
            <w:tcW w:w="10328" w:type="dxa"/>
            <w:gridSpan w:val="3"/>
          </w:tcPr>
          <w:p w14:paraId="3637BF2E" w14:textId="77777777" w:rsidR="00474745" w:rsidRPr="00583A8E" w:rsidRDefault="00474745" w:rsidP="0048109F">
            <w:pPr>
              <w:pStyle w:val="NoSpacing"/>
              <w:spacing w:after="120"/>
              <w:rPr>
                <w:b/>
                <w:bCs/>
              </w:rPr>
            </w:pPr>
            <w:r>
              <w:rPr>
                <w:b/>
                <w:bCs/>
              </w:rPr>
              <w:t>Inclusive Employment</w:t>
            </w:r>
          </w:p>
        </w:tc>
      </w:tr>
      <w:tr w:rsidR="00474745" w:rsidRPr="005A161D" w14:paraId="6948E2C3" w14:textId="77777777" w:rsidTr="0048109F">
        <w:trPr>
          <w:gridAfter w:val="1"/>
          <w:wAfter w:w="21" w:type="dxa"/>
        </w:trPr>
        <w:tc>
          <w:tcPr>
            <w:tcW w:w="6171" w:type="dxa"/>
          </w:tcPr>
          <w:p w14:paraId="1644DE32" w14:textId="77777777" w:rsidR="00474745" w:rsidRPr="005A161D" w:rsidRDefault="00474745" w:rsidP="0048109F">
            <w:pPr>
              <w:pStyle w:val="NoSpacing"/>
              <w:spacing w:after="120"/>
              <w:rPr>
                <w:rFonts w:eastAsia="Times New Roman" w:cs="Arial"/>
                <w:b/>
                <w:color w:val="000000"/>
                <w:szCs w:val="22"/>
              </w:rPr>
            </w:pPr>
            <w:r w:rsidRPr="005A161D">
              <w:rPr>
                <w:rFonts w:eastAsia="Times New Roman" w:cs="Arial"/>
                <w:b/>
                <w:color w:val="000000"/>
                <w:szCs w:val="22"/>
              </w:rPr>
              <w:t>Recommendation</w:t>
            </w:r>
          </w:p>
        </w:tc>
        <w:tc>
          <w:tcPr>
            <w:tcW w:w="4136" w:type="dxa"/>
          </w:tcPr>
          <w:p w14:paraId="6B0CE8B9" w14:textId="77777777" w:rsidR="00474745" w:rsidRPr="005A161D" w:rsidRDefault="00474745" w:rsidP="0048109F">
            <w:pPr>
              <w:pStyle w:val="NoSpacing"/>
              <w:spacing w:after="120"/>
              <w:rPr>
                <w:rFonts w:cs="Arial"/>
                <w:b/>
                <w:color w:val="000000"/>
                <w:szCs w:val="22"/>
              </w:rPr>
            </w:pPr>
            <w:r w:rsidRPr="005A161D">
              <w:rPr>
                <w:rFonts w:cs="Arial"/>
                <w:b/>
                <w:color w:val="000000"/>
                <w:szCs w:val="22"/>
              </w:rPr>
              <w:t>Australian Government Response</w:t>
            </w:r>
          </w:p>
        </w:tc>
      </w:tr>
      <w:tr w:rsidR="00474745" w14:paraId="1ADFFB81" w14:textId="77777777" w:rsidTr="0048109F">
        <w:trPr>
          <w:gridAfter w:val="1"/>
          <w:wAfter w:w="21" w:type="dxa"/>
        </w:trPr>
        <w:tc>
          <w:tcPr>
            <w:tcW w:w="6171" w:type="dxa"/>
          </w:tcPr>
          <w:p w14:paraId="2C303FDD" w14:textId="77777777" w:rsidR="00474745" w:rsidRDefault="00474745" w:rsidP="0048109F">
            <w:pPr>
              <w:pStyle w:val="NoSpacing"/>
              <w:spacing w:after="120"/>
            </w:pPr>
            <w:r>
              <w:t>7.16: Priorities for inclusion in the new Disability Employment Service model</w:t>
            </w:r>
          </w:p>
        </w:tc>
        <w:tc>
          <w:tcPr>
            <w:tcW w:w="4136" w:type="dxa"/>
          </w:tcPr>
          <w:p w14:paraId="520EBFC6" w14:textId="77777777" w:rsidR="00474745" w:rsidRDefault="00474745" w:rsidP="0048109F">
            <w:pPr>
              <w:pStyle w:val="NoSpacing"/>
              <w:spacing w:after="120"/>
            </w:pPr>
            <w:r>
              <w:t>Accept</w:t>
            </w:r>
          </w:p>
        </w:tc>
      </w:tr>
      <w:tr w:rsidR="00474745" w14:paraId="194C0224" w14:textId="77777777" w:rsidTr="0048109F">
        <w:trPr>
          <w:gridAfter w:val="1"/>
          <w:wAfter w:w="21" w:type="dxa"/>
        </w:trPr>
        <w:tc>
          <w:tcPr>
            <w:tcW w:w="6171" w:type="dxa"/>
          </w:tcPr>
          <w:p w14:paraId="1DC03EE9" w14:textId="77777777" w:rsidR="00474745" w:rsidRDefault="00474745" w:rsidP="0048109F">
            <w:pPr>
              <w:pStyle w:val="NoSpacing"/>
              <w:spacing w:after="120"/>
            </w:pPr>
            <w:r>
              <w:t>7.17: Develop education and training resources for Disability Employment Services staff</w:t>
            </w:r>
          </w:p>
        </w:tc>
        <w:tc>
          <w:tcPr>
            <w:tcW w:w="4136" w:type="dxa"/>
          </w:tcPr>
          <w:p w14:paraId="733A2936" w14:textId="77777777" w:rsidR="00474745" w:rsidRDefault="00474745" w:rsidP="0048109F">
            <w:pPr>
              <w:pStyle w:val="NoSpacing"/>
              <w:spacing w:after="120"/>
            </w:pPr>
            <w:r>
              <w:t>Accept</w:t>
            </w:r>
          </w:p>
        </w:tc>
      </w:tr>
      <w:tr w:rsidR="00474745" w14:paraId="31FA4DE1" w14:textId="77777777" w:rsidTr="0048109F">
        <w:trPr>
          <w:gridAfter w:val="1"/>
          <w:wAfter w:w="21" w:type="dxa"/>
        </w:trPr>
        <w:tc>
          <w:tcPr>
            <w:tcW w:w="6171" w:type="dxa"/>
          </w:tcPr>
          <w:p w14:paraId="13FAECEE" w14:textId="77777777" w:rsidR="00474745" w:rsidRDefault="00474745" w:rsidP="0048109F">
            <w:pPr>
              <w:pStyle w:val="NoSpacing"/>
              <w:spacing w:after="120"/>
            </w:pPr>
            <w:r>
              <w:t>7.18: Establish specific and disaggregated targets for disability employment in the public sector</w:t>
            </w:r>
          </w:p>
        </w:tc>
        <w:tc>
          <w:tcPr>
            <w:tcW w:w="4136" w:type="dxa"/>
          </w:tcPr>
          <w:p w14:paraId="1C6035BD" w14:textId="77777777" w:rsidR="00474745" w:rsidRDefault="00474745" w:rsidP="0048109F">
            <w:pPr>
              <w:pStyle w:val="NoSpacing"/>
              <w:spacing w:after="120"/>
            </w:pPr>
            <w:r>
              <w:t>Accept in principle</w:t>
            </w:r>
          </w:p>
        </w:tc>
      </w:tr>
      <w:tr w:rsidR="00474745" w14:paraId="46512988" w14:textId="77777777" w:rsidTr="0048109F">
        <w:trPr>
          <w:gridAfter w:val="1"/>
          <w:wAfter w:w="21" w:type="dxa"/>
        </w:trPr>
        <w:tc>
          <w:tcPr>
            <w:tcW w:w="6171" w:type="dxa"/>
          </w:tcPr>
          <w:p w14:paraId="6A8A8FBF" w14:textId="77777777" w:rsidR="00474745" w:rsidRDefault="00474745" w:rsidP="0048109F">
            <w:pPr>
              <w:pStyle w:val="NoSpacing"/>
              <w:spacing w:after="120"/>
            </w:pPr>
            <w:r>
              <w:t>7.19: Establish specific disability employment targets for new public service hires in agencies and departments</w:t>
            </w:r>
          </w:p>
        </w:tc>
        <w:tc>
          <w:tcPr>
            <w:tcW w:w="4136" w:type="dxa"/>
          </w:tcPr>
          <w:p w14:paraId="60B97883" w14:textId="77777777" w:rsidR="00474745" w:rsidRDefault="00474745" w:rsidP="0048109F">
            <w:pPr>
              <w:pStyle w:val="NoSpacing"/>
              <w:spacing w:after="120"/>
            </w:pPr>
            <w:r>
              <w:t>Accept in principle</w:t>
            </w:r>
          </w:p>
        </w:tc>
      </w:tr>
      <w:tr w:rsidR="00474745" w14:paraId="058AF892" w14:textId="77777777" w:rsidTr="0048109F">
        <w:trPr>
          <w:gridAfter w:val="1"/>
          <w:wAfter w:w="21" w:type="dxa"/>
        </w:trPr>
        <w:tc>
          <w:tcPr>
            <w:tcW w:w="6171" w:type="dxa"/>
          </w:tcPr>
          <w:p w14:paraId="32B32E7C" w14:textId="77777777" w:rsidR="00474745" w:rsidRDefault="00474745" w:rsidP="0048109F">
            <w:pPr>
              <w:pStyle w:val="NoSpacing"/>
              <w:spacing w:after="120"/>
            </w:pPr>
            <w:r>
              <w:t>7.20: Clarify the application of the merit principle in public sector recruitment</w:t>
            </w:r>
          </w:p>
        </w:tc>
        <w:tc>
          <w:tcPr>
            <w:tcW w:w="4136" w:type="dxa"/>
          </w:tcPr>
          <w:p w14:paraId="1F0B09FD" w14:textId="77777777" w:rsidR="00474745" w:rsidRDefault="00474745" w:rsidP="0048109F">
            <w:pPr>
              <w:pStyle w:val="NoSpacing"/>
              <w:spacing w:after="120"/>
            </w:pPr>
            <w:r>
              <w:t>Accept in principle</w:t>
            </w:r>
          </w:p>
        </w:tc>
      </w:tr>
      <w:tr w:rsidR="00474745" w:rsidRPr="006A5E28" w14:paraId="7E96BB8D" w14:textId="77777777" w:rsidTr="0048109F">
        <w:trPr>
          <w:gridAfter w:val="1"/>
          <w:wAfter w:w="21" w:type="dxa"/>
        </w:trPr>
        <w:tc>
          <w:tcPr>
            <w:tcW w:w="6171" w:type="dxa"/>
          </w:tcPr>
          <w:p w14:paraId="3F6E9B5B" w14:textId="77777777" w:rsidR="00474745" w:rsidRPr="006A5E28" w:rsidRDefault="00474745" w:rsidP="0048109F">
            <w:pPr>
              <w:pStyle w:val="NoSpacing"/>
              <w:spacing w:after="120"/>
            </w:pPr>
            <w:r>
              <w:t>7.21: Introduce consistent adjustment principles and adjustment passports</w:t>
            </w:r>
          </w:p>
        </w:tc>
        <w:tc>
          <w:tcPr>
            <w:tcW w:w="4136" w:type="dxa"/>
          </w:tcPr>
          <w:p w14:paraId="114AD33E" w14:textId="77777777" w:rsidR="00474745" w:rsidRPr="006A5E28" w:rsidRDefault="00474745" w:rsidP="0048109F">
            <w:pPr>
              <w:pStyle w:val="NoSpacing"/>
              <w:spacing w:after="120"/>
            </w:pPr>
            <w:r>
              <w:t>Accept in principle</w:t>
            </w:r>
          </w:p>
        </w:tc>
      </w:tr>
      <w:tr w:rsidR="00474745" w:rsidRPr="006A5E28" w14:paraId="5FC3A194" w14:textId="77777777" w:rsidTr="0048109F">
        <w:trPr>
          <w:gridAfter w:val="1"/>
          <w:wAfter w:w="21" w:type="dxa"/>
        </w:trPr>
        <w:tc>
          <w:tcPr>
            <w:tcW w:w="6171" w:type="dxa"/>
          </w:tcPr>
          <w:p w14:paraId="77A5FBBE" w14:textId="77777777" w:rsidR="00474745" w:rsidRPr="006A5E28" w:rsidRDefault="00474745" w:rsidP="0048109F">
            <w:pPr>
              <w:pStyle w:val="NoSpacing"/>
              <w:spacing w:after="120"/>
            </w:pPr>
            <w:r>
              <w:t>7.22: Public reporting on public sector disability employment strategies and targets</w:t>
            </w:r>
          </w:p>
        </w:tc>
        <w:tc>
          <w:tcPr>
            <w:tcW w:w="4136" w:type="dxa"/>
          </w:tcPr>
          <w:p w14:paraId="35B79B0A" w14:textId="77777777" w:rsidR="00474745" w:rsidRPr="006A5E28" w:rsidRDefault="00474745" w:rsidP="0048109F">
            <w:pPr>
              <w:pStyle w:val="NoSpacing"/>
              <w:spacing w:after="120"/>
            </w:pPr>
            <w:r>
              <w:t>Accept in principle</w:t>
            </w:r>
          </w:p>
        </w:tc>
      </w:tr>
      <w:tr w:rsidR="00474745" w:rsidRPr="006A5E28" w14:paraId="68EC3B62" w14:textId="77777777" w:rsidTr="0048109F">
        <w:trPr>
          <w:gridAfter w:val="1"/>
          <w:wAfter w:w="21" w:type="dxa"/>
        </w:trPr>
        <w:tc>
          <w:tcPr>
            <w:tcW w:w="6171" w:type="dxa"/>
          </w:tcPr>
          <w:p w14:paraId="6F1A8786" w14:textId="77777777" w:rsidR="00474745" w:rsidRPr="006A5E28" w:rsidRDefault="00474745" w:rsidP="0048109F">
            <w:pPr>
              <w:pStyle w:val="NoSpacing"/>
              <w:spacing w:after="120"/>
            </w:pPr>
            <w:r>
              <w:t>7.23: Strengthen disability employment procurement policies</w:t>
            </w:r>
          </w:p>
        </w:tc>
        <w:tc>
          <w:tcPr>
            <w:tcW w:w="4136" w:type="dxa"/>
          </w:tcPr>
          <w:p w14:paraId="67CE1AEF" w14:textId="77777777" w:rsidR="00474745" w:rsidRPr="006A5E28" w:rsidRDefault="00474745" w:rsidP="0048109F">
            <w:pPr>
              <w:pStyle w:val="NoSpacing"/>
              <w:spacing w:after="120"/>
            </w:pPr>
            <w:r>
              <w:t>Accept in principle</w:t>
            </w:r>
          </w:p>
        </w:tc>
      </w:tr>
      <w:tr w:rsidR="00474745" w:rsidRPr="006A5E28" w14:paraId="39850E0E" w14:textId="77777777" w:rsidTr="0048109F">
        <w:trPr>
          <w:gridAfter w:val="1"/>
          <w:wAfter w:w="21" w:type="dxa"/>
        </w:trPr>
        <w:tc>
          <w:tcPr>
            <w:tcW w:w="6171" w:type="dxa"/>
          </w:tcPr>
          <w:p w14:paraId="49AF0268" w14:textId="77777777" w:rsidR="00474745" w:rsidRPr="006A5E28" w:rsidRDefault="00474745" w:rsidP="0048109F">
            <w:pPr>
              <w:pStyle w:val="NoSpacing"/>
              <w:spacing w:after="120"/>
            </w:pPr>
            <w:r>
              <w:t>7.24: Convene a Disability Employment Rights Council</w:t>
            </w:r>
          </w:p>
        </w:tc>
        <w:tc>
          <w:tcPr>
            <w:tcW w:w="4136" w:type="dxa"/>
          </w:tcPr>
          <w:p w14:paraId="59FC2785" w14:textId="77777777" w:rsidR="00474745" w:rsidRPr="006A5E28" w:rsidRDefault="00474745" w:rsidP="0048109F">
            <w:pPr>
              <w:pStyle w:val="NoSpacing"/>
              <w:spacing w:after="120"/>
            </w:pPr>
            <w:r>
              <w:t>Noted</w:t>
            </w:r>
          </w:p>
        </w:tc>
      </w:tr>
      <w:tr w:rsidR="00474745" w:rsidRPr="006A5E28" w14:paraId="3DB9B42D" w14:textId="77777777" w:rsidTr="0048109F">
        <w:trPr>
          <w:gridAfter w:val="1"/>
          <w:wAfter w:w="21" w:type="dxa"/>
        </w:trPr>
        <w:tc>
          <w:tcPr>
            <w:tcW w:w="6171" w:type="dxa"/>
          </w:tcPr>
          <w:p w14:paraId="407908C7" w14:textId="77777777" w:rsidR="00474745" w:rsidRPr="006A5E28" w:rsidRDefault="00474745" w:rsidP="0048109F">
            <w:pPr>
              <w:pStyle w:val="NoSpacing"/>
              <w:spacing w:after="120"/>
            </w:pPr>
            <w:r>
              <w:t>7.25: Amend the Fair Work Act 2009 (</w:t>
            </w:r>
            <w:proofErr w:type="spellStart"/>
            <w:r>
              <w:t>Cth</w:t>
            </w:r>
            <w:proofErr w:type="spellEnd"/>
            <w:r>
              <w:t>)</w:t>
            </w:r>
          </w:p>
        </w:tc>
        <w:tc>
          <w:tcPr>
            <w:tcW w:w="4136" w:type="dxa"/>
          </w:tcPr>
          <w:p w14:paraId="7E527E06" w14:textId="77777777" w:rsidR="00474745" w:rsidRPr="006A5E28" w:rsidRDefault="00474745" w:rsidP="0048109F">
            <w:pPr>
              <w:pStyle w:val="NoSpacing"/>
              <w:spacing w:after="120"/>
            </w:pPr>
            <w:r>
              <w:t>Accept in principle</w:t>
            </w:r>
          </w:p>
        </w:tc>
      </w:tr>
      <w:tr w:rsidR="00474745" w:rsidRPr="006A5E28" w14:paraId="0B87287F" w14:textId="77777777" w:rsidTr="0048109F">
        <w:trPr>
          <w:gridAfter w:val="1"/>
          <w:wAfter w:w="21" w:type="dxa"/>
        </w:trPr>
        <w:tc>
          <w:tcPr>
            <w:tcW w:w="6171" w:type="dxa"/>
          </w:tcPr>
          <w:p w14:paraId="1841EFE7" w14:textId="77777777" w:rsidR="00474745" w:rsidRPr="006A5E28" w:rsidRDefault="00474745" w:rsidP="0048109F">
            <w:pPr>
              <w:pStyle w:val="NoSpacing"/>
              <w:spacing w:after="120"/>
            </w:pPr>
            <w:r>
              <w:t>7.26: Amend the Disability Discrimination Act 1992</w:t>
            </w:r>
          </w:p>
        </w:tc>
        <w:tc>
          <w:tcPr>
            <w:tcW w:w="4136" w:type="dxa"/>
          </w:tcPr>
          <w:p w14:paraId="349D2452" w14:textId="77777777" w:rsidR="00474745" w:rsidRPr="006A5E28" w:rsidRDefault="00474745" w:rsidP="0048109F">
            <w:pPr>
              <w:pStyle w:val="NoSpacing"/>
              <w:spacing w:after="120"/>
            </w:pPr>
            <w:r>
              <w:t>Accept in principle</w:t>
            </w:r>
          </w:p>
        </w:tc>
      </w:tr>
      <w:tr w:rsidR="00474745" w:rsidRPr="006A5E28" w14:paraId="7EC2D0C8" w14:textId="77777777" w:rsidTr="0048109F">
        <w:trPr>
          <w:gridAfter w:val="1"/>
          <w:wAfter w:w="21" w:type="dxa"/>
        </w:trPr>
        <w:tc>
          <w:tcPr>
            <w:tcW w:w="6171" w:type="dxa"/>
          </w:tcPr>
          <w:p w14:paraId="5B294748" w14:textId="77777777" w:rsidR="00474745" w:rsidRPr="006A5E28" w:rsidRDefault="00474745" w:rsidP="0048109F">
            <w:pPr>
              <w:pStyle w:val="NoSpacing"/>
              <w:spacing w:after="120"/>
            </w:pPr>
            <w:r>
              <w:t xml:space="preserve">7.27: Enable a Fair Work Ombudsman referral mechanism </w:t>
            </w:r>
          </w:p>
        </w:tc>
        <w:tc>
          <w:tcPr>
            <w:tcW w:w="4136" w:type="dxa"/>
          </w:tcPr>
          <w:p w14:paraId="59A0895E" w14:textId="77777777" w:rsidR="00474745" w:rsidRPr="006A5E28" w:rsidRDefault="00474745" w:rsidP="0048109F">
            <w:pPr>
              <w:pStyle w:val="NoSpacing"/>
              <w:spacing w:after="120"/>
            </w:pPr>
            <w:r>
              <w:t>Accept</w:t>
            </w:r>
          </w:p>
        </w:tc>
      </w:tr>
      <w:tr w:rsidR="00474745" w:rsidRPr="006A5E28" w14:paraId="3D8287A4" w14:textId="77777777" w:rsidTr="0048109F">
        <w:trPr>
          <w:gridAfter w:val="1"/>
          <w:wAfter w:w="21" w:type="dxa"/>
        </w:trPr>
        <w:tc>
          <w:tcPr>
            <w:tcW w:w="6171" w:type="dxa"/>
          </w:tcPr>
          <w:p w14:paraId="12D08F9B" w14:textId="77777777" w:rsidR="00474745" w:rsidRDefault="00474745" w:rsidP="0048109F">
            <w:pPr>
              <w:pStyle w:val="NoSpacing"/>
              <w:spacing w:after="120"/>
            </w:pPr>
            <w:r>
              <w:t>7.28: Improve information about wages and the Disability Support Pension</w:t>
            </w:r>
          </w:p>
        </w:tc>
        <w:tc>
          <w:tcPr>
            <w:tcW w:w="4136" w:type="dxa"/>
          </w:tcPr>
          <w:p w14:paraId="6621E607" w14:textId="77777777" w:rsidR="00474745" w:rsidRPr="006A5E28" w:rsidRDefault="00474745" w:rsidP="0048109F">
            <w:pPr>
              <w:pStyle w:val="NoSpacing"/>
              <w:spacing w:after="120"/>
            </w:pPr>
            <w:r>
              <w:t>Accept</w:t>
            </w:r>
          </w:p>
        </w:tc>
      </w:tr>
      <w:tr w:rsidR="00474745" w:rsidRPr="006A5E28" w14:paraId="490895A0" w14:textId="77777777" w:rsidTr="0048109F">
        <w:trPr>
          <w:gridAfter w:val="1"/>
          <w:wAfter w:w="21" w:type="dxa"/>
        </w:trPr>
        <w:tc>
          <w:tcPr>
            <w:tcW w:w="6171" w:type="dxa"/>
          </w:tcPr>
          <w:p w14:paraId="539A6409" w14:textId="77777777" w:rsidR="00474745" w:rsidRDefault="00474745" w:rsidP="0048109F">
            <w:pPr>
              <w:pStyle w:val="NoSpacing"/>
              <w:spacing w:after="120"/>
            </w:pPr>
            <w:r>
              <w:lastRenderedPageBreak/>
              <w:t>7.29: Embed an ‘open employment first’ approach in the NDIS Participant Employment Strategy</w:t>
            </w:r>
          </w:p>
        </w:tc>
        <w:tc>
          <w:tcPr>
            <w:tcW w:w="4136" w:type="dxa"/>
          </w:tcPr>
          <w:p w14:paraId="64FC95B8" w14:textId="77777777" w:rsidR="00474745" w:rsidRPr="006A5E28" w:rsidRDefault="00474745" w:rsidP="0048109F">
            <w:pPr>
              <w:pStyle w:val="NoSpacing"/>
              <w:spacing w:after="120"/>
            </w:pPr>
            <w:r>
              <w:t>Accept</w:t>
            </w:r>
          </w:p>
        </w:tc>
      </w:tr>
      <w:tr w:rsidR="00474745" w:rsidRPr="006A5E28" w14:paraId="4ADEED83" w14:textId="77777777" w:rsidTr="0048109F">
        <w:trPr>
          <w:gridAfter w:val="1"/>
          <w:wAfter w:w="21" w:type="dxa"/>
        </w:trPr>
        <w:tc>
          <w:tcPr>
            <w:tcW w:w="6171" w:type="dxa"/>
          </w:tcPr>
          <w:p w14:paraId="6960F689" w14:textId="77777777" w:rsidR="00474745" w:rsidRDefault="00474745" w:rsidP="0048109F">
            <w:pPr>
              <w:pStyle w:val="NoSpacing"/>
              <w:spacing w:after="120"/>
            </w:pPr>
            <w:r>
              <w:t>7.30: Support the transition to inclusive employment</w:t>
            </w:r>
          </w:p>
        </w:tc>
        <w:tc>
          <w:tcPr>
            <w:tcW w:w="4136" w:type="dxa"/>
          </w:tcPr>
          <w:p w14:paraId="47DED6B0" w14:textId="77777777" w:rsidR="00474745" w:rsidRPr="006A5E28" w:rsidRDefault="00474745" w:rsidP="0048109F">
            <w:pPr>
              <w:pStyle w:val="NoSpacing"/>
              <w:spacing w:after="120"/>
            </w:pPr>
            <w:r>
              <w:t>Accept in principle</w:t>
            </w:r>
          </w:p>
        </w:tc>
      </w:tr>
      <w:tr w:rsidR="00474745" w:rsidRPr="006A5E28" w14:paraId="47499EB5" w14:textId="77777777" w:rsidTr="0048109F">
        <w:trPr>
          <w:gridAfter w:val="1"/>
          <w:wAfter w:w="21" w:type="dxa"/>
        </w:trPr>
        <w:tc>
          <w:tcPr>
            <w:tcW w:w="6171" w:type="dxa"/>
          </w:tcPr>
          <w:p w14:paraId="654A90AE" w14:textId="77777777" w:rsidR="00474745" w:rsidRDefault="00474745" w:rsidP="0048109F">
            <w:pPr>
              <w:pStyle w:val="NoSpacing"/>
              <w:spacing w:after="120"/>
            </w:pPr>
            <w:r>
              <w:t>7.31: Raise subminimum wages</w:t>
            </w:r>
          </w:p>
        </w:tc>
        <w:tc>
          <w:tcPr>
            <w:tcW w:w="4136" w:type="dxa"/>
          </w:tcPr>
          <w:p w14:paraId="789D5819" w14:textId="77777777" w:rsidR="00474745" w:rsidRPr="006A5E28" w:rsidRDefault="00474745" w:rsidP="0048109F">
            <w:pPr>
              <w:pStyle w:val="NoSpacing"/>
              <w:spacing w:after="120"/>
            </w:pPr>
            <w:r>
              <w:t xml:space="preserve">Subject to further consideration </w:t>
            </w:r>
          </w:p>
        </w:tc>
      </w:tr>
      <w:tr w:rsidR="00474745" w:rsidRPr="006A5E28" w14:paraId="03797F90" w14:textId="77777777" w:rsidTr="0048109F">
        <w:trPr>
          <w:gridAfter w:val="1"/>
          <w:wAfter w:w="21" w:type="dxa"/>
        </w:trPr>
        <w:tc>
          <w:tcPr>
            <w:tcW w:w="6171" w:type="dxa"/>
          </w:tcPr>
          <w:p w14:paraId="6E5A67AF" w14:textId="77777777" w:rsidR="00474745" w:rsidRDefault="00474745" w:rsidP="0048109F">
            <w:pPr>
              <w:pStyle w:val="NoSpacing"/>
              <w:spacing w:after="120"/>
            </w:pPr>
            <w:r>
              <w:t>7.32: End segregated employment by 2034</w:t>
            </w:r>
          </w:p>
        </w:tc>
        <w:tc>
          <w:tcPr>
            <w:tcW w:w="4136" w:type="dxa"/>
          </w:tcPr>
          <w:p w14:paraId="1D488DED" w14:textId="77777777" w:rsidR="00474745" w:rsidRPr="006A5E28" w:rsidRDefault="00474745" w:rsidP="0048109F">
            <w:pPr>
              <w:pStyle w:val="NoSpacing"/>
              <w:spacing w:after="120"/>
            </w:pPr>
            <w:r>
              <w:t xml:space="preserve">Subject to further consideration </w:t>
            </w:r>
          </w:p>
        </w:tc>
      </w:tr>
    </w:tbl>
    <w:p w14:paraId="671F6F35" w14:textId="77777777" w:rsidR="00474745" w:rsidRDefault="00474745" w:rsidP="00474745">
      <w:pPr>
        <w:pStyle w:val="Heading2"/>
      </w:pPr>
      <w:r>
        <w:t>Key actions and initiatives</w:t>
      </w:r>
    </w:p>
    <w:p w14:paraId="3BFA316D" w14:textId="77777777" w:rsidR="00474745" w:rsidRPr="00BB126F" w:rsidRDefault="00474745" w:rsidP="00474745">
      <w:r w:rsidRPr="00BB126F">
        <w:t>The Australian Government has implemented a new specialised disability employment program commencing on 1 July 2025. The program will replace the current Disability Employment Services program and help people with disability, injury or illness find and maintain sustainable employment by delivering high-quality, personalised services.</w:t>
      </w:r>
    </w:p>
    <w:p w14:paraId="0846EF07" w14:textId="77777777" w:rsidR="00474745" w:rsidRPr="00EE7B11" w:rsidRDefault="00474745" w:rsidP="00474745">
      <w:r w:rsidRPr="00BB126F">
        <w:t>The Australian Government is establishing a Disability Employment Centre of Excellence. The Centre will ensure employment service providers and staff have access to clear and useful information and training on</w:t>
      </w:r>
      <w:r>
        <w:t xml:space="preserve"> </w:t>
      </w:r>
      <w:r w:rsidRPr="00EE7B11">
        <w:t xml:space="preserve">disability awareness, cultural competency, human rights, customised employment, and employer engagement. It will complement the role of the current </w:t>
      </w:r>
      <w:proofErr w:type="spellStart"/>
      <w:r w:rsidRPr="00EE7B11">
        <w:t>JobAccess</w:t>
      </w:r>
      <w:proofErr w:type="spellEnd"/>
      <w:r w:rsidRPr="00EE7B11">
        <w:t xml:space="preserve"> service, which builds employer capability and disability confidence, and facilitates access to supports for workplace adjustments, advice and training.</w:t>
      </w:r>
    </w:p>
    <w:p w14:paraId="244C9D83" w14:textId="77777777" w:rsidR="00474745" w:rsidRPr="00BB126F" w:rsidRDefault="00474745" w:rsidP="00474745">
      <w:r w:rsidRPr="00BB126F">
        <w:t>The Australian Government is implementing a new Disability Employment Advocacy and Information Program to deliver information supports for people with disability. The program will run until 30</w:t>
      </w:r>
      <w:r>
        <w:t> </w:t>
      </w:r>
      <w:r w:rsidRPr="00BB126F">
        <w:t>June</w:t>
      </w:r>
      <w:r>
        <w:t> </w:t>
      </w:r>
      <w:r w:rsidRPr="00BB126F">
        <w:t xml:space="preserve">2027 and will be delivered by Inclusion Australia, in partnership with Disability Advocacy Network Australia. </w:t>
      </w:r>
    </w:p>
    <w:p w14:paraId="2A436662" w14:textId="77777777" w:rsidR="00474745" w:rsidRPr="00BB126F" w:rsidRDefault="00474745" w:rsidP="00474745">
      <w:r w:rsidRPr="00BB126F">
        <w:t xml:space="preserve">Public service commissioners will work together to share best practice on improving public sector employment outcomes for people with disability. </w:t>
      </w:r>
    </w:p>
    <w:p w14:paraId="76BB957D" w14:textId="77777777" w:rsidR="00474745" w:rsidRPr="00BB126F" w:rsidRDefault="00474745" w:rsidP="00474745">
      <w:r w:rsidRPr="00BB126F">
        <w:t>The Australian Government has also commenced research and analysis on how the Commonwealth could use its purchasing power to increase employment of people with disability. As an initial step, in the 2023</w:t>
      </w:r>
      <w:r w:rsidRPr="00BB126F">
        <w:noBreakHyphen/>
        <w:t xml:space="preserve">24 Budget, the Government dedicated significant funding to target entrenched community disadvantage. </w:t>
      </w:r>
    </w:p>
    <w:p w14:paraId="1562DF17" w14:textId="77777777" w:rsidR="00474745" w:rsidRPr="00EE7B11" w:rsidRDefault="00474745" w:rsidP="00474745">
      <w:r w:rsidRPr="00BB126F">
        <w:t>In September 2023, the Fair Work Ombudsman entered formal arrangements with the</w:t>
      </w:r>
      <w:r w:rsidRPr="00EE7B11">
        <w:t xml:space="preserve"> Australian Human Rights Commission and the Fair Work Commission to facilitate referrals of unresolved matters involving allegations of serious and/ or systemic disability discrimination and certain other unlawful conduct under the </w:t>
      </w:r>
      <w:r w:rsidRPr="00EE7B11">
        <w:rPr>
          <w:i/>
          <w:iCs/>
        </w:rPr>
        <w:t>Fair Work Act</w:t>
      </w:r>
      <w:r w:rsidRPr="00EE7B11">
        <w:t xml:space="preserve">, to the Fair Work Ombudsman for potential investigation and enforcement action. </w:t>
      </w:r>
    </w:p>
    <w:p w14:paraId="0D152071" w14:textId="77777777" w:rsidR="00474745" w:rsidRDefault="00474745" w:rsidP="00474745">
      <w:r w:rsidRPr="00BB126F">
        <w:t xml:space="preserve">The National Disability Insurance Agency released the next iteration of the NDIS Participant Employment Strategy 2024-2026 on 20 March 2024. </w:t>
      </w:r>
    </w:p>
    <w:p w14:paraId="7E8A5388" w14:textId="77777777" w:rsidR="00474745" w:rsidRDefault="00474745" w:rsidP="00474745">
      <w:pPr>
        <w:spacing w:after="240"/>
      </w:pPr>
      <w:r>
        <w:br w:type="page"/>
      </w:r>
    </w:p>
    <w:p w14:paraId="1BB3895C" w14:textId="77777777" w:rsidR="00474745" w:rsidRPr="00BB126F" w:rsidRDefault="00474745" w:rsidP="00474745">
      <w:r w:rsidRPr="00BB126F">
        <w:lastRenderedPageBreak/>
        <w:t>Disability Ministers agreed to a national Supported Employment Plan in November 2023. The Australian Government announced various initiatives in the Supported Employment Plan in November</w:t>
      </w:r>
      <w:r>
        <w:t> </w:t>
      </w:r>
      <w:r w:rsidRPr="00BB126F">
        <w:t xml:space="preserve">2023, which aims to support people with disability to move to inclusive, open employment options in a range of settings, including: </w:t>
      </w:r>
    </w:p>
    <w:p w14:paraId="51A95920" w14:textId="77777777" w:rsidR="00474745" w:rsidRPr="00BB126F" w:rsidRDefault="00474745" w:rsidP="00474745">
      <w:pPr>
        <w:pStyle w:val="ListParagraph"/>
        <w:numPr>
          <w:ilvl w:val="0"/>
          <w:numId w:val="23"/>
        </w:numPr>
      </w:pPr>
      <w:r w:rsidRPr="00BB126F">
        <w:t>A structural Adjustment Fund, which will provide grants to enable supported employment services and social enterprises to evolve their business models to better meeting community expectations and create sustainable employment opportunities for people with disability</w:t>
      </w:r>
      <w:r>
        <w:t>.</w:t>
      </w:r>
    </w:p>
    <w:p w14:paraId="68CCFE22" w14:textId="77777777" w:rsidR="00474745" w:rsidRPr="00BB126F" w:rsidRDefault="00474745" w:rsidP="00474745">
      <w:pPr>
        <w:pStyle w:val="ListParagraph"/>
        <w:numPr>
          <w:ilvl w:val="0"/>
          <w:numId w:val="23"/>
        </w:numPr>
      </w:pPr>
      <w:r w:rsidRPr="00BB126F">
        <w:t xml:space="preserve">Disability Employment Expos, which will be open to people with high support needs and their families and provide them with information on a range of employment pathways and available supports. </w:t>
      </w:r>
    </w:p>
    <w:p w14:paraId="1B3E5291" w14:textId="77777777" w:rsidR="00474745" w:rsidRPr="00BB126F" w:rsidRDefault="00474745" w:rsidP="00474745">
      <w:r w:rsidRPr="00BB126F">
        <w:t>The NDIS-DES Pathways Pilot is another initiative currently underway. It aims to improve the interface between the National Disability Insurance Scheme and Disability Employment Services and improve the experience for NDIS participants. Learnings from this pilot will inform future practices and guidelines for the two systems.</w:t>
      </w:r>
    </w:p>
    <w:p w14:paraId="40F253F3" w14:textId="77777777" w:rsidR="00474745" w:rsidRDefault="00474745" w:rsidP="00474745">
      <w:pPr>
        <w:pStyle w:val="Heading2"/>
        <w:rPr>
          <w:rFonts w:asciiTheme="minorHAnsi" w:eastAsiaTheme="minorEastAsia" w:hAnsiTheme="minorHAnsi" w:cstheme="minorBidi"/>
          <w:sz w:val="20"/>
          <w:szCs w:val="20"/>
        </w:rPr>
      </w:pPr>
      <w:r w:rsidRPr="7F4F178B">
        <w:rPr>
          <w:rFonts w:asciiTheme="minorHAnsi" w:eastAsiaTheme="minorEastAsia" w:hAnsiTheme="minorHAnsi" w:cstheme="minorBidi"/>
          <w:szCs w:val="40"/>
        </w:rPr>
        <w:t>Government investment</w:t>
      </w:r>
    </w:p>
    <w:p w14:paraId="2B8B71DD" w14:textId="77777777" w:rsidR="00474745" w:rsidRPr="00BB126F" w:rsidRDefault="00474745" w:rsidP="00474745">
      <w:pPr>
        <w:pStyle w:val="ListParagraph"/>
        <w:numPr>
          <w:ilvl w:val="0"/>
          <w:numId w:val="24"/>
        </w:numPr>
      </w:pPr>
      <w:r w:rsidRPr="00BB126F">
        <w:t xml:space="preserve">Over the next 4 years, the </w:t>
      </w:r>
      <w:r>
        <w:t xml:space="preserve">Australian </w:t>
      </w:r>
      <w:r w:rsidRPr="00BB126F">
        <w:t xml:space="preserve">Government has committed over </w:t>
      </w:r>
      <w:r w:rsidRPr="00297162">
        <w:rPr>
          <w:b/>
          <w:bCs/>
          <w:color w:val="005A70"/>
        </w:rPr>
        <w:t>$5.2 billion</w:t>
      </w:r>
      <w:r w:rsidRPr="00BB126F">
        <w:t xml:space="preserve"> towards disability employment, including:</w:t>
      </w:r>
    </w:p>
    <w:p w14:paraId="1F9BE3EF" w14:textId="77777777" w:rsidR="00474745" w:rsidRPr="00BB126F" w:rsidRDefault="00474745" w:rsidP="00474745">
      <w:pPr>
        <w:pStyle w:val="ListParagraph"/>
        <w:numPr>
          <w:ilvl w:val="1"/>
          <w:numId w:val="24"/>
        </w:numPr>
      </w:pPr>
      <w:r>
        <w:t>A</w:t>
      </w:r>
      <w:r w:rsidRPr="00BB126F">
        <w:t xml:space="preserve">n additional </w:t>
      </w:r>
      <w:r w:rsidRPr="00297162">
        <w:rPr>
          <w:b/>
          <w:bCs/>
          <w:color w:val="005A70"/>
        </w:rPr>
        <w:t>$227.6 million</w:t>
      </w:r>
      <w:r w:rsidRPr="00BB126F">
        <w:t xml:space="preserve"> to implement a new specialist disability employment program commencing on 1 July 2025. </w:t>
      </w:r>
    </w:p>
    <w:p w14:paraId="3A840797" w14:textId="77777777" w:rsidR="00474745" w:rsidRPr="00BB126F" w:rsidRDefault="00474745" w:rsidP="00474745">
      <w:pPr>
        <w:pStyle w:val="ListParagraph"/>
        <w:numPr>
          <w:ilvl w:val="1"/>
          <w:numId w:val="24"/>
        </w:numPr>
      </w:pPr>
      <w:r w:rsidRPr="00297162">
        <w:rPr>
          <w:b/>
          <w:bCs/>
          <w:color w:val="005A70"/>
        </w:rPr>
        <w:t>$23.3 million</w:t>
      </w:r>
      <w:r w:rsidRPr="00BB126F">
        <w:t xml:space="preserve"> to establish a Disability Employment Centre of Excellence, which will develop best practice, evidence-based information and training to help disability employment service providers deliver high quality and effective employment services.</w:t>
      </w:r>
    </w:p>
    <w:p w14:paraId="7623F56F" w14:textId="77777777" w:rsidR="00474745" w:rsidRPr="00BB126F" w:rsidRDefault="00474745" w:rsidP="00474745">
      <w:pPr>
        <w:pStyle w:val="ListParagraph"/>
        <w:numPr>
          <w:ilvl w:val="0"/>
          <w:numId w:val="24"/>
        </w:numPr>
      </w:pPr>
      <w:r w:rsidRPr="00BB126F">
        <w:t xml:space="preserve">As part of the 2023-24 Budget, the Australian Government announced a </w:t>
      </w:r>
      <w:r w:rsidRPr="00297162">
        <w:rPr>
          <w:b/>
          <w:bCs/>
          <w:color w:val="005A70"/>
        </w:rPr>
        <w:t>$52.7 million</w:t>
      </w:r>
      <w:r w:rsidRPr="00BB126F">
        <w:t xml:space="preserve"> investment to help strengthen the supported employment sector. </w:t>
      </w:r>
    </w:p>
    <w:p w14:paraId="5C8B8B66" w14:textId="77777777" w:rsidR="00474745" w:rsidRPr="00BB126F" w:rsidRDefault="00474745" w:rsidP="00474745">
      <w:pPr>
        <w:pStyle w:val="ListParagraph"/>
        <w:numPr>
          <w:ilvl w:val="0"/>
          <w:numId w:val="24"/>
        </w:numPr>
      </w:pPr>
      <w:r w:rsidRPr="00BB126F">
        <w:t xml:space="preserve">The Australian Government is implementing a new Disability Employment Advocacy and Information Program. The </w:t>
      </w:r>
      <w:r w:rsidRPr="00297162">
        <w:rPr>
          <w:b/>
          <w:bCs/>
          <w:color w:val="005A70"/>
        </w:rPr>
        <w:t>$9.8 million</w:t>
      </w:r>
      <w:r w:rsidRPr="00BB126F">
        <w:t xml:space="preserve"> program will run </w:t>
      </w:r>
      <w:r>
        <w:t>un</w:t>
      </w:r>
      <w:r w:rsidRPr="00BB126F">
        <w:t>til 30 June 2027, and be delivered by Inclusion Australia, in partnership with</w:t>
      </w:r>
      <w:r w:rsidRPr="00BB126F" w:rsidDel="00C723FE">
        <w:t xml:space="preserve"> </w:t>
      </w:r>
      <w:r w:rsidRPr="00BB126F">
        <w:t xml:space="preserve">Disability Advocacy Network Australia. </w:t>
      </w:r>
    </w:p>
    <w:p w14:paraId="706FAD6E" w14:textId="77777777" w:rsidR="00474745" w:rsidRPr="00BB126F" w:rsidRDefault="00474745" w:rsidP="00474745">
      <w:pPr>
        <w:pStyle w:val="ListParagraph"/>
        <w:numPr>
          <w:ilvl w:val="0"/>
          <w:numId w:val="24"/>
        </w:numPr>
      </w:pPr>
      <w:r w:rsidRPr="00BB126F">
        <w:t>The</w:t>
      </w:r>
      <w:r>
        <w:t xml:space="preserve"> Australian </w:t>
      </w:r>
      <w:r w:rsidRPr="00BB126F">
        <w:t>Government is supporting the Disability Leadership Program with 100</w:t>
      </w:r>
      <w:r>
        <w:t> </w:t>
      </w:r>
      <w:r w:rsidRPr="00BB126F">
        <w:t xml:space="preserve">scholarships as part of its </w:t>
      </w:r>
      <w:r w:rsidRPr="00297162">
        <w:rPr>
          <w:b/>
          <w:bCs/>
          <w:color w:val="005A70"/>
        </w:rPr>
        <w:t>$2 million</w:t>
      </w:r>
      <w:r w:rsidRPr="00BB126F">
        <w:t xml:space="preserve"> investment to develop disability leaders across</w:t>
      </w:r>
      <w:r>
        <w:t> </w:t>
      </w:r>
      <w:r w:rsidRPr="00BB126F">
        <w:t>the</w:t>
      </w:r>
      <w:r>
        <w:t> </w:t>
      </w:r>
      <w:r w:rsidRPr="00BB126F">
        <w:t xml:space="preserve">country. </w:t>
      </w:r>
    </w:p>
    <w:p w14:paraId="075D4BF3" w14:textId="77777777" w:rsidR="00474745" w:rsidRPr="008C5938" w:rsidRDefault="00474745" w:rsidP="00474745">
      <w:pPr>
        <w:pStyle w:val="ListParagraph"/>
        <w:numPr>
          <w:ilvl w:val="0"/>
          <w:numId w:val="24"/>
        </w:numPr>
      </w:pPr>
      <w:r w:rsidRPr="00BB126F">
        <w:t>The Business Council of Australia and Australian Network on Disability partnered with the Commonwealth and four large employers to deliver an 18-month Career Pathways Pilot. A</w:t>
      </w:r>
      <w:r>
        <w:t> </w:t>
      </w:r>
      <w:r w:rsidRPr="00BB126F">
        <w:t xml:space="preserve">total of </w:t>
      </w:r>
      <w:r w:rsidRPr="00297162">
        <w:rPr>
          <w:b/>
          <w:bCs/>
          <w:color w:val="005A70"/>
        </w:rPr>
        <w:t>$3.3 million</w:t>
      </w:r>
      <w:r w:rsidRPr="00BB126F">
        <w:t xml:space="preserve"> in Commonwealth has been allocated to the pilot. </w:t>
      </w:r>
      <w:bookmarkEnd w:id="1"/>
    </w:p>
    <w:p w14:paraId="14EFE0C3" w14:textId="7700D782" w:rsidR="00DA7B4A" w:rsidRPr="000E6227" w:rsidRDefault="00DA7B4A" w:rsidP="00474745">
      <w:pPr>
        <w:pStyle w:val="Heading1withsubtitle"/>
      </w:pPr>
    </w:p>
    <w:sectPr w:rsidR="00DA7B4A" w:rsidRPr="000E6227" w:rsidSect="00474745">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C3C26" w14:textId="77777777" w:rsidR="004C6643" w:rsidRDefault="004C6643" w:rsidP="008F3023">
      <w:pPr>
        <w:spacing w:after="0" w:line="240" w:lineRule="auto"/>
      </w:pPr>
      <w:r>
        <w:separator/>
      </w:r>
    </w:p>
  </w:endnote>
  <w:endnote w:type="continuationSeparator" w:id="0">
    <w:p w14:paraId="1A26E056" w14:textId="77777777" w:rsidR="004C6643" w:rsidRDefault="004C6643" w:rsidP="008F3023">
      <w:pPr>
        <w:spacing w:after="0" w:line="240" w:lineRule="auto"/>
      </w:pPr>
      <w:r>
        <w:continuationSeparator/>
      </w:r>
    </w:p>
  </w:endnote>
  <w:endnote w:type="continuationNotice" w:id="1">
    <w:p w14:paraId="1FD3B205" w14:textId="77777777" w:rsidR="004C6643" w:rsidRDefault="004C6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507" w14:textId="77777777" w:rsidR="009E24FA" w:rsidRDefault="009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8592" w14:textId="77777777" w:rsidR="009E24FA" w:rsidRDefault="009E2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3B57" w14:textId="7C008648" w:rsidR="008009CA" w:rsidRDefault="008009CA" w:rsidP="00D86E50">
    <w:pPr>
      <w:tabs>
        <w:tab w:val="left" w:pos="3040"/>
      </w:tabs>
      <w:jc w:val="center"/>
    </w:pPr>
  </w:p>
  <w:p w14:paraId="42A331A0"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277C2" w14:textId="77777777" w:rsidR="004C6643" w:rsidRDefault="004C6643" w:rsidP="008F3023">
      <w:pPr>
        <w:spacing w:after="0" w:line="240" w:lineRule="auto"/>
      </w:pPr>
      <w:r>
        <w:separator/>
      </w:r>
    </w:p>
  </w:footnote>
  <w:footnote w:type="continuationSeparator" w:id="0">
    <w:p w14:paraId="26DC81A7" w14:textId="77777777" w:rsidR="004C6643" w:rsidRDefault="004C6643" w:rsidP="008F3023">
      <w:pPr>
        <w:spacing w:after="0" w:line="240" w:lineRule="auto"/>
      </w:pPr>
      <w:r>
        <w:continuationSeparator/>
      </w:r>
    </w:p>
  </w:footnote>
  <w:footnote w:type="continuationNotice" w:id="1">
    <w:p w14:paraId="2375A1EE" w14:textId="77777777" w:rsidR="004C6643" w:rsidRDefault="004C66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7E99C" w14:textId="77777777" w:rsidR="009E24FA" w:rsidRDefault="009E2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D274" w14:textId="77777777" w:rsidR="009E24FA" w:rsidRDefault="009E2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DC88A" w14:textId="746AA5BE" w:rsidR="00F51BCF" w:rsidRPr="00F51BCF" w:rsidRDefault="00F51BCF" w:rsidP="00AC3ED0">
    <w:pPr>
      <w:tabs>
        <w:tab w:val="left" w:pos="5722"/>
      </w:tabs>
    </w:pPr>
    <w:r w:rsidRPr="00F51BCF">
      <w:rPr>
        <w:noProof/>
      </w:rPr>
      <w:drawing>
        <wp:anchor distT="0" distB="0" distL="114300" distR="114300" simplePos="0" relativeHeight="251658240" behindDoc="0" locked="0" layoutInCell="1" allowOverlap="1" wp14:anchorId="632BAF03" wp14:editId="1D2A2218">
          <wp:simplePos x="0" y="0"/>
          <wp:positionH relativeFrom="page">
            <wp:posOffset>-134620</wp:posOffset>
          </wp:positionH>
          <wp:positionV relativeFrom="page">
            <wp:posOffset>7620</wp:posOffset>
          </wp:positionV>
          <wp:extent cx="7860030" cy="1184275"/>
          <wp:effectExtent l="0" t="0" r="7620" b="0"/>
          <wp:wrapTopAndBottom/>
          <wp:docPr id="77341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18356" name="Picture 1"/>
                  <pic:cNvPicPr/>
                </pic:nvPicPr>
                <pic:blipFill rotWithShape="1">
                  <a:blip r:embed="rId1">
                    <a:extLst>
                      <a:ext uri="{28A0092B-C50C-407E-A947-70E740481C1C}">
                        <a14:useLocalDpi xmlns:a14="http://schemas.microsoft.com/office/drawing/2010/main" val="0"/>
                      </a:ext>
                    </a:extLst>
                  </a:blip>
                  <a:srcRect b="36754"/>
                  <a:stretch/>
                </pic:blipFill>
                <pic:spPr bwMode="auto">
                  <a:xfrm>
                    <a:off x="0" y="0"/>
                    <a:ext cx="7860030" cy="1184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CF70718"/>
    <w:multiLevelType w:val="hybridMultilevel"/>
    <w:tmpl w:val="86362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057C3"/>
    <w:multiLevelType w:val="multilevel"/>
    <w:tmpl w:val="9FDEB948"/>
    <w:numStyleLink w:val="DSSBulletList"/>
  </w:abstractNum>
  <w:abstractNum w:abstractNumId="4" w15:restartNumberingAfterBreak="0">
    <w:nsid w:val="0FB830BC"/>
    <w:multiLevelType w:val="hybridMultilevel"/>
    <w:tmpl w:val="AD52D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81DBD"/>
    <w:multiLevelType w:val="hybridMultilevel"/>
    <w:tmpl w:val="0ED8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3759F8"/>
    <w:multiLevelType w:val="hybridMultilevel"/>
    <w:tmpl w:val="89527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745A21"/>
    <w:multiLevelType w:val="hybridMultilevel"/>
    <w:tmpl w:val="E6283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7223805"/>
    <w:multiLevelType w:val="multilevel"/>
    <w:tmpl w:val="9FDEB948"/>
    <w:numStyleLink w:val="DSSBulletList"/>
  </w:abstractNum>
  <w:abstractNum w:abstractNumId="15" w15:restartNumberingAfterBreak="0">
    <w:nsid w:val="49824738"/>
    <w:multiLevelType w:val="multilevel"/>
    <w:tmpl w:val="9FDEB948"/>
    <w:numStyleLink w:val="DSSBulletList"/>
  </w:abstractNum>
  <w:abstractNum w:abstractNumId="16"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B573A6"/>
    <w:multiLevelType w:val="hybridMultilevel"/>
    <w:tmpl w:val="ED0A5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476D68"/>
    <w:multiLevelType w:val="hybridMultilevel"/>
    <w:tmpl w:val="F3468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1" w15:restartNumberingAfterBreak="0">
    <w:nsid w:val="76074ECA"/>
    <w:multiLevelType w:val="multilevel"/>
    <w:tmpl w:val="9FDEB948"/>
    <w:numStyleLink w:val="DSSBulletList"/>
  </w:abstractNum>
  <w:abstractNum w:abstractNumId="22"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2"/>
  </w:num>
  <w:num w:numId="2" w16cid:durableId="603616384">
    <w:abstractNumId w:val="20"/>
  </w:num>
  <w:num w:numId="3" w16cid:durableId="1776898335">
    <w:abstractNumId w:val="1"/>
  </w:num>
  <w:num w:numId="4" w16cid:durableId="2095198095">
    <w:abstractNumId w:val="12"/>
  </w:num>
  <w:num w:numId="5" w16cid:durableId="1272399657">
    <w:abstractNumId w:val="17"/>
  </w:num>
  <w:num w:numId="6" w16cid:durableId="49574427">
    <w:abstractNumId w:val="10"/>
  </w:num>
  <w:num w:numId="7" w16cid:durableId="1516722866">
    <w:abstractNumId w:val="6"/>
  </w:num>
  <w:num w:numId="8" w16cid:durableId="164823704">
    <w:abstractNumId w:val="9"/>
  </w:num>
  <w:num w:numId="9" w16cid:durableId="1422482963">
    <w:abstractNumId w:val="16"/>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5"/>
  </w:num>
  <w:num w:numId="13" w16cid:durableId="1936858350">
    <w:abstractNumId w:val="8"/>
  </w:num>
  <w:num w:numId="14" w16cid:durableId="1314525174">
    <w:abstractNumId w:val="13"/>
  </w:num>
  <w:num w:numId="15" w16cid:durableId="843473068">
    <w:abstractNumId w:val="21"/>
  </w:num>
  <w:num w:numId="16" w16cid:durableId="287008484">
    <w:abstractNumId w:val="3"/>
  </w:num>
  <w:num w:numId="17" w16cid:durableId="2046100428">
    <w:abstractNumId w:val="14"/>
  </w:num>
  <w:num w:numId="18" w16cid:durableId="1937323398">
    <w:abstractNumId w:val="11"/>
  </w:num>
  <w:num w:numId="19" w16cid:durableId="443964828">
    <w:abstractNumId w:val="18"/>
  </w:num>
  <w:num w:numId="20" w16cid:durableId="1058480727">
    <w:abstractNumId w:val="2"/>
  </w:num>
  <w:num w:numId="21" w16cid:durableId="1547637686">
    <w:abstractNumId w:val="19"/>
  </w:num>
  <w:num w:numId="22" w16cid:durableId="843782479">
    <w:abstractNumId w:val="5"/>
  </w:num>
  <w:num w:numId="23" w16cid:durableId="119223666">
    <w:abstractNumId w:val="4"/>
  </w:num>
  <w:num w:numId="24" w16cid:durableId="171685367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EB"/>
    <w:rsid w:val="00003F94"/>
    <w:rsid w:val="000140B8"/>
    <w:rsid w:val="000317E3"/>
    <w:rsid w:val="00035AF2"/>
    <w:rsid w:val="00044684"/>
    <w:rsid w:val="00046C31"/>
    <w:rsid w:val="000534A0"/>
    <w:rsid w:val="00054F5F"/>
    <w:rsid w:val="00057B40"/>
    <w:rsid w:val="00064140"/>
    <w:rsid w:val="00065DCF"/>
    <w:rsid w:val="000750D2"/>
    <w:rsid w:val="00081610"/>
    <w:rsid w:val="00091ABE"/>
    <w:rsid w:val="000B5EF5"/>
    <w:rsid w:val="000B7D80"/>
    <w:rsid w:val="000C4A0F"/>
    <w:rsid w:val="000D0755"/>
    <w:rsid w:val="000D1868"/>
    <w:rsid w:val="000D5965"/>
    <w:rsid w:val="000E6227"/>
    <w:rsid w:val="000F5B57"/>
    <w:rsid w:val="000F7266"/>
    <w:rsid w:val="000F75FC"/>
    <w:rsid w:val="001510D7"/>
    <w:rsid w:val="00161696"/>
    <w:rsid w:val="001900B2"/>
    <w:rsid w:val="00196396"/>
    <w:rsid w:val="001A7461"/>
    <w:rsid w:val="001C4603"/>
    <w:rsid w:val="001C58ED"/>
    <w:rsid w:val="001C64F8"/>
    <w:rsid w:val="001D0F6D"/>
    <w:rsid w:val="001E39FC"/>
    <w:rsid w:val="001E630D"/>
    <w:rsid w:val="001F6546"/>
    <w:rsid w:val="00201C6D"/>
    <w:rsid w:val="00214210"/>
    <w:rsid w:val="0022162B"/>
    <w:rsid w:val="002346B5"/>
    <w:rsid w:val="0023484C"/>
    <w:rsid w:val="002408DC"/>
    <w:rsid w:val="00240A6E"/>
    <w:rsid w:val="00242D59"/>
    <w:rsid w:val="002532C0"/>
    <w:rsid w:val="002561AD"/>
    <w:rsid w:val="00262CDD"/>
    <w:rsid w:val="002642B1"/>
    <w:rsid w:val="00265257"/>
    <w:rsid w:val="00266B26"/>
    <w:rsid w:val="00267A25"/>
    <w:rsid w:val="0027075A"/>
    <w:rsid w:val="002755A4"/>
    <w:rsid w:val="00275EA9"/>
    <w:rsid w:val="00281DFB"/>
    <w:rsid w:val="00282835"/>
    <w:rsid w:val="00295934"/>
    <w:rsid w:val="002A3CBA"/>
    <w:rsid w:val="002B3CC6"/>
    <w:rsid w:val="002B7002"/>
    <w:rsid w:val="002C4CE1"/>
    <w:rsid w:val="002F2AD3"/>
    <w:rsid w:val="003021F2"/>
    <w:rsid w:val="003042A4"/>
    <w:rsid w:val="00311FC7"/>
    <w:rsid w:val="00314451"/>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D46AB"/>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74745"/>
    <w:rsid w:val="00481EAA"/>
    <w:rsid w:val="004837A4"/>
    <w:rsid w:val="00490F3B"/>
    <w:rsid w:val="00491310"/>
    <w:rsid w:val="004A2151"/>
    <w:rsid w:val="004B54CA"/>
    <w:rsid w:val="004B653B"/>
    <w:rsid w:val="004C6643"/>
    <w:rsid w:val="004D7310"/>
    <w:rsid w:val="004E5CBF"/>
    <w:rsid w:val="004F77F4"/>
    <w:rsid w:val="0050098E"/>
    <w:rsid w:val="0050168B"/>
    <w:rsid w:val="005072B0"/>
    <w:rsid w:val="005072DF"/>
    <w:rsid w:val="00515ED5"/>
    <w:rsid w:val="00516559"/>
    <w:rsid w:val="0051729F"/>
    <w:rsid w:val="00517AE4"/>
    <w:rsid w:val="00522101"/>
    <w:rsid w:val="005312DA"/>
    <w:rsid w:val="0054621C"/>
    <w:rsid w:val="0054713E"/>
    <w:rsid w:val="005543A8"/>
    <w:rsid w:val="00567053"/>
    <w:rsid w:val="00571E49"/>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F2041"/>
    <w:rsid w:val="005F5EEF"/>
    <w:rsid w:val="00613437"/>
    <w:rsid w:val="00626821"/>
    <w:rsid w:val="00631A2C"/>
    <w:rsid w:val="0063297E"/>
    <w:rsid w:val="00643CDC"/>
    <w:rsid w:val="006555B8"/>
    <w:rsid w:val="00655B3F"/>
    <w:rsid w:val="00683BC0"/>
    <w:rsid w:val="00686716"/>
    <w:rsid w:val="00691416"/>
    <w:rsid w:val="00693D27"/>
    <w:rsid w:val="006A0A46"/>
    <w:rsid w:val="006A4CE7"/>
    <w:rsid w:val="006A7DD3"/>
    <w:rsid w:val="006B2D84"/>
    <w:rsid w:val="006C574D"/>
    <w:rsid w:val="006D161A"/>
    <w:rsid w:val="006D2DA3"/>
    <w:rsid w:val="006D622A"/>
    <w:rsid w:val="006F3D9C"/>
    <w:rsid w:val="007065F3"/>
    <w:rsid w:val="0073320E"/>
    <w:rsid w:val="00734CF2"/>
    <w:rsid w:val="00746215"/>
    <w:rsid w:val="00761CAD"/>
    <w:rsid w:val="00765A7C"/>
    <w:rsid w:val="00785261"/>
    <w:rsid w:val="007929FE"/>
    <w:rsid w:val="00795CEA"/>
    <w:rsid w:val="007A1D3B"/>
    <w:rsid w:val="007B0256"/>
    <w:rsid w:val="007C3D2E"/>
    <w:rsid w:val="007D1C2F"/>
    <w:rsid w:val="007D30A2"/>
    <w:rsid w:val="007E007C"/>
    <w:rsid w:val="007E3959"/>
    <w:rsid w:val="007E3B8B"/>
    <w:rsid w:val="008006FC"/>
    <w:rsid w:val="008009CA"/>
    <w:rsid w:val="0080363D"/>
    <w:rsid w:val="008063AF"/>
    <w:rsid w:val="00815A31"/>
    <w:rsid w:val="0082068B"/>
    <w:rsid w:val="00831FDD"/>
    <w:rsid w:val="00834383"/>
    <w:rsid w:val="00837F4E"/>
    <w:rsid w:val="0084227C"/>
    <w:rsid w:val="0085088E"/>
    <w:rsid w:val="00850C04"/>
    <w:rsid w:val="008565DF"/>
    <w:rsid w:val="0085710F"/>
    <w:rsid w:val="00862EAA"/>
    <w:rsid w:val="00871AEF"/>
    <w:rsid w:val="00874643"/>
    <w:rsid w:val="00876CA6"/>
    <w:rsid w:val="00877018"/>
    <w:rsid w:val="00882B98"/>
    <w:rsid w:val="008916D6"/>
    <w:rsid w:val="00891E2F"/>
    <w:rsid w:val="008B210B"/>
    <w:rsid w:val="008C3726"/>
    <w:rsid w:val="008D3758"/>
    <w:rsid w:val="008E0C72"/>
    <w:rsid w:val="008F1038"/>
    <w:rsid w:val="008F3023"/>
    <w:rsid w:val="009225F0"/>
    <w:rsid w:val="009421EB"/>
    <w:rsid w:val="0094563F"/>
    <w:rsid w:val="00946B15"/>
    <w:rsid w:val="00987714"/>
    <w:rsid w:val="00996415"/>
    <w:rsid w:val="009B5AB3"/>
    <w:rsid w:val="009B717B"/>
    <w:rsid w:val="009D2DF8"/>
    <w:rsid w:val="009D3CCB"/>
    <w:rsid w:val="009D4AC2"/>
    <w:rsid w:val="009E24BC"/>
    <w:rsid w:val="009E24FA"/>
    <w:rsid w:val="009F6D01"/>
    <w:rsid w:val="00A13549"/>
    <w:rsid w:val="00A43E66"/>
    <w:rsid w:val="00A4462B"/>
    <w:rsid w:val="00A51123"/>
    <w:rsid w:val="00A6317F"/>
    <w:rsid w:val="00A74769"/>
    <w:rsid w:val="00A80DE0"/>
    <w:rsid w:val="00A84261"/>
    <w:rsid w:val="00A85365"/>
    <w:rsid w:val="00AA7226"/>
    <w:rsid w:val="00AB1B09"/>
    <w:rsid w:val="00AB62CC"/>
    <w:rsid w:val="00AC3ED0"/>
    <w:rsid w:val="00AD01EF"/>
    <w:rsid w:val="00AD627F"/>
    <w:rsid w:val="00AD6700"/>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32B9"/>
    <w:rsid w:val="00BE7148"/>
    <w:rsid w:val="00C027B8"/>
    <w:rsid w:val="00C175D2"/>
    <w:rsid w:val="00C27ABB"/>
    <w:rsid w:val="00C36523"/>
    <w:rsid w:val="00C4058D"/>
    <w:rsid w:val="00C438A6"/>
    <w:rsid w:val="00C53EA0"/>
    <w:rsid w:val="00C55DE7"/>
    <w:rsid w:val="00C57001"/>
    <w:rsid w:val="00C7347B"/>
    <w:rsid w:val="00C76B3D"/>
    <w:rsid w:val="00CA5D88"/>
    <w:rsid w:val="00CB718C"/>
    <w:rsid w:val="00CB74B3"/>
    <w:rsid w:val="00CC58D6"/>
    <w:rsid w:val="00CD519A"/>
    <w:rsid w:val="00CE0B04"/>
    <w:rsid w:val="00CE1CB4"/>
    <w:rsid w:val="00CE381E"/>
    <w:rsid w:val="00CE4A1F"/>
    <w:rsid w:val="00CF77DE"/>
    <w:rsid w:val="00D066BF"/>
    <w:rsid w:val="00D22A8A"/>
    <w:rsid w:val="00D2619A"/>
    <w:rsid w:val="00D40593"/>
    <w:rsid w:val="00D578AD"/>
    <w:rsid w:val="00D71C54"/>
    <w:rsid w:val="00D83A7C"/>
    <w:rsid w:val="00D86E50"/>
    <w:rsid w:val="00D90D3C"/>
    <w:rsid w:val="00D91F38"/>
    <w:rsid w:val="00DA1B31"/>
    <w:rsid w:val="00DA33DB"/>
    <w:rsid w:val="00DA66C1"/>
    <w:rsid w:val="00DA7B4A"/>
    <w:rsid w:val="00DB012A"/>
    <w:rsid w:val="00DB145C"/>
    <w:rsid w:val="00DB33E4"/>
    <w:rsid w:val="00DC61A0"/>
    <w:rsid w:val="00DD20AD"/>
    <w:rsid w:val="00DD6202"/>
    <w:rsid w:val="00DD68AB"/>
    <w:rsid w:val="00DF6274"/>
    <w:rsid w:val="00E30C3C"/>
    <w:rsid w:val="00E312EE"/>
    <w:rsid w:val="00E51EF1"/>
    <w:rsid w:val="00E643E0"/>
    <w:rsid w:val="00E660C5"/>
    <w:rsid w:val="00E67EED"/>
    <w:rsid w:val="00E708BB"/>
    <w:rsid w:val="00E761A2"/>
    <w:rsid w:val="00E82B90"/>
    <w:rsid w:val="00E858A7"/>
    <w:rsid w:val="00E86439"/>
    <w:rsid w:val="00E9285A"/>
    <w:rsid w:val="00E943B5"/>
    <w:rsid w:val="00E946B3"/>
    <w:rsid w:val="00E956B6"/>
    <w:rsid w:val="00E975C4"/>
    <w:rsid w:val="00EA550A"/>
    <w:rsid w:val="00EA66F0"/>
    <w:rsid w:val="00EB268B"/>
    <w:rsid w:val="00EB32A9"/>
    <w:rsid w:val="00EB7949"/>
    <w:rsid w:val="00EC7AD6"/>
    <w:rsid w:val="00ED3F6A"/>
    <w:rsid w:val="00EE3834"/>
    <w:rsid w:val="00EE5D6C"/>
    <w:rsid w:val="00EE67D9"/>
    <w:rsid w:val="00EE68BA"/>
    <w:rsid w:val="00EF3823"/>
    <w:rsid w:val="00EF3DA5"/>
    <w:rsid w:val="00F047F4"/>
    <w:rsid w:val="00F07D2D"/>
    <w:rsid w:val="00F12BA1"/>
    <w:rsid w:val="00F148C2"/>
    <w:rsid w:val="00F15211"/>
    <w:rsid w:val="00F212CF"/>
    <w:rsid w:val="00F30908"/>
    <w:rsid w:val="00F32AAD"/>
    <w:rsid w:val="00F37C38"/>
    <w:rsid w:val="00F42CAA"/>
    <w:rsid w:val="00F44F79"/>
    <w:rsid w:val="00F47F8D"/>
    <w:rsid w:val="00F51BCF"/>
    <w:rsid w:val="00F5337B"/>
    <w:rsid w:val="00F74404"/>
    <w:rsid w:val="00F85669"/>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F1B9"/>
  <w15:docId w15:val="{3174986F-57D2-1643-BAD2-DB025656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aliases w:val="List Paragraph1,List Paragraph11,Recommendation,L,Bullet Point,Bullet points,Content descriptions,Bullet point,CV text,F5 List Paragraph,Dot pt,List Paragraph111,Medium Grid 1 - Accent 21,Numbered Paragraph,NFP GP Bulleted List,Table,Main"/>
    <w:basedOn w:val="Normal"/>
    <w:link w:val="ListParagraphChar"/>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styleId="PageNumber">
    <w:name w:val="page number"/>
    <w:basedOn w:val="DefaultParagraphFont"/>
    <w:uiPriority w:val="99"/>
    <w:semiHidden/>
    <w:unhideWhenUsed/>
    <w:rsid w:val="00F51BCF"/>
  </w:style>
  <w:style w:type="character" w:customStyle="1" w:styleId="ListParagraphChar">
    <w:name w:val="List Paragraph Char"/>
    <w:aliases w:val="List Paragraph1 Char,List Paragraph11 Char,Recommendation Char,L Char,Bullet Point Char,Bullet points Char,Content descriptions Char,Bullet point Char,CV text Char,F5 List Paragraph Char,Dot pt Char,List Paragraph111 Char,Table Char"/>
    <w:basedOn w:val="DefaultParagraphFont"/>
    <w:link w:val="ListParagraph"/>
    <w:uiPriority w:val="34"/>
    <w:qFormat/>
    <w:rsid w:val="00057B40"/>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3.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053444-966A-467A-B01C-180A1F1F3E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5586</Characters>
  <Application>Microsoft Office Word</Application>
  <DocSecurity>0</DocSecurity>
  <Lines>117</Lines>
  <Paragraphs>60</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Report Template</dc:title>
  <dc:subject/>
  <dc:creator>Liam Camilleri</dc:creator>
  <cp:keywords>[SEC=OFFICIAL]</cp:keywords>
  <cp:lastModifiedBy>ALI, Samantha</cp:lastModifiedBy>
  <cp:revision>2</cp:revision>
  <cp:lastPrinted>2014-10-25T23:51:00Z</cp:lastPrinted>
  <dcterms:created xsi:type="dcterms:W3CDTF">2024-07-29T07:49:00Z</dcterms:created>
  <dcterms:modified xsi:type="dcterms:W3CDTF">2024-07-29T07:49:00Z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C74043ED8531BC4E6B4DA21D43D4ACD399969B79</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FD0977580336456962E805319068BC78</vt:lpwstr>
  </property>
  <property fmtid="{D5CDD505-2E9C-101B-9397-08002B2CF9AE}" pid="21" name="PM_Hash_Salt">
    <vt:lpwstr>1B62A736B52F8D2E02DB9A4731155174</vt:lpwstr>
  </property>
  <property fmtid="{D5CDD505-2E9C-101B-9397-08002B2CF9AE}" pid="22" name="PM_Hash_SHA1">
    <vt:lpwstr>E8B576B7DEFECAC15999B901F54885F2327CC14C</vt:lpwstr>
  </property>
  <property fmtid="{D5CDD505-2E9C-101B-9397-08002B2CF9AE}" pid="23" name="PM_OriginatorUserAccountName_SHA256">
    <vt:lpwstr>A6FC7CCCE490CB2FE6EF42AF508503C9F1DC1D38A92A0554F10306A18AC618EE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d0dc89cfeea5470796d04e69d573715e</vt:lpwstr>
  </property>
  <property fmtid="{D5CDD505-2E9C-101B-9397-08002B2CF9AE}" pid="35" name="MSIP_Label_eb34d90b-fc41-464d-af60-f74d721d0790_ContentBits">
    <vt:lpwstr>0</vt:lpwstr>
  </property>
  <property fmtid="{D5CDD505-2E9C-101B-9397-08002B2CF9AE}" pid="36" name="PMHMAC">
    <vt:lpwstr>v=2022.1;a=SHA256;h=39E25DD627F633254B8960B41854FA06FEF3C146FD685C9D84C907BD2CF186E4</vt:lpwstr>
  </property>
  <property fmtid="{D5CDD505-2E9C-101B-9397-08002B2CF9AE}" pid="37" name="PMUuid">
    <vt:lpwstr>v=2022.2;d=gov.au;g=46DD6D7C-8107-577B-BC6E-F348953B2E44</vt:lpwstr>
  </property>
</Properties>
</file>