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66236" w14:textId="77777777" w:rsidR="00FA7485" w:rsidRPr="00AC3ED0" w:rsidRDefault="00FA7485" w:rsidP="00AC3ED0">
      <w:pPr>
        <w:sectPr w:rsidR="00FA7485" w:rsidRPr="00AC3ED0" w:rsidSect="00F51BCF">
          <w:headerReference w:type="even" r:id="rId11"/>
          <w:headerReference w:type="default" r:id="rId12"/>
          <w:footerReference w:type="even" r:id="rId13"/>
          <w:footerReference w:type="default" r:id="rId14"/>
          <w:headerReference w:type="first" r:id="rId15"/>
          <w:footerReference w:type="first" r:id="rId16"/>
          <w:pgSz w:w="11906" w:h="16838"/>
          <w:pgMar w:top="0" w:right="851" w:bottom="1134" w:left="851" w:header="567" w:footer="0" w:gutter="0"/>
          <w:pgNumType w:start="2"/>
          <w:cols w:space="708"/>
          <w:titlePg/>
          <w:docGrid w:linePitch="360"/>
        </w:sectPr>
      </w:pPr>
    </w:p>
    <w:p w14:paraId="341FCA13" w14:textId="77777777" w:rsidR="00734CF2" w:rsidRPr="00D11150" w:rsidRDefault="00734CF2" w:rsidP="00734CF2">
      <w:pPr>
        <w:pStyle w:val="Heading1withsubtitle"/>
        <w:rPr>
          <w:smallCaps/>
        </w:rPr>
      </w:pPr>
      <w:bookmarkStart w:id="0" w:name="_Toc140757166"/>
      <w:r>
        <w:t xml:space="preserve">Disability Royal Commission Australian </w:t>
      </w:r>
      <w:r w:rsidRPr="00D11150">
        <w:t xml:space="preserve">Government Response: Volume </w:t>
      </w:r>
      <w:r>
        <w:t>7</w:t>
      </w:r>
      <w:bookmarkEnd w:id="0"/>
      <w:r>
        <w:t>a</w:t>
      </w:r>
    </w:p>
    <w:p w14:paraId="4297FF16" w14:textId="77777777" w:rsidR="00734CF2" w:rsidRPr="00C175D2" w:rsidRDefault="00734CF2" w:rsidP="00734CF2">
      <w:pPr>
        <w:pStyle w:val="Subtitle"/>
      </w:pPr>
      <w:bookmarkStart w:id="1" w:name="_Toc395536189"/>
      <w:r>
        <w:t>Inclusive Education</w:t>
      </w:r>
    </w:p>
    <w:p w14:paraId="5C21D412" w14:textId="77777777" w:rsidR="00734CF2" w:rsidRPr="00E701A4" w:rsidRDefault="00734CF2" w:rsidP="00734CF2">
      <w:pPr>
        <w:rPr>
          <w:sz w:val="28"/>
          <w:szCs w:val="28"/>
        </w:rPr>
      </w:pPr>
      <w:r w:rsidRPr="00E701A4">
        <w:rPr>
          <w:sz w:val="28"/>
          <w:szCs w:val="28"/>
        </w:rPr>
        <w:t>Volume 7a examines overcoming barriers to safe, quality and inclusive education. It includes 15</w:t>
      </w:r>
      <w:r>
        <w:rPr>
          <w:sz w:val="28"/>
          <w:szCs w:val="28"/>
        </w:rPr>
        <w:t> </w:t>
      </w:r>
      <w:r w:rsidRPr="00E701A4">
        <w:rPr>
          <w:sz w:val="28"/>
          <w:szCs w:val="28"/>
        </w:rPr>
        <w:t>recommendations, 10 of which are within the Australian Government’s primary or shared responsibility.</w:t>
      </w:r>
    </w:p>
    <w:tbl>
      <w:tblPr>
        <w:tblStyle w:val="TableGridLight"/>
        <w:tblW w:w="10328" w:type="dxa"/>
        <w:tblLook w:val="04E0" w:firstRow="1" w:lastRow="1" w:firstColumn="1" w:lastColumn="0" w:noHBand="0" w:noVBand="1"/>
        <w:tblDescription w:val="Example of a table styled with the first of the two DSS table styles. It is populated with food-related dummy data."/>
      </w:tblPr>
      <w:tblGrid>
        <w:gridCol w:w="6171"/>
        <w:gridCol w:w="4136"/>
        <w:gridCol w:w="21"/>
      </w:tblGrid>
      <w:tr w:rsidR="00734CF2" w:rsidRPr="00583A8E" w14:paraId="3ACD88B6" w14:textId="77777777" w:rsidTr="0048109F">
        <w:trPr>
          <w:cnfStyle w:val="100000000000" w:firstRow="1" w:lastRow="0" w:firstColumn="0" w:lastColumn="0" w:oddVBand="0" w:evenVBand="0" w:oddHBand="0" w:evenHBand="0" w:firstRowFirstColumn="0" w:firstRowLastColumn="0" w:lastRowFirstColumn="0" w:lastRowLastColumn="0"/>
        </w:trPr>
        <w:tc>
          <w:tcPr>
            <w:tcW w:w="10328" w:type="dxa"/>
            <w:gridSpan w:val="3"/>
          </w:tcPr>
          <w:p w14:paraId="18D191A8" w14:textId="77777777" w:rsidR="00734CF2" w:rsidRPr="00583A8E" w:rsidRDefault="00734CF2" w:rsidP="0048109F">
            <w:pPr>
              <w:pStyle w:val="NoSpacing"/>
              <w:spacing w:after="120"/>
              <w:rPr>
                <w:b/>
                <w:bCs/>
              </w:rPr>
            </w:pPr>
            <w:r>
              <w:rPr>
                <w:b/>
                <w:bCs/>
              </w:rPr>
              <w:t>Inclusive Education</w:t>
            </w:r>
          </w:p>
        </w:tc>
      </w:tr>
      <w:tr w:rsidR="00734CF2" w:rsidRPr="005A161D" w14:paraId="79D0823C" w14:textId="77777777" w:rsidTr="0048109F">
        <w:trPr>
          <w:gridAfter w:val="1"/>
          <w:wAfter w:w="21" w:type="dxa"/>
        </w:trPr>
        <w:tc>
          <w:tcPr>
            <w:tcW w:w="6171" w:type="dxa"/>
          </w:tcPr>
          <w:p w14:paraId="7A028E2C" w14:textId="77777777" w:rsidR="00734CF2" w:rsidRPr="005A161D" w:rsidRDefault="00734CF2" w:rsidP="0048109F">
            <w:pPr>
              <w:pStyle w:val="NoSpacing"/>
              <w:spacing w:after="120"/>
              <w:rPr>
                <w:rFonts w:eastAsia="Times New Roman" w:cs="Arial"/>
                <w:b/>
                <w:color w:val="000000"/>
                <w:szCs w:val="22"/>
              </w:rPr>
            </w:pPr>
            <w:r w:rsidRPr="005A161D">
              <w:rPr>
                <w:rFonts w:eastAsia="Times New Roman" w:cs="Arial"/>
                <w:b/>
                <w:color w:val="000000"/>
                <w:szCs w:val="22"/>
              </w:rPr>
              <w:t>Recommendation</w:t>
            </w:r>
          </w:p>
        </w:tc>
        <w:tc>
          <w:tcPr>
            <w:tcW w:w="4136" w:type="dxa"/>
          </w:tcPr>
          <w:p w14:paraId="4F1528F1" w14:textId="77777777" w:rsidR="00734CF2" w:rsidRPr="005A161D" w:rsidRDefault="00734CF2" w:rsidP="0048109F">
            <w:pPr>
              <w:pStyle w:val="NoSpacing"/>
              <w:spacing w:after="120"/>
              <w:rPr>
                <w:rFonts w:cs="Arial"/>
                <w:b/>
                <w:color w:val="000000"/>
                <w:szCs w:val="22"/>
              </w:rPr>
            </w:pPr>
            <w:r w:rsidRPr="005A161D">
              <w:rPr>
                <w:rFonts w:cs="Arial"/>
                <w:b/>
                <w:color w:val="000000"/>
                <w:szCs w:val="22"/>
              </w:rPr>
              <w:t>Australian Government Response</w:t>
            </w:r>
          </w:p>
        </w:tc>
      </w:tr>
      <w:tr w:rsidR="00734CF2" w14:paraId="4785C042" w14:textId="77777777" w:rsidTr="0048109F">
        <w:trPr>
          <w:gridAfter w:val="1"/>
          <w:wAfter w:w="21" w:type="dxa"/>
        </w:trPr>
        <w:tc>
          <w:tcPr>
            <w:tcW w:w="6171" w:type="dxa"/>
          </w:tcPr>
          <w:p w14:paraId="4F212C16" w14:textId="77777777" w:rsidR="00734CF2" w:rsidRDefault="00734CF2" w:rsidP="0048109F">
            <w:pPr>
              <w:pStyle w:val="NoSpacing"/>
              <w:spacing w:after="120"/>
            </w:pPr>
            <w:r>
              <w:t xml:space="preserve">7.2: </w:t>
            </w:r>
            <w:r w:rsidRPr="00A0622D">
              <w:t>Prevent the inappropriate use of exclusionary discipline against students with disability</w:t>
            </w:r>
          </w:p>
        </w:tc>
        <w:tc>
          <w:tcPr>
            <w:tcW w:w="4136" w:type="dxa"/>
          </w:tcPr>
          <w:p w14:paraId="46A51E3C" w14:textId="77777777" w:rsidR="00734CF2" w:rsidRDefault="00734CF2" w:rsidP="0048109F">
            <w:pPr>
              <w:pStyle w:val="NoSpacing"/>
              <w:spacing w:after="120"/>
            </w:pPr>
            <w:r>
              <w:t>Accept in principle</w:t>
            </w:r>
          </w:p>
        </w:tc>
      </w:tr>
      <w:tr w:rsidR="00734CF2" w14:paraId="1CB93EE2" w14:textId="77777777" w:rsidTr="0048109F">
        <w:trPr>
          <w:gridAfter w:val="1"/>
          <w:wAfter w:w="21" w:type="dxa"/>
        </w:trPr>
        <w:tc>
          <w:tcPr>
            <w:tcW w:w="6171" w:type="dxa"/>
          </w:tcPr>
          <w:p w14:paraId="712D835C" w14:textId="77777777" w:rsidR="00734CF2" w:rsidRDefault="00734CF2" w:rsidP="0048109F">
            <w:pPr>
              <w:pStyle w:val="NoSpacing"/>
              <w:spacing w:after="120"/>
            </w:pPr>
            <w:r>
              <w:t xml:space="preserve">7.3: </w:t>
            </w:r>
            <w:r w:rsidRPr="00A0622D">
              <w:t>Improve policies and procedures on the provision of reasonable adjustments to students with disability</w:t>
            </w:r>
          </w:p>
        </w:tc>
        <w:tc>
          <w:tcPr>
            <w:tcW w:w="4136" w:type="dxa"/>
          </w:tcPr>
          <w:p w14:paraId="7A154306" w14:textId="77777777" w:rsidR="00734CF2" w:rsidRDefault="00734CF2" w:rsidP="0048109F">
            <w:pPr>
              <w:pStyle w:val="NoSpacing"/>
              <w:spacing w:after="120"/>
            </w:pPr>
            <w:r>
              <w:t>Accept in principle</w:t>
            </w:r>
          </w:p>
        </w:tc>
      </w:tr>
      <w:tr w:rsidR="00734CF2" w14:paraId="7DC2AC75" w14:textId="77777777" w:rsidTr="0048109F">
        <w:trPr>
          <w:gridAfter w:val="1"/>
          <w:wAfter w:w="21" w:type="dxa"/>
        </w:trPr>
        <w:tc>
          <w:tcPr>
            <w:tcW w:w="6171" w:type="dxa"/>
          </w:tcPr>
          <w:p w14:paraId="09AE27C4" w14:textId="77777777" w:rsidR="00734CF2" w:rsidRDefault="00734CF2" w:rsidP="0048109F">
            <w:pPr>
              <w:pStyle w:val="NoSpacing"/>
              <w:spacing w:after="120"/>
            </w:pPr>
            <w:r>
              <w:t xml:space="preserve">7:6: </w:t>
            </w:r>
            <w:r w:rsidRPr="00A0622D">
              <w:t>Student and parental communication and relationships</w:t>
            </w:r>
          </w:p>
        </w:tc>
        <w:tc>
          <w:tcPr>
            <w:tcW w:w="4136" w:type="dxa"/>
          </w:tcPr>
          <w:p w14:paraId="79383E80" w14:textId="77777777" w:rsidR="00734CF2" w:rsidRDefault="00734CF2" w:rsidP="0048109F">
            <w:pPr>
              <w:pStyle w:val="NoSpacing"/>
              <w:spacing w:after="120"/>
            </w:pPr>
            <w:r>
              <w:t>Accept in principle</w:t>
            </w:r>
          </w:p>
        </w:tc>
      </w:tr>
      <w:tr w:rsidR="00734CF2" w14:paraId="4C023693" w14:textId="77777777" w:rsidTr="0048109F">
        <w:trPr>
          <w:gridAfter w:val="1"/>
          <w:wAfter w:w="21" w:type="dxa"/>
        </w:trPr>
        <w:tc>
          <w:tcPr>
            <w:tcW w:w="6171" w:type="dxa"/>
          </w:tcPr>
          <w:p w14:paraId="305EFD5D" w14:textId="77777777" w:rsidR="00734CF2" w:rsidRDefault="00734CF2" w:rsidP="0048109F">
            <w:pPr>
              <w:pStyle w:val="NoSpacing"/>
              <w:spacing w:after="120"/>
            </w:pPr>
            <w:r>
              <w:t xml:space="preserve">7:8: </w:t>
            </w:r>
            <w:r w:rsidRPr="00A0622D">
              <w:t>Workforce capabilities, expertise and development</w:t>
            </w:r>
          </w:p>
        </w:tc>
        <w:tc>
          <w:tcPr>
            <w:tcW w:w="4136" w:type="dxa"/>
          </w:tcPr>
          <w:p w14:paraId="472AB22D" w14:textId="77777777" w:rsidR="00734CF2" w:rsidRDefault="00734CF2" w:rsidP="0048109F">
            <w:pPr>
              <w:pStyle w:val="NoSpacing"/>
              <w:spacing w:after="120"/>
            </w:pPr>
            <w:r>
              <w:t>Accept in principle</w:t>
            </w:r>
          </w:p>
        </w:tc>
      </w:tr>
      <w:tr w:rsidR="00734CF2" w14:paraId="6449771B" w14:textId="77777777" w:rsidTr="0048109F">
        <w:trPr>
          <w:gridAfter w:val="1"/>
          <w:wAfter w:w="21" w:type="dxa"/>
        </w:trPr>
        <w:tc>
          <w:tcPr>
            <w:tcW w:w="6171" w:type="dxa"/>
          </w:tcPr>
          <w:p w14:paraId="0BF47129" w14:textId="77777777" w:rsidR="00734CF2" w:rsidRDefault="00734CF2" w:rsidP="0048109F">
            <w:pPr>
              <w:pStyle w:val="NoSpacing"/>
              <w:spacing w:after="120"/>
            </w:pPr>
            <w:r>
              <w:t xml:space="preserve">7:9: </w:t>
            </w:r>
            <w:r w:rsidRPr="00A0622D">
              <w:t>Data, evidence and building best practice</w:t>
            </w:r>
          </w:p>
        </w:tc>
        <w:tc>
          <w:tcPr>
            <w:tcW w:w="4136" w:type="dxa"/>
          </w:tcPr>
          <w:p w14:paraId="3BA5D782" w14:textId="77777777" w:rsidR="00734CF2" w:rsidRDefault="00734CF2" w:rsidP="0048109F">
            <w:pPr>
              <w:pStyle w:val="NoSpacing"/>
              <w:spacing w:after="120"/>
            </w:pPr>
            <w:r>
              <w:t>Accept in principle</w:t>
            </w:r>
          </w:p>
        </w:tc>
      </w:tr>
      <w:tr w:rsidR="00734CF2" w:rsidRPr="006A5E28" w14:paraId="0B322712" w14:textId="77777777" w:rsidTr="0048109F">
        <w:trPr>
          <w:gridAfter w:val="1"/>
          <w:wAfter w:w="21" w:type="dxa"/>
        </w:trPr>
        <w:tc>
          <w:tcPr>
            <w:tcW w:w="6171" w:type="dxa"/>
          </w:tcPr>
          <w:p w14:paraId="716B41B0" w14:textId="77777777" w:rsidR="00734CF2" w:rsidRPr="006A5E28" w:rsidRDefault="00734CF2" w:rsidP="0048109F">
            <w:pPr>
              <w:pStyle w:val="NoSpacing"/>
              <w:spacing w:after="120"/>
            </w:pPr>
            <w:r>
              <w:t xml:space="preserve">7:10: </w:t>
            </w:r>
            <w:r w:rsidRPr="00A0622D">
              <w:t>Complaint management</w:t>
            </w:r>
          </w:p>
        </w:tc>
        <w:tc>
          <w:tcPr>
            <w:tcW w:w="4136" w:type="dxa"/>
          </w:tcPr>
          <w:p w14:paraId="3AC3F8F2" w14:textId="77777777" w:rsidR="00734CF2" w:rsidRPr="006A5E28" w:rsidRDefault="00734CF2" w:rsidP="0048109F">
            <w:pPr>
              <w:pStyle w:val="NoSpacing"/>
              <w:spacing w:after="120"/>
            </w:pPr>
            <w:r>
              <w:t>Accept in principle</w:t>
            </w:r>
          </w:p>
        </w:tc>
      </w:tr>
      <w:tr w:rsidR="00734CF2" w:rsidRPr="006A5E28" w14:paraId="1BCCA8A1" w14:textId="77777777" w:rsidTr="0048109F">
        <w:trPr>
          <w:gridAfter w:val="1"/>
          <w:wAfter w:w="21" w:type="dxa"/>
        </w:trPr>
        <w:tc>
          <w:tcPr>
            <w:tcW w:w="6171" w:type="dxa"/>
          </w:tcPr>
          <w:p w14:paraId="1E119823" w14:textId="77777777" w:rsidR="00734CF2" w:rsidRDefault="00734CF2" w:rsidP="0048109F">
            <w:pPr>
              <w:pStyle w:val="NoSpacing"/>
              <w:spacing w:after="120"/>
            </w:pPr>
            <w:r>
              <w:t xml:space="preserve">7:12: </w:t>
            </w:r>
            <w:r w:rsidRPr="00A0622D">
              <w:t>Improving funding</w:t>
            </w:r>
          </w:p>
        </w:tc>
        <w:tc>
          <w:tcPr>
            <w:tcW w:w="4136" w:type="dxa"/>
          </w:tcPr>
          <w:p w14:paraId="24062BD7" w14:textId="77777777" w:rsidR="00734CF2" w:rsidRPr="006A5E28" w:rsidRDefault="00734CF2" w:rsidP="0048109F">
            <w:pPr>
              <w:pStyle w:val="NoSpacing"/>
              <w:spacing w:after="120"/>
            </w:pPr>
            <w:r>
              <w:t>Accept in principle</w:t>
            </w:r>
          </w:p>
        </w:tc>
      </w:tr>
      <w:tr w:rsidR="00734CF2" w:rsidRPr="006A5E28" w14:paraId="0CC8F9D3" w14:textId="77777777" w:rsidTr="0048109F">
        <w:trPr>
          <w:gridAfter w:val="1"/>
          <w:wAfter w:w="21" w:type="dxa"/>
        </w:trPr>
        <w:tc>
          <w:tcPr>
            <w:tcW w:w="6171" w:type="dxa"/>
          </w:tcPr>
          <w:p w14:paraId="156DF3F2" w14:textId="77777777" w:rsidR="00734CF2" w:rsidRDefault="00734CF2" w:rsidP="0048109F">
            <w:pPr>
              <w:pStyle w:val="NoSpacing"/>
              <w:spacing w:after="120"/>
            </w:pPr>
            <w:r>
              <w:t xml:space="preserve">7:13: </w:t>
            </w:r>
            <w:r w:rsidRPr="00A0622D">
              <w:t>National Roadmap to Inclusive Education</w:t>
            </w:r>
          </w:p>
        </w:tc>
        <w:tc>
          <w:tcPr>
            <w:tcW w:w="4136" w:type="dxa"/>
          </w:tcPr>
          <w:p w14:paraId="36343B05" w14:textId="77777777" w:rsidR="00734CF2" w:rsidRPr="006A5E28" w:rsidRDefault="00734CF2" w:rsidP="0048109F">
            <w:pPr>
              <w:pStyle w:val="NoSpacing"/>
              <w:spacing w:after="120"/>
            </w:pPr>
            <w:r>
              <w:t>Accept in principle</w:t>
            </w:r>
          </w:p>
        </w:tc>
      </w:tr>
      <w:tr w:rsidR="00734CF2" w:rsidRPr="006A5E28" w14:paraId="1A4F9EBC" w14:textId="77777777" w:rsidTr="0048109F">
        <w:trPr>
          <w:gridAfter w:val="1"/>
          <w:wAfter w:w="21" w:type="dxa"/>
        </w:trPr>
        <w:tc>
          <w:tcPr>
            <w:tcW w:w="6171" w:type="dxa"/>
          </w:tcPr>
          <w:p w14:paraId="1524C050" w14:textId="77777777" w:rsidR="00734CF2" w:rsidRDefault="00734CF2" w:rsidP="0048109F">
            <w:pPr>
              <w:pStyle w:val="NoSpacing"/>
              <w:spacing w:after="120"/>
            </w:pPr>
            <w:r>
              <w:t xml:space="preserve">7:14: </w:t>
            </w:r>
            <w:r w:rsidRPr="00A0622D">
              <w:t>Phasing out and ending special/segregated education</w:t>
            </w:r>
          </w:p>
        </w:tc>
        <w:tc>
          <w:tcPr>
            <w:tcW w:w="4136" w:type="dxa"/>
          </w:tcPr>
          <w:p w14:paraId="3DF27A6E" w14:textId="77777777" w:rsidR="00734CF2" w:rsidRPr="006A5E28" w:rsidRDefault="00734CF2" w:rsidP="0048109F">
            <w:pPr>
              <w:pStyle w:val="NoSpacing"/>
              <w:spacing w:after="120"/>
            </w:pPr>
            <w:r>
              <w:t>Note</w:t>
            </w:r>
          </w:p>
        </w:tc>
      </w:tr>
      <w:tr w:rsidR="00734CF2" w:rsidRPr="006A5E28" w14:paraId="6FB8C211" w14:textId="77777777" w:rsidTr="0048109F">
        <w:trPr>
          <w:gridAfter w:val="1"/>
          <w:wAfter w:w="21" w:type="dxa"/>
        </w:trPr>
        <w:tc>
          <w:tcPr>
            <w:tcW w:w="6171" w:type="dxa"/>
          </w:tcPr>
          <w:p w14:paraId="7B8964CA" w14:textId="77777777" w:rsidR="00734CF2" w:rsidRDefault="00734CF2" w:rsidP="0048109F">
            <w:pPr>
              <w:pStyle w:val="NoSpacing"/>
              <w:spacing w:after="120"/>
            </w:pPr>
            <w:r>
              <w:t xml:space="preserve">7:15: </w:t>
            </w:r>
            <w:r w:rsidRPr="00A0622D">
              <w:t>An alternative approach</w:t>
            </w:r>
          </w:p>
        </w:tc>
        <w:tc>
          <w:tcPr>
            <w:tcW w:w="4136" w:type="dxa"/>
          </w:tcPr>
          <w:p w14:paraId="60EC990F" w14:textId="77777777" w:rsidR="00734CF2" w:rsidRPr="006A5E28" w:rsidRDefault="00734CF2" w:rsidP="0048109F">
            <w:pPr>
              <w:pStyle w:val="NoSpacing"/>
              <w:spacing w:after="120"/>
            </w:pPr>
            <w:r>
              <w:t>Note</w:t>
            </w:r>
          </w:p>
        </w:tc>
      </w:tr>
    </w:tbl>
    <w:p w14:paraId="1DF9FC6A" w14:textId="77777777" w:rsidR="00734CF2" w:rsidRDefault="00734CF2" w:rsidP="00734CF2">
      <w:pPr>
        <w:pStyle w:val="Heading2"/>
      </w:pPr>
    </w:p>
    <w:p w14:paraId="1A553A43" w14:textId="77777777" w:rsidR="00734CF2" w:rsidRDefault="00734CF2" w:rsidP="00734CF2">
      <w:pPr>
        <w:spacing w:after="240"/>
        <w:rPr>
          <w:rFonts w:asciiTheme="majorHAnsi" w:eastAsiaTheme="majorEastAsia" w:hAnsiTheme="majorHAnsi" w:cstheme="majorBidi"/>
          <w:bCs/>
          <w:color w:val="005A70" w:themeColor="accent1"/>
          <w:sz w:val="40"/>
          <w:szCs w:val="26"/>
        </w:rPr>
      </w:pPr>
      <w:r>
        <w:br w:type="page"/>
      </w:r>
    </w:p>
    <w:p w14:paraId="52A8E851" w14:textId="77777777" w:rsidR="00734CF2" w:rsidRDefault="00734CF2" w:rsidP="00734CF2">
      <w:pPr>
        <w:pStyle w:val="Heading2"/>
      </w:pPr>
      <w:r>
        <w:lastRenderedPageBreak/>
        <w:t>Key actions and initiatives</w:t>
      </w:r>
    </w:p>
    <w:p w14:paraId="34E54C4F" w14:textId="77777777" w:rsidR="00734CF2" w:rsidRDefault="00734CF2" w:rsidP="00734CF2">
      <w:pPr>
        <w:spacing w:after="240"/>
        <w:rPr>
          <w:rFonts w:eastAsia="Tahoma" w:cstheme="minorHAnsi"/>
          <w:bCs/>
          <w:iCs/>
        </w:rPr>
      </w:pPr>
      <w:r w:rsidRPr="00CA3EB7">
        <w:rPr>
          <w:rFonts w:eastAsia="Tahoma" w:cstheme="minorHAnsi"/>
          <w:bCs/>
          <w:iCs/>
        </w:rPr>
        <w:t xml:space="preserve">The </w:t>
      </w:r>
      <w:r>
        <w:rPr>
          <w:rFonts w:eastAsia="Tahoma" w:cstheme="minorHAnsi"/>
          <w:bCs/>
          <w:iCs/>
        </w:rPr>
        <w:t xml:space="preserve">Commonwealth </w:t>
      </w:r>
      <w:r w:rsidRPr="00CA3EB7">
        <w:rPr>
          <w:rFonts w:eastAsia="Tahoma" w:cstheme="minorHAnsi"/>
          <w:bCs/>
          <w:iCs/>
        </w:rPr>
        <w:t>Department of Education will commence work to inform national system reforms to drive more accessible and inclusive school education and improve outcomes for students with disabilit</w:t>
      </w:r>
      <w:r>
        <w:rPr>
          <w:rFonts w:eastAsia="Tahoma" w:cstheme="minorHAnsi"/>
          <w:bCs/>
          <w:iCs/>
        </w:rPr>
        <w:t>y</w:t>
      </w:r>
      <w:r w:rsidRPr="00CA3EB7">
        <w:rPr>
          <w:rFonts w:eastAsia="Tahoma" w:cstheme="minorHAnsi"/>
          <w:bCs/>
          <w:iCs/>
        </w:rPr>
        <w:t xml:space="preserve">. </w:t>
      </w:r>
    </w:p>
    <w:p w14:paraId="5BAD4738" w14:textId="77777777" w:rsidR="00734CF2" w:rsidRPr="0047122C" w:rsidRDefault="00734CF2" w:rsidP="00734CF2">
      <w:pPr>
        <w:spacing w:after="240"/>
        <w:rPr>
          <w:rFonts w:eastAsia="Tahoma" w:cstheme="minorHAnsi"/>
          <w:bCs/>
          <w:iCs/>
        </w:rPr>
      </w:pPr>
      <w:r w:rsidRPr="0047122C">
        <w:rPr>
          <w:rFonts w:eastAsia="Tahoma" w:cstheme="minorHAnsi"/>
          <w:bCs/>
          <w:iCs/>
        </w:rPr>
        <w:t xml:space="preserve">The </w:t>
      </w:r>
      <w:r>
        <w:rPr>
          <w:rFonts w:eastAsia="Tahoma" w:cstheme="minorHAnsi"/>
          <w:bCs/>
          <w:iCs/>
        </w:rPr>
        <w:t xml:space="preserve">Australian </w:t>
      </w:r>
      <w:r w:rsidRPr="0047122C">
        <w:rPr>
          <w:rFonts w:eastAsia="Tahoma" w:cstheme="minorHAnsi"/>
          <w:bCs/>
          <w:iCs/>
        </w:rPr>
        <w:t xml:space="preserve">Government has produced </w:t>
      </w:r>
      <w:r>
        <w:rPr>
          <w:rFonts w:eastAsia="Tahoma" w:cstheme="minorHAnsi"/>
          <w:bCs/>
          <w:iCs/>
        </w:rPr>
        <w:t>resources</w:t>
      </w:r>
      <w:r w:rsidRPr="0047122C">
        <w:rPr>
          <w:rFonts w:eastAsia="Tahoma" w:cstheme="minorHAnsi"/>
          <w:bCs/>
          <w:iCs/>
        </w:rPr>
        <w:t xml:space="preserve"> to support students with disability and their parents and carers to understand and exercise their rights. This includes practical and easy-to-use </w:t>
      </w:r>
      <w:r>
        <w:rPr>
          <w:rFonts w:eastAsia="Tahoma" w:cstheme="minorHAnsi"/>
          <w:bCs/>
          <w:iCs/>
        </w:rPr>
        <w:t>products</w:t>
      </w:r>
      <w:r w:rsidRPr="0047122C">
        <w:rPr>
          <w:rFonts w:eastAsia="Tahoma" w:cstheme="minorHAnsi"/>
          <w:bCs/>
          <w:iCs/>
        </w:rPr>
        <w:t xml:space="preserve"> co-designed with young people with disability and their families with the help of Children and Young People with Disability Australia.</w:t>
      </w:r>
    </w:p>
    <w:p w14:paraId="219204FD" w14:textId="77777777" w:rsidR="00734CF2" w:rsidRPr="00726831" w:rsidRDefault="00734CF2" w:rsidP="00734CF2">
      <w:pPr>
        <w:spacing w:after="240"/>
      </w:pPr>
      <w:r w:rsidRPr="0047122C">
        <w:rPr>
          <w:rFonts w:eastAsia="Tahoma" w:cstheme="minorHAnsi"/>
          <w:bCs/>
          <w:iCs/>
        </w:rPr>
        <w:t xml:space="preserve">Considerable progress has occurred in relation to the recommendations </w:t>
      </w:r>
      <w:r w:rsidRPr="00726831">
        <w:t>aimed at workforce capability and expertise and strengthened complaints management practices as part of the National Teacher Workforce Action Plan and the review of the Disability Standards for Education 2005 Review undertaken in 2020. The Government has developed resources to support teachers and school leaders to better understand and apply their obligations under the Standards.</w:t>
      </w:r>
    </w:p>
    <w:p w14:paraId="79D628FC" w14:textId="77777777" w:rsidR="00734CF2" w:rsidRPr="0047122C" w:rsidRDefault="00734CF2" w:rsidP="00734CF2">
      <w:pPr>
        <w:spacing w:after="240"/>
        <w:rPr>
          <w:rFonts w:eastAsia="Tahoma" w:cstheme="minorHAnsi"/>
          <w:bCs/>
          <w:iCs/>
        </w:rPr>
      </w:pPr>
      <w:r w:rsidRPr="004B020F">
        <w:rPr>
          <w:rFonts w:eastAsia="Tahoma" w:cstheme="minorHAnsi"/>
          <w:bCs/>
          <w:iCs/>
        </w:rPr>
        <w:t>The Government</w:t>
      </w:r>
      <w:r>
        <w:rPr>
          <w:rFonts w:eastAsia="Tahoma" w:cstheme="minorHAnsi"/>
          <w:bCs/>
          <w:iCs/>
        </w:rPr>
        <w:t xml:space="preserve"> also</w:t>
      </w:r>
      <w:r w:rsidRPr="004B020F">
        <w:rPr>
          <w:rFonts w:eastAsia="Tahoma" w:cstheme="minorHAnsi"/>
          <w:bCs/>
          <w:iCs/>
        </w:rPr>
        <w:t xml:space="preserve"> funds the Positive Partnerships program which provides professional development for teachers, principals, and other school staff to build their understanding, skills, and experience in working with children and young people on the autism spectrum.</w:t>
      </w:r>
    </w:p>
    <w:p w14:paraId="27EF4BE7" w14:textId="77777777" w:rsidR="00734CF2" w:rsidRPr="00726831" w:rsidRDefault="00734CF2" w:rsidP="00734CF2">
      <w:pPr>
        <w:spacing w:after="240"/>
      </w:pPr>
      <w:r>
        <w:rPr>
          <w:rFonts w:eastAsia="Tahoma" w:cstheme="minorHAnsi"/>
          <w:bCs/>
          <w:iCs/>
        </w:rPr>
        <w:t>T</w:t>
      </w:r>
      <w:r w:rsidRPr="0047122C">
        <w:rPr>
          <w:rFonts w:eastAsia="Tahoma" w:cstheme="minorHAnsi"/>
          <w:bCs/>
          <w:iCs/>
        </w:rPr>
        <w:t xml:space="preserve">hrough the Higher Education Disability Support Program, </w:t>
      </w:r>
      <w:r>
        <w:rPr>
          <w:rFonts w:eastAsia="Tahoma" w:cstheme="minorHAnsi"/>
          <w:bCs/>
          <w:iCs/>
        </w:rPr>
        <w:t>t</w:t>
      </w:r>
      <w:r w:rsidRPr="0047122C">
        <w:rPr>
          <w:rFonts w:eastAsia="Tahoma" w:cstheme="minorHAnsi"/>
          <w:bCs/>
          <w:iCs/>
        </w:rPr>
        <w:t>he Government provides funding to assist universities to support students with disability. Universities may use this funding for</w:t>
      </w:r>
      <w:r>
        <w:rPr>
          <w:rFonts w:eastAsia="Tahoma" w:cstheme="minorHAnsi"/>
          <w:bCs/>
          <w:iCs/>
        </w:rPr>
        <w:t xml:space="preserve"> </w:t>
      </w:r>
      <w:r w:rsidRPr="00726831">
        <w:t>staff training, to better support students with disability, and to modify course content, teaching materials and delivery methods to better meet the needs of students with disability.</w:t>
      </w:r>
    </w:p>
    <w:p w14:paraId="223F963E" w14:textId="77777777" w:rsidR="00734CF2" w:rsidRPr="00CA3EB7" w:rsidRDefault="00734CF2" w:rsidP="00734CF2">
      <w:pPr>
        <w:pStyle w:val="Heading2"/>
      </w:pPr>
      <w:r>
        <w:t>Government i</w:t>
      </w:r>
      <w:r w:rsidRPr="00CA3EB7">
        <w:t>nvestment</w:t>
      </w:r>
    </w:p>
    <w:p w14:paraId="7C737A46" w14:textId="77777777" w:rsidR="00734CF2" w:rsidRPr="00AE5AC6" w:rsidRDefault="00734CF2" w:rsidP="00734CF2">
      <w:pPr>
        <w:pStyle w:val="ListParagraph"/>
        <w:numPr>
          <w:ilvl w:val="0"/>
          <w:numId w:val="22"/>
        </w:numPr>
        <w:rPr>
          <w:sz w:val="24"/>
        </w:rPr>
      </w:pPr>
      <w:r w:rsidRPr="00CA3EB7">
        <w:t xml:space="preserve">The Australian Government is providing an estimated </w:t>
      </w:r>
      <w:r w:rsidRPr="00AE5AC6">
        <w:rPr>
          <w:b/>
          <w:color w:val="005A70"/>
        </w:rPr>
        <w:t xml:space="preserve">$3.7 billion </w:t>
      </w:r>
      <w:r w:rsidRPr="00AE5AC6">
        <w:t>in 2024</w:t>
      </w:r>
      <w:r w:rsidRPr="00CA3EB7">
        <w:t xml:space="preserve"> to support schools to implement reasonable adjustments through the Schooling Resource Standard students with disability loading.</w:t>
      </w:r>
    </w:p>
    <w:bookmarkEnd w:id="1"/>
    <w:p w14:paraId="7526C0A5" w14:textId="77777777" w:rsidR="00734CF2" w:rsidRPr="008C5938" w:rsidRDefault="00734CF2" w:rsidP="00734CF2">
      <w:pPr>
        <w:spacing w:after="0" w:line="240" w:lineRule="auto"/>
        <w:textAlignment w:val="baseline"/>
      </w:pPr>
    </w:p>
    <w:p w14:paraId="14EFE0C3" w14:textId="7700D782" w:rsidR="00DA7B4A" w:rsidRPr="000E6227" w:rsidRDefault="00DA7B4A" w:rsidP="00734CF2">
      <w:pPr>
        <w:spacing w:after="0" w:line="240" w:lineRule="auto"/>
        <w:textAlignment w:val="baseline"/>
      </w:pPr>
    </w:p>
    <w:sectPr w:rsidR="00DA7B4A" w:rsidRPr="000E6227" w:rsidSect="00734CF2">
      <w:type w:val="continuous"/>
      <w:pgSz w:w="11906" w:h="16838"/>
      <w:pgMar w:top="851" w:right="851" w:bottom="1134" w:left="851" w:header="0" w:footer="0"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69745" w14:textId="77777777" w:rsidR="00571E49" w:rsidRDefault="00571E49" w:rsidP="008F3023">
      <w:pPr>
        <w:spacing w:after="0" w:line="240" w:lineRule="auto"/>
      </w:pPr>
      <w:r>
        <w:separator/>
      </w:r>
    </w:p>
  </w:endnote>
  <w:endnote w:type="continuationSeparator" w:id="0">
    <w:p w14:paraId="7B6A1189" w14:textId="77777777" w:rsidR="00571E49" w:rsidRDefault="00571E49" w:rsidP="008F3023">
      <w:pPr>
        <w:spacing w:after="0" w:line="240" w:lineRule="auto"/>
      </w:pPr>
      <w:r>
        <w:continuationSeparator/>
      </w:r>
    </w:p>
  </w:endnote>
  <w:endnote w:type="continuationNotice" w:id="1">
    <w:p w14:paraId="5327B2D3" w14:textId="77777777" w:rsidR="00571E49" w:rsidRDefault="00571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A507" w14:textId="77777777" w:rsidR="009E24FA" w:rsidRDefault="009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592" w14:textId="77777777" w:rsidR="009E24FA" w:rsidRDefault="009E2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A3B57" w14:textId="7C008648" w:rsidR="008009CA" w:rsidRDefault="008009CA" w:rsidP="00D86E50">
    <w:pPr>
      <w:tabs>
        <w:tab w:val="left" w:pos="3040"/>
      </w:tabs>
      <w:jc w:val="center"/>
    </w:pPr>
  </w:p>
  <w:p w14:paraId="42A331A0" w14:textId="77777777" w:rsidR="008009CA" w:rsidRDefault="008009CA" w:rsidP="00B10EB1">
    <w:pP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E3DB7" w14:textId="77777777" w:rsidR="00571E49" w:rsidRDefault="00571E49" w:rsidP="008F3023">
      <w:pPr>
        <w:spacing w:after="0" w:line="240" w:lineRule="auto"/>
      </w:pPr>
      <w:r>
        <w:separator/>
      </w:r>
    </w:p>
  </w:footnote>
  <w:footnote w:type="continuationSeparator" w:id="0">
    <w:p w14:paraId="2D0993B5" w14:textId="77777777" w:rsidR="00571E49" w:rsidRDefault="00571E49" w:rsidP="008F3023">
      <w:pPr>
        <w:spacing w:after="0" w:line="240" w:lineRule="auto"/>
      </w:pPr>
      <w:r>
        <w:continuationSeparator/>
      </w:r>
    </w:p>
  </w:footnote>
  <w:footnote w:type="continuationNotice" w:id="1">
    <w:p w14:paraId="0242FD8D" w14:textId="77777777" w:rsidR="00571E49" w:rsidRDefault="00571E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7E99C" w14:textId="77777777" w:rsidR="009E24FA" w:rsidRDefault="009E2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DD274" w14:textId="77777777" w:rsidR="009E24FA" w:rsidRDefault="009E2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DC88A" w14:textId="746AA5BE" w:rsidR="00F51BCF" w:rsidRPr="00F51BCF" w:rsidRDefault="00F51BCF" w:rsidP="00AC3ED0">
    <w:pPr>
      <w:tabs>
        <w:tab w:val="left" w:pos="5722"/>
      </w:tabs>
    </w:pPr>
    <w:r w:rsidRPr="00F51BCF">
      <w:rPr>
        <w:noProof/>
      </w:rPr>
      <w:drawing>
        <wp:anchor distT="0" distB="0" distL="114300" distR="114300" simplePos="0" relativeHeight="251658240" behindDoc="0" locked="0" layoutInCell="1" allowOverlap="1" wp14:anchorId="632BAF03" wp14:editId="1D2A2218">
          <wp:simplePos x="0" y="0"/>
          <wp:positionH relativeFrom="page">
            <wp:posOffset>-134620</wp:posOffset>
          </wp:positionH>
          <wp:positionV relativeFrom="page">
            <wp:posOffset>7620</wp:posOffset>
          </wp:positionV>
          <wp:extent cx="7860030" cy="1184275"/>
          <wp:effectExtent l="0" t="0" r="7620" b="0"/>
          <wp:wrapTopAndBottom/>
          <wp:docPr id="773418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418356" name="Picture 1"/>
                  <pic:cNvPicPr/>
                </pic:nvPicPr>
                <pic:blipFill rotWithShape="1">
                  <a:blip r:embed="rId1">
                    <a:extLst>
                      <a:ext uri="{28A0092B-C50C-407E-A947-70E740481C1C}">
                        <a14:useLocalDpi xmlns:a14="http://schemas.microsoft.com/office/drawing/2010/main" val="0"/>
                      </a:ext>
                    </a:extLst>
                  </a:blip>
                  <a:srcRect b="36754"/>
                  <a:stretch/>
                </pic:blipFill>
                <pic:spPr bwMode="auto">
                  <a:xfrm>
                    <a:off x="0" y="0"/>
                    <a:ext cx="7860030" cy="1184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C3E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A00B12C"/>
    <w:lvl w:ilvl="0">
      <w:start w:val="1"/>
      <w:numFmt w:val="decimal"/>
      <w:lvlText w:val="%1."/>
      <w:lvlJc w:val="left"/>
      <w:pPr>
        <w:tabs>
          <w:tab w:val="num" w:pos="360"/>
        </w:tabs>
        <w:ind w:left="360" w:hanging="360"/>
      </w:pPr>
    </w:lvl>
  </w:abstractNum>
  <w:abstractNum w:abstractNumId="1" w15:restartNumberingAfterBreak="0">
    <w:nsid w:val="0230163A"/>
    <w:multiLevelType w:val="hybridMultilevel"/>
    <w:tmpl w:val="B864869A"/>
    <w:lvl w:ilvl="0" w:tplc="AF944E48">
      <w:start w:val="1"/>
      <w:numFmt w:val="bullet"/>
      <w:lvlText w:val=""/>
      <w:lvlJc w:val="left"/>
      <w:pPr>
        <w:ind w:left="1035"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CF70718"/>
    <w:multiLevelType w:val="hybridMultilevel"/>
    <w:tmpl w:val="86362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057C3"/>
    <w:multiLevelType w:val="multilevel"/>
    <w:tmpl w:val="9FDEB948"/>
    <w:numStyleLink w:val="DSSBulletList"/>
  </w:abstractNum>
  <w:abstractNum w:abstractNumId="4" w15:restartNumberingAfterBreak="0">
    <w:nsid w:val="11481DBD"/>
    <w:multiLevelType w:val="hybridMultilevel"/>
    <w:tmpl w:val="0ED8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9E0630"/>
    <w:multiLevelType w:val="hybridMultilevel"/>
    <w:tmpl w:val="066E24C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C27D74"/>
    <w:multiLevelType w:val="multilevel"/>
    <w:tmpl w:val="9FDEB94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CC3176"/>
    <w:multiLevelType w:val="multilevel"/>
    <w:tmpl w:val="2CF0673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1524B"/>
    <w:multiLevelType w:val="hybridMultilevel"/>
    <w:tmpl w:val="6CD238E2"/>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745A21"/>
    <w:multiLevelType w:val="hybridMultilevel"/>
    <w:tmpl w:val="E6283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E56363"/>
    <w:multiLevelType w:val="multilevel"/>
    <w:tmpl w:val="9FDEB948"/>
    <w:styleLink w:val="DSSBulletList"/>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Restart w:val="2"/>
      <w:lvlText w:val="–"/>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7223805"/>
    <w:multiLevelType w:val="multilevel"/>
    <w:tmpl w:val="9FDEB948"/>
    <w:numStyleLink w:val="DSSBulletList"/>
  </w:abstractNum>
  <w:abstractNum w:abstractNumId="13" w15:restartNumberingAfterBreak="0">
    <w:nsid w:val="49824738"/>
    <w:multiLevelType w:val="multilevel"/>
    <w:tmpl w:val="9FDEB948"/>
    <w:numStyleLink w:val="DSSBulletList"/>
  </w:abstractNum>
  <w:abstractNum w:abstractNumId="14" w15:restartNumberingAfterBreak="0">
    <w:nsid w:val="51544687"/>
    <w:multiLevelType w:val="multilevel"/>
    <w:tmpl w:val="F81E2616"/>
    <w:lvl w:ilvl="0">
      <w:start w:val="1"/>
      <w:numFmt w:val="decimal"/>
      <w:pStyle w:val="ListNumb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C835DD4"/>
    <w:multiLevelType w:val="hybridMultilevel"/>
    <w:tmpl w:val="7C1E0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B573A6"/>
    <w:multiLevelType w:val="hybridMultilevel"/>
    <w:tmpl w:val="ED0A5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476D68"/>
    <w:multiLevelType w:val="hybridMultilevel"/>
    <w:tmpl w:val="F346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9" w15:restartNumberingAfterBreak="0">
    <w:nsid w:val="76074ECA"/>
    <w:multiLevelType w:val="multilevel"/>
    <w:tmpl w:val="9FDEB948"/>
    <w:numStyleLink w:val="DSSBulletList"/>
  </w:abstractNum>
  <w:abstractNum w:abstractNumId="20" w15:restartNumberingAfterBreak="0">
    <w:nsid w:val="7CAADF7F"/>
    <w:multiLevelType w:val="hybridMultilevel"/>
    <w:tmpl w:val="76181C8A"/>
    <w:lvl w:ilvl="0" w:tplc="173CAE60">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FC5E3E0A">
      <w:start w:val="1"/>
      <w:numFmt w:val="bullet"/>
      <w:lvlText w:val=""/>
      <w:lvlJc w:val="left"/>
      <w:pPr>
        <w:ind w:left="2160" w:hanging="360"/>
      </w:pPr>
      <w:rPr>
        <w:rFonts w:ascii="Symbol" w:hAnsi="Symbol" w:hint="default"/>
      </w:rPr>
    </w:lvl>
    <w:lvl w:ilvl="3" w:tplc="8772A678">
      <w:start w:val="1"/>
      <w:numFmt w:val="bullet"/>
      <w:lvlText w:val=""/>
      <w:lvlJc w:val="left"/>
      <w:pPr>
        <w:ind w:left="2880" w:hanging="360"/>
      </w:pPr>
      <w:rPr>
        <w:rFonts w:ascii="Symbol" w:hAnsi="Symbol" w:hint="default"/>
      </w:rPr>
    </w:lvl>
    <w:lvl w:ilvl="4" w:tplc="DB421008">
      <w:start w:val="1"/>
      <w:numFmt w:val="bullet"/>
      <w:lvlText w:val="o"/>
      <w:lvlJc w:val="left"/>
      <w:pPr>
        <w:ind w:left="3600" w:hanging="360"/>
      </w:pPr>
      <w:rPr>
        <w:rFonts w:ascii="Courier New" w:hAnsi="Courier New" w:hint="default"/>
      </w:rPr>
    </w:lvl>
    <w:lvl w:ilvl="5" w:tplc="564AE430">
      <w:start w:val="1"/>
      <w:numFmt w:val="bullet"/>
      <w:lvlText w:val=""/>
      <w:lvlJc w:val="left"/>
      <w:pPr>
        <w:ind w:left="4320" w:hanging="360"/>
      </w:pPr>
      <w:rPr>
        <w:rFonts w:ascii="Wingdings" w:hAnsi="Wingdings" w:hint="default"/>
      </w:rPr>
    </w:lvl>
    <w:lvl w:ilvl="6" w:tplc="8E0E55BC">
      <w:start w:val="1"/>
      <w:numFmt w:val="bullet"/>
      <w:lvlText w:val=""/>
      <w:lvlJc w:val="left"/>
      <w:pPr>
        <w:ind w:left="5040" w:hanging="360"/>
      </w:pPr>
      <w:rPr>
        <w:rFonts w:ascii="Symbol" w:hAnsi="Symbol" w:hint="default"/>
      </w:rPr>
    </w:lvl>
    <w:lvl w:ilvl="7" w:tplc="5FB068A8">
      <w:start w:val="1"/>
      <w:numFmt w:val="bullet"/>
      <w:lvlText w:val="o"/>
      <w:lvlJc w:val="left"/>
      <w:pPr>
        <w:ind w:left="5760" w:hanging="360"/>
      </w:pPr>
      <w:rPr>
        <w:rFonts w:ascii="Courier New" w:hAnsi="Courier New" w:hint="default"/>
      </w:rPr>
    </w:lvl>
    <w:lvl w:ilvl="8" w:tplc="940E6A34">
      <w:start w:val="1"/>
      <w:numFmt w:val="bullet"/>
      <w:lvlText w:val=""/>
      <w:lvlJc w:val="left"/>
      <w:pPr>
        <w:ind w:left="6480" w:hanging="360"/>
      </w:pPr>
      <w:rPr>
        <w:rFonts w:ascii="Wingdings" w:hAnsi="Wingdings" w:hint="default"/>
      </w:rPr>
    </w:lvl>
  </w:abstractNum>
  <w:num w:numId="1" w16cid:durableId="2047410955">
    <w:abstractNumId w:val="20"/>
  </w:num>
  <w:num w:numId="2" w16cid:durableId="603616384">
    <w:abstractNumId w:val="18"/>
  </w:num>
  <w:num w:numId="3" w16cid:durableId="1776898335">
    <w:abstractNumId w:val="1"/>
  </w:num>
  <w:num w:numId="4" w16cid:durableId="2095198095">
    <w:abstractNumId w:val="10"/>
  </w:num>
  <w:num w:numId="5" w16cid:durableId="1272399657">
    <w:abstractNumId w:val="15"/>
  </w:num>
  <w:num w:numId="6" w16cid:durableId="49574427">
    <w:abstractNumId w:val="8"/>
  </w:num>
  <w:num w:numId="7" w16cid:durableId="1516722866">
    <w:abstractNumId w:val="5"/>
  </w:num>
  <w:num w:numId="8" w16cid:durableId="164823704">
    <w:abstractNumId w:val="7"/>
  </w:num>
  <w:num w:numId="9" w16cid:durableId="1422482963">
    <w:abstractNumId w:val="14"/>
  </w:num>
  <w:num w:numId="10" w16cid:durableId="256401319">
    <w:abstractNumId w:val="0"/>
  </w:num>
  <w:num w:numId="11" w16cid:durableId="14866266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0352756">
    <w:abstractNumId w:val="13"/>
  </w:num>
  <w:num w:numId="13" w16cid:durableId="1936858350">
    <w:abstractNumId w:val="6"/>
  </w:num>
  <w:num w:numId="14" w16cid:durableId="1314525174">
    <w:abstractNumId w:val="11"/>
  </w:num>
  <w:num w:numId="15" w16cid:durableId="843473068">
    <w:abstractNumId w:val="19"/>
  </w:num>
  <w:num w:numId="16" w16cid:durableId="287008484">
    <w:abstractNumId w:val="3"/>
  </w:num>
  <w:num w:numId="17" w16cid:durableId="2046100428">
    <w:abstractNumId w:val="12"/>
  </w:num>
  <w:num w:numId="18" w16cid:durableId="1937323398">
    <w:abstractNumId w:val="9"/>
  </w:num>
  <w:num w:numId="19" w16cid:durableId="443964828">
    <w:abstractNumId w:val="16"/>
  </w:num>
  <w:num w:numId="20" w16cid:durableId="1058480727">
    <w:abstractNumId w:val="2"/>
  </w:num>
  <w:num w:numId="21" w16cid:durableId="1547637686">
    <w:abstractNumId w:val="17"/>
  </w:num>
  <w:num w:numId="22" w16cid:durableId="84378247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1EB"/>
    <w:rsid w:val="00003F94"/>
    <w:rsid w:val="000140B8"/>
    <w:rsid w:val="000317E3"/>
    <w:rsid w:val="00035AF2"/>
    <w:rsid w:val="00044684"/>
    <w:rsid w:val="00046C31"/>
    <w:rsid w:val="000534A0"/>
    <w:rsid w:val="00054F5F"/>
    <w:rsid w:val="00057B40"/>
    <w:rsid w:val="00064140"/>
    <w:rsid w:val="00065DCF"/>
    <w:rsid w:val="000750D2"/>
    <w:rsid w:val="00081610"/>
    <w:rsid w:val="00091ABE"/>
    <w:rsid w:val="000B5EF5"/>
    <w:rsid w:val="000B7D80"/>
    <w:rsid w:val="000C4A0F"/>
    <w:rsid w:val="000D0755"/>
    <w:rsid w:val="000D1868"/>
    <w:rsid w:val="000D5965"/>
    <w:rsid w:val="000E6227"/>
    <w:rsid w:val="000F5B57"/>
    <w:rsid w:val="000F7266"/>
    <w:rsid w:val="000F75FC"/>
    <w:rsid w:val="001510D7"/>
    <w:rsid w:val="00161696"/>
    <w:rsid w:val="001900B2"/>
    <w:rsid w:val="00196396"/>
    <w:rsid w:val="001A7461"/>
    <w:rsid w:val="001C4603"/>
    <w:rsid w:val="001C58ED"/>
    <w:rsid w:val="001C64F8"/>
    <w:rsid w:val="001D0F6D"/>
    <w:rsid w:val="001E39FC"/>
    <w:rsid w:val="001E630D"/>
    <w:rsid w:val="001F6546"/>
    <w:rsid w:val="00201C6D"/>
    <w:rsid w:val="00214210"/>
    <w:rsid w:val="0022162B"/>
    <w:rsid w:val="002346B5"/>
    <w:rsid w:val="0023484C"/>
    <w:rsid w:val="002408DC"/>
    <w:rsid w:val="00240A6E"/>
    <w:rsid w:val="00242D59"/>
    <w:rsid w:val="002532C0"/>
    <w:rsid w:val="002561AD"/>
    <w:rsid w:val="00262CDD"/>
    <w:rsid w:val="002642B1"/>
    <w:rsid w:val="00265257"/>
    <w:rsid w:val="00266B26"/>
    <w:rsid w:val="00267A25"/>
    <w:rsid w:val="0027075A"/>
    <w:rsid w:val="002755A4"/>
    <w:rsid w:val="00275EA9"/>
    <w:rsid w:val="00281DFB"/>
    <w:rsid w:val="00282835"/>
    <w:rsid w:val="00295934"/>
    <w:rsid w:val="002A3CBA"/>
    <w:rsid w:val="002B3CC6"/>
    <w:rsid w:val="002B7002"/>
    <w:rsid w:val="002C4CE1"/>
    <w:rsid w:val="002F2AD3"/>
    <w:rsid w:val="003021F2"/>
    <w:rsid w:val="003042A4"/>
    <w:rsid w:val="00311FC7"/>
    <w:rsid w:val="00314451"/>
    <w:rsid w:val="00331DEA"/>
    <w:rsid w:val="00335A14"/>
    <w:rsid w:val="00337926"/>
    <w:rsid w:val="00347FE0"/>
    <w:rsid w:val="00360364"/>
    <w:rsid w:val="00363FD6"/>
    <w:rsid w:val="0038044C"/>
    <w:rsid w:val="003978F7"/>
    <w:rsid w:val="003A70C3"/>
    <w:rsid w:val="003A7612"/>
    <w:rsid w:val="003B0D19"/>
    <w:rsid w:val="003B2BB8"/>
    <w:rsid w:val="003B6F90"/>
    <w:rsid w:val="003B7424"/>
    <w:rsid w:val="003C7303"/>
    <w:rsid w:val="003D34FF"/>
    <w:rsid w:val="003D46AB"/>
    <w:rsid w:val="003E0A57"/>
    <w:rsid w:val="003E10A6"/>
    <w:rsid w:val="003E2B62"/>
    <w:rsid w:val="0040002F"/>
    <w:rsid w:val="00403055"/>
    <w:rsid w:val="00415B6C"/>
    <w:rsid w:val="004220FC"/>
    <w:rsid w:val="004243F2"/>
    <w:rsid w:val="00431278"/>
    <w:rsid w:val="004354E6"/>
    <w:rsid w:val="00440CB8"/>
    <w:rsid w:val="00441FD7"/>
    <w:rsid w:val="0045365D"/>
    <w:rsid w:val="00471456"/>
    <w:rsid w:val="0047261D"/>
    <w:rsid w:val="00481EAA"/>
    <w:rsid w:val="004837A4"/>
    <w:rsid w:val="00490F3B"/>
    <w:rsid w:val="00491310"/>
    <w:rsid w:val="004A2151"/>
    <w:rsid w:val="004B54CA"/>
    <w:rsid w:val="004B653B"/>
    <w:rsid w:val="004D7310"/>
    <w:rsid w:val="004E5CBF"/>
    <w:rsid w:val="004F77F4"/>
    <w:rsid w:val="0050098E"/>
    <w:rsid w:val="0050168B"/>
    <w:rsid w:val="005072B0"/>
    <w:rsid w:val="005072DF"/>
    <w:rsid w:val="00515ED5"/>
    <w:rsid w:val="00516559"/>
    <w:rsid w:val="0051729F"/>
    <w:rsid w:val="00517AE4"/>
    <w:rsid w:val="00522101"/>
    <w:rsid w:val="005312DA"/>
    <w:rsid w:val="0054621C"/>
    <w:rsid w:val="0054713E"/>
    <w:rsid w:val="005543A8"/>
    <w:rsid w:val="00567053"/>
    <w:rsid w:val="00571E49"/>
    <w:rsid w:val="00584FC1"/>
    <w:rsid w:val="00586246"/>
    <w:rsid w:val="005877DC"/>
    <w:rsid w:val="0059023E"/>
    <w:rsid w:val="00597852"/>
    <w:rsid w:val="005A7503"/>
    <w:rsid w:val="005A7CD2"/>
    <w:rsid w:val="005B06DE"/>
    <w:rsid w:val="005B2DCB"/>
    <w:rsid w:val="005C3AA9"/>
    <w:rsid w:val="005C5644"/>
    <w:rsid w:val="005D6069"/>
    <w:rsid w:val="005E4DAE"/>
    <w:rsid w:val="005E6F55"/>
    <w:rsid w:val="005F2041"/>
    <w:rsid w:val="005F5EEF"/>
    <w:rsid w:val="00613437"/>
    <w:rsid w:val="00626821"/>
    <w:rsid w:val="00631A2C"/>
    <w:rsid w:val="0063297E"/>
    <w:rsid w:val="00643CDC"/>
    <w:rsid w:val="006555B8"/>
    <w:rsid w:val="00655B3F"/>
    <w:rsid w:val="00683BC0"/>
    <w:rsid w:val="00686716"/>
    <w:rsid w:val="00691416"/>
    <w:rsid w:val="00693D27"/>
    <w:rsid w:val="006A0A46"/>
    <w:rsid w:val="006A4CE7"/>
    <w:rsid w:val="006A7DD3"/>
    <w:rsid w:val="006B2D84"/>
    <w:rsid w:val="006C574D"/>
    <w:rsid w:val="006D161A"/>
    <w:rsid w:val="006D2DA3"/>
    <w:rsid w:val="006D622A"/>
    <w:rsid w:val="006F3D9C"/>
    <w:rsid w:val="007065F3"/>
    <w:rsid w:val="0073320E"/>
    <w:rsid w:val="00734CF2"/>
    <w:rsid w:val="00746215"/>
    <w:rsid w:val="00761CAD"/>
    <w:rsid w:val="00765A7C"/>
    <w:rsid w:val="00785261"/>
    <w:rsid w:val="007929FE"/>
    <w:rsid w:val="00795CEA"/>
    <w:rsid w:val="007A1D3B"/>
    <w:rsid w:val="007B0256"/>
    <w:rsid w:val="007C3D2E"/>
    <w:rsid w:val="007D1C2F"/>
    <w:rsid w:val="007D30A2"/>
    <w:rsid w:val="007E007C"/>
    <w:rsid w:val="007E3959"/>
    <w:rsid w:val="007E3B8B"/>
    <w:rsid w:val="008006FC"/>
    <w:rsid w:val="008009CA"/>
    <w:rsid w:val="0080363D"/>
    <w:rsid w:val="008063AF"/>
    <w:rsid w:val="00815A31"/>
    <w:rsid w:val="0082068B"/>
    <w:rsid w:val="00831FDD"/>
    <w:rsid w:val="00834383"/>
    <w:rsid w:val="00837F4E"/>
    <w:rsid w:val="0084227C"/>
    <w:rsid w:val="0085088E"/>
    <w:rsid w:val="00850C04"/>
    <w:rsid w:val="008565DF"/>
    <w:rsid w:val="0085710F"/>
    <w:rsid w:val="00862EAA"/>
    <w:rsid w:val="00871AEF"/>
    <w:rsid w:val="00874643"/>
    <w:rsid w:val="00876CA6"/>
    <w:rsid w:val="00877018"/>
    <w:rsid w:val="00882B98"/>
    <w:rsid w:val="008916D6"/>
    <w:rsid w:val="00891E2F"/>
    <w:rsid w:val="008B210B"/>
    <w:rsid w:val="008C3726"/>
    <w:rsid w:val="008D3758"/>
    <w:rsid w:val="008E0C72"/>
    <w:rsid w:val="008F1038"/>
    <w:rsid w:val="008F3023"/>
    <w:rsid w:val="009225F0"/>
    <w:rsid w:val="009421EB"/>
    <w:rsid w:val="0094563F"/>
    <w:rsid w:val="00946B15"/>
    <w:rsid w:val="00987714"/>
    <w:rsid w:val="00996415"/>
    <w:rsid w:val="009B5AB3"/>
    <w:rsid w:val="009B717B"/>
    <w:rsid w:val="009D2DF8"/>
    <w:rsid w:val="009D3CCB"/>
    <w:rsid w:val="009D4AC2"/>
    <w:rsid w:val="009E24BC"/>
    <w:rsid w:val="009E24FA"/>
    <w:rsid w:val="009F6D01"/>
    <w:rsid w:val="00A13549"/>
    <w:rsid w:val="00A43E66"/>
    <w:rsid w:val="00A4462B"/>
    <w:rsid w:val="00A51123"/>
    <w:rsid w:val="00A6317F"/>
    <w:rsid w:val="00A74769"/>
    <w:rsid w:val="00A80DE0"/>
    <w:rsid w:val="00A84261"/>
    <w:rsid w:val="00A85365"/>
    <w:rsid w:val="00AA7226"/>
    <w:rsid w:val="00AB1B09"/>
    <w:rsid w:val="00AB62CC"/>
    <w:rsid w:val="00AC3ED0"/>
    <w:rsid w:val="00AD01EF"/>
    <w:rsid w:val="00AD627F"/>
    <w:rsid w:val="00AD6700"/>
    <w:rsid w:val="00AF77F3"/>
    <w:rsid w:val="00B023DA"/>
    <w:rsid w:val="00B10EA9"/>
    <w:rsid w:val="00B10EB1"/>
    <w:rsid w:val="00B246E8"/>
    <w:rsid w:val="00B25125"/>
    <w:rsid w:val="00B27B13"/>
    <w:rsid w:val="00B31D33"/>
    <w:rsid w:val="00B36B86"/>
    <w:rsid w:val="00B37603"/>
    <w:rsid w:val="00B413E1"/>
    <w:rsid w:val="00B44F9B"/>
    <w:rsid w:val="00B6576E"/>
    <w:rsid w:val="00B71EDF"/>
    <w:rsid w:val="00B760FC"/>
    <w:rsid w:val="00B772ED"/>
    <w:rsid w:val="00B820CD"/>
    <w:rsid w:val="00B85379"/>
    <w:rsid w:val="00B8586C"/>
    <w:rsid w:val="00BA2DB9"/>
    <w:rsid w:val="00BA5842"/>
    <w:rsid w:val="00BA6A09"/>
    <w:rsid w:val="00BB03A8"/>
    <w:rsid w:val="00BC04D2"/>
    <w:rsid w:val="00BC0A30"/>
    <w:rsid w:val="00BC5AB7"/>
    <w:rsid w:val="00BC79CD"/>
    <w:rsid w:val="00BE32B9"/>
    <w:rsid w:val="00BE7148"/>
    <w:rsid w:val="00C027B8"/>
    <w:rsid w:val="00C175D2"/>
    <w:rsid w:val="00C27ABB"/>
    <w:rsid w:val="00C36523"/>
    <w:rsid w:val="00C4058D"/>
    <w:rsid w:val="00C438A6"/>
    <w:rsid w:val="00C53EA0"/>
    <w:rsid w:val="00C55DE7"/>
    <w:rsid w:val="00C57001"/>
    <w:rsid w:val="00C7347B"/>
    <w:rsid w:val="00C76B3D"/>
    <w:rsid w:val="00CA5D88"/>
    <w:rsid w:val="00CB718C"/>
    <w:rsid w:val="00CB74B3"/>
    <w:rsid w:val="00CC58D6"/>
    <w:rsid w:val="00CD519A"/>
    <w:rsid w:val="00CE0B04"/>
    <w:rsid w:val="00CE1CB4"/>
    <w:rsid w:val="00CE381E"/>
    <w:rsid w:val="00CE4A1F"/>
    <w:rsid w:val="00CF77DE"/>
    <w:rsid w:val="00D066BF"/>
    <w:rsid w:val="00D22A8A"/>
    <w:rsid w:val="00D2619A"/>
    <w:rsid w:val="00D40593"/>
    <w:rsid w:val="00D578AD"/>
    <w:rsid w:val="00D71C54"/>
    <w:rsid w:val="00D83A7C"/>
    <w:rsid w:val="00D86E50"/>
    <w:rsid w:val="00D90D3C"/>
    <w:rsid w:val="00D91F38"/>
    <w:rsid w:val="00DA1B31"/>
    <w:rsid w:val="00DA33DB"/>
    <w:rsid w:val="00DA66C1"/>
    <w:rsid w:val="00DA7B4A"/>
    <w:rsid w:val="00DB012A"/>
    <w:rsid w:val="00DB145C"/>
    <w:rsid w:val="00DB33E4"/>
    <w:rsid w:val="00DC61A0"/>
    <w:rsid w:val="00DD20AD"/>
    <w:rsid w:val="00DD6202"/>
    <w:rsid w:val="00DD68AB"/>
    <w:rsid w:val="00DF6274"/>
    <w:rsid w:val="00E30C3C"/>
    <w:rsid w:val="00E312EE"/>
    <w:rsid w:val="00E51EF1"/>
    <w:rsid w:val="00E643E0"/>
    <w:rsid w:val="00E660C5"/>
    <w:rsid w:val="00E67EED"/>
    <w:rsid w:val="00E708BB"/>
    <w:rsid w:val="00E761A2"/>
    <w:rsid w:val="00E82B90"/>
    <w:rsid w:val="00E858A7"/>
    <w:rsid w:val="00E86439"/>
    <w:rsid w:val="00E9285A"/>
    <w:rsid w:val="00E943B5"/>
    <w:rsid w:val="00E946B3"/>
    <w:rsid w:val="00E956B6"/>
    <w:rsid w:val="00E975C4"/>
    <w:rsid w:val="00EA550A"/>
    <w:rsid w:val="00EA66F0"/>
    <w:rsid w:val="00EB268B"/>
    <w:rsid w:val="00EB7949"/>
    <w:rsid w:val="00EC7AD6"/>
    <w:rsid w:val="00ED3F6A"/>
    <w:rsid w:val="00EE3834"/>
    <w:rsid w:val="00EE5D6C"/>
    <w:rsid w:val="00EE67D9"/>
    <w:rsid w:val="00EE68BA"/>
    <w:rsid w:val="00EF3823"/>
    <w:rsid w:val="00EF3DA5"/>
    <w:rsid w:val="00F047F4"/>
    <w:rsid w:val="00F07D2D"/>
    <w:rsid w:val="00F12BA1"/>
    <w:rsid w:val="00F148C2"/>
    <w:rsid w:val="00F15211"/>
    <w:rsid w:val="00F212CF"/>
    <w:rsid w:val="00F30908"/>
    <w:rsid w:val="00F32AAD"/>
    <w:rsid w:val="00F37C38"/>
    <w:rsid w:val="00F42CAA"/>
    <w:rsid w:val="00F44F79"/>
    <w:rsid w:val="00F47F8D"/>
    <w:rsid w:val="00F51BCF"/>
    <w:rsid w:val="00F5337B"/>
    <w:rsid w:val="00F74404"/>
    <w:rsid w:val="00F85669"/>
    <w:rsid w:val="00F95B97"/>
    <w:rsid w:val="00FA1012"/>
    <w:rsid w:val="00FA7485"/>
    <w:rsid w:val="00FC143A"/>
    <w:rsid w:val="00FC3918"/>
    <w:rsid w:val="00FD2261"/>
    <w:rsid w:val="00FF1799"/>
    <w:rsid w:val="00FF725E"/>
    <w:rsid w:val="014FB1F8"/>
    <w:rsid w:val="096DCFB4"/>
    <w:rsid w:val="0B59FB43"/>
    <w:rsid w:val="0C1BFFD5"/>
    <w:rsid w:val="0E733FAA"/>
    <w:rsid w:val="10CF72F3"/>
    <w:rsid w:val="11CCDF7C"/>
    <w:rsid w:val="174938E2"/>
    <w:rsid w:val="189879E4"/>
    <w:rsid w:val="21D5E852"/>
    <w:rsid w:val="25CCE2EA"/>
    <w:rsid w:val="290A7FDC"/>
    <w:rsid w:val="2C6A3497"/>
    <w:rsid w:val="2E98F6AA"/>
    <w:rsid w:val="31896D02"/>
    <w:rsid w:val="3219DFA7"/>
    <w:rsid w:val="372F1835"/>
    <w:rsid w:val="3866B465"/>
    <w:rsid w:val="3A7FB428"/>
    <w:rsid w:val="3AA965EB"/>
    <w:rsid w:val="464DBA66"/>
    <w:rsid w:val="476B8657"/>
    <w:rsid w:val="4DBEF9D8"/>
    <w:rsid w:val="54427CFA"/>
    <w:rsid w:val="5648A2B7"/>
    <w:rsid w:val="57043F0C"/>
    <w:rsid w:val="578FF03F"/>
    <w:rsid w:val="58CA459B"/>
    <w:rsid w:val="5A938DCF"/>
    <w:rsid w:val="5B76AA6C"/>
    <w:rsid w:val="5CC604C0"/>
    <w:rsid w:val="5D72E918"/>
    <w:rsid w:val="65A8ED72"/>
    <w:rsid w:val="6E2985F7"/>
    <w:rsid w:val="7163C15C"/>
    <w:rsid w:val="74D4A23C"/>
    <w:rsid w:val="7F6232E3"/>
    <w:rsid w:val="7F9797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BF1B9"/>
  <w15:docId w15:val="{3174986F-57D2-1643-BAD2-DB025656D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next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next w:val="Norm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orange">
    <w:name w:val="Focus - orange"/>
    <w:basedOn w:val="Focus-teal"/>
    <w:next w:val="Norm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pPr>
    <w:rPr>
      <w:rFonts w:ascii="Arial" w:eastAsia="Times New Roman" w:hAnsi="Arial" w:cs="Times New Roman"/>
      <w:spacing w:val="4"/>
      <w:lang w:eastAsia="en-AU"/>
    </w:rPr>
  </w:style>
  <w:style w:type="paragraph" w:styleId="ListParagraph">
    <w:name w:val="List Paragraph"/>
    <w:aliases w:val="List Paragraph1,List Paragraph11,Recommendation,L,Bullet Point,Bullet points,Content descriptions,Bullet point,CV text,F5 List Paragraph,Dot pt,List Paragraph111,Medium Grid 1 - Accent 21,Numbered Paragraph,NFP GP Bulleted List,Table,Main"/>
    <w:basedOn w:val="Normal"/>
    <w:link w:val="ListParagraphChar"/>
    <w:uiPriority w:val="34"/>
    <w:qFormat/>
    <w:rsid w:val="00996415"/>
    <w:pPr>
      <w:numPr>
        <w:numId w:val="17"/>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note">
    <w:name w:val="Table/image note"/>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styleId="CommentReference">
    <w:name w:val="annotation reference"/>
    <w:basedOn w:val="DefaultParagraphFont"/>
    <w:uiPriority w:val="99"/>
    <w:semiHidden/>
    <w:unhideWhenUsed/>
    <w:rsid w:val="003042A4"/>
    <w:rPr>
      <w:sz w:val="16"/>
      <w:szCs w:val="16"/>
    </w:rPr>
  </w:style>
  <w:style w:type="paragraph" w:styleId="CommentText">
    <w:name w:val="annotation text"/>
    <w:basedOn w:val="Normal"/>
    <w:link w:val="CommentTextChar"/>
    <w:uiPriority w:val="99"/>
    <w:unhideWhenUsed/>
    <w:rsid w:val="003042A4"/>
    <w:pPr>
      <w:spacing w:line="240" w:lineRule="auto"/>
    </w:pPr>
    <w:rPr>
      <w:sz w:val="20"/>
      <w:szCs w:val="20"/>
    </w:rPr>
  </w:style>
  <w:style w:type="character" w:customStyle="1" w:styleId="CommentTextChar">
    <w:name w:val="Comment Text Char"/>
    <w:basedOn w:val="DefaultParagraphFont"/>
    <w:link w:val="CommentText"/>
    <w:uiPriority w:val="99"/>
    <w:rsid w:val="003042A4"/>
    <w:rPr>
      <w:spacing w:val="3"/>
      <w:sz w:val="20"/>
      <w:szCs w:val="20"/>
    </w:rPr>
  </w:style>
  <w:style w:type="paragraph" w:styleId="CommentSubject">
    <w:name w:val="annotation subject"/>
    <w:basedOn w:val="CommentText"/>
    <w:next w:val="CommentText"/>
    <w:link w:val="CommentSubjectChar"/>
    <w:uiPriority w:val="99"/>
    <w:semiHidden/>
    <w:unhideWhenUsed/>
    <w:rsid w:val="003042A4"/>
    <w:rPr>
      <w:b/>
      <w:bCs/>
    </w:rPr>
  </w:style>
  <w:style w:type="character" w:customStyle="1" w:styleId="CommentSubjectChar">
    <w:name w:val="Comment Subject Char"/>
    <w:basedOn w:val="CommentTextChar"/>
    <w:link w:val="CommentSubject"/>
    <w:uiPriority w:val="99"/>
    <w:semiHidden/>
    <w:rsid w:val="003042A4"/>
    <w:rPr>
      <w:b/>
      <w:bCs/>
      <w:spacing w:val="3"/>
      <w:sz w:val="20"/>
      <w:szCs w:val="20"/>
    </w:rPr>
  </w:style>
  <w:style w:type="paragraph" w:styleId="Revision">
    <w:name w:val="Revision"/>
    <w:hidden/>
    <w:uiPriority w:val="99"/>
    <w:semiHidden/>
    <w:rsid w:val="0022162B"/>
    <w:pPr>
      <w:spacing w:after="0" w:line="240" w:lineRule="auto"/>
    </w:pPr>
    <w:rPr>
      <w:spacing w:val="3"/>
      <w:sz w:val="22"/>
    </w:rPr>
  </w:style>
  <w:style w:type="character" w:customStyle="1" w:styleId="Mention1">
    <w:name w:val="Mention1"/>
    <w:basedOn w:val="DefaultParagraphFont"/>
    <w:uiPriority w:val="99"/>
    <w:unhideWhenUsed/>
    <w:rsid w:val="00F047F4"/>
    <w:rPr>
      <w:color w:val="2B579A"/>
      <w:shd w:val="clear" w:color="auto" w:fill="E1DFDD"/>
    </w:rPr>
  </w:style>
  <w:style w:type="character" w:customStyle="1" w:styleId="Mention2">
    <w:name w:val="Mention2"/>
    <w:basedOn w:val="DefaultParagraphFont"/>
    <w:uiPriority w:val="99"/>
    <w:unhideWhenUsed/>
    <w:rsid w:val="002532C0"/>
    <w:rPr>
      <w:color w:val="2B579A"/>
      <w:shd w:val="clear" w:color="auto" w:fill="E6E6E6"/>
    </w:rPr>
  </w:style>
  <w:style w:type="paragraph" w:styleId="ListNumber">
    <w:name w:val="List Number"/>
    <w:basedOn w:val="Normal"/>
    <w:uiPriority w:val="99"/>
    <w:unhideWhenUsed/>
    <w:qFormat/>
    <w:rsid w:val="00996415"/>
    <w:pPr>
      <w:numPr>
        <w:numId w:val="9"/>
      </w:numPr>
      <w:contextualSpacing/>
    </w:pPr>
  </w:style>
  <w:style w:type="numbering" w:customStyle="1" w:styleId="DSSBulletList">
    <w:name w:val="DSS Bullet List"/>
    <w:uiPriority w:val="99"/>
    <w:rsid w:val="00065DCF"/>
    <w:pPr>
      <w:numPr>
        <w:numId w:val="14"/>
      </w:numPr>
    </w:pPr>
  </w:style>
  <w:style w:type="character" w:styleId="UnresolvedMention">
    <w:name w:val="Unresolved Mention"/>
    <w:basedOn w:val="DefaultParagraphFont"/>
    <w:uiPriority w:val="99"/>
    <w:semiHidden/>
    <w:unhideWhenUsed/>
    <w:rsid w:val="003B6F90"/>
    <w:rPr>
      <w:color w:val="605E5C"/>
      <w:shd w:val="clear" w:color="auto" w:fill="E1DFDD"/>
    </w:rPr>
  </w:style>
  <w:style w:type="character" w:styleId="PageNumber">
    <w:name w:val="page number"/>
    <w:basedOn w:val="DefaultParagraphFont"/>
    <w:uiPriority w:val="99"/>
    <w:semiHidden/>
    <w:unhideWhenUsed/>
    <w:rsid w:val="00F51BCF"/>
  </w:style>
  <w:style w:type="character" w:customStyle="1" w:styleId="ListParagraphChar">
    <w:name w:val="List Paragraph Char"/>
    <w:aliases w:val="List Paragraph1 Char,List Paragraph11 Char,Recommendation Char,L Char,Bullet Point Char,Bullet points Char,Content descriptions Char,Bullet point Char,CV text Char,F5 List Paragraph Char,Dot pt Char,List Paragraph111 Char,Table Char"/>
    <w:basedOn w:val="DefaultParagraphFont"/>
    <w:link w:val="ListParagraph"/>
    <w:uiPriority w:val="34"/>
    <w:qFormat/>
    <w:rsid w:val="00057B40"/>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526C5725DA40A44B581E51917DCABEC" ma:contentTypeVersion="10" ma:contentTypeDescription="Create a new document." ma:contentTypeScope="" ma:versionID="25b2bbc5163f51db549431d8961fee1d">
  <xsd:schema xmlns:xsd="http://www.w3.org/2001/XMLSchema" xmlns:xs="http://www.w3.org/2001/XMLSchema" xmlns:p="http://schemas.microsoft.com/office/2006/metadata/properties" xmlns:ns2="01755e18-f59e-4388-861b-27b1a2c30c94" xmlns:ns3="14fd5ebc-b510-4743-b739-b1a641619918" targetNamespace="http://schemas.microsoft.com/office/2006/metadata/properties" ma:root="true" ma:fieldsID="1acb764946f63137cfdf30fbd890dbf4" ns2:_="" ns3:_="">
    <xsd:import namespace="01755e18-f59e-4388-861b-27b1a2c30c94"/>
    <xsd:import namespace="14fd5ebc-b510-4743-b739-b1a6416199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55e18-f59e-4388-861b-27b1a2c30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fd5ebc-b510-4743-b739-b1a641619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2.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CD0FA8-730D-4713-A658-83D457E1C1EA}">
  <ds:schemaRefs>
    <ds:schemaRef ds:uri="http://schemas.openxmlformats.org/officeDocument/2006/bibliography"/>
  </ds:schemaRefs>
</ds:datastoreItem>
</file>

<file path=customXml/itemProps4.xml><?xml version="1.0" encoding="utf-8"?>
<ds:datastoreItem xmlns:ds="http://schemas.openxmlformats.org/officeDocument/2006/customXml" ds:itemID="{1A308856-98DF-4920-A8F4-ADC7184AB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55e18-f59e-4388-861b-27b1a2c30c94"/>
    <ds:schemaRef ds:uri="14fd5ebc-b510-4743-b739-b1a641619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2557</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DSS Report Template</vt:lpstr>
    </vt:vector>
  </TitlesOfParts>
  <Company>Department of Social Services</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DSS Report Template</dc:title>
  <dc:subject/>
  <dc:creator>Liam Camilleri</dc:creator>
  <cp:keywords>[SEC=OFFICIAL]</cp:keywords>
  <cp:lastModifiedBy>ALI, Samantha</cp:lastModifiedBy>
  <cp:revision>2</cp:revision>
  <cp:lastPrinted>2014-10-25T23:51:00Z</cp:lastPrinted>
  <dcterms:created xsi:type="dcterms:W3CDTF">2024-07-29T07:47:00Z</dcterms:created>
  <dcterms:modified xsi:type="dcterms:W3CDTF">2024-07-29T07:47:00Z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C74043ED8531BC4E6B4DA21D43D4ACD399969B79</vt:lpwstr>
  </property>
  <property fmtid="{D5CDD505-2E9C-101B-9397-08002B2CF9AE}" pid="11" name="PM_OriginationTimeStamp">
    <vt:lpwstr>2024-03-06T03:06:25Z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C29B77B32BDA26593C8FC384FC88F748</vt:lpwstr>
  </property>
  <property fmtid="{D5CDD505-2E9C-101B-9397-08002B2CF9AE}" pid="21" name="PM_Hash_Salt">
    <vt:lpwstr>FD0977580336456962E805319068BC78</vt:lpwstr>
  </property>
  <property fmtid="{D5CDD505-2E9C-101B-9397-08002B2CF9AE}" pid="22" name="PM_Hash_SHA1">
    <vt:lpwstr>AE88496C394F0693D36811E6C6514E51E060B75C</vt:lpwstr>
  </property>
  <property fmtid="{D5CDD505-2E9C-101B-9397-08002B2CF9AE}" pid="23" name="PM_OriginatorUserAccountName_SHA256">
    <vt:lpwstr>A6FC7CCCE490CB2FE6EF42AF508503C9F1DC1D38A92A0554F10306A18AC618EE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0x0101008526C5725DA40A44B581E51917DCABEC</vt:lpwstr>
  </property>
  <property fmtid="{D5CDD505-2E9C-101B-9397-08002B2CF9AE}" pid="28" name="MediaServiceImageTags">
    <vt:lpwstr/>
  </property>
  <property fmtid="{D5CDD505-2E9C-101B-9397-08002B2CF9AE}" pid="29" name="MSIP_Label_eb34d90b-fc41-464d-af60-f74d721d0790_Enabled">
    <vt:lpwstr>true</vt:lpwstr>
  </property>
  <property fmtid="{D5CDD505-2E9C-101B-9397-08002B2CF9AE}" pid="30" name="MSIP_Label_eb34d90b-fc41-464d-af60-f74d721d0790_SetDate">
    <vt:lpwstr>2024-03-06T03:06:25Z</vt:lpwstr>
  </property>
  <property fmtid="{D5CDD505-2E9C-101B-9397-08002B2CF9AE}" pid="31" name="MSIP_Label_eb34d90b-fc41-464d-af60-f74d721d0790_Method">
    <vt:lpwstr>Privileged</vt:lpwstr>
  </property>
  <property fmtid="{D5CDD505-2E9C-101B-9397-08002B2CF9AE}" pid="32" name="MSIP_Label_eb34d90b-fc41-464d-af60-f74d721d0790_Name">
    <vt:lpwstr>OFFICIAL</vt:lpwstr>
  </property>
  <property fmtid="{D5CDD505-2E9C-101B-9397-08002B2CF9AE}" pid="33" name="MSIP_Label_eb34d90b-fc41-464d-af60-f74d721d0790_SiteId">
    <vt:lpwstr>61e36dd1-ca6e-4d61-aa0a-2b4eb88317a3</vt:lpwstr>
  </property>
  <property fmtid="{D5CDD505-2E9C-101B-9397-08002B2CF9AE}" pid="34" name="MSIP_Label_eb34d90b-fc41-464d-af60-f74d721d0790_ActionId">
    <vt:lpwstr>fe49a7564c62425f957eca0027762285</vt:lpwstr>
  </property>
  <property fmtid="{D5CDD505-2E9C-101B-9397-08002B2CF9AE}" pid="35" name="MSIP_Label_eb34d90b-fc41-464d-af60-f74d721d0790_ContentBits">
    <vt:lpwstr>0</vt:lpwstr>
  </property>
  <property fmtid="{D5CDD505-2E9C-101B-9397-08002B2CF9AE}" pid="36" name="PMHMAC">
    <vt:lpwstr>v=2022.1;a=SHA256;h=7CA3E360316D956B883A1195A024F53BC2EF596C8934045A899F1CC86D0A2739</vt:lpwstr>
  </property>
  <property fmtid="{D5CDD505-2E9C-101B-9397-08002B2CF9AE}" pid="37" name="PMUuid">
    <vt:lpwstr>v=2022.2;d=gov.au;g=46DD6D7C-8107-577B-BC6E-F348953B2E44</vt:lpwstr>
  </property>
</Properties>
</file>