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0E2A" w14:textId="77777777" w:rsidR="00946490" w:rsidRDefault="00946490" w:rsidP="00946490">
      <w:pPr>
        <w:pStyle w:val="Title"/>
        <w:jc w:val="center"/>
        <w:rPr>
          <w:b/>
          <w:bCs/>
          <w:sz w:val="40"/>
          <w:szCs w:val="40"/>
        </w:rPr>
      </w:pPr>
      <w:bookmarkStart w:id="0" w:name="_Toc147129544"/>
      <w:bookmarkStart w:id="1" w:name="_Toc151113641"/>
    </w:p>
    <w:p w14:paraId="796F3B4A" w14:textId="38CAB691" w:rsidR="00946490" w:rsidRDefault="00546A29" w:rsidP="00946490">
      <w:pPr>
        <w:pStyle w:val="Title"/>
        <w:jc w:val="center"/>
        <w:rPr>
          <w:b/>
          <w:bCs/>
          <w:sz w:val="72"/>
          <w:szCs w:val="72"/>
        </w:rPr>
      </w:pPr>
      <w:r>
        <w:rPr>
          <w:noProof/>
        </w:rPr>
        <w:drawing>
          <wp:inline distT="0" distB="0" distL="0" distR="0" wp14:anchorId="7DF1E7D0" wp14:editId="6E73C098">
            <wp:extent cx="1983372" cy="1581150"/>
            <wp:effectExtent l="0" t="0" r="0" b="0"/>
            <wp:docPr id="1816683090" name="Picture 1" descr="Australian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83090" name="Picture 1" descr="Australian Government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078" cy="1588091"/>
                    </a:xfrm>
                    <a:prstGeom prst="rect">
                      <a:avLst/>
                    </a:prstGeom>
                    <a:noFill/>
                    <a:ln>
                      <a:noFill/>
                    </a:ln>
                  </pic:spPr>
                </pic:pic>
              </a:graphicData>
            </a:graphic>
          </wp:inline>
        </w:drawing>
      </w:r>
    </w:p>
    <w:p w14:paraId="5F38A8AA" w14:textId="1A924BB6" w:rsidR="000A4333" w:rsidRPr="00946490" w:rsidRDefault="00946490" w:rsidP="00946490">
      <w:pPr>
        <w:pStyle w:val="Title"/>
        <w:jc w:val="center"/>
        <w:rPr>
          <w:b/>
          <w:bCs/>
          <w:sz w:val="72"/>
          <w:szCs w:val="72"/>
        </w:rPr>
      </w:pPr>
      <w:r w:rsidRPr="00946490">
        <w:rPr>
          <w:b/>
          <w:bCs/>
          <w:sz w:val="72"/>
          <w:szCs w:val="72"/>
        </w:rPr>
        <w:t>Why children and their early years matter</w:t>
      </w:r>
    </w:p>
    <w:p w14:paraId="1EE4E981" w14:textId="77777777" w:rsidR="00946490" w:rsidRDefault="00946490" w:rsidP="00946490">
      <w:pPr>
        <w:jc w:val="center"/>
      </w:pPr>
    </w:p>
    <w:p w14:paraId="54A8FADB" w14:textId="77777777" w:rsidR="00946490" w:rsidRDefault="00946490" w:rsidP="00946490">
      <w:pPr>
        <w:jc w:val="center"/>
      </w:pPr>
    </w:p>
    <w:p w14:paraId="0302B055" w14:textId="77777777" w:rsidR="00946490" w:rsidRDefault="00946490" w:rsidP="00946490">
      <w:pPr>
        <w:jc w:val="center"/>
      </w:pPr>
    </w:p>
    <w:p w14:paraId="75E7123A" w14:textId="71AC88A2" w:rsidR="00946490" w:rsidRPr="00946490" w:rsidRDefault="00946490" w:rsidP="00946490">
      <w:pPr>
        <w:jc w:val="center"/>
        <w:rPr>
          <w:sz w:val="44"/>
          <w:szCs w:val="44"/>
        </w:rPr>
      </w:pPr>
      <w:r w:rsidRPr="00946490">
        <w:rPr>
          <w:sz w:val="44"/>
          <w:szCs w:val="44"/>
        </w:rPr>
        <w:t>An evidence summary in support of the Early Years Strategy 2024 - 2034</w:t>
      </w:r>
    </w:p>
    <w:p w14:paraId="1BAB5C93" w14:textId="77777777" w:rsidR="000A4333" w:rsidRDefault="003A6359">
      <w:pPr>
        <w:spacing w:line="259" w:lineRule="auto"/>
      </w:pPr>
      <w:bookmarkStart w:id="2" w:name="_Toc144714723"/>
      <w:bookmarkStart w:id="3" w:name="_Toc144773360"/>
      <w:r>
        <w:br w:type="page"/>
      </w:r>
    </w:p>
    <w:p w14:paraId="180B4394" w14:textId="77777777" w:rsidR="00E17EAF" w:rsidRPr="00483565" w:rsidRDefault="003A6359" w:rsidP="00B95B2A">
      <w:pPr>
        <w:pStyle w:val="Heading3"/>
        <w:rPr>
          <w:rFonts w:eastAsia="Calibri"/>
          <w:color w:val="002A3F"/>
          <w:lang w:val="en-US"/>
        </w:rPr>
      </w:pPr>
      <w:r w:rsidRPr="00483565">
        <w:rPr>
          <w:rFonts w:eastAsia="Calibri"/>
          <w:color w:val="002A3F"/>
          <w:lang w:val="en-US"/>
        </w:rPr>
        <w:lastRenderedPageBreak/>
        <w:t>Contents</w:t>
      </w:r>
    </w:p>
    <w:p w14:paraId="05937D2E" w14:textId="59229F85" w:rsidR="00483565" w:rsidRDefault="003A6359">
      <w:pPr>
        <w:pStyle w:val="TOC1"/>
        <w:rPr>
          <w:b w:val="0"/>
          <w:noProof/>
          <w:kern w:val="2"/>
          <w:sz w:val="22"/>
          <w:szCs w:val="22"/>
          <w:lang w:eastAsia="en-AU"/>
          <w14:ligatures w14:val="standardContextual"/>
        </w:rPr>
      </w:pPr>
      <w:r>
        <w:fldChar w:fldCharType="begin"/>
      </w:r>
      <w:r>
        <w:instrText xml:space="preserve"> TOC \o "1-2" \h \z \u </w:instrText>
      </w:r>
      <w:r>
        <w:fldChar w:fldCharType="separate"/>
      </w:r>
      <w:hyperlink w:anchor="_Toc165022413" w:history="1">
        <w:r w:rsidR="00483565" w:rsidRPr="00CE0003">
          <w:rPr>
            <w:rStyle w:val="Hyperlink"/>
            <w:noProof/>
          </w:rPr>
          <w:t>A critical window</w:t>
        </w:r>
        <w:r w:rsidR="00483565">
          <w:rPr>
            <w:noProof/>
            <w:webHidden/>
          </w:rPr>
          <w:tab/>
        </w:r>
        <w:r w:rsidR="00483565">
          <w:rPr>
            <w:noProof/>
            <w:webHidden/>
          </w:rPr>
          <w:fldChar w:fldCharType="begin"/>
        </w:r>
        <w:r w:rsidR="00483565">
          <w:rPr>
            <w:noProof/>
            <w:webHidden/>
          </w:rPr>
          <w:instrText xml:space="preserve"> PAGEREF _Toc165022413 \h </w:instrText>
        </w:r>
        <w:r w:rsidR="00483565">
          <w:rPr>
            <w:noProof/>
            <w:webHidden/>
          </w:rPr>
        </w:r>
        <w:r w:rsidR="00483565">
          <w:rPr>
            <w:noProof/>
            <w:webHidden/>
          </w:rPr>
          <w:fldChar w:fldCharType="separate"/>
        </w:r>
        <w:r w:rsidR="00483565">
          <w:rPr>
            <w:noProof/>
            <w:webHidden/>
          </w:rPr>
          <w:t>3</w:t>
        </w:r>
        <w:r w:rsidR="00483565">
          <w:rPr>
            <w:noProof/>
            <w:webHidden/>
          </w:rPr>
          <w:fldChar w:fldCharType="end"/>
        </w:r>
      </w:hyperlink>
    </w:p>
    <w:p w14:paraId="0635F2CE" w14:textId="7C15FA28" w:rsidR="00483565" w:rsidRDefault="00756241">
      <w:pPr>
        <w:pStyle w:val="TOC2"/>
        <w:tabs>
          <w:tab w:val="right" w:leader="dot" w:pos="9016"/>
        </w:tabs>
        <w:rPr>
          <w:noProof/>
          <w:kern w:val="2"/>
          <w:sz w:val="22"/>
          <w:szCs w:val="22"/>
          <w:lang w:eastAsia="en-AU"/>
          <w14:ligatures w14:val="standardContextual"/>
        </w:rPr>
      </w:pPr>
      <w:hyperlink w:anchor="_Toc165022414" w:history="1">
        <w:r w:rsidR="00483565" w:rsidRPr="00CE0003">
          <w:rPr>
            <w:rStyle w:val="Hyperlink"/>
            <w:noProof/>
          </w:rPr>
          <w:t>Brain development</w:t>
        </w:r>
        <w:r w:rsidR="00483565">
          <w:rPr>
            <w:noProof/>
            <w:webHidden/>
          </w:rPr>
          <w:tab/>
        </w:r>
        <w:r w:rsidR="00483565">
          <w:rPr>
            <w:noProof/>
            <w:webHidden/>
          </w:rPr>
          <w:fldChar w:fldCharType="begin"/>
        </w:r>
        <w:r w:rsidR="00483565">
          <w:rPr>
            <w:noProof/>
            <w:webHidden/>
          </w:rPr>
          <w:instrText xml:space="preserve"> PAGEREF _Toc165022414 \h </w:instrText>
        </w:r>
        <w:r w:rsidR="00483565">
          <w:rPr>
            <w:noProof/>
            <w:webHidden/>
          </w:rPr>
        </w:r>
        <w:r w:rsidR="00483565">
          <w:rPr>
            <w:noProof/>
            <w:webHidden/>
          </w:rPr>
          <w:fldChar w:fldCharType="separate"/>
        </w:r>
        <w:r w:rsidR="00483565">
          <w:rPr>
            <w:noProof/>
            <w:webHidden/>
          </w:rPr>
          <w:t>4</w:t>
        </w:r>
        <w:r w:rsidR="00483565">
          <w:rPr>
            <w:noProof/>
            <w:webHidden/>
          </w:rPr>
          <w:fldChar w:fldCharType="end"/>
        </w:r>
      </w:hyperlink>
    </w:p>
    <w:p w14:paraId="5EB078F0" w14:textId="231E31F8" w:rsidR="00483565" w:rsidRDefault="00756241">
      <w:pPr>
        <w:pStyle w:val="TOC2"/>
        <w:tabs>
          <w:tab w:val="right" w:leader="dot" w:pos="9016"/>
        </w:tabs>
        <w:rPr>
          <w:noProof/>
          <w:kern w:val="2"/>
          <w:sz w:val="22"/>
          <w:szCs w:val="22"/>
          <w:lang w:eastAsia="en-AU"/>
          <w14:ligatures w14:val="standardContextual"/>
        </w:rPr>
      </w:pPr>
      <w:hyperlink w:anchor="_Toc165022415" w:history="1">
        <w:r w:rsidR="00483565" w:rsidRPr="00CE0003">
          <w:rPr>
            <w:rStyle w:val="Hyperlink"/>
            <w:noProof/>
          </w:rPr>
          <w:t>The joy of children</w:t>
        </w:r>
        <w:r w:rsidR="00483565">
          <w:rPr>
            <w:noProof/>
            <w:webHidden/>
          </w:rPr>
          <w:tab/>
        </w:r>
        <w:r w:rsidR="00483565">
          <w:rPr>
            <w:noProof/>
            <w:webHidden/>
          </w:rPr>
          <w:fldChar w:fldCharType="begin"/>
        </w:r>
        <w:r w:rsidR="00483565">
          <w:rPr>
            <w:noProof/>
            <w:webHidden/>
          </w:rPr>
          <w:instrText xml:space="preserve"> PAGEREF _Toc165022415 \h </w:instrText>
        </w:r>
        <w:r w:rsidR="00483565">
          <w:rPr>
            <w:noProof/>
            <w:webHidden/>
          </w:rPr>
        </w:r>
        <w:r w:rsidR="00483565">
          <w:rPr>
            <w:noProof/>
            <w:webHidden/>
          </w:rPr>
          <w:fldChar w:fldCharType="separate"/>
        </w:r>
        <w:r w:rsidR="00483565">
          <w:rPr>
            <w:noProof/>
            <w:webHidden/>
          </w:rPr>
          <w:t>4</w:t>
        </w:r>
        <w:r w:rsidR="00483565">
          <w:rPr>
            <w:noProof/>
            <w:webHidden/>
          </w:rPr>
          <w:fldChar w:fldCharType="end"/>
        </w:r>
      </w:hyperlink>
    </w:p>
    <w:p w14:paraId="331C808E" w14:textId="17A2093E" w:rsidR="00483565" w:rsidRDefault="00756241">
      <w:pPr>
        <w:pStyle w:val="TOC1"/>
        <w:rPr>
          <w:b w:val="0"/>
          <w:noProof/>
          <w:kern w:val="2"/>
          <w:sz w:val="22"/>
          <w:szCs w:val="22"/>
          <w:lang w:eastAsia="en-AU"/>
          <w14:ligatures w14:val="standardContextual"/>
        </w:rPr>
      </w:pPr>
      <w:hyperlink w:anchor="_Toc165022416" w:history="1">
        <w:r w:rsidR="00483565" w:rsidRPr="00CE0003">
          <w:rPr>
            <w:rStyle w:val="Hyperlink"/>
            <w:noProof/>
          </w:rPr>
          <w:t>What we know about young children</w:t>
        </w:r>
        <w:r w:rsidR="00483565">
          <w:rPr>
            <w:noProof/>
            <w:webHidden/>
          </w:rPr>
          <w:tab/>
        </w:r>
        <w:r w:rsidR="00483565">
          <w:rPr>
            <w:noProof/>
            <w:webHidden/>
          </w:rPr>
          <w:fldChar w:fldCharType="begin"/>
        </w:r>
        <w:r w:rsidR="00483565">
          <w:rPr>
            <w:noProof/>
            <w:webHidden/>
          </w:rPr>
          <w:instrText xml:space="preserve"> PAGEREF _Toc165022416 \h </w:instrText>
        </w:r>
        <w:r w:rsidR="00483565">
          <w:rPr>
            <w:noProof/>
            <w:webHidden/>
          </w:rPr>
        </w:r>
        <w:r w:rsidR="00483565">
          <w:rPr>
            <w:noProof/>
            <w:webHidden/>
          </w:rPr>
          <w:fldChar w:fldCharType="separate"/>
        </w:r>
        <w:r w:rsidR="00483565">
          <w:rPr>
            <w:noProof/>
            <w:webHidden/>
          </w:rPr>
          <w:t>6</w:t>
        </w:r>
        <w:r w:rsidR="00483565">
          <w:rPr>
            <w:noProof/>
            <w:webHidden/>
          </w:rPr>
          <w:fldChar w:fldCharType="end"/>
        </w:r>
      </w:hyperlink>
    </w:p>
    <w:p w14:paraId="677C9A9B" w14:textId="3B0B8F6C" w:rsidR="00483565" w:rsidRDefault="00756241">
      <w:pPr>
        <w:pStyle w:val="TOC2"/>
        <w:tabs>
          <w:tab w:val="right" w:leader="dot" w:pos="9016"/>
        </w:tabs>
        <w:rPr>
          <w:noProof/>
          <w:kern w:val="2"/>
          <w:sz w:val="22"/>
          <w:szCs w:val="22"/>
          <w:lang w:eastAsia="en-AU"/>
          <w14:ligatures w14:val="standardContextual"/>
        </w:rPr>
      </w:pPr>
      <w:hyperlink w:anchor="_Toc165022417" w:history="1">
        <w:r w:rsidR="00483565" w:rsidRPr="00CE0003">
          <w:rPr>
            <w:rStyle w:val="Hyperlink"/>
            <w:noProof/>
          </w:rPr>
          <w:t>How Australia’s children are faring</w:t>
        </w:r>
        <w:r w:rsidR="00483565">
          <w:rPr>
            <w:noProof/>
            <w:webHidden/>
          </w:rPr>
          <w:tab/>
        </w:r>
        <w:r w:rsidR="00483565">
          <w:rPr>
            <w:noProof/>
            <w:webHidden/>
          </w:rPr>
          <w:fldChar w:fldCharType="begin"/>
        </w:r>
        <w:r w:rsidR="00483565">
          <w:rPr>
            <w:noProof/>
            <w:webHidden/>
          </w:rPr>
          <w:instrText xml:space="preserve"> PAGEREF _Toc165022417 \h </w:instrText>
        </w:r>
        <w:r w:rsidR="00483565">
          <w:rPr>
            <w:noProof/>
            <w:webHidden/>
          </w:rPr>
        </w:r>
        <w:r w:rsidR="00483565">
          <w:rPr>
            <w:noProof/>
            <w:webHidden/>
          </w:rPr>
          <w:fldChar w:fldCharType="separate"/>
        </w:r>
        <w:r w:rsidR="00483565">
          <w:rPr>
            <w:noProof/>
            <w:webHidden/>
          </w:rPr>
          <w:t>6</w:t>
        </w:r>
        <w:r w:rsidR="00483565">
          <w:rPr>
            <w:noProof/>
            <w:webHidden/>
          </w:rPr>
          <w:fldChar w:fldCharType="end"/>
        </w:r>
      </w:hyperlink>
    </w:p>
    <w:p w14:paraId="3244100A" w14:textId="0DF4677D" w:rsidR="00483565" w:rsidRDefault="00756241">
      <w:pPr>
        <w:pStyle w:val="TOC2"/>
        <w:tabs>
          <w:tab w:val="right" w:leader="dot" w:pos="9016"/>
        </w:tabs>
        <w:rPr>
          <w:noProof/>
          <w:kern w:val="2"/>
          <w:sz w:val="22"/>
          <w:szCs w:val="22"/>
          <w:lang w:eastAsia="en-AU"/>
          <w14:ligatures w14:val="standardContextual"/>
        </w:rPr>
      </w:pPr>
      <w:hyperlink w:anchor="_Toc165022418" w:history="1">
        <w:r w:rsidR="00483565" w:rsidRPr="00CE0003">
          <w:rPr>
            <w:rStyle w:val="Hyperlink"/>
            <w:noProof/>
          </w:rPr>
          <w:t>Children aged 0 to 5</w:t>
        </w:r>
        <w:r w:rsidR="00483565">
          <w:rPr>
            <w:noProof/>
            <w:webHidden/>
          </w:rPr>
          <w:tab/>
        </w:r>
        <w:r w:rsidR="00483565">
          <w:rPr>
            <w:noProof/>
            <w:webHidden/>
          </w:rPr>
          <w:fldChar w:fldCharType="begin"/>
        </w:r>
        <w:r w:rsidR="00483565">
          <w:rPr>
            <w:noProof/>
            <w:webHidden/>
          </w:rPr>
          <w:instrText xml:space="preserve"> PAGEREF _Toc165022418 \h </w:instrText>
        </w:r>
        <w:r w:rsidR="00483565">
          <w:rPr>
            <w:noProof/>
            <w:webHidden/>
          </w:rPr>
        </w:r>
        <w:r w:rsidR="00483565">
          <w:rPr>
            <w:noProof/>
            <w:webHidden/>
          </w:rPr>
          <w:fldChar w:fldCharType="separate"/>
        </w:r>
        <w:r w:rsidR="00483565">
          <w:rPr>
            <w:noProof/>
            <w:webHidden/>
          </w:rPr>
          <w:t>7</w:t>
        </w:r>
        <w:r w:rsidR="00483565">
          <w:rPr>
            <w:noProof/>
            <w:webHidden/>
          </w:rPr>
          <w:fldChar w:fldCharType="end"/>
        </w:r>
      </w:hyperlink>
    </w:p>
    <w:p w14:paraId="78282067" w14:textId="530EDD92" w:rsidR="00483565" w:rsidRDefault="00756241">
      <w:pPr>
        <w:pStyle w:val="TOC2"/>
        <w:tabs>
          <w:tab w:val="right" w:leader="dot" w:pos="9016"/>
        </w:tabs>
        <w:rPr>
          <w:noProof/>
          <w:kern w:val="2"/>
          <w:sz w:val="22"/>
          <w:szCs w:val="22"/>
          <w:lang w:eastAsia="en-AU"/>
          <w14:ligatures w14:val="standardContextual"/>
        </w:rPr>
      </w:pPr>
      <w:hyperlink w:anchor="_Toc165022419" w:history="1">
        <w:r w:rsidR="00483565" w:rsidRPr="00CE0003">
          <w:rPr>
            <w:rStyle w:val="Hyperlink"/>
            <w:noProof/>
          </w:rPr>
          <w:t>Where children live</w:t>
        </w:r>
        <w:r w:rsidR="00483565">
          <w:rPr>
            <w:noProof/>
            <w:webHidden/>
          </w:rPr>
          <w:tab/>
        </w:r>
        <w:r w:rsidR="00483565">
          <w:rPr>
            <w:noProof/>
            <w:webHidden/>
          </w:rPr>
          <w:fldChar w:fldCharType="begin"/>
        </w:r>
        <w:r w:rsidR="00483565">
          <w:rPr>
            <w:noProof/>
            <w:webHidden/>
          </w:rPr>
          <w:instrText xml:space="preserve"> PAGEREF _Toc165022419 \h </w:instrText>
        </w:r>
        <w:r w:rsidR="00483565">
          <w:rPr>
            <w:noProof/>
            <w:webHidden/>
          </w:rPr>
        </w:r>
        <w:r w:rsidR="00483565">
          <w:rPr>
            <w:noProof/>
            <w:webHidden/>
          </w:rPr>
          <w:fldChar w:fldCharType="separate"/>
        </w:r>
        <w:r w:rsidR="00483565">
          <w:rPr>
            <w:noProof/>
            <w:webHidden/>
          </w:rPr>
          <w:t>7</w:t>
        </w:r>
        <w:r w:rsidR="00483565">
          <w:rPr>
            <w:noProof/>
            <w:webHidden/>
          </w:rPr>
          <w:fldChar w:fldCharType="end"/>
        </w:r>
      </w:hyperlink>
    </w:p>
    <w:p w14:paraId="36700847" w14:textId="5C375059" w:rsidR="00483565" w:rsidRDefault="00756241">
      <w:pPr>
        <w:pStyle w:val="TOC2"/>
        <w:tabs>
          <w:tab w:val="right" w:leader="dot" w:pos="9016"/>
        </w:tabs>
        <w:rPr>
          <w:noProof/>
          <w:kern w:val="2"/>
          <w:sz w:val="22"/>
          <w:szCs w:val="22"/>
          <w:lang w:eastAsia="en-AU"/>
          <w14:ligatures w14:val="standardContextual"/>
        </w:rPr>
      </w:pPr>
      <w:hyperlink w:anchor="_Toc165022420" w:history="1">
        <w:r w:rsidR="00483565" w:rsidRPr="00CE0003">
          <w:rPr>
            <w:rStyle w:val="Hyperlink"/>
            <w:noProof/>
          </w:rPr>
          <w:t>Children’s backgrounds</w:t>
        </w:r>
        <w:r w:rsidR="00483565">
          <w:rPr>
            <w:noProof/>
            <w:webHidden/>
          </w:rPr>
          <w:tab/>
        </w:r>
        <w:r w:rsidR="00483565">
          <w:rPr>
            <w:noProof/>
            <w:webHidden/>
          </w:rPr>
          <w:fldChar w:fldCharType="begin"/>
        </w:r>
        <w:r w:rsidR="00483565">
          <w:rPr>
            <w:noProof/>
            <w:webHidden/>
          </w:rPr>
          <w:instrText xml:space="preserve"> PAGEREF _Toc165022420 \h </w:instrText>
        </w:r>
        <w:r w:rsidR="00483565">
          <w:rPr>
            <w:noProof/>
            <w:webHidden/>
          </w:rPr>
        </w:r>
        <w:r w:rsidR="00483565">
          <w:rPr>
            <w:noProof/>
            <w:webHidden/>
          </w:rPr>
          <w:fldChar w:fldCharType="separate"/>
        </w:r>
        <w:r w:rsidR="00483565">
          <w:rPr>
            <w:noProof/>
            <w:webHidden/>
          </w:rPr>
          <w:t>8</w:t>
        </w:r>
        <w:r w:rsidR="00483565">
          <w:rPr>
            <w:noProof/>
            <w:webHidden/>
          </w:rPr>
          <w:fldChar w:fldCharType="end"/>
        </w:r>
      </w:hyperlink>
    </w:p>
    <w:p w14:paraId="02FA6530" w14:textId="492303DF" w:rsidR="00483565" w:rsidRDefault="00756241">
      <w:pPr>
        <w:pStyle w:val="TOC2"/>
        <w:tabs>
          <w:tab w:val="right" w:leader="dot" w:pos="9016"/>
        </w:tabs>
        <w:rPr>
          <w:noProof/>
          <w:kern w:val="2"/>
          <w:sz w:val="22"/>
          <w:szCs w:val="22"/>
          <w:lang w:eastAsia="en-AU"/>
          <w14:ligatures w14:val="standardContextual"/>
        </w:rPr>
      </w:pPr>
      <w:hyperlink w:anchor="_Toc165022421" w:history="1">
        <w:r w:rsidR="00483565" w:rsidRPr="00CE0003">
          <w:rPr>
            <w:rStyle w:val="Hyperlink"/>
            <w:noProof/>
          </w:rPr>
          <w:t>Child safety</w:t>
        </w:r>
        <w:r w:rsidR="00483565">
          <w:rPr>
            <w:noProof/>
            <w:webHidden/>
          </w:rPr>
          <w:tab/>
        </w:r>
        <w:r w:rsidR="00483565">
          <w:rPr>
            <w:noProof/>
            <w:webHidden/>
          </w:rPr>
          <w:fldChar w:fldCharType="begin"/>
        </w:r>
        <w:r w:rsidR="00483565">
          <w:rPr>
            <w:noProof/>
            <w:webHidden/>
          </w:rPr>
          <w:instrText xml:space="preserve"> PAGEREF _Toc165022421 \h </w:instrText>
        </w:r>
        <w:r w:rsidR="00483565">
          <w:rPr>
            <w:noProof/>
            <w:webHidden/>
          </w:rPr>
        </w:r>
        <w:r w:rsidR="00483565">
          <w:rPr>
            <w:noProof/>
            <w:webHidden/>
          </w:rPr>
          <w:fldChar w:fldCharType="separate"/>
        </w:r>
        <w:r w:rsidR="00483565">
          <w:rPr>
            <w:noProof/>
            <w:webHidden/>
          </w:rPr>
          <w:t>8</w:t>
        </w:r>
        <w:r w:rsidR="00483565">
          <w:rPr>
            <w:noProof/>
            <w:webHidden/>
          </w:rPr>
          <w:fldChar w:fldCharType="end"/>
        </w:r>
      </w:hyperlink>
    </w:p>
    <w:p w14:paraId="5B088A4C" w14:textId="6CB84242" w:rsidR="00483565" w:rsidRDefault="00756241">
      <w:pPr>
        <w:pStyle w:val="TOC1"/>
        <w:rPr>
          <w:b w:val="0"/>
          <w:noProof/>
          <w:kern w:val="2"/>
          <w:sz w:val="22"/>
          <w:szCs w:val="22"/>
          <w:lang w:eastAsia="en-AU"/>
          <w14:ligatures w14:val="standardContextual"/>
        </w:rPr>
      </w:pPr>
      <w:hyperlink w:anchor="_Toc165022422" w:history="1">
        <w:r w:rsidR="00483565" w:rsidRPr="00CE0003">
          <w:rPr>
            <w:rStyle w:val="Hyperlink"/>
            <w:noProof/>
          </w:rPr>
          <w:t>What we know about families</w:t>
        </w:r>
        <w:r w:rsidR="00483565">
          <w:rPr>
            <w:noProof/>
            <w:webHidden/>
          </w:rPr>
          <w:tab/>
        </w:r>
        <w:r w:rsidR="00483565">
          <w:rPr>
            <w:noProof/>
            <w:webHidden/>
          </w:rPr>
          <w:fldChar w:fldCharType="begin"/>
        </w:r>
        <w:r w:rsidR="00483565">
          <w:rPr>
            <w:noProof/>
            <w:webHidden/>
          </w:rPr>
          <w:instrText xml:space="preserve"> PAGEREF _Toc165022422 \h </w:instrText>
        </w:r>
        <w:r w:rsidR="00483565">
          <w:rPr>
            <w:noProof/>
            <w:webHidden/>
          </w:rPr>
        </w:r>
        <w:r w:rsidR="00483565">
          <w:rPr>
            <w:noProof/>
            <w:webHidden/>
          </w:rPr>
          <w:fldChar w:fldCharType="separate"/>
        </w:r>
        <w:r w:rsidR="00483565">
          <w:rPr>
            <w:noProof/>
            <w:webHidden/>
          </w:rPr>
          <w:t>10</w:t>
        </w:r>
        <w:r w:rsidR="00483565">
          <w:rPr>
            <w:noProof/>
            <w:webHidden/>
          </w:rPr>
          <w:fldChar w:fldCharType="end"/>
        </w:r>
      </w:hyperlink>
    </w:p>
    <w:p w14:paraId="71AE77BA" w14:textId="569309D7" w:rsidR="00483565" w:rsidRDefault="00756241">
      <w:pPr>
        <w:pStyle w:val="TOC2"/>
        <w:tabs>
          <w:tab w:val="right" w:leader="dot" w:pos="9016"/>
        </w:tabs>
        <w:rPr>
          <w:noProof/>
          <w:kern w:val="2"/>
          <w:sz w:val="22"/>
          <w:szCs w:val="22"/>
          <w:lang w:eastAsia="en-AU"/>
          <w14:ligatures w14:val="standardContextual"/>
        </w:rPr>
      </w:pPr>
      <w:hyperlink w:anchor="_Toc165022423" w:history="1">
        <w:r w:rsidR="00483565" w:rsidRPr="00CE0003">
          <w:rPr>
            <w:rStyle w:val="Hyperlink"/>
            <w:noProof/>
          </w:rPr>
          <w:t>Housing and labour force status</w:t>
        </w:r>
        <w:r w:rsidR="00483565">
          <w:rPr>
            <w:noProof/>
            <w:webHidden/>
          </w:rPr>
          <w:tab/>
        </w:r>
        <w:r w:rsidR="00483565">
          <w:rPr>
            <w:noProof/>
            <w:webHidden/>
          </w:rPr>
          <w:fldChar w:fldCharType="begin"/>
        </w:r>
        <w:r w:rsidR="00483565">
          <w:rPr>
            <w:noProof/>
            <w:webHidden/>
          </w:rPr>
          <w:instrText xml:space="preserve"> PAGEREF _Toc165022423 \h </w:instrText>
        </w:r>
        <w:r w:rsidR="00483565">
          <w:rPr>
            <w:noProof/>
            <w:webHidden/>
          </w:rPr>
        </w:r>
        <w:r w:rsidR="00483565">
          <w:rPr>
            <w:noProof/>
            <w:webHidden/>
          </w:rPr>
          <w:fldChar w:fldCharType="separate"/>
        </w:r>
        <w:r w:rsidR="00483565">
          <w:rPr>
            <w:noProof/>
            <w:webHidden/>
          </w:rPr>
          <w:t>11</w:t>
        </w:r>
        <w:r w:rsidR="00483565">
          <w:rPr>
            <w:noProof/>
            <w:webHidden/>
          </w:rPr>
          <w:fldChar w:fldCharType="end"/>
        </w:r>
      </w:hyperlink>
    </w:p>
    <w:p w14:paraId="4D33FD8D" w14:textId="2C3A88D3" w:rsidR="00483565" w:rsidRDefault="00756241">
      <w:pPr>
        <w:pStyle w:val="TOC1"/>
        <w:rPr>
          <w:b w:val="0"/>
          <w:noProof/>
          <w:kern w:val="2"/>
          <w:sz w:val="22"/>
          <w:szCs w:val="22"/>
          <w:lang w:eastAsia="en-AU"/>
          <w14:ligatures w14:val="standardContextual"/>
        </w:rPr>
      </w:pPr>
      <w:hyperlink w:anchor="_Toc165022424" w:history="1">
        <w:r w:rsidR="00483565" w:rsidRPr="00CE0003">
          <w:rPr>
            <w:rStyle w:val="Hyperlink"/>
            <w:noProof/>
          </w:rPr>
          <w:t>What we know about the antenatal period</w:t>
        </w:r>
        <w:r w:rsidR="00483565">
          <w:rPr>
            <w:noProof/>
            <w:webHidden/>
          </w:rPr>
          <w:tab/>
        </w:r>
        <w:r w:rsidR="00483565">
          <w:rPr>
            <w:noProof/>
            <w:webHidden/>
          </w:rPr>
          <w:fldChar w:fldCharType="begin"/>
        </w:r>
        <w:r w:rsidR="00483565">
          <w:rPr>
            <w:noProof/>
            <w:webHidden/>
          </w:rPr>
          <w:instrText xml:space="preserve"> PAGEREF _Toc165022424 \h </w:instrText>
        </w:r>
        <w:r w:rsidR="00483565">
          <w:rPr>
            <w:noProof/>
            <w:webHidden/>
          </w:rPr>
        </w:r>
        <w:r w:rsidR="00483565">
          <w:rPr>
            <w:noProof/>
            <w:webHidden/>
          </w:rPr>
          <w:fldChar w:fldCharType="separate"/>
        </w:r>
        <w:r w:rsidR="00483565">
          <w:rPr>
            <w:noProof/>
            <w:webHidden/>
          </w:rPr>
          <w:t>12</w:t>
        </w:r>
        <w:r w:rsidR="00483565">
          <w:rPr>
            <w:noProof/>
            <w:webHidden/>
          </w:rPr>
          <w:fldChar w:fldCharType="end"/>
        </w:r>
      </w:hyperlink>
    </w:p>
    <w:p w14:paraId="5E92E21D" w14:textId="612B366F" w:rsidR="00483565" w:rsidRDefault="00756241">
      <w:pPr>
        <w:pStyle w:val="TOC2"/>
        <w:tabs>
          <w:tab w:val="right" w:leader="dot" w:pos="9016"/>
        </w:tabs>
        <w:rPr>
          <w:noProof/>
          <w:kern w:val="2"/>
          <w:sz w:val="22"/>
          <w:szCs w:val="22"/>
          <w:lang w:eastAsia="en-AU"/>
          <w14:ligatures w14:val="standardContextual"/>
        </w:rPr>
      </w:pPr>
      <w:hyperlink w:anchor="_Toc165022425" w:history="1">
        <w:r w:rsidR="00483565" w:rsidRPr="00CE0003">
          <w:rPr>
            <w:rStyle w:val="Hyperlink"/>
            <w:noProof/>
          </w:rPr>
          <w:t>Smoking during pregnancy</w:t>
        </w:r>
        <w:r w:rsidR="00483565">
          <w:rPr>
            <w:noProof/>
            <w:webHidden/>
          </w:rPr>
          <w:tab/>
        </w:r>
        <w:r w:rsidR="00483565">
          <w:rPr>
            <w:noProof/>
            <w:webHidden/>
          </w:rPr>
          <w:fldChar w:fldCharType="begin"/>
        </w:r>
        <w:r w:rsidR="00483565">
          <w:rPr>
            <w:noProof/>
            <w:webHidden/>
          </w:rPr>
          <w:instrText xml:space="preserve"> PAGEREF _Toc165022425 \h </w:instrText>
        </w:r>
        <w:r w:rsidR="00483565">
          <w:rPr>
            <w:noProof/>
            <w:webHidden/>
          </w:rPr>
        </w:r>
        <w:r w:rsidR="00483565">
          <w:rPr>
            <w:noProof/>
            <w:webHidden/>
          </w:rPr>
          <w:fldChar w:fldCharType="separate"/>
        </w:r>
        <w:r w:rsidR="00483565">
          <w:rPr>
            <w:noProof/>
            <w:webHidden/>
          </w:rPr>
          <w:t>12</w:t>
        </w:r>
        <w:r w:rsidR="00483565">
          <w:rPr>
            <w:noProof/>
            <w:webHidden/>
          </w:rPr>
          <w:fldChar w:fldCharType="end"/>
        </w:r>
      </w:hyperlink>
    </w:p>
    <w:p w14:paraId="43F94ED9" w14:textId="6BBC0BCC" w:rsidR="00483565" w:rsidRDefault="00756241">
      <w:pPr>
        <w:pStyle w:val="TOC2"/>
        <w:tabs>
          <w:tab w:val="right" w:leader="dot" w:pos="9016"/>
        </w:tabs>
        <w:rPr>
          <w:noProof/>
          <w:kern w:val="2"/>
          <w:sz w:val="22"/>
          <w:szCs w:val="22"/>
          <w:lang w:eastAsia="en-AU"/>
          <w14:ligatures w14:val="standardContextual"/>
        </w:rPr>
      </w:pPr>
      <w:hyperlink w:anchor="_Toc165022426" w:history="1">
        <w:r w:rsidR="00483565" w:rsidRPr="00CE0003">
          <w:rPr>
            <w:rStyle w:val="Hyperlink"/>
            <w:noProof/>
          </w:rPr>
          <w:t>Drinking alcohol during pregnancy</w:t>
        </w:r>
        <w:r w:rsidR="00483565">
          <w:rPr>
            <w:noProof/>
            <w:webHidden/>
          </w:rPr>
          <w:tab/>
        </w:r>
        <w:r w:rsidR="00483565">
          <w:rPr>
            <w:noProof/>
            <w:webHidden/>
          </w:rPr>
          <w:fldChar w:fldCharType="begin"/>
        </w:r>
        <w:r w:rsidR="00483565">
          <w:rPr>
            <w:noProof/>
            <w:webHidden/>
          </w:rPr>
          <w:instrText xml:space="preserve"> PAGEREF _Toc165022426 \h </w:instrText>
        </w:r>
        <w:r w:rsidR="00483565">
          <w:rPr>
            <w:noProof/>
            <w:webHidden/>
          </w:rPr>
        </w:r>
        <w:r w:rsidR="00483565">
          <w:rPr>
            <w:noProof/>
            <w:webHidden/>
          </w:rPr>
          <w:fldChar w:fldCharType="separate"/>
        </w:r>
        <w:r w:rsidR="00483565">
          <w:rPr>
            <w:noProof/>
            <w:webHidden/>
          </w:rPr>
          <w:t>12</w:t>
        </w:r>
        <w:r w:rsidR="00483565">
          <w:rPr>
            <w:noProof/>
            <w:webHidden/>
          </w:rPr>
          <w:fldChar w:fldCharType="end"/>
        </w:r>
      </w:hyperlink>
    </w:p>
    <w:p w14:paraId="4E52AC47" w14:textId="3F7DF954" w:rsidR="00483565" w:rsidRDefault="00756241">
      <w:pPr>
        <w:pStyle w:val="TOC2"/>
        <w:tabs>
          <w:tab w:val="right" w:leader="dot" w:pos="9016"/>
        </w:tabs>
        <w:rPr>
          <w:noProof/>
          <w:kern w:val="2"/>
          <w:sz w:val="22"/>
          <w:szCs w:val="22"/>
          <w:lang w:eastAsia="en-AU"/>
          <w14:ligatures w14:val="standardContextual"/>
        </w:rPr>
      </w:pPr>
      <w:hyperlink w:anchor="_Toc165022427" w:history="1">
        <w:r w:rsidR="00483565" w:rsidRPr="00CE0003">
          <w:rPr>
            <w:rStyle w:val="Hyperlink"/>
            <w:noProof/>
          </w:rPr>
          <w:t>Antenatal care</w:t>
        </w:r>
        <w:r w:rsidR="00483565">
          <w:rPr>
            <w:noProof/>
            <w:webHidden/>
          </w:rPr>
          <w:tab/>
        </w:r>
        <w:r w:rsidR="00483565">
          <w:rPr>
            <w:noProof/>
            <w:webHidden/>
          </w:rPr>
          <w:fldChar w:fldCharType="begin"/>
        </w:r>
        <w:r w:rsidR="00483565">
          <w:rPr>
            <w:noProof/>
            <w:webHidden/>
          </w:rPr>
          <w:instrText xml:space="preserve"> PAGEREF _Toc165022427 \h </w:instrText>
        </w:r>
        <w:r w:rsidR="00483565">
          <w:rPr>
            <w:noProof/>
            <w:webHidden/>
          </w:rPr>
        </w:r>
        <w:r w:rsidR="00483565">
          <w:rPr>
            <w:noProof/>
            <w:webHidden/>
          </w:rPr>
          <w:fldChar w:fldCharType="separate"/>
        </w:r>
        <w:r w:rsidR="00483565">
          <w:rPr>
            <w:noProof/>
            <w:webHidden/>
          </w:rPr>
          <w:t>12</w:t>
        </w:r>
        <w:r w:rsidR="00483565">
          <w:rPr>
            <w:noProof/>
            <w:webHidden/>
          </w:rPr>
          <w:fldChar w:fldCharType="end"/>
        </w:r>
      </w:hyperlink>
    </w:p>
    <w:p w14:paraId="54A80AA4" w14:textId="27650A7C" w:rsidR="00483565" w:rsidRDefault="00756241">
      <w:pPr>
        <w:pStyle w:val="TOC1"/>
        <w:rPr>
          <w:b w:val="0"/>
          <w:noProof/>
          <w:kern w:val="2"/>
          <w:sz w:val="22"/>
          <w:szCs w:val="22"/>
          <w:lang w:eastAsia="en-AU"/>
          <w14:ligatures w14:val="standardContextual"/>
        </w:rPr>
      </w:pPr>
      <w:hyperlink w:anchor="_Toc165022428" w:history="1">
        <w:r w:rsidR="00483565" w:rsidRPr="00CE0003">
          <w:rPr>
            <w:rStyle w:val="Hyperlink"/>
            <w:noProof/>
          </w:rPr>
          <w:t>What we know about births and infants</w:t>
        </w:r>
        <w:r w:rsidR="00483565">
          <w:rPr>
            <w:noProof/>
            <w:webHidden/>
          </w:rPr>
          <w:tab/>
        </w:r>
        <w:r w:rsidR="00483565">
          <w:rPr>
            <w:noProof/>
            <w:webHidden/>
          </w:rPr>
          <w:fldChar w:fldCharType="begin"/>
        </w:r>
        <w:r w:rsidR="00483565">
          <w:rPr>
            <w:noProof/>
            <w:webHidden/>
          </w:rPr>
          <w:instrText xml:space="preserve"> PAGEREF _Toc165022428 \h </w:instrText>
        </w:r>
        <w:r w:rsidR="00483565">
          <w:rPr>
            <w:noProof/>
            <w:webHidden/>
          </w:rPr>
        </w:r>
        <w:r w:rsidR="00483565">
          <w:rPr>
            <w:noProof/>
            <w:webHidden/>
          </w:rPr>
          <w:fldChar w:fldCharType="separate"/>
        </w:r>
        <w:r w:rsidR="00483565">
          <w:rPr>
            <w:noProof/>
            <w:webHidden/>
          </w:rPr>
          <w:t>13</w:t>
        </w:r>
        <w:r w:rsidR="00483565">
          <w:rPr>
            <w:noProof/>
            <w:webHidden/>
          </w:rPr>
          <w:fldChar w:fldCharType="end"/>
        </w:r>
      </w:hyperlink>
    </w:p>
    <w:p w14:paraId="4DAD102A" w14:textId="79D6A3D4" w:rsidR="00483565" w:rsidRDefault="00756241">
      <w:pPr>
        <w:pStyle w:val="TOC2"/>
        <w:tabs>
          <w:tab w:val="right" w:leader="dot" w:pos="9016"/>
        </w:tabs>
        <w:rPr>
          <w:noProof/>
          <w:kern w:val="2"/>
          <w:sz w:val="22"/>
          <w:szCs w:val="22"/>
          <w:lang w:eastAsia="en-AU"/>
          <w14:ligatures w14:val="standardContextual"/>
        </w:rPr>
      </w:pPr>
      <w:hyperlink w:anchor="_Toc165022429" w:history="1">
        <w:r w:rsidR="00483565" w:rsidRPr="00CE0003">
          <w:rPr>
            <w:rStyle w:val="Hyperlink"/>
            <w:noProof/>
          </w:rPr>
          <w:t>Births</w:t>
        </w:r>
        <w:r w:rsidR="00483565">
          <w:rPr>
            <w:noProof/>
            <w:webHidden/>
          </w:rPr>
          <w:tab/>
        </w:r>
        <w:r w:rsidR="00483565">
          <w:rPr>
            <w:noProof/>
            <w:webHidden/>
          </w:rPr>
          <w:fldChar w:fldCharType="begin"/>
        </w:r>
        <w:r w:rsidR="00483565">
          <w:rPr>
            <w:noProof/>
            <w:webHidden/>
          </w:rPr>
          <w:instrText xml:space="preserve"> PAGEREF _Toc165022429 \h </w:instrText>
        </w:r>
        <w:r w:rsidR="00483565">
          <w:rPr>
            <w:noProof/>
            <w:webHidden/>
          </w:rPr>
        </w:r>
        <w:r w:rsidR="00483565">
          <w:rPr>
            <w:noProof/>
            <w:webHidden/>
          </w:rPr>
          <w:fldChar w:fldCharType="separate"/>
        </w:r>
        <w:r w:rsidR="00483565">
          <w:rPr>
            <w:noProof/>
            <w:webHidden/>
          </w:rPr>
          <w:t>13</w:t>
        </w:r>
        <w:r w:rsidR="00483565">
          <w:rPr>
            <w:noProof/>
            <w:webHidden/>
          </w:rPr>
          <w:fldChar w:fldCharType="end"/>
        </w:r>
      </w:hyperlink>
    </w:p>
    <w:p w14:paraId="03520C41" w14:textId="54807454" w:rsidR="00483565" w:rsidRDefault="00756241">
      <w:pPr>
        <w:pStyle w:val="TOC2"/>
        <w:tabs>
          <w:tab w:val="right" w:leader="dot" w:pos="9016"/>
        </w:tabs>
        <w:rPr>
          <w:noProof/>
          <w:kern w:val="2"/>
          <w:sz w:val="22"/>
          <w:szCs w:val="22"/>
          <w:lang w:eastAsia="en-AU"/>
          <w14:ligatures w14:val="standardContextual"/>
        </w:rPr>
      </w:pPr>
      <w:hyperlink w:anchor="_Toc165022430" w:history="1">
        <w:r w:rsidR="00483565" w:rsidRPr="00CE0003">
          <w:rPr>
            <w:rStyle w:val="Hyperlink"/>
            <w:noProof/>
          </w:rPr>
          <w:t>Breastfeeding</w:t>
        </w:r>
        <w:r w:rsidR="00483565">
          <w:rPr>
            <w:noProof/>
            <w:webHidden/>
          </w:rPr>
          <w:tab/>
        </w:r>
        <w:r w:rsidR="00483565">
          <w:rPr>
            <w:noProof/>
            <w:webHidden/>
          </w:rPr>
          <w:fldChar w:fldCharType="begin"/>
        </w:r>
        <w:r w:rsidR="00483565">
          <w:rPr>
            <w:noProof/>
            <w:webHidden/>
          </w:rPr>
          <w:instrText xml:space="preserve"> PAGEREF _Toc165022430 \h </w:instrText>
        </w:r>
        <w:r w:rsidR="00483565">
          <w:rPr>
            <w:noProof/>
            <w:webHidden/>
          </w:rPr>
        </w:r>
        <w:r w:rsidR="00483565">
          <w:rPr>
            <w:noProof/>
            <w:webHidden/>
          </w:rPr>
          <w:fldChar w:fldCharType="separate"/>
        </w:r>
        <w:r w:rsidR="00483565">
          <w:rPr>
            <w:noProof/>
            <w:webHidden/>
          </w:rPr>
          <w:t>13</w:t>
        </w:r>
        <w:r w:rsidR="00483565">
          <w:rPr>
            <w:noProof/>
            <w:webHidden/>
          </w:rPr>
          <w:fldChar w:fldCharType="end"/>
        </w:r>
      </w:hyperlink>
    </w:p>
    <w:p w14:paraId="7DACC9CA" w14:textId="1471F86E" w:rsidR="00483565" w:rsidRDefault="00756241">
      <w:pPr>
        <w:pStyle w:val="TOC2"/>
        <w:tabs>
          <w:tab w:val="right" w:leader="dot" w:pos="9016"/>
        </w:tabs>
        <w:rPr>
          <w:noProof/>
          <w:kern w:val="2"/>
          <w:sz w:val="22"/>
          <w:szCs w:val="22"/>
          <w:lang w:eastAsia="en-AU"/>
          <w14:ligatures w14:val="standardContextual"/>
        </w:rPr>
      </w:pPr>
      <w:hyperlink w:anchor="_Toc165022431" w:history="1">
        <w:r w:rsidR="00483565" w:rsidRPr="00CE0003">
          <w:rPr>
            <w:rStyle w:val="Hyperlink"/>
            <w:noProof/>
          </w:rPr>
          <w:t>Infant mortality rate</w:t>
        </w:r>
        <w:r w:rsidR="00483565">
          <w:rPr>
            <w:noProof/>
            <w:webHidden/>
          </w:rPr>
          <w:tab/>
        </w:r>
        <w:r w:rsidR="00483565">
          <w:rPr>
            <w:noProof/>
            <w:webHidden/>
          </w:rPr>
          <w:fldChar w:fldCharType="begin"/>
        </w:r>
        <w:r w:rsidR="00483565">
          <w:rPr>
            <w:noProof/>
            <w:webHidden/>
          </w:rPr>
          <w:instrText xml:space="preserve"> PAGEREF _Toc165022431 \h </w:instrText>
        </w:r>
        <w:r w:rsidR="00483565">
          <w:rPr>
            <w:noProof/>
            <w:webHidden/>
          </w:rPr>
        </w:r>
        <w:r w:rsidR="00483565">
          <w:rPr>
            <w:noProof/>
            <w:webHidden/>
          </w:rPr>
          <w:fldChar w:fldCharType="separate"/>
        </w:r>
        <w:r w:rsidR="00483565">
          <w:rPr>
            <w:noProof/>
            <w:webHidden/>
          </w:rPr>
          <w:t>14</w:t>
        </w:r>
        <w:r w:rsidR="00483565">
          <w:rPr>
            <w:noProof/>
            <w:webHidden/>
          </w:rPr>
          <w:fldChar w:fldCharType="end"/>
        </w:r>
      </w:hyperlink>
    </w:p>
    <w:p w14:paraId="68C642B8" w14:textId="7E9BD646" w:rsidR="00483565" w:rsidRDefault="00756241">
      <w:pPr>
        <w:pStyle w:val="TOC1"/>
        <w:rPr>
          <w:b w:val="0"/>
          <w:noProof/>
          <w:kern w:val="2"/>
          <w:sz w:val="22"/>
          <w:szCs w:val="22"/>
          <w:lang w:eastAsia="en-AU"/>
          <w14:ligatures w14:val="standardContextual"/>
        </w:rPr>
      </w:pPr>
      <w:hyperlink w:anchor="_Toc165022432" w:history="1">
        <w:r w:rsidR="00483565" w:rsidRPr="00CE0003">
          <w:rPr>
            <w:rStyle w:val="Hyperlink"/>
            <w:noProof/>
          </w:rPr>
          <w:t>What we know about early childhood health and wellbeing</w:t>
        </w:r>
        <w:r w:rsidR="00483565">
          <w:rPr>
            <w:noProof/>
            <w:webHidden/>
          </w:rPr>
          <w:tab/>
        </w:r>
        <w:r w:rsidR="00483565">
          <w:rPr>
            <w:noProof/>
            <w:webHidden/>
          </w:rPr>
          <w:fldChar w:fldCharType="begin"/>
        </w:r>
        <w:r w:rsidR="00483565">
          <w:rPr>
            <w:noProof/>
            <w:webHidden/>
          </w:rPr>
          <w:instrText xml:space="preserve"> PAGEREF _Toc165022432 \h </w:instrText>
        </w:r>
        <w:r w:rsidR="00483565">
          <w:rPr>
            <w:noProof/>
            <w:webHidden/>
          </w:rPr>
        </w:r>
        <w:r w:rsidR="00483565">
          <w:rPr>
            <w:noProof/>
            <w:webHidden/>
          </w:rPr>
          <w:fldChar w:fldCharType="separate"/>
        </w:r>
        <w:r w:rsidR="00483565">
          <w:rPr>
            <w:noProof/>
            <w:webHidden/>
          </w:rPr>
          <w:t>15</w:t>
        </w:r>
        <w:r w:rsidR="00483565">
          <w:rPr>
            <w:noProof/>
            <w:webHidden/>
          </w:rPr>
          <w:fldChar w:fldCharType="end"/>
        </w:r>
      </w:hyperlink>
    </w:p>
    <w:p w14:paraId="18FA72D3" w14:textId="405C4EF9" w:rsidR="00483565" w:rsidRDefault="00756241">
      <w:pPr>
        <w:pStyle w:val="TOC2"/>
        <w:tabs>
          <w:tab w:val="right" w:leader="dot" w:pos="9016"/>
        </w:tabs>
        <w:rPr>
          <w:noProof/>
          <w:kern w:val="2"/>
          <w:sz w:val="22"/>
          <w:szCs w:val="22"/>
          <w:lang w:eastAsia="en-AU"/>
          <w14:ligatures w14:val="standardContextual"/>
        </w:rPr>
      </w:pPr>
      <w:hyperlink w:anchor="_Toc165022433" w:history="1">
        <w:r w:rsidR="00483565" w:rsidRPr="00CE0003">
          <w:rPr>
            <w:rStyle w:val="Hyperlink"/>
            <w:noProof/>
          </w:rPr>
          <w:t>Preterm births</w:t>
        </w:r>
        <w:r w:rsidR="00483565">
          <w:rPr>
            <w:noProof/>
            <w:webHidden/>
          </w:rPr>
          <w:tab/>
        </w:r>
        <w:r w:rsidR="00483565">
          <w:rPr>
            <w:noProof/>
            <w:webHidden/>
          </w:rPr>
          <w:fldChar w:fldCharType="begin"/>
        </w:r>
        <w:r w:rsidR="00483565">
          <w:rPr>
            <w:noProof/>
            <w:webHidden/>
          </w:rPr>
          <w:instrText xml:space="preserve"> PAGEREF _Toc165022433 \h </w:instrText>
        </w:r>
        <w:r w:rsidR="00483565">
          <w:rPr>
            <w:noProof/>
            <w:webHidden/>
          </w:rPr>
        </w:r>
        <w:r w:rsidR="00483565">
          <w:rPr>
            <w:noProof/>
            <w:webHidden/>
          </w:rPr>
          <w:fldChar w:fldCharType="separate"/>
        </w:r>
        <w:r w:rsidR="00483565">
          <w:rPr>
            <w:noProof/>
            <w:webHidden/>
          </w:rPr>
          <w:t>15</w:t>
        </w:r>
        <w:r w:rsidR="00483565">
          <w:rPr>
            <w:noProof/>
            <w:webHidden/>
          </w:rPr>
          <w:fldChar w:fldCharType="end"/>
        </w:r>
      </w:hyperlink>
    </w:p>
    <w:p w14:paraId="5B13C44B" w14:textId="6E8C0E65" w:rsidR="00483565" w:rsidRDefault="00756241">
      <w:pPr>
        <w:pStyle w:val="TOC2"/>
        <w:tabs>
          <w:tab w:val="right" w:leader="dot" w:pos="9016"/>
        </w:tabs>
        <w:rPr>
          <w:noProof/>
          <w:kern w:val="2"/>
          <w:sz w:val="22"/>
          <w:szCs w:val="22"/>
          <w:lang w:eastAsia="en-AU"/>
          <w14:ligatures w14:val="standardContextual"/>
        </w:rPr>
      </w:pPr>
      <w:hyperlink w:anchor="_Toc165022434" w:history="1">
        <w:r w:rsidR="00483565" w:rsidRPr="00CE0003">
          <w:rPr>
            <w:rStyle w:val="Hyperlink"/>
            <w:noProof/>
          </w:rPr>
          <w:t>Immunisation</w:t>
        </w:r>
        <w:r w:rsidR="00483565">
          <w:rPr>
            <w:noProof/>
            <w:webHidden/>
          </w:rPr>
          <w:tab/>
        </w:r>
        <w:r w:rsidR="00483565">
          <w:rPr>
            <w:noProof/>
            <w:webHidden/>
          </w:rPr>
          <w:fldChar w:fldCharType="begin"/>
        </w:r>
        <w:r w:rsidR="00483565">
          <w:rPr>
            <w:noProof/>
            <w:webHidden/>
          </w:rPr>
          <w:instrText xml:space="preserve"> PAGEREF _Toc165022434 \h </w:instrText>
        </w:r>
        <w:r w:rsidR="00483565">
          <w:rPr>
            <w:noProof/>
            <w:webHidden/>
          </w:rPr>
        </w:r>
        <w:r w:rsidR="00483565">
          <w:rPr>
            <w:noProof/>
            <w:webHidden/>
          </w:rPr>
          <w:fldChar w:fldCharType="separate"/>
        </w:r>
        <w:r w:rsidR="00483565">
          <w:rPr>
            <w:noProof/>
            <w:webHidden/>
          </w:rPr>
          <w:t>15</w:t>
        </w:r>
        <w:r w:rsidR="00483565">
          <w:rPr>
            <w:noProof/>
            <w:webHidden/>
          </w:rPr>
          <w:fldChar w:fldCharType="end"/>
        </w:r>
      </w:hyperlink>
    </w:p>
    <w:p w14:paraId="205E6191" w14:textId="2E3DAD93" w:rsidR="00483565" w:rsidRDefault="00756241">
      <w:pPr>
        <w:pStyle w:val="TOC2"/>
        <w:tabs>
          <w:tab w:val="right" w:leader="dot" w:pos="9016"/>
        </w:tabs>
        <w:rPr>
          <w:noProof/>
          <w:kern w:val="2"/>
          <w:sz w:val="22"/>
          <w:szCs w:val="22"/>
          <w:lang w:eastAsia="en-AU"/>
          <w14:ligatures w14:val="standardContextual"/>
        </w:rPr>
      </w:pPr>
      <w:hyperlink w:anchor="_Toc165022435" w:history="1">
        <w:r w:rsidR="00483565" w:rsidRPr="00CE0003">
          <w:rPr>
            <w:rStyle w:val="Hyperlink"/>
            <w:noProof/>
          </w:rPr>
          <w:t>Children with disability</w:t>
        </w:r>
        <w:r w:rsidR="00483565">
          <w:rPr>
            <w:noProof/>
            <w:webHidden/>
          </w:rPr>
          <w:tab/>
        </w:r>
        <w:r w:rsidR="00483565">
          <w:rPr>
            <w:noProof/>
            <w:webHidden/>
          </w:rPr>
          <w:fldChar w:fldCharType="begin"/>
        </w:r>
        <w:r w:rsidR="00483565">
          <w:rPr>
            <w:noProof/>
            <w:webHidden/>
          </w:rPr>
          <w:instrText xml:space="preserve"> PAGEREF _Toc165022435 \h </w:instrText>
        </w:r>
        <w:r w:rsidR="00483565">
          <w:rPr>
            <w:noProof/>
            <w:webHidden/>
          </w:rPr>
        </w:r>
        <w:r w:rsidR="00483565">
          <w:rPr>
            <w:noProof/>
            <w:webHidden/>
          </w:rPr>
          <w:fldChar w:fldCharType="separate"/>
        </w:r>
        <w:r w:rsidR="00483565">
          <w:rPr>
            <w:noProof/>
            <w:webHidden/>
          </w:rPr>
          <w:t>15</w:t>
        </w:r>
        <w:r w:rsidR="00483565">
          <w:rPr>
            <w:noProof/>
            <w:webHidden/>
          </w:rPr>
          <w:fldChar w:fldCharType="end"/>
        </w:r>
      </w:hyperlink>
    </w:p>
    <w:p w14:paraId="5FD1B5DD" w14:textId="33944566" w:rsidR="00483565" w:rsidRDefault="00756241">
      <w:pPr>
        <w:pStyle w:val="TOC2"/>
        <w:tabs>
          <w:tab w:val="right" w:leader="dot" w:pos="9016"/>
        </w:tabs>
        <w:rPr>
          <w:noProof/>
          <w:kern w:val="2"/>
          <w:sz w:val="22"/>
          <w:szCs w:val="22"/>
          <w:lang w:eastAsia="en-AU"/>
          <w14:ligatures w14:val="standardContextual"/>
        </w:rPr>
      </w:pPr>
      <w:hyperlink w:anchor="_Toc165022436" w:history="1">
        <w:r w:rsidR="00483565" w:rsidRPr="00CE0003">
          <w:rPr>
            <w:rStyle w:val="Hyperlink"/>
            <w:noProof/>
          </w:rPr>
          <w:t>Child mortality rate</w:t>
        </w:r>
        <w:r w:rsidR="00483565">
          <w:rPr>
            <w:noProof/>
            <w:webHidden/>
          </w:rPr>
          <w:tab/>
        </w:r>
        <w:r w:rsidR="00483565">
          <w:rPr>
            <w:noProof/>
            <w:webHidden/>
          </w:rPr>
          <w:fldChar w:fldCharType="begin"/>
        </w:r>
        <w:r w:rsidR="00483565">
          <w:rPr>
            <w:noProof/>
            <w:webHidden/>
          </w:rPr>
          <w:instrText xml:space="preserve"> PAGEREF _Toc165022436 \h </w:instrText>
        </w:r>
        <w:r w:rsidR="00483565">
          <w:rPr>
            <w:noProof/>
            <w:webHidden/>
          </w:rPr>
        </w:r>
        <w:r w:rsidR="00483565">
          <w:rPr>
            <w:noProof/>
            <w:webHidden/>
          </w:rPr>
          <w:fldChar w:fldCharType="separate"/>
        </w:r>
        <w:r w:rsidR="00483565">
          <w:rPr>
            <w:noProof/>
            <w:webHidden/>
          </w:rPr>
          <w:t>16</w:t>
        </w:r>
        <w:r w:rsidR="00483565">
          <w:rPr>
            <w:noProof/>
            <w:webHidden/>
          </w:rPr>
          <w:fldChar w:fldCharType="end"/>
        </w:r>
      </w:hyperlink>
    </w:p>
    <w:p w14:paraId="0B3AD65A" w14:textId="30F7D6D9" w:rsidR="00483565" w:rsidRDefault="00756241">
      <w:pPr>
        <w:pStyle w:val="TOC2"/>
        <w:tabs>
          <w:tab w:val="right" w:leader="dot" w:pos="9016"/>
        </w:tabs>
        <w:rPr>
          <w:noProof/>
          <w:kern w:val="2"/>
          <w:sz w:val="22"/>
          <w:szCs w:val="22"/>
          <w:lang w:eastAsia="en-AU"/>
          <w14:ligatures w14:val="standardContextual"/>
        </w:rPr>
      </w:pPr>
      <w:hyperlink w:anchor="_Toc165022437" w:history="1">
        <w:r w:rsidR="00483565" w:rsidRPr="00CE0003">
          <w:rPr>
            <w:rStyle w:val="Hyperlink"/>
            <w:noProof/>
          </w:rPr>
          <w:t>Child mental health</w:t>
        </w:r>
        <w:r w:rsidR="00483565">
          <w:rPr>
            <w:noProof/>
            <w:webHidden/>
          </w:rPr>
          <w:tab/>
        </w:r>
        <w:r w:rsidR="00483565">
          <w:rPr>
            <w:noProof/>
            <w:webHidden/>
          </w:rPr>
          <w:fldChar w:fldCharType="begin"/>
        </w:r>
        <w:r w:rsidR="00483565">
          <w:rPr>
            <w:noProof/>
            <w:webHidden/>
          </w:rPr>
          <w:instrText xml:space="preserve"> PAGEREF _Toc165022437 \h </w:instrText>
        </w:r>
        <w:r w:rsidR="00483565">
          <w:rPr>
            <w:noProof/>
            <w:webHidden/>
          </w:rPr>
        </w:r>
        <w:r w:rsidR="00483565">
          <w:rPr>
            <w:noProof/>
            <w:webHidden/>
          </w:rPr>
          <w:fldChar w:fldCharType="separate"/>
        </w:r>
        <w:r w:rsidR="00483565">
          <w:rPr>
            <w:noProof/>
            <w:webHidden/>
          </w:rPr>
          <w:t>16</w:t>
        </w:r>
        <w:r w:rsidR="00483565">
          <w:rPr>
            <w:noProof/>
            <w:webHidden/>
          </w:rPr>
          <w:fldChar w:fldCharType="end"/>
        </w:r>
      </w:hyperlink>
    </w:p>
    <w:p w14:paraId="6B3DDFDC" w14:textId="3D3451BC" w:rsidR="00483565" w:rsidRDefault="00756241">
      <w:pPr>
        <w:pStyle w:val="TOC2"/>
        <w:tabs>
          <w:tab w:val="right" w:leader="dot" w:pos="9016"/>
        </w:tabs>
        <w:rPr>
          <w:noProof/>
          <w:kern w:val="2"/>
          <w:sz w:val="22"/>
          <w:szCs w:val="22"/>
          <w:lang w:eastAsia="en-AU"/>
          <w14:ligatures w14:val="standardContextual"/>
        </w:rPr>
      </w:pPr>
      <w:hyperlink w:anchor="_Toc165022438" w:history="1">
        <w:r w:rsidR="00483565" w:rsidRPr="00CE0003">
          <w:rPr>
            <w:rStyle w:val="Hyperlink"/>
            <w:noProof/>
          </w:rPr>
          <w:t>Fruit and vegetable consumption</w:t>
        </w:r>
        <w:r w:rsidR="00483565">
          <w:rPr>
            <w:noProof/>
            <w:webHidden/>
          </w:rPr>
          <w:tab/>
        </w:r>
        <w:r w:rsidR="00483565">
          <w:rPr>
            <w:noProof/>
            <w:webHidden/>
          </w:rPr>
          <w:fldChar w:fldCharType="begin"/>
        </w:r>
        <w:r w:rsidR="00483565">
          <w:rPr>
            <w:noProof/>
            <w:webHidden/>
          </w:rPr>
          <w:instrText xml:space="preserve"> PAGEREF _Toc165022438 \h </w:instrText>
        </w:r>
        <w:r w:rsidR="00483565">
          <w:rPr>
            <w:noProof/>
            <w:webHidden/>
          </w:rPr>
        </w:r>
        <w:r w:rsidR="00483565">
          <w:rPr>
            <w:noProof/>
            <w:webHidden/>
          </w:rPr>
          <w:fldChar w:fldCharType="separate"/>
        </w:r>
        <w:r w:rsidR="00483565">
          <w:rPr>
            <w:noProof/>
            <w:webHidden/>
          </w:rPr>
          <w:t>16</w:t>
        </w:r>
        <w:r w:rsidR="00483565">
          <w:rPr>
            <w:noProof/>
            <w:webHidden/>
          </w:rPr>
          <w:fldChar w:fldCharType="end"/>
        </w:r>
      </w:hyperlink>
    </w:p>
    <w:p w14:paraId="3FC1D85C" w14:textId="58DC0A5E" w:rsidR="00483565" w:rsidRDefault="00756241">
      <w:pPr>
        <w:pStyle w:val="TOC2"/>
        <w:tabs>
          <w:tab w:val="right" w:leader="dot" w:pos="9016"/>
        </w:tabs>
        <w:rPr>
          <w:noProof/>
          <w:kern w:val="2"/>
          <w:sz w:val="22"/>
          <w:szCs w:val="22"/>
          <w:lang w:eastAsia="en-AU"/>
          <w14:ligatures w14:val="standardContextual"/>
        </w:rPr>
      </w:pPr>
      <w:hyperlink w:anchor="_Toc165022439" w:history="1">
        <w:r w:rsidR="00483565" w:rsidRPr="00CE0003">
          <w:rPr>
            <w:rStyle w:val="Hyperlink"/>
            <w:noProof/>
          </w:rPr>
          <w:t>Sugar sweetened drinks</w:t>
        </w:r>
        <w:r w:rsidR="00483565">
          <w:rPr>
            <w:noProof/>
            <w:webHidden/>
          </w:rPr>
          <w:tab/>
        </w:r>
        <w:r w:rsidR="00483565">
          <w:rPr>
            <w:noProof/>
            <w:webHidden/>
          </w:rPr>
          <w:fldChar w:fldCharType="begin"/>
        </w:r>
        <w:r w:rsidR="00483565">
          <w:rPr>
            <w:noProof/>
            <w:webHidden/>
          </w:rPr>
          <w:instrText xml:space="preserve"> PAGEREF _Toc165022439 \h </w:instrText>
        </w:r>
        <w:r w:rsidR="00483565">
          <w:rPr>
            <w:noProof/>
            <w:webHidden/>
          </w:rPr>
        </w:r>
        <w:r w:rsidR="00483565">
          <w:rPr>
            <w:noProof/>
            <w:webHidden/>
          </w:rPr>
          <w:fldChar w:fldCharType="separate"/>
        </w:r>
        <w:r w:rsidR="00483565">
          <w:rPr>
            <w:noProof/>
            <w:webHidden/>
          </w:rPr>
          <w:t>16</w:t>
        </w:r>
        <w:r w:rsidR="00483565">
          <w:rPr>
            <w:noProof/>
            <w:webHidden/>
          </w:rPr>
          <w:fldChar w:fldCharType="end"/>
        </w:r>
      </w:hyperlink>
    </w:p>
    <w:p w14:paraId="0A960862" w14:textId="3495E08E" w:rsidR="00483565" w:rsidRDefault="00756241">
      <w:pPr>
        <w:pStyle w:val="TOC2"/>
        <w:tabs>
          <w:tab w:val="right" w:leader="dot" w:pos="9016"/>
        </w:tabs>
        <w:rPr>
          <w:noProof/>
          <w:kern w:val="2"/>
          <w:sz w:val="22"/>
          <w:szCs w:val="22"/>
          <w:lang w:eastAsia="en-AU"/>
          <w14:ligatures w14:val="standardContextual"/>
        </w:rPr>
      </w:pPr>
      <w:hyperlink w:anchor="_Toc165022440" w:history="1">
        <w:r w:rsidR="00483565" w:rsidRPr="00CE0003">
          <w:rPr>
            <w:rStyle w:val="Hyperlink"/>
            <w:noProof/>
          </w:rPr>
          <w:t>Play, early learning and care</w:t>
        </w:r>
        <w:r w:rsidR="00483565">
          <w:rPr>
            <w:noProof/>
            <w:webHidden/>
          </w:rPr>
          <w:tab/>
        </w:r>
        <w:r w:rsidR="00483565">
          <w:rPr>
            <w:noProof/>
            <w:webHidden/>
          </w:rPr>
          <w:fldChar w:fldCharType="begin"/>
        </w:r>
        <w:r w:rsidR="00483565">
          <w:rPr>
            <w:noProof/>
            <w:webHidden/>
          </w:rPr>
          <w:instrText xml:space="preserve"> PAGEREF _Toc165022440 \h </w:instrText>
        </w:r>
        <w:r w:rsidR="00483565">
          <w:rPr>
            <w:noProof/>
            <w:webHidden/>
          </w:rPr>
        </w:r>
        <w:r w:rsidR="00483565">
          <w:rPr>
            <w:noProof/>
            <w:webHidden/>
          </w:rPr>
          <w:fldChar w:fldCharType="separate"/>
        </w:r>
        <w:r w:rsidR="00483565">
          <w:rPr>
            <w:noProof/>
            <w:webHidden/>
          </w:rPr>
          <w:t>17</w:t>
        </w:r>
        <w:r w:rsidR="00483565">
          <w:rPr>
            <w:noProof/>
            <w:webHidden/>
          </w:rPr>
          <w:fldChar w:fldCharType="end"/>
        </w:r>
      </w:hyperlink>
    </w:p>
    <w:p w14:paraId="38CC4B9A" w14:textId="70DE56A1" w:rsidR="00483565" w:rsidRDefault="00756241">
      <w:pPr>
        <w:pStyle w:val="TOC1"/>
        <w:rPr>
          <w:b w:val="0"/>
          <w:noProof/>
          <w:kern w:val="2"/>
          <w:sz w:val="22"/>
          <w:szCs w:val="22"/>
          <w:lang w:eastAsia="en-AU"/>
          <w14:ligatures w14:val="standardContextual"/>
        </w:rPr>
      </w:pPr>
      <w:hyperlink w:anchor="_Toc165022441" w:history="1">
        <w:r w:rsidR="00483565" w:rsidRPr="00CE0003">
          <w:rPr>
            <w:rStyle w:val="Hyperlink"/>
            <w:noProof/>
          </w:rPr>
          <w:t>The best start for children</w:t>
        </w:r>
        <w:r w:rsidR="00483565">
          <w:rPr>
            <w:noProof/>
            <w:webHidden/>
          </w:rPr>
          <w:tab/>
        </w:r>
        <w:r w:rsidR="00483565">
          <w:rPr>
            <w:noProof/>
            <w:webHidden/>
          </w:rPr>
          <w:fldChar w:fldCharType="begin"/>
        </w:r>
        <w:r w:rsidR="00483565">
          <w:rPr>
            <w:noProof/>
            <w:webHidden/>
          </w:rPr>
          <w:instrText xml:space="preserve"> PAGEREF _Toc165022441 \h </w:instrText>
        </w:r>
        <w:r w:rsidR="00483565">
          <w:rPr>
            <w:noProof/>
            <w:webHidden/>
          </w:rPr>
        </w:r>
        <w:r w:rsidR="00483565">
          <w:rPr>
            <w:noProof/>
            <w:webHidden/>
          </w:rPr>
          <w:fldChar w:fldCharType="separate"/>
        </w:r>
        <w:r w:rsidR="00483565">
          <w:rPr>
            <w:noProof/>
            <w:webHidden/>
          </w:rPr>
          <w:t>20</w:t>
        </w:r>
        <w:r w:rsidR="00483565">
          <w:rPr>
            <w:noProof/>
            <w:webHidden/>
          </w:rPr>
          <w:fldChar w:fldCharType="end"/>
        </w:r>
      </w:hyperlink>
    </w:p>
    <w:p w14:paraId="107D2F09" w14:textId="0EDCF82A" w:rsidR="00483565" w:rsidRDefault="00756241">
      <w:pPr>
        <w:pStyle w:val="TOC2"/>
        <w:tabs>
          <w:tab w:val="right" w:leader="dot" w:pos="9016"/>
        </w:tabs>
        <w:rPr>
          <w:noProof/>
          <w:kern w:val="2"/>
          <w:sz w:val="22"/>
          <w:szCs w:val="22"/>
          <w:lang w:eastAsia="en-AU"/>
          <w14:ligatures w14:val="standardContextual"/>
        </w:rPr>
      </w:pPr>
      <w:hyperlink w:anchor="_Toc165022442" w:history="1">
        <w:r w:rsidR="00483565" w:rsidRPr="00CE0003">
          <w:rPr>
            <w:rStyle w:val="Hyperlink"/>
            <w:noProof/>
          </w:rPr>
          <w:t>Positive protective factors</w:t>
        </w:r>
        <w:r w:rsidR="00483565">
          <w:rPr>
            <w:noProof/>
            <w:webHidden/>
          </w:rPr>
          <w:tab/>
        </w:r>
        <w:r w:rsidR="00483565">
          <w:rPr>
            <w:noProof/>
            <w:webHidden/>
          </w:rPr>
          <w:fldChar w:fldCharType="begin"/>
        </w:r>
        <w:r w:rsidR="00483565">
          <w:rPr>
            <w:noProof/>
            <w:webHidden/>
          </w:rPr>
          <w:instrText xml:space="preserve"> PAGEREF _Toc165022442 \h </w:instrText>
        </w:r>
        <w:r w:rsidR="00483565">
          <w:rPr>
            <w:noProof/>
            <w:webHidden/>
          </w:rPr>
        </w:r>
        <w:r w:rsidR="00483565">
          <w:rPr>
            <w:noProof/>
            <w:webHidden/>
          </w:rPr>
          <w:fldChar w:fldCharType="separate"/>
        </w:r>
        <w:r w:rsidR="00483565">
          <w:rPr>
            <w:noProof/>
            <w:webHidden/>
          </w:rPr>
          <w:t>20</w:t>
        </w:r>
        <w:r w:rsidR="00483565">
          <w:rPr>
            <w:noProof/>
            <w:webHidden/>
          </w:rPr>
          <w:fldChar w:fldCharType="end"/>
        </w:r>
      </w:hyperlink>
    </w:p>
    <w:p w14:paraId="2D8228D0" w14:textId="6C9B3016" w:rsidR="00483565" w:rsidRDefault="00756241">
      <w:pPr>
        <w:pStyle w:val="TOC2"/>
        <w:tabs>
          <w:tab w:val="right" w:leader="dot" w:pos="9016"/>
        </w:tabs>
        <w:rPr>
          <w:noProof/>
          <w:kern w:val="2"/>
          <w:sz w:val="22"/>
          <w:szCs w:val="22"/>
          <w:lang w:eastAsia="en-AU"/>
          <w14:ligatures w14:val="standardContextual"/>
        </w:rPr>
      </w:pPr>
      <w:hyperlink w:anchor="_Toc165022443" w:history="1">
        <w:r w:rsidR="00483565" w:rsidRPr="00CE0003">
          <w:rPr>
            <w:rStyle w:val="Hyperlink"/>
            <w:noProof/>
          </w:rPr>
          <w:t>Nurturing relationships</w:t>
        </w:r>
        <w:r w:rsidR="00483565">
          <w:rPr>
            <w:noProof/>
            <w:webHidden/>
          </w:rPr>
          <w:tab/>
        </w:r>
        <w:r w:rsidR="00483565">
          <w:rPr>
            <w:noProof/>
            <w:webHidden/>
          </w:rPr>
          <w:fldChar w:fldCharType="begin"/>
        </w:r>
        <w:r w:rsidR="00483565">
          <w:rPr>
            <w:noProof/>
            <w:webHidden/>
          </w:rPr>
          <w:instrText xml:space="preserve"> PAGEREF _Toc165022443 \h </w:instrText>
        </w:r>
        <w:r w:rsidR="00483565">
          <w:rPr>
            <w:noProof/>
            <w:webHidden/>
          </w:rPr>
        </w:r>
        <w:r w:rsidR="00483565">
          <w:rPr>
            <w:noProof/>
            <w:webHidden/>
          </w:rPr>
          <w:fldChar w:fldCharType="separate"/>
        </w:r>
        <w:r w:rsidR="00483565">
          <w:rPr>
            <w:noProof/>
            <w:webHidden/>
          </w:rPr>
          <w:t>22</w:t>
        </w:r>
        <w:r w:rsidR="00483565">
          <w:rPr>
            <w:noProof/>
            <w:webHidden/>
          </w:rPr>
          <w:fldChar w:fldCharType="end"/>
        </w:r>
      </w:hyperlink>
    </w:p>
    <w:p w14:paraId="75648468" w14:textId="34F278C9" w:rsidR="00483565" w:rsidRDefault="00756241">
      <w:pPr>
        <w:pStyle w:val="TOC2"/>
        <w:tabs>
          <w:tab w:val="right" w:leader="dot" w:pos="9016"/>
        </w:tabs>
        <w:rPr>
          <w:noProof/>
          <w:kern w:val="2"/>
          <w:sz w:val="22"/>
          <w:szCs w:val="22"/>
          <w:lang w:eastAsia="en-AU"/>
          <w14:ligatures w14:val="standardContextual"/>
        </w:rPr>
      </w:pPr>
      <w:hyperlink w:anchor="_Toc165022444" w:history="1">
        <w:r w:rsidR="00483565" w:rsidRPr="00CE0003">
          <w:rPr>
            <w:rStyle w:val="Hyperlink"/>
            <w:noProof/>
          </w:rPr>
          <w:t>Communities</w:t>
        </w:r>
        <w:r w:rsidR="00483565">
          <w:rPr>
            <w:noProof/>
            <w:webHidden/>
          </w:rPr>
          <w:tab/>
        </w:r>
        <w:r w:rsidR="00483565">
          <w:rPr>
            <w:noProof/>
            <w:webHidden/>
          </w:rPr>
          <w:fldChar w:fldCharType="begin"/>
        </w:r>
        <w:r w:rsidR="00483565">
          <w:rPr>
            <w:noProof/>
            <w:webHidden/>
          </w:rPr>
          <w:instrText xml:space="preserve"> PAGEREF _Toc165022444 \h </w:instrText>
        </w:r>
        <w:r w:rsidR="00483565">
          <w:rPr>
            <w:noProof/>
            <w:webHidden/>
          </w:rPr>
        </w:r>
        <w:r w:rsidR="00483565">
          <w:rPr>
            <w:noProof/>
            <w:webHidden/>
          </w:rPr>
          <w:fldChar w:fldCharType="separate"/>
        </w:r>
        <w:r w:rsidR="00483565">
          <w:rPr>
            <w:noProof/>
            <w:webHidden/>
          </w:rPr>
          <w:t>24</w:t>
        </w:r>
        <w:r w:rsidR="00483565">
          <w:rPr>
            <w:noProof/>
            <w:webHidden/>
          </w:rPr>
          <w:fldChar w:fldCharType="end"/>
        </w:r>
      </w:hyperlink>
    </w:p>
    <w:p w14:paraId="2C38899C" w14:textId="70B7D25C" w:rsidR="00483565" w:rsidRDefault="00756241">
      <w:pPr>
        <w:pStyle w:val="TOC1"/>
        <w:rPr>
          <w:b w:val="0"/>
          <w:noProof/>
          <w:kern w:val="2"/>
          <w:sz w:val="22"/>
          <w:szCs w:val="22"/>
          <w:lang w:eastAsia="en-AU"/>
          <w14:ligatures w14:val="standardContextual"/>
        </w:rPr>
      </w:pPr>
      <w:hyperlink w:anchor="_Toc165022445" w:history="1">
        <w:r w:rsidR="00483565" w:rsidRPr="00CE0003">
          <w:rPr>
            <w:rStyle w:val="Hyperlink"/>
            <w:noProof/>
          </w:rPr>
          <w:t>Investing in young children</w:t>
        </w:r>
        <w:r w:rsidR="00483565">
          <w:rPr>
            <w:noProof/>
            <w:webHidden/>
          </w:rPr>
          <w:tab/>
        </w:r>
        <w:r w:rsidR="00483565">
          <w:rPr>
            <w:noProof/>
            <w:webHidden/>
          </w:rPr>
          <w:fldChar w:fldCharType="begin"/>
        </w:r>
        <w:r w:rsidR="00483565">
          <w:rPr>
            <w:noProof/>
            <w:webHidden/>
          </w:rPr>
          <w:instrText xml:space="preserve"> PAGEREF _Toc165022445 \h </w:instrText>
        </w:r>
        <w:r w:rsidR="00483565">
          <w:rPr>
            <w:noProof/>
            <w:webHidden/>
          </w:rPr>
        </w:r>
        <w:r w:rsidR="00483565">
          <w:rPr>
            <w:noProof/>
            <w:webHidden/>
          </w:rPr>
          <w:fldChar w:fldCharType="separate"/>
        </w:r>
        <w:r w:rsidR="00483565">
          <w:rPr>
            <w:noProof/>
            <w:webHidden/>
          </w:rPr>
          <w:t>26</w:t>
        </w:r>
        <w:r w:rsidR="00483565">
          <w:rPr>
            <w:noProof/>
            <w:webHidden/>
          </w:rPr>
          <w:fldChar w:fldCharType="end"/>
        </w:r>
      </w:hyperlink>
    </w:p>
    <w:p w14:paraId="1003FB05" w14:textId="530D492D" w:rsidR="00483565" w:rsidRDefault="00756241">
      <w:pPr>
        <w:pStyle w:val="TOC2"/>
        <w:tabs>
          <w:tab w:val="right" w:leader="dot" w:pos="9016"/>
        </w:tabs>
        <w:rPr>
          <w:noProof/>
          <w:kern w:val="2"/>
          <w:sz w:val="22"/>
          <w:szCs w:val="22"/>
          <w:lang w:eastAsia="en-AU"/>
          <w14:ligatures w14:val="standardContextual"/>
        </w:rPr>
      </w:pPr>
      <w:hyperlink w:anchor="_Toc165022446" w:history="1">
        <w:r w:rsidR="00483565" w:rsidRPr="00CE0003">
          <w:rPr>
            <w:rStyle w:val="Hyperlink"/>
            <w:noProof/>
          </w:rPr>
          <w:t>Better outcomes</w:t>
        </w:r>
        <w:r w:rsidR="00483565">
          <w:rPr>
            <w:noProof/>
            <w:webHidden/>
          </w:rPr>
          <w:tab/>
        </w:r>
        <w:r w:rsidR="00483565">
          <w:rPr>
            <w:noProof/>
            <w:webHidden/>
          </w:rPr>
          <w:fldChar w:fldCharType="begin"/>
        </w:r>
        <w:r w:rsidR="00483565">
          <w:rPr>
            <w:noProof/>
            <w:webHidden/>
          </w:rPr>
          <w:instrText xml:space="preserve"> PAGEREF _Toc165022446 \h </w:instrText>
        </w:r>
        <w:r w:rsidR="00483565">
          <w:rPr>
            <w:noProof/>
            <w:webHidden/>
          </w:rPr>
        </w:r>
        <w:r w:rsidR="00483565">
          <w:rPr>
            <w:noProof/>
            <w:webHidden/>
          </w:rPr>
          <w:fldChar w:fldCharType="separate"/>
        </w:r>
        <w:r w:rsidR="00483565">
          <w:rPr>
            <w:noProof/>
            <w:webHidden/>
          </w:rPr>
          <w:t>26</w:t>
        </w:r>
        <w:r w:rsidR="00483565">
          <w:rPr>
            <w:noProof/>
            <w:webHidden/>
          </w:rPr>
          <w:fldChar w:fldCharType="end"/>
        </w:r>
      </w:hyperlink>
    </w:p>
    <w:p w14:paraId="03C19E06" w14:textId="3E0A3D9A" w:rsidR="00483565" w:rsidRDefault="00756241">
      <w:pPr>
        <w:pStyle w:val="TOC2"/>
        <w:tabs>
          <w:tab w:val="right" w:leader="dot" w:pos="9016"/>
        </w:tabs>
        <w:rPr>
          <w:noProof/>
          <w:kern w:val="2"/>
          <w:sz w:val="22"/>
          <w:szCs w:val="22"/>
          <w:lang w:eastAsia="en-AU"/>
          <w14:ligatures w14:val="standardContextual"/>
        </w:rPr>
      </w:pPr>
      <w:hyperlink w:anchor="_Toc165022447" w:history="1">
        <w:r w:rsidR="00483565" w:rsidRPr="00CE0003">
          <w:rPr>
            <w:rStyle w:val="Hyperlink"/>
            <w:noProof/>
          </w:rPr>
          <w:t>The impact of not investing in the early years</w:t>
        </w:r>
        <w:r w:rsidR="00483565">
          <w:rPr>
            <w:noProof/>
            <w:webHidden/>
          </w:rPr>
          <w:tab/>
        </w:r>
        <w:r w:rsidR="00483565">
          <w:rPr>
            <w:noProof/>
            <w:webHidden/>
          </w:rPr>
          <w:fldChar w:fldCharType="begin"/>
        </w:r>
        <w:r w:rsidR="00483565">
          <w:rPr>
            <w:noProof/>
            <w:webHidden/>
          </w:rPr>
          <w:instrText xml:space="preserve"> PAGEREF _Toc165022447 \h </w:instrText>
        </w:r>
        <w:r w:rsidR="00483565">
          <w:rPr>
            <w:noProof/>
            <w:webHidden/>
          </w:rPr>
        </w:r>
        <w:r w:rsidR="00483565">
          <w:rPr>
            <w:noProof/>
            <w:webHidden/>
          </w:rPr>
          <w:fldChar w:fldCharType="separate"/>
        </w:r>
        <w:r w:rsidR="00483565">
          <w:rPr>
            <w:noProof/>
            <w:webHidden/>
          </w:rPr>
          <w:t>27</w:t>
        </w:r>
        <w:r w:rsidR="00483565">
          <w:rPr>
            <w:noProof/>
            <w:webHidden/>
          </w:rPr>
          <w:fldChar w:fldCharType="end"/>
        </w:r>
      </w:hyperlink>
    </w:p>
    <w:p w14:paraId="35D8104A" w14:textId="44F2D6CF" w:rsidR="00483565" w:rsidRDefault="00756241">
      <w:pPr>
        <w:pStyle w:val="TOC1"/>
        <w:rPr>
          <w:b w:val="0"/>
          <w:noProof/>
          <w:kern w:val="2"/>
          <w:sz w:val="22"/>
          <w:szCs w:val="22"/>
          <w:lang w:eastAsia="en-AU"/>
          <w14:ligatures w14:val="standardContextual"/>
        </w:rPr>
      </w:pPr>
      <w:hyperlink w:anchor="_Toc165022448" w:history="1">
        <w:r w:rsidR="00483565" w:rsidRPr="00CE0003">
          <w:rPr>
            <w:rStyle w:val="Hyperlink"/>
            <w:noProof/>
          </w:rPr>
          <w:t>Equity</w:t>
        </w:r>
        <w:r w:rsidR="00483565">
          <w:rPr>
            <w:noProof/>
            <w:webHidden/>
          </w:rPr>
          <w:tab/>
        </w:r>
        <w:r w:rsidR="00483565">
          <w:rPr>
            <w:noProof/>
            <w:webHidden/>
          </w:rPr>
          <w:fldChar w:fldCharType="begin"/>
        </w:r>
        <w:r w:rsidR="00483565">
          <w:rPr>
            <w:noProof/>
            <w:webHidden/>
          </w:rPr>
          <w:instrText xml:space="preserve"> PAGEREF _Toc165022448 \h </w:instrText>
        </w:r>
        <w:r w:rsidR="00483565">
          <w:rPr>
            <w:noProof/>
            <w:webHidden/>
          </w:rPr>
        </w:r>
        <w:r w:rsidR="00483565">
          <w:rPr>
            <w:noProof/>
            <w:webHidden/>
          </w:rPr>
          <w:fldChar w:fldCharType="separate"/>
        </w:r>
        <w:r w:rsidR="00483565">
          <w:rPr>
            <w:noProof/>
            <w:webHidden/>
          </w:rPr>
          <w:t>28</w:t>
        </w:r>
        <w:r w:rsidR="00483565">
          <w:rPr>
            <w:noProof/>
            <w:webHidden/>
          </w:rPr>
          <w:fldChar w:fldCharType="end"/>
        </w:r>
      </w:hyperlink>
    </w:p>
    <w:p w14:paraId="3CF5C4FE" w14:textId="1DB89438" w:rsidR="00483565" w:rsidRDefault="00756241">
      <w:pPr>
        <w:pStyle w:val="TOC2"/>
        <w:tabs>
          <w:tab w:val="right" w:leader="dot" w:pos="9016"/>
        </w:tabs>
        <w:rPr>
          <w:noProof/>
          <w:kern w:val="2"/>
          <w:sz w:val="22"/>
          <w:szCs w:val="22"/>
          <w:lang w:eastAsia="en-AU"/>
          <w14:ligatures w14:val="standardContextual"/>
        </w:rPr>
      </w:pPr>
      <w:hyperlink w:anchor="_Toc165022449" w:history="1">
        <w:r w:rsidR="00483565" w:rsidRPr="00CE0003">
          <w:rPr>
            <w:rStyle w:val="Hyperlink"/>
            <w:noProof/>
          </w:rPr>
          <w:t>Reducing disadvantage</w:t>
        </w:r>
        <w:r w:rsidR="00483565">
          <w:rPr>
            <w:noProof/>
            <w:webHidden/>
          </w:rPr>
          <w:tab/>
        </w:r>
        <w:r w:rsidR="00483565">
          <w:rPr>
            <w:noProof/>
            <w:webHidden/>
          </w:rPr>
          <w:fldChar w:fldCharType="begin"/>
        </w:r>
        <w:r w:rsidR="00483565">
          <w:rPr>
            <w:noProof/>
            <w:webHidden/>
          </w:rPr>
          <w:instrText xml:space="preserve"> PAGEREF _Toc165022449 \h </w:instrText>
        </w:r>
        <w:r w:rsidR="00483565">
          <w:rPr>
            <w:noProof/>
            <w:webHidden/>
          </w:rPr>
        </w:r>
        <w:r w:rsidR="00483565">
          <w:rPr>
            <w:noProof/>
            <w:webHidden/>
          </w:rPr>
          <w:fldChar w:fldCharType="separate"/>
        </w:r>
        <w:r w:rsidR="00483565">
          <w:rPr>
            <w:noProof/>
            <w:webHidden/>
          </w:rPr>
          <w:t>28</w:t>
        </w:r>
        <w:r w:rsidR="00483565">
          <w:rPr>
            <w:noProof/>
            <w:webHidden/>
          </w:rPr>
          <w:fldChar w:fldCharType="end"/>
        </w:r>
      </w:hyperlink>
    </w:p>
    <w:p w14:paraId="3B932382" w14:textId="3DAD2438" w:rsidR="00483565" w:rsidRDefault="00756241">
      <w:pPr>
        <w:pStyle w:val="TOC2"/>
        <w:tabs>
          <w:tab w:val="right" w:leader="dot" w:pos="9016"/>
        </w:tabs>
        <w:rPr>
          <w:noProof/>
          <w:kern w:val="2"/>
          <w:sz w:val="22"/>
          <w:szCs w:val="22"/>
          <w:lang w:eastAsia="en-AU"/>
          <w14:ligatures w14:val="standardContextual"/>
        </w:rPr>
      </w:pPr>
      <w:hyperlink w:anchor="_Toc165022450" w:history="1">
        <w:r w:rsidR="00483565" w:rsidRPr="00CE0003">
          <w:rPr>
            <w:rStyle w:val="Hyperlink"/>
            <w:noProof/>
          </w:rPr>
          <w:t>Children’s rights</w:t>
        </w:r>
        <w:r w:rsidR="00483565">
          <w:rPr>
            <w:noProof/>
            <w:webHidden/>
          </w:rPr>
          <w:tab/>
        </w:r>
        <w:r w:rsidR="00483565">
          <w:rPr>
            <w:noProof/>
            <w:webHidden/>
          </w:rPr>
          <w:fldChar w:fldCharType="begin"/>
        </w:r>
        <w:r w:rsidR="00483565">
          <w:rPr>
            <w:noProof/>
            <w:webHidden/>
          </w:rPr>
          <w:instrText xml:space="preserve"> PAGEREF _Toc165022450 \h </w:instrText>
        </w:r>
        <w:r w:rsidR="00483565">
          <w:rPr>
            <w:noProof/>
            <w:webHidden/>
          </w:rPr>
        </w:r>
        <w:r w:rsidR="00483565">
          <w:rPr>
            <w:noProof/>
            <w:webHidden/>
          </w:rPr>
          <w:fldChar w:fldCharType="separate"/>
        </w:r>
        <w:r w:rsidR="00483565">
          <w:rPr>
            <w:noProof/>
            <w:webHidden/>
          </w:rPr>
          <w:t>29</w:t>
        </w:r>
        <w:r w:rsidR="00483565">
          <w:rPr>
            <w:noProof/>
            <w:webHidden/>
          </w:rPr>
          <w:fldChar w:fldCharType="end"/>
        </w:r>
      </w:hyperlink>
    </w:p>
    <w:p w14:paraId="16C606E6" w14:textId="03A5E501" w:rsidR="00483565" w:rsidRDefault="00756241">
      <w:pPr>
        <w:pStyle w:val="TOC2"/>
        <w:tabs>
          <w:tab w:val="right" w:leader="dot" w:pos="9016"/>
        </w:tabs>
        <w:rPr>
          <w:noProof/>
          <w:kern w:val="2"/>
          <w:sz w:val="22"/>
          <w:szCs w:val="22"/>
          <w:lang w:eastAsia="en-AU"/>
          <w14:ligatures w14:val="standardContextual"/>
        </w:rPr>
      </w:pPr>
      <w:hyperlink w:anchor="_Toc165022451" w:history="1">
        <w:r w:rsidR="00483565" w:rsidRPr="00CE0003">
          <w:rPr>
            <w:rStyle w:val="Hyperlink"/>
            <w:noProof/>
          </w:rPr>
          <w:t>Where children are born and raised</w:t>
        </w:r>
        <w:r w:rsidR="00483565">
          <w:rPr>
            <w:noProof/>
            <w:webHidden/>
          </w:rPr>
          <w:tab/>
        </w:r>
        <w:r w:rsidR="00483565">
          <w:rPr>
            <w:noProof/>
            <w:webHidden/>
          </w:rPr>
          <w:fldChar w:fldCharType="begin"/>
        </w:r>
        <w:r w:rsidR="00483565">
          <w:rPr>
            <w:noProof/>
            <w:webHidden/>
          </w:rPr>
          <w:instrText xml:space="preserve"> PAGEREF _Toc165022451 \h </w:instrText>
        </w:r>
        <w:r w:rsidR="00483565">
          <w:rPr>
            <w:noProof/>
            <w:webHidden/>
          </w:rPr>
        </w:r>
        <w:r w:rsidR="00483565">
          <w:rPr>
            <w:noProof/>
            <w:webHidden/>
          </w:rPr>
          <w:fldChar w:fldCharType="separate"/>
        </w:r>
        <w:r w:rsidR="00483565">
          <w:rPr>
            <w:noProof/>
            <w:webHidden/>
          </w:rPr>
          <w:t>30</w:t>
        </w:r>
        <w:r w:rsidR="00483565">
          <w:rPr>
            <w:noProof/>
            <w:webHidden/>
          </w:rPr>
          <w:fldChar w:fldCharType="end"/>
        </w:r>
      </w:hyperlink>
    </w:p>
    <w:p w14:paraId="460362C5" w14:textId="46207CBA" w:rsidR="00483565" w:rsidRDefault="00756241">
      <w:pPr>
        <w:pStyle w:val="TOC1"/>
        <w:rPr>
          <w:b w:val="0"/>
          <w:noProof/>
          <w:kern w:val="2"/>
          <w:sz w:val="22"/>
          <w:szCs w:val="22"/>
          <w:lang w:eastAsia="en-AU"/>
          <w14:ligatures w14:val="standardContextual"/>
        </w:rPr>
      </w:pPr>
      <w:hyperlink w:anchor="_Toc165022452" w:history="1">
        <w:r w:rsidR="00483565" w:rsidRPr="00CE0003">
          <w:rPr>
            <w:rStyle w:val="Hyperlink"/>
            <w:noProof/>
          </w:rPr>
          <w:t>References</w:t>
        </w:r>
        <w:r w:rsidR="00483565">
          <w:rPr>
            <w:noProof/>
            <w:webHidden/>
          </w:rPr>
          <w:tab/>
        </w:r>
        <w:r w:rsidR="00483565">
          <w:rPr>
            <w:noProof/>
            <w:webHidden/>
          </w:rPr>
          <w:fldChar w:fldCharType="begin"/>
        </w:r>
        <w:r w:rsidR="00483565">
          <w:rPr>
            <w:noProof/>
            <w:webHidden/>
          </w:rPr>
          <w:instrText xml:space="preserve"> PAGEREF _Toc165022452 \h </w:instrText>
        </w:r>
        <w:r w:rsidR="00483565">
          <w:rPr>
            <w:noProof/>
            <w:webHidden/>
          </w:rPr>
        </w:r>
        <w:r w:rsidR="00483565">
          <w:rPr>
            <w:noProof/>
            <w:webHidden/>
          </w:rPr>
          <w:fldChar w:fldCharType="separate"/>
        </w:r>
        <w:r w:rsidR="00483565">
          <w:rPr>
            <w:noProof/>
            <w:webHidden/>
          </w:rPr>
          <w:t>32</w:t>
        </w:r>
        <w:r w:rsidR="00483565">
          <w:rPr>
            <w:noProof/>
            <w:webHidden/>
          </w:rPr>
          <w:fldChar w:fldCharType="end"/>
        </w:r>
      </w:hyperlink>
    </w:p>
    <w:p w14:paraId="51ACD3BE" w14:textId="0AF108C5" w:rsidR="00E17EAF" w:rsidRDefault="003A6359">
      <w:pPr>
        <w:spacing w:line="259" w:lineRule="auto"/>
        <w:rPr>
          <w:rFonts w:ascii="Georgia" w:eastAsia="Times New Roman" w:hAnsi="Georgia" w:cs="Arial"/>
          <w:bCs/>
          <w:iCs/>
          <w:color w:val="500778"/>
          <w:sz w:val="24"/>
          <w:szCs w:val="28"/>
          <w:lang w:eastAsia="en-AU"/>
        </w:rPr>
      </w:pPr>
      <w:r>
        <w:fldChar w:fldCharType="end"/>
      </w:r>
      <w:r>
        <w:br w:type="page"/>
      </w:r>
    </w:p>
    <w:p w14:paraId="6E44106A" w14:textId="77777777" w:rsidR="001716F9" w:rsidRPr="005C3AA1" w:rsidRDefault="003A6359" w:rsidP="001716F9">
      <w:pPr>
        <w:pStyle w:val="Heading4"/>
      </w:pPr>
      <w:r w:rsidRPr="005C3AA1">
        <w:lastRenderedPageBreak/>
        <w:t>Acknowledgement</w:t>
      </w:r>
      <w:r w:rsidRPr="004E474C">
        <w:t xml:space="preserve"> </w:t>
      </w:r>
      <w:r w:rsidRPr="005C3AA1">
        <w:t>of Country</w:t>
      </w:r>
    </w:p>
    <w:p w14:paraId="44369E08" w14:textId="283B327B" w:rsidR="001716F9" w:rsidRPr="00F832FF" w:rsidRDefault="003A6359" w:rsidP="00F832FF">
      <w:r w:rsidRPr="004E474C">
        <w:t xml:space="preserve">The Australian Government acknowledges </w:t>
      </w:r>
      <w:r w:rsidR="00B47327" w:rsidRPr="00B47327">
        <w:t xml:space="preserve">Aboriginal and Torres Strait Islander peoples throughout Australia and their continuing connection to land, water, </w:t>
      </w:r>
      <w:proofErr w:type="gramStart"/>
      <w:r w:rsidR="00B47327" w:rsidRPr="00B47327">
        <w:t>culture</w:t>
      </w:r>
      <w:proofErr w:type="gramEnd"/>
      <w:r w:rsidR="00B47327" w:rsidRPr="00B47327">
        <w:t xml:space="preserve"> and community. We pay our respects to the Elders both past and present</w:t>
      </w:r>
      <w:r w:rsidRPr="004E474C">
        <w:t>.</w:t>
      </w:r>
    </w:p>
    <w:p w14:paraId="7E59658E" w14:textId="77777777" w:rsidR="001716F9" w:rsidRDefault="003A6359" w:rsidP="002F5C31">
      <w:pPr>
        <w:pStyle w:val="Heading4"/>
        <w:shd w:val="clear" w:color="auto" w:fill="ECF8FE"/>
        <w:rPr>
          <w:rFonts w:eastAsia="Calibri"/>
          <w:lang w:val="en-US"/>
        </w:rPr>
      </w:pPr>
      <w:r>
        <w:rPr>
          <w:rFonts w:eastAsia="Calibri"/>
          <w:lang w:val="en-US"/>
        </w:rPr>
        <w:t>Reader’s guide</w:t>
      </w:r>
    </w:p>
    <w:p w14:paraId="4699F1D2" w14:textId="77777777" w:rsidR="001B188B" w:rsidRDefault="003A6359" w:rsidP="002F5C31">
      <w:pPr>
        <w:shd w:val="clear" w:color="auto" w:fill="ECF8FE"/>
      </w:pPr>
      <w:r>
        <w:t xml:space="preserve">This is a supporting evidence summary to read with the </w:t>
      </w:r>
      <w:r w:rsidRPr="00483565">
        <w:rPr>
          <w:rStyle w:val="IntenseEmphasis"/>
          <w:color w:val="55266B"/>
        </w:rPr>
        <w:t>Early Years Strategy 2024</w:t>
      </w:r>
      <w:r w:rsidR="00BB0719" w:rsidRPr="00483565">
        <w:rPr>
          <w:rStyle w:val="IntenseEmphasis"/>
          <w:color w:val="55266B"/>
        </w:rPr>
        <w:t>–</w:t>
      </w:r>
      <w:r w:rsidRPr="00483565">
        <w:rPr>
          <w:rStyle w:val="IntenseEmphasis"/>
          <w:color w:val="55266B"/>
        </w:rPr>
        <w:t>2034</w:t>
      </w:r>
      <w:r>
        <w:t>. It</w:t>
      </w:r>
      <w:r w:rsidR="00C53C78">
        <w:t> </w:t>
      </w:r>
      <w:r>
        <w:t>draws on literature to explain the importance of the early years as part of a child’s development</w:t>
      </w:r>
      <w:r w:rsidR="00BB0719">
        <w:t xml:space="preserve"> and wellbeing</w:t>
      </w:r>
      <w:r>
        <w:t>. It also provides a point-in-time assessment of how children are faring in Australia.</w:t>
      </w:r>
    </w:p>
    <w:p w14:paraId="1ADEDB3C" w14:textId="77777777" w:rsidR="001716F9" w:rsidRDefault="003A6359" w:rsidP="002F5C31">
      <w:pPr>
        <w:shd w:val="clear" w:color="auto" w:fill="ECF8FE"/>
      </w:pPr>
      <w:r w:rsidRPr="0067544A">
        <w:rPr>
          <w:b/>
          <w:bCs/>
        </w:rPr>
        <w:t>Disclaimer</w:t>
      </w:r>
      <w:r>
        <w:t xml:space="preserve">: This is not an academic research paper. It is a collection of existing evidence sourced as part of the drafting of the Early Years Strategy. All sources </w:t>
      </w:r>
      <w:r w:rsidR="0000038F">
        <w:t>are</w:t>
      </w:r>
      <w:r>
        <w:t xml:space="preserve"> cited where possible.</w:t>
      </w:r>
    </w:p>
    <w:p w14:paraId="728D4D62" w14:textId="77777777" w:rsidR="001716F9" w:rsidRDefault="003A6359">
      <w:pPr>
        <w:spacing w:line="259" w:lineRule="auto"/>
      </w:pPr>
      <w:r>
        <w:br w:type="page"/>
      </w:r>
    </w:p>
    <w:p w14:paraId="31DE9878" w14:textId="77777777" w:rsidR="001D35EC" w:rsidRPr="00483565" w:rsidRDefault="003A6359" w:rsidP="001D35EC">
      <w:pPr>
        <w:pStyle w:val="Pullouttext"/>
        <w:rPr>
          <w:color w:val="55266B"/>
        </w:rPr>
      </w:pPr>
      <w:r w:rsidRPr="00483565">
        <w:rPr>
          <w:color w:val="55266B"/>
        </w:rPr>
        <w:lastRenderedPageBreak/>
        <w:t xml:space="preserve">The early years is a vital period of development in a child’s life. By committing to action under </w:t>
      </w:r>
      <w:r w:rsidR="000A4333" w:rsidRPr="00483565">
        <w:rPr>
          <w:color w:val="55266B"/>
        </w:rPr>
        <w:t>the Early Years</w:t>
      </w:r>
      <w:r w:rsidRPr="00483565">
        <w:rPr>
          <w:color w:val="55266B"/>
        </w:rPr>
        <w:t xml:space="preserve"> Strategy, we support our youngest children and set them up for success, which benefits not just them, but communities and the nation, now and in the future.</w:t>
      </w:r>
    </w:p>
    <w:p w14:paraId="438C14C7" w14:textId="77777777" w:rsidR="00770BAE" w:rsidRPr="00B756B7" w:rsidRDefault="003A6359" w:rsidP="00770BAE">
      <w:pPr>
        <w:pStyle w:val="Heading1"/>
        <w:rPr>
          <w:color w:val="002A3F"/>
        </w:rPr>
      </w:pPr>
      <w:bookmarkStart w:id="4" w:name="_Toc165022413"/>
      <w:bookmarkStart w:id="5" w:name="_Toc154069271"/>
      <w:r w:rsidRPr="00B756B7">
        <w:rPr>
          <w:color w:val="002A3F"/>
        </w:rPr>
        <w:t>A critical window</w:t>
      </w:r>
      <w:bookmarkEnd w:id="4"/>
      <w:r w:rsidRPr="00B756B7">
        <w:rPr>
          <w:color w:val="002A3F"/>
        </w:rPr>
        <w:t xml:space="preserve"> </w:t>
      </w:r>
      <w:bookmarkEnd w:id="5"/>
    </w:p>
    <w:p w14:paraId="7005E052" w14:textId="77777777" w:rsidR="00770BAE" w:rsidRPr="004E474C" w:rsidRDefault="003A6359" w:rsidP="000A4333">
      <w:bookmarkStart w:id="6" w:name="_Hlk154069503"/>
      <w:r w:rsidRPr="004E474C">
        <w:t xml:space="preserve">The early years provide the opportunity to have the </w:t>
      </w:r>
      <w:r w:rsidRPr="002F5C31">
        <w:rPr>
          <w:rStyle w:val="IntenseEmphasis"/>
          <w:color w:val="auto"/>
        </w:rPr>
        <w:t>biggest</w:t>
      </w:r>
      <w:r w:rsidRPr="002F5C31">
        <w:t xml:space="preserve"> </w:t>
      </w:r>
      <w:r w:rsidRPr="002F5C31">
        <w:rPr>
          <w:rStyle w:val="IntenseEmphasis"/>
          <w:color w:val="auto"/>
        </w:rPr>
        <w:t>impact</w:t>
      </w:r>
      <w:r w:rsidRPr="002F5C31">
        <w:t xml:space="preserve"> </w:t>
      </w:r>
      <w:r w:rsidRPr="004E474C">
        <w:t xml:space="preserve">on child development. </w:t>
      </w:r>
      <w:r w:rsidR="0000038F">
        <w:t>A child will feel t</w:t>
      </w:r>
      <w:r w:rsidR="00E17EAF" w:rsidRPr="004E474C">
        <w:t xml:space="preserve">he impact of </w:t>
      </w:r>
      <w:r w:rsidR="0000038F">
        <w:t>their</w:t>
      </w:r>
      <w:r w:rsidR="00E17EAF" w:rsidRPr="004E474C">
        <w:t xml:space="preserve"> early childhood </w:t>
      </w:r>
      <w:r w:rsidR="0000038F">
        <w:t>experiences</w:t>
      </w:r>
      <w:r w:rsidR="00E17EAF" w:rsidRPr="004E474C">
        <w:t xml:space="preserve"> throughout their life.</w:t>
      </w:r>
    </w:p>
    <w:p w14:paraId="2C7B9550" w14:textId="77777777" w:rsidR="00161BFC" w:rsidRDefault="003A6359" w:rsidP="002F5C31">
      <w:pPr>
        <w:shd w:val="clear" w:color="auto" w:fill="ECF8FE"/>
      </w:pPr>
      <w:r>
        <w:rPr>
          <w:iCs/>
        </w:rPr>
        <w:t>We are all</w:t>
      </w:r>
      <w:r w:rsidR="00770BAE" w:rsidRPr="004E474C">
        <w:rPr>
          <w:iCs/>
        </w:rPr>
        <w:t xml:space="preserve"> shaped though a complex </w:t>
      </w:r>
      <w:r w:rsidR="00770BAE" w:rsidRPr="001716F9">
        <w:t>interaction</w:t>
      </w:r>
      <w:r w:rsidR="00770BAE" w:rsidRPr="004E474C">
        <w:rPr>
          <w:iCs/>
        </w:rPr>
        <w:t xml:space="preserve"> </w:t>
      </w:r>
      <w:r w:rsidR="009240CD">
        <w:rPr>
          <w:iCs/>
        </w:rPr>
        <w:t>between</w:t>
      </w:r>
      <w:r w:rsidR="00770BAE" w:rsidRPr="004E474C">
        <w:rPr>
          <w:iCs/>
        </w:rPr>
        <w:t xml:space="preserve"> </w:t>
      </w:r>
      <w:r w:rsidR="009240CD">
        <w:rPr>
          <w:iCs/>
        </w:rPr>
        <w:t xml:space="preserve">our </w:t>
      </w:r>
      <w:r w:rsidR="00770BAE" w:rsidRPr="004E474C">
        <w:rPr>
          <w:iCs/>
        </w:rPr>
        <w:t xml:space="preserve">genes and the environment </w:t>
      </w:r>
      <w:r>
        <w:rPr>
          <w:iCs/>
        </w:rPr>
        <w:t>we</w:t>
      </w:r>
      <w:r w:rsidR="00770BAE" w:rsidRPr="004E474C">
        <w:rPr>
          <w:iCs/>
        </w:rPr>
        <w:t xml:space="preserve"> are</w:t>
      </w:r>
      <w:r w:rsidR="001D35EC">
        <w:rPr>
          <w:iCs/>
        </w:rPr>
        <w:t xml:space="preserve"> raised</w:t>
      </w:r>
      <w:r w:rsidR="009240CD">
        <w:rPr>
          <w:iCs/>
        </w:rPr>
        <w:t xml:space="preserve"> in</w:t>
      </w:r>
      <w:r w:rsidR="001D35EC">
        <w:rPr>
          <w:iCs/>
        </w:rPr>
        <w:t>.</w:t>
      </w:r>
      <w:r>
        <w:rPr>
          <w:rStyle w:val="FootnoteReference"/>
          <w:iCs/>
        </w:rPr>
        <w:footnoteReference w:id="1"/>
      </w:r>
      <w:r w:rsidR="001D35EC">
        <w:rPr>
          <w:rFonts w:ascii="Times New Roman" w:eastAsiaTheme="minorHAnsi" w:hAnsi="Times New Roman" w:cs="Times New Roman"/>
          <w:sz w:val="24"/>
          <w:szCs w:val="24"/>
          <w:lang w:eastAsia="en-AU"/>
        </w:rPr>
        <w:t xml:space="preserve"> </w:t>
      </w:r>
      <w:r>
        <w:t>Early experiences are especially important as a child’s brain builds its circuitry.</w:t>
      </w:r>
      <w:r w:rsidRPr="00076E7D">
        <w:t xml:space="preserve"> </w:t>
      </w:r>
      <w:r>
        <w:t>As our brains mature, they lose some plasticity.</w:t>
      </w:r>
      <w:r>
        <w:rPr>
          <w:rStyle w:val="FootnoteReference"/>
        </w:rPr>
        <w:footnoteReference w:id="2"/>
      </w:r>
      <w:r>
        <w:t xml:space="preserve"> So, while every year of childhood is influential to development, the early years is when we </w:t>
      </w:r>
      <w:r w:rsidR="009920E7">
        <w:t xml:space="preserve">can </w:t>
      </w:r>
      <w:r>
        <w:t xml:space="preserve">set children up to achieve good health and wellbeing outcomes for their whole life. </w:t>
      </w:r>
    </w:p>
    <w:p w14:paraId="1C1BEAB7" w14:textId="77777777" w:rsidR="00770BAE" w:rsidRPr="004E474C" w:rsidRDefault="003A6359" w:rsidP="000A4333">
      <w:pPr>
        <w:rPr>
          <w:iCs/>
        </w:rPr>
      </w:pPr>
      <w:r w:rsidRPr="004E474C">
        <w:rPr>
          <w:iCs/>
        </w:rPr>
        <w:t xml:space="preserve">For all children to thrive and reach their potential, we must take a </w:t>
      </w:r>
      <w:r w:rsidRPr="002F5C31">
        <w:rPr>
          <w:rStyle w:val="IntenseEmphasis"/>
          <w:color w:val="auto"/>
        </w:rPr>
        <w:t>whole of child</w:t>
      </w:r>
      <w:r w:rsidRPr="002F5C31">
        <w:rPr>
          <w:iCs/>
        </w:rPr>
        <w:t xml:space="preserve"> </w:t>
      </w:r>
      <w:r w:rsidRPr="004E474C">
        <w:rPr>
          <w:iCs/>
        </w:rPr>
        <w:t xml:space="preserve">focus in the early years – their physical, </w:t>
      </w:r>
      <w:proofErr w:type="gramStart"/>
      <w:r w:rsidRPr="004E474C">
        <w:rPr>
          <w:iCs/>
        </w:rPr>
        <w:t>mental</w:t>
      </w:r>
      <w:proofErr w:type="gramEnd"/>
      <w:r w:rsidRPr="004E474C">
        <w:rPr>
          <w:iCs/>
        </w:rPr>
        <w:t xml:space="preserve"> and emotional development as well as their sense of wellbeing and identity, and their place in the world. </w:t>
      </w:r>
    </w:p>
    <w:p w14:paraId="76084159" w14:textId="30B4DA82" w:rsidR="0000038F" w:rsidRDefault="003A6359" w:rsidP="00580627">
      <w:pPr>
        <w:rPr>
          <w:iCs/>
        </w:rPr>
      </w:pPr>
      <w:r w:rsidRPr="004E474C">
        <w:rPr>
          <w:iCs/>
        </w:rPr>
        <w:t xml:space="preserve">The early years of a child’s life, from the important conception and antenatal period right through to </w:t>
      </w:r>
      <w:r w:rsidR="00E17EAF">
        <w:rPr>
          <w:iCs/>
        </w:rPr>
        <w:t>5</w:t>
      </w:r>
      <w:r w:rsidRPr="004E474C">
        <w:rPr>
          <w:iCs/>
        </w:rPr>
        <w:t xml:space="preserve"> years of age</w:t>
      </w:r>
      <w:r w:rsidR="00CA01CD">
        <w:rPr>
          <w:iCs/>
        </w:rPr>
        <w:t>,</w:t>
      </w:r>
      <w:r w:rsidRPr="004E474C">
        <w:rPr>
          <w:iCs/>
        </w:rPr>
        <w:t xml:space="preserve"> </w:t>
      </w:r>
      <w:r w:rsidR="00E17EAF">
        <w:rPr>
          <w:iCs/>
        </w:rPr>
        <w:t>are</w:t>
      </w:r>
      <w:r w:rsidRPr="004E474C">
        <w:rPr>
          <w:iCs/>
        </w:rPr>
        <w:t xml:space="preserve"> often referred to as the first 2,000 days</w:t>
      </w:r>
      <w:r w:rsidR="00E17EAF">
        <w:rPr>
          <w:iCs/>
        </w:rPr>
        <w:t>. It’s a time</w:t>
      </w:r>
      <w:r w:rsidRPr="004E474C">
        <w:rPr>
          <w:iCs/>
        </w:rPr>
        <w:t xml:space="preserve"> to positively influence a child’s development, sense of identity, health, learning, safety, </w:t>
      </w:r>
      <w:proofErr w:type="gramStart"/>
      <w:r w:rsidRPr="004E474C">
        <w:rPr>
          <w:iCs/>
        </w:rPr>
        <w:t>resilience</w:t>
      </w:r>
      <w:proofErr w:type="gramEnd"/>
      <w:r w:rsidRPr="004E474C">
        <w:rPr>
          <w:iCs/>
        </w:rPr>
        <w:t xml:space="preserve"> and happiness.</w:t>
      </w:r>
      <w:bookmarkEnd w:id="0"/>
      <w:bookmarkEnd w:id="1"/>
      <w:bookmarkEnd w:id="2"/>
      <w:bookmarkEnd w:id="3"/>
      <w:bookmarkEnd w:id="6"/>
      <w:r>
        <w:rPr>
          <w:rStyle w:val="FootnoteReference"/>
          <w:rFonts w:cstheme="minorHAnsi"/>
        </w:rPr>
        <w:footnoteReference w:id="3"/>
      </w:r>
      <w:r w:rsidR="000A4333" w:rsidRPr="004E474C">
        <w:rPr>
          <w:iCs/>
        </w:rPr>
        <w:t xml:space="preserve"> </w:t>
      </w:r>
    </w:p>
    <w:p w14:paraId="35BFEF7D" w14:textId="77777777" w:rsidR="000A4333" w:rsidRPr="00B756B7" w:rsidRDefault="003A6359" w:rsidP="00580627">
      <w:pPr>
        <w:pStyle w:val="Heading4"/>
        <w:rPr>
          <w:i w:val="0"/>
          <w:iCs w:val="0"/>
          <w:color w:val="002A3F"/>
        </w:rPr>
      </w:pPr>
      <w:r w:rsidRPr="00B756B7">
        <w:rPr>
          <w:i w:val="0"/>
          <w:iCs w:val="0"/>
          <w:color w:val="002A3F"/>
        </w:rPr>
        <w:t xml:space="preserve">Stages of growth and development in the early years </w:t>
      </w:r>
    </w:p>
    <w:p w14:paraId="1F536781" w14:textId="460FB06E" w:rsidR="00E17EAF" w:rsidRDefault="002E2872" w:rsidP="000A4333">
      <w:pPr>
        <w:rPr>
          <w:iCs/>
        </w:rPr>
      </w:pPr>
      <w:r>
        <w:rPr>
          <w:iCs/>
          <w:noProof/>
        </w:rPr>
        <w:drawing>
          <wp:inline distT="0" distB="0" distL="0" distR="0" wp14:anchorId="72628532" wp14:editId="43CB0B23">
            <wp:extent cx="4667250" cy="2676525"/>
            <wp:effectExtent l="0" t="0" r="0" b="9525"/>
            <wp:docPr id="1742498379" name="Picture 1" descr="The stages of the early years which includes antenatal (in utero), newborn (birth to 4 months), infant (4 to 12 months), toddler (1 to 3 years), and preschooler (3 to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98379" name="Picture 1" descr="The stages of the early years which includes antenatal (in utero), newborn (birth to 4 months), infant (4 to 12 months), toddler (1 to 3 years), and preschooler (3 to 5 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0" cy="2676525"/>
                    </a:xfrm>
                    <a:prstGeom prst="rect">
                      <a:avLst/>
                    </a:prstGeom>
                    <a:noFill/>
                    <a:ln>
                      <a:noFill/>
                    </a:ln>
                  </pic:spPr>
                </pic:pic>
              </a:graphicData>
            </a:graphic>
          </wp:inline>
        </w:drawing>
      </w:r>
    </w:p>
    <w:p w14:paraId="3B488438" w14:textId="77777777" w:rsidR="00E17EAF" w:rsidRPr="00B756B7" w:rsidRDefault="003A6359" w:rsidP="0000038F">
      <w:pPr>
        <w:pStyle w:val="Heading2"/>
        <w:spacing w:before="360"/>
        <w:rPr>
          <w:color w:val="002A3F"/>
        </w:rPr>
      </w:pPr>
      <w:bookmarkStart w:id="7" w:name="_Toc165022414"/>
      <w:r w:rsidRPr="00B756B7">
        <w:rPr>
          <w:color w:val="002A3F"/>
        </w:rPr>
        <w:lastRenderedPageBreak/>
        <w:t>Brain development</w:t>
      </w:r>
      <w:bookmarkEnd w:id="7"/>
    </w:p>
    <w:p w14:paraId="680522D2" w14:textId="77777777" w:rsidR="000A4333" w:rsidRPr="004E474C" w:rsidRDefault="003A6359" w:rsidP="000A4333">
      <w:r w:rsidRPr="004E474C">
        <w:t xml:space="preserve">Children’s genes provide a blueprint which, when combined with relationships, </w:t>
      </w:r>
      <w:proofErr w:type="gramStart"/>
      <w:r w:rsidRPr="004E474C">
        <w:t>environments</w:t>
      </w:r>
      <w:proofErr w:type="gramEnd"/>
      <w:r w:rsidRPr="004E474C">
        <w:t xml:space="preserve"> and experiences, shape the most malleable organ in the body – the brain.</w:t>
      </w:r>
      <w:r>
        <w:rPr>
          <w:rStyle w:val="FootnoteReference"/>
          <w:rFonts w:ascii="Calibri" w:hAnsi="Calibri" w:cs="Calibri"/>
          <w:sz w:val="22"/>
          <w:szCs w:val="22"/>
        </w:rPr>
        <w:footnoteReference w:id="4"/>
      </w:r>
      <w:r w:rsidRPr="004E474C">
        <w:t xml:space="preserve"> </w:t>
      </w:r>
    </w:p>
    <w:p w14:paraId="2815C142" w14:textId="77777777" w:rsidR="000A4333" w:rsidRDefault="003A6359" w:rsidP="00AE6D1B">
      <w:r w:rsidRPr="004E474C">
        <w:t>Brains are built. How they are built (their architecture), and whether they are strong or fragile, is the foundation for the learning, health and behaviour that follow.</w:t>
      </w:r>
      <w:r>
        <w:rPr>
          <w:rStyle w:val="FootnoteReference"/>
          <w:rFonts w:ascii="Calibri" w:hAnsi="Calibri" w:cs="Calibri"/>
          <w:sz w:val="22"/>
          <w:szCs w:val="22"/>
        </w:rPr>
        <w:footnoteReference w:id="5"/>
      </w:r>
      <w:r w:rsidR="00161BFC">
        <w:t xml:space="preserve"> </w:t>
      </w:r>
    </w:p>
    <w:p w14:paraId="65A3DB30" w14:textId="72A7B5B3" w:rsidR="00161BFC" w:rsidRPr="00AA176B" w:rsidRDefault="00AA176B" w:rsidP="00AA176B">
      <w:pPr>
        <w:ind w:left="426"/>
        <w:rPr>
          <w:i/>
          <w:iCs/>
          <w:color w:val="55266B"/>
        </w:rPr>
      </w:pPr>
      <w:r w:rsidRPr="00AA176B">
        <w:rPr>
          <w:i/>
          <w:iCs/>
          <w:color w:val="55266B"/>
        </w:rPr>
        <w:t>“</w:t>
      </w:r>
      <w:r w:rsidR="003A6359" w:rsidRPr="00AA176B">
        <w:rPr>
          <w:i/>
          <w:iCs/>
          <w:color w:val="55266B"/>
        </w:rPr>
        <w:t>Early plasticity means it’s easier and more effective to influence a baby’s develop</w:t>
      </w:r>
      <w:r w:rsidR="00CA01CD" w:rsidRPr="00AA176B">
        <w:rPr>
          <w:i/>
          <w:iCs/>
          <w:color w:val="55266B"/>
        </w:rPr>
        <w:t>ing</w:t>
      </w:r>
      <w:r w:rsidR="003A6359" w:rsidRPr="00AA176B">
        <w:rPr>
          <w:i/>
          <w:iCs/>
          <w:color w:val="55266B"/>
        </w:rPr>
        <w:t xml:space="preserve"> brain architecture than to rewire parts of its circuitry in the adult years.</w:t>
      </w:r>
      <w:r w:rsidRPr="00AA176B">
        <w:rPr>
          <w:i/>
          <w:iCs/>
          <w:color w:val="55266B"/>
        </w:rPr>
        <w:t>”</w:t>
      </w:r>
      <w:r w:rsidR="003A6359" w:rsidRPr="00AA176B">
        <w:rPr>
          <w:rStyle w:val="FootnoteReference"/>
          <w:i/>
          <w:iCs/>
          <w:color w:val="55266B"/>
        </w:rPr>
        <w:footnoteReference w:id="6"/>
      </w:r>
    </w:p>
    <w:p w14:paraId="5A1CB4F3" w14:textId="77777777" w:rsidR="000A4333" w:rsidRDefault="003A6359" w:rsidP="000A4333">
      <w:r w:rsidRPr="004E474C">
        <w:t>A child’s early years – especially the first 1,000 days – is when the developing brain is most responsive to being shaped by the environment.</w:t>
      </w:r>
      <w:r>
        <w:rPr>
          <w:rStyle w:val="FootnoteReference"/>
          <w:rFonts w:ascii="Calibri" w:hAnsi="Calibri" w:cs="Calibri"/>
          <w:sz w:val="22"/>
          <w:szCs w:val="22"/>
        </w:rPr>
        <w:footnoteReference w:id="7"/>
      </w:r>
      <w:r w:rsidRPr="004E474C">
        <w:t xml:space="preserve"> The most important feature in that environment is the </w:t>
      </w:r>
      <w:r w:rsidRPr="00AA176B">
        <w:rPr>
          <w:rStyle w:val="IntenseEmphasis"/>
          <w:color w:val="auto"/>
        </w:rPr>
        <w:t>relationships</w:t>
      </w:r>
      <w:r w:rsidRPr="004E474C">
        <w:t xml:space="preserve"> a child has with parents, </w:t>
      </w:r>
      <w:proofErr w:type="gramStart"/>
      <w:r w:rsidRPr="004E474C">
        <w:t>caregivers</w:t>
      </w:r>
      <w:proofErr w:type="gramEnd"/>
      <w:r w:rsidRPr="004E474C">
        <w:t xml:space="preserve"> and extended family.</w:t>
      </w:r>
      <w:r>
        <w:rPr>
          <w:rStyle w:val="FootnoteReference"/>
          <w:rFonts w:ascii="Calibri" w:hAnsi="Calibri" w:cs="Calibri"/>
          <w:sz w:val="22"/>
          <w:szCs w:val="22"/>
        </w:rPr>
        <w:footnoteReference w:id="8"/>
      </w:r>
    </w:p>
    <w:p w14:paraId="1A56B96D" w14:textId="77777777" w:rsidR="005F07D9" w:rsidRPr="00AA176B" w:rsidRDefault="003A6359" w:rsidP="00AA176B">
      <w:pPr>
        <w:pStyle w:val="Heading4"/>
        <w:shd w:val="clear" w:color="auto" w:fill="ECF8FE"/>
        <w:rPr>
          <w:i w:val="0"/>
          <w:iCs w:val="0"/>
          <w:color w:val="auto"/>
        </w:rPr>
      </w:pPr>
      <w:r w:rsidRPr="00AA176B">
        <w:rPr>
          <w:i w:val="0"/>
          <w:iCs w:val="0"/>
          <w:color w:val="auto"/>
        </w:rPr>
        <w:t xml:space="preserve">If you don’t get a good start early, it is hard to catch </w:t>
      </w:r>
      <w:proofErr w:type="gramStart"/>
      <w:r w:rsidRPr="00AA176B">
        <w:rPr>
          <w:i w:val="0"/>
          <w:iCs w:val="0"/>
          <w:color w:val="auto"/>
        </w:rPr>
        <w:t>up</w:t>
      </w:r>
      <w:proofErr w:type="gramEnd"/>
      <w:r w:rsidRPr="00AA176B">
        <w:rPr>
          <w:i w:val="0"/>
          <w:iCs w:val="0"/>
          <w:color w:val="auto"/>
        </w:rPr>
        <w:t xml:space="preserve"> </w:t>
      </w:r>
    </w:p>
    <w:p w14:paraId="0C145AB3" w14:textId="77777777" w:rsidR="005F07D9" w:rsidRPr="004E474C" w:rsidRDefault="003A6359" w:rsidP="00AA176B">
      <w:pPr>
        <w:shd w:val="clear" w:color="auto" w:fill="ECF8FE"/>
      </w:pPr>
      <w:r w:rsidRPr="004E474C">
        <w:t xml:space="preserve">In the first few years of life, more than one million neural connections form in our brains each second – a pace never </w:t>
      </w:r>
      <w:proofErr w:type="gramStart"/>
      <w:r w:rsidRPr="004E474C">
        <w:t>repeated again</w:t>
      </w:r>
      <w:proofErr w:type="gramEnd"/>
      <w:r>
        <w:t>.</w:t>
      </w:r>
      <w:r>
        <w:rPr>
          <w:rStyle w:val="FootnoteReference"/>
          <w:rFonts w:ascii="Calibri" w:hAnsi="Calibri" w:cs="Calibri"/>
          <w:sz w:val="22"/>
          <w:szCs w:val="22"/>
        </w:rPr>
        <w:footnoteReference w:id="9"/>
      </w:r>
      <w:r>
        <w:t xml:space="preserve"> </w:t>
      </w:r>
      <w:r w:rsidRPr="004E474C">
        <w:t>While brain development continues throughout life and positive changes can be made at any age, it becomes a slower process to ‘rewire’ or change the brain architecture as we age.</w:t>
      </w:r>
      <w:r>
        <w:rPr>
          <w:color w:val="55256C"/>
          <w:sz w:val="18"/>
          <w:szCs w:val="28"/>
          <w:vertAlign w:val="superscript"/>
        </w:rPr>
        <w:footnoteReference w:id="10"/>
      </w:r>
      <w:r w:rsidRPr="004E474C">
        <w:t xml:space="preserve"> </w:t>
      </w:r>
    </w:p>
    <w:p w14:paraId="03E83F2D" w14:textId="77777777" w:rsidR="005F07D9" w:rsidRPr="004E474C" w:rsidRDefault="003A6359" w:rsidP="00AA176B">
      <w:pPr>
        <w:shd w:val="clear" w:color="auto" w:fill="ECF8FE"/>
      </w:pPr>
      <w:r w:rsidRPr="004E474C">
        <w:t xml:space="preserve">The objective in the early years is to develop a </w:t>
      </w:r>
      <w:r w:rsidRPr="00AA176B">
        <w:rPr>
          <w:rStyle w:val="IntenseEmphasis"/>
          <w:color w:val="auto"/>
        </w:rPr>
        <w:t>strong foundation</w:t>
      </w:r>
      <w:r w:rsidRPr="004E474C">
        <w:t xml:space="preserve">, so that children can achieve good health and wellbeing outcomes over their life course. </w:t>
      </w:r>
    </w:p>
    <w:p w14:paraId="7FCC5306" w14:textId="77777777" w:rsidR="005F07D9" w:rsidRPr="004E474C" w:rsidRDefault="003A6359" w:rsidP="00AA176B">
      <w:pPr>
        <w:shd w:val="clear" w:color="auto" w:fill="ECF8FE"/>
      </w:pPr>
      <w:bookmarkStart w:id="8" w:name="_Hlk156041694"/>
      <w:r w:rsidRPr="004E474C">
        <w:t xml:space="preserve">A focus on the early years is a commitment to prioritising prevention and early intervention. This means preventing problems occurring before they begin and addressing them early when they do </w:t>
      </w:r>
      <w:r w:rsidR="003A51A0">
        <w:t>to reduce</w:t>
      </w:r>
      <w:r w:rsidR="00330F76">
        <w:t xml:space="preserve"> or mitigate</w:t>
      </w:r>
      <w:r w:rsidRPr="004E474C">
        <w:t xml:space="preserve"> risk factors and </w:t>
      </w:r>
      <w:r w:rsidR="003A51A0">
        <w:t xml:space="preserve">increase </w:t>
      </w:r>
      <w:r w:rsidRPr="004E474C">
        <w:t>protective factors. Starting early give</w:t>
      </w:r>
      <w:r w:rsidR="003A51A0">
        <w:t>s</w:t>
      </w:r>
      <w:r w:rsidRPr="004E474C">
        <w:t xml:space="preserve"> children the best possible start in life.</w:t>
      </w:r>
    </w:p>
    <w:p w14:paraId="5C99F76D" w14:textId="77777777" w:rsidR="00176147" w:rsidRPr="00B756B7" w:rsidRDefault="003A6359" w:rsidP="00176147">
      <w:pPr>
        <w:pStyle w:val="Heading2"/>
        <w:rPr>
          <w:color w:val="002A3F"/>
        </w:rPr>
      </w:pPr>
      <w:bookmarkStart w:id="9" w:name="_Toc165022415"/>
      <w:bookmarkStart w:id="10" w:name="_Toc154069272"/>
      <w:bookmarkEnd w:id="8"/>
      <w:r w:rsidRPr="00B756B7">
        <w:rPr>
          <w:color w:val="002A3F"/>
        </w:rPr>
        <w:t>The joy of children</w:t>
      </w:r>
      <w:bookmarkEnd w:id="9"/>
    </w:p>
    <w:p w14:paraId="19B60052" w14:textId="77777777" w:rsidR="00176147" w:rsidRPr="004E474C" w:rsidRDefault="003A6359" w:rsidP="00AE6D1B">
      <w:r w:rsidRPr="004E474C">
        <w:t xml:space="preserve">Children bring great joy and happiness to families and communities. They encourage adults around them to look at the world with fresh eyes and open thoughts. Quality time spent playing, reading and being active with children provides many benefits to parents and caregivers, siblings and extended family members, </w:t>
      </w:r>
      <w:r w:rsidR="009E6069">
        <w:t xml:space="preserve">kin, </w:t>
      </w:r>
      <w:proofErr w:type="gramStart"/>
      <w:r w:rsidRPr="004E474C">
        <w:t>friends</w:t>
      </w:r>
      <w:proofErr w:type="gramEnd"/>
      <w:r w:rsidRPr="004E474C">
        <w:t xml:space="preserve"> and those living </w:t>
      </w:r>
      <w:r w:rsidRPr="004E474C">
        <w:lastRenderedPageBreak/>
        <w:t>nearby. There are also benefits of intergenerational groupings – therapy for both old and young as they interact socially together.</w:t>
      </w:r>
      <w:r>
        <w:rPr>
          <w:rStyle w:val="FootnoteReference"/>
          <w:rFonts w:ascii="Calibri" w:hAnsi="Calibri" w:cs="Calibri"/>
          <w:sz w:val="22"/>
          <w:szCs w:val="22"/>
        </w:rPr>
        <w:footnoteReference w:id="11"/>
      </w:r>
    </w:p>
    <w:p w14:paraId="7636F698" w14:textId="4318A89B" w:rsidR="00176147" w:rsidRPr="004E474C" w:rsidRDefault="003A6359" w:rsidP="00176147">
      <w:r w:rsidRPr="004E474C">
        <w:t xml:space="preserve">Connecting with young children </w:t>
      </w:r>
      <w:r w:rsidR="004C65B4">
        <w:t xml:space="preserve">can </w:t>
      </w:r>
      <w:r w:rsidRPr="004E474C">
        <w:t>reduce stress, build strong bonds with others</w:t>
      </w:r>
      <w:r w:rsidR="00B01C49">
        <w:t>,</w:t>
      </w:r>
      <w:r w:rsidRPr="004E474C">
        <w:t xml:space="preserve"> and improve mental and physical health and wellbeing.</w:t>
      </w:r>
      <w:r>
        <w:rPr>
          <w:rStyle w:val="FootnoteReference"/>
          <w:rFonts w:ascii="Calibri" w:hAnsi="Calibri" w:cs="Calibri"/>
          <w:sz w:val="22"/>
          <w:szCs w:val="22"/>
        </w:rPr>
        <w:footnoteReference w:id="12"/>
      </w:r>
      <w:r w:rsidRPr="004E474C">
        <w:t xml:space="preserve"> Children may test the resilience of adults who care for them at times, but raising children provides opportunities for families to navigate challenges and build new skills and competencies.</w:t>
      </w:r>
      <w:r>
        <w:rPr>
          <w:rStyle w:val="FootnoteReference"/>
          <w:rFonts w:ascii="Calibri" w:hAnsi="Calibri" w:cs="Calibri"/>
          <w:sz w:val="22"/>
          <w:szCs w:val="22"/>
        </w:rPr>
        <w:footnoteReference w:id="13"/>
      </w:r>
      <w:r w:rsidRPr="004E474C">
        <w:t xml:space="preserve"> </w:t>
      </w:r>
    </w:p>
    <w:p w14:paraId="359F16E3" w14:textId="77777777" w:rsidR="00E70DE5" w:rsidRDefault="003A6359">
      <w:pPr>
        <w:spacing w:line="259" w:lineRule="auto"/>
        <w:rPr>
          <w:rFonts w:asciiTheme="majorHAnsi" w:eastAsiaTheme="majorEastAsia" w:hAnsiTheme="majorHAnsi" w:cstheme="majorBidi"/>
          <w:i/>
          <w:iCs/>
          <w:color w:val="520740" w:themeColor="accent2" w:themeShade="80"/>
          <w:sz w:val="28"/>
          <w:szCs w:val="28"/>
        </w:rPr>
      </w:pPr>
      <w:r>
        <w:br w:type="page"/>
      </w:r>
    </w:p>
    <w:p w14:paraId="333DCB12" w14:textId="77777777" w:rsidR="00E17EAF" w:rsidRPr="00B756B7" w:rsidRDefault="003A6359" w:rsidP="00E17EAF">
      <w:pPr>
        <w:pStyle w:val="Heading1"/>
        <w:rPr>
          <w:color w:val="002A3F"/>
        </w:rPr>
      </w:pPr>
      <w:bookmarkStart w:id="12" w:name="_Toc165022416"/>
      <w:r w:rsidRPr="00B756B7">
        <w:rPr>
          <w:color w:val="002A3F"/>
        </w:rPr>
        <w:lastRenderedPageBreak/>
        <w:t>What we know about young children</w:t>
      </w:r>
      <w:bookmarkEnd w:id="12"/>
    </w:p>
    <w:p w14:paraId="64A44BC0" w14:textId="77777777" w:rsidR="00E17EAF" w:rsidRPr="00AA176B" w:rsidRDefault="003A6359" w:rsidP="00CF22A5">
      <w:pPr>
        <w:pStyle w:val="Pullouttext"/>
        <w:rPr>
          <w:color w:val="55266B"/>
        </w:rPr>
      </w:pPr>
      <w:r w:rsidRPr="00AA176B">
        <w:rPr>
          <w:color w:val="55266B"/>
        </w:rPr>
        <w:t>There are more than 1.</w:t>
      </w:r>
      <w:r w:rsidR="009920E7" w:rsidRPr="00AA176B">
        <w:rPr>
          <w:color w:val="55266B"/>
        </w:rPr>
        <w:t>8</w:t>
      </w:r>
      <w:r w:rsidR="00DE25AB" w:rsidRPr="00AA176B">
        <w:rPr>
          <w:color w:val="55266B"/>
        </w:rPr>
        <w:t>2</w:t>
      </w:r>
      <w:r w:rsidRPr="00AA176B">
        <w:rPr>
          <w:color w:val="55266B"/>
        </w:rPr>
        <w:t xml:space="preserve"> million children aged 0 to 5 in Australia. They come from diverse backgrounds, </w:t>
      </w:r>
      <w:proofErr w:type="gramStart"/>
      <w:r w:rsidRPr="00AA176B">
        <w:rPr>
          <w:color w:val="55266B"/>
        </w:rPr>
        <w:t>families</w:t>
      </w:r>
      <w:proofErr w:type="gramEnd"/>
      <w:r w:rsidRPr="00AA176B">
        <w:rPr>
          <w:color w:val="55266B"/>
        </w:rPr>
        <w:t xml:space="preserve"> and circumstances.</w:t>
      </w:r>
    </w:p>
    <w:p w14:paraId="0DFAF944" w14:textId="77777777" w:rsidR="00E43DF7" w:rsidRDefault="003A6359" w:rsidP="00CF22A5">
      <w:r w:rsidRPr="004E474C">
        <w:t>For us to achieve better outcomes under the Early Years Strategy, we must start with a deep understanding of early childhood</w:t>
      </w:r>
      <w:r>
        <w:t xml:space="preserve"> in Australia. This includes:</w:t>
      </w:r>
    </w:p>
    <w:p w14:paraId="70396A7C" w14:textId="77777777" w:rsidR="00E43DF7" w:rsidRDefault="003A6359" w:rsidP="00E43DF7">
      <w:pPr>
        <w:pStyle w:val="ListBullet"/>
      </w:pPr>
      <w:r w:rsidRPr="004E474C">
        <w:t>how children are faring</w:t>
      </w:r>
    </w:p>
    <w:p w14:paraId="65B70D82" w14:textId="77777777" w:rsidR="00E43DF7" w:rsidRDefault="003A6359" w:rsidP="00E43DF7">
      <w:pPr>
        <w:pStyle w:val="ListBullet"/>
      </w:pPr>
      <w:r w:rsidRPr="004E474C">
        <w:t xml:space="preserve">the current landscape of </w:t>
      </w:r>
      <w:r>
        <w:t xml:space="preserve">the </w:t>
      </w:r>
      <w:r w:rsidRPr="004E474C">
        <w:t>early years</w:t>
      </w:r>
    </w:p>
    <w:p w14:paraId="3A8E14CF" w14:textId="77777777" w:rsidR="00E43DF7" w:rsidRDefault="003A6359" w:rsidP="00E43DF7">
      <w:pPr>
        <w:pStyle w:val="ListBullet"/>
      </w:pPr>
      <w:r w:rsidRPr="004E474C">
        <w:t>the factors that enable children to thrive</w:t>
      </w:r>
      <w:r>
        <w:t>.</w:t>
      </w:r>
    </w:p>
    <w:p w14:paraId="77C12835" w14:textId="77777777" w:rsidR="00E17EAF" w:rsidRPr="004E474C" w:rsidRDefault="003A6359" w:rsidP="00E43DF7">
      <w:r>
        <w:t>C</w:t>
      </w:r>
      <w:r w:rsidRPr="004E474C">
        <w:t xml:space="preserve">hildren today will occupy a very different world to the one that has shaped their parents’ </w:t>
      </w:r>
      <w:proofErr w:type="gramStart"/>
      <w:r w:rsidRPr="004E474C">
        <w:t>lives, and</w:t>
      </w:r>
      <w:proofErr w:type="gramEnd"/>
      <w:r w:rsidRPr="004E474C">
        <w:t xml:space="preserve"> must be prepared to react with resilience and adaptability to what may come.</w:t>
      </w:r>
    </w:p>
    <w:p w14:paraId="48305F62" w14:textId="77777777" w:rsidR="0027274B" w:rsidRPr="00AA176B" w:rsidRDefault="003A6359" w:rsidP="009F663F">
      <w:pPr>
        <w:pStyle w:val="Heading2"/>
        <w:shd w:val="clear" w:color="auto" w:fill="F3F5E4"/>
        <w:rPr>
          <w:color w:val="auto"/>
        </w:rPr>
      </w:pPr>
      <w:bookmarkStart w:id="13" w:name="_Toc154069288"/>
      <w:bookmarkStart w:id="14" w:name="_Toc165022417"/>
      <w:r w:rsidRPr="00AA176B">
        <w:rPr>
          <w:color w:val="auto"/>
        </w:rPr>
        <w:t>How Australia’s children are faring</w:t>
      </w:r>
      <w:bookmarkEnd w:id="13"/>
      <w:bookmarkEnd w:id="14"/>
    </w:p>
    <w:p w14:paraId="02C7FC43" w14:textId="77777777" w:rsidR="0027274B" w:rsidRPr="004E474C" w:rsidRDefault="003A6359" w:rsidP="009F663F">
      <w:pPr>
        <w:shd w:val="clear" w:color="auto" w:fill="F3F5E4"/>
      </w:pPr>
      <w:r w:rsidRPr="004E474C">
        <w:t xml:space="preserve">There are many examples of how children are getting a great start in life in Australia. </w:t>
      </w:r>
    </w:p>
    <w:p w14:paraId="4D2538A8" w14:textId="24091AF3" w:rsidR="0027274B" w:rsidRPr="004E474C" w:rsidRDefault="003A6359" w:rsidP="009F663F">
      <w:pPr>
        <w:shd w:val="clear" w:color="auto" w:fill="F3F5E4"/>
      </w:pPr>
      <w:r w:rsidRPr="004E474C">
        <w:t>There are high numbers of children born at a healthy birth weight, and Australia has high levels of childhood immunisation and high participation in preschool.</w:t>
      </w:r>
      <w:r>
        <w:rPr>
          <w:rStyle w:val="FootnoteReference"/>
          <w:rFonts w:ascii="Calibri" w:hAnsi="Calibri" w:cs="Calibri"/>
          <w:sz w:val="22"/>
          <w:szCs w:val="22"/>
        </w:rPr>
        <w:footnoteReference w:id="14"/>
      </w:r>
      <w:r w:rsidR="005E792E">
        <w:rPr>
          <w:rFonts w:ascii="Calibri" w:hAnsi="Calibri" w:cs="Calibri"/>
          <w:sz w:val="22"/>
          <w:szCs w:val="22"/>
        </w:rPr>
        <w:t xml:space="preserve"> </w:t>
      </w:r>
    </w:p>
    <w:p w14:paraId="27FB6638" w14:textId="0C5BB18D" w:rsidR="0027274B" w:rsidRPr="004E474C" w:rsidRDefault="003A6359" w:rsidP="009F663F">
      <w:pPr>
        <w:shd w:val="clear" w:color="auto" w:fill="F3F5E4"/>
      </w:pPr>
      <w:r w:rsidRPr="004E474C">
        <w:t>One way that we measure how children are faring in Australia is through the Australian Early Development Census (AEDC).</w:t>
      </w:r>
      <w:r>
        <w:rPr>
          <w:rStyle w:val="FootnoteReference"/>
          <w:rFonts w:ascii="Calibri" w:hAnsi="Calibri" w:cs="Calibri"/>
          <w:sz w:val="22"/>
          <w:szCs w:val="22"/>
        </w:rPr>
        <w:footnoteReference w:id="15"/>
      </w:r>
      <w:r w:rsidRPr="004E474C">
        <w:t xml:space="preserve"> By measuring the domains of physical health and wellbeing, social competence, emotional maturity, language and cognitive skills, communications </w:t>
      </w:r>
      <w:proofErr w:type="gramStart"/>
      <w:r w:rsidRPr="004E474C">
        <w:t>skills</w:t>
      </w:r>
      <w:proofErr w:type="gramEnd"/>
      <w:r w:rsidRPr="004E474C">
        <w:t xml:space="preserve"> and general knowledge</w:t>
      </w:r>
      <w:r w:rsidR="005E792E">
        <w:t>,</w:t>
      </w:r>
      <w:r w:rsidRPr="004E474C">
        <w:t xml:space="preserve"> the AEDC provides an indication of how young children have developed by the time they start school.</w:t>
      </w:r>
    </w:p>
    <w:p w14:paraId="728D2D03" w14:textId="6EE57518" w:rsidR="0027274B" w:rsidRPr="004E474C" w:rsidRDefault="003A6359" w:rsidP="009F663F">
      <w:pPr>
        <w:shd w:val="clear" w:color="auto" w:fill="F3F5E4"/>
      </w:pPr>
      <w:r w:rsidRPr="004E474C">
        <w:t xml:space="preserve">The </w:t>
      </w:r>
      <w:r w:rsidR="00460612">
        <w:t xml:space="preserve">latest </w:t>
      </w:r>
      <w:r w:rsidRPr="004E474C">
        <w:t xml:space="preserve">AEDC </w:t>
      </w:r>
      <w:r w:rsidR="00460612">
        <w:t>(</w:t>
      </w:r>
      <w:r w:rsidRPr="004E474C">
        <w:t>conducted in 2021</w:t>
      </w:r>
      <w:r w:rsidR="00460612">
        <w:t>)</w:t>
      </w:r>
      <w:r w:rsidRPr="004E474C">
        <w:t xml:space="preserve"> shows that </w:t>
      </w:r>
      <w:proofErr w:type="gramStart"/>
      <w:r w:rsidRPr="004E474C">
        <w:t>the majority of</w:t>
      </w:r>
      <w:proofErr w:type="gramEnd"/>
      <w:r w:rsidRPr="004E474C">
        <w:t xml:space="preserve"> children (54.8%) are developmentally on track on each of the </w:t>
      </w:r>
      <w:r w:rsidR="005E792E">
        <w:t>5</w:t>
      </w:r>
      <w:r w:rsidRPr="004E474C">
        <w:t xml:space="preserve"> measured domains.</w:t>
      </w:r>
      <w:r>
        <w:rPr>
          <w:rStyle w:val="FootnoteReference"/>
          <w:rFonts w:ascii="Calibri" w:hAnsi="Calibri" w:cs="Calibri"/>
          <w:sz w:val="22"/>
          <w:szCs w:val="22"/>
        </w:rPr>
        <w:footnoteReference w:id="16"/>
      </w:r>
      <w:r w:rsidRPr="004E474C">
        <w:t xml:space="preserve"> This is a slight drop from a high of 55.4% in 2018</w:t>
      </w:r>
      <w:r>
        <w:rPr>
          <w:rStyle w:val="FootnoteReference"/>
          <w:rFonts w:ascii="Calibri" w:hAnsi="Calibri" w:cs="Calibri"/>
          <w:sz w:val="22"/>
          <w:szCs w:val="22"/>
        </w:rPr>
        <w:footnoteReference w:id="17"/>
      </w:r>
      <w:r w:rsidR="00F832FF">
        <w:t xml:space="preserve">, </w:t>
      </w:r>
      <w:r w:rsidR="00F832FF" w:rsidRPr="004E474C">
        <w:t>with the drop possibly due to the impact of COVID-19</w:t>
      </w:r>
      <w:r w:rsidR="00F832FF">
        <w:t>.</w:t>
      </w:r>
      <w:r w:rsidR="006452FE">
        <w:t xml:space="preserve"> In 2021, 34</w:t>
      </w:r>
      <w:r w:rsidR="00B01C49">
        <w:t>%</w:t>
      </w:r>
      <w:r w:rsidR="006452FE">
        <w:t xml:space="preserve"> of Aboriginal and Torres Strait Islander children </w:t>
      </w:r>
      <w:r w:rsidR="00B01C49">
        <w:t xml:space="preserve">starting </w:t>
      </w:r>
      <w:r w:rsidR="006452FE">
        <w:t xml:space="preserve">school were assessed as being developmentally on track in </w:t>
      </w:r>
      <w:proofErr w:type="gramStart"/>
      <w:r w:rsidR="006452FE">
        <w:t>all of</w:t>
      </w:r>
      <w:proofErr w:type="gramEnd"/>
      <w:r w:rsidR="006452FE">
        <w:t xml:space="preserve"> the 5 measured domains.</w:t>
      </w:r>
      <w:r>
        <w:rPr>
          <w:rStyle w:val="FootnoteReference"/>
        </w:rPr>
        <w:footnoteReference w:id="18"/>
      </w:r>
    </w:p>
    <w:p w14:paraId="2D04AE8C" w14:textId="77777777" w:rsidR="0027274B" w:rsidRPr="004E474C" w:rsidRDefault="003A6359" w:rsidP="009F663F">
      <w:pPr>
        <w:shd w:val="clear" w:color="auto" w:fill="F3F5E4"/>
      </w:pPr>
      <w:r w:rsidRPr="004E474C">
        <w:t xml:space="preserve">We also know that some children experience adverse events in their lives. </w:t>
      </w:r>
    </w:p>
    <w:p w14:paraId="27A8FE69" w14:textId="77777777" w:rsidR="0027274B" w:rsidRPr="004E474C" w:rsidRDefault="003A6359" w:rsidP="009F663F">
      <w:pPr>
        <w:shd w:val="clear" w:color="auto" w:fill="F3F5E4"/>
      </w:pPr>
      <w:r w:rsidRPr="004E474C">
        <w:t>We recognise there are too many children in the child protection system – in 2021</w:t>
      </w:r>
      <w:r w:rsidR="00AE6D1B">
        <w:t>–</w:t>
      </w:r>
      <w:r w:rsidRPr="004E474C">
        <w:t xml:space="preserve">22, about 178,000 children </w:t>
      </w:r>
      <w:proofErr w:type="gramStart"/>
      <w:r w:rsidRPr="004E474C">
        <w:t>came into contact with</w:t>
      </w:r>
      <w:proofErr w:type="gramEnd"/>
      <w:r w:rsidRPr="004E474C">
        <w:t xml:space="preserve"> the child protection system.</w:t>
      </w:r>
      <w:r>
        <w:rPr>
          <w:rStyle w:val="FootnoteReference"/>
          <w:rFonts w:ascii="Calibri" w:hAnsi="Calibri" w:cs="Calibri"/>
          <w:sz w:val="22"/>
          <w:szCs w:val="22"/>
        </w:rPr>
        <w:footnoteReference w:id="19"/>
      </w:r>
      <w:r w:rsidRPr="004E474C">
        <w:t xml:space="preserve"> </w:t>
      </w:r>
    </w:p>
    <w:p w14:paraId="1934DBE9" w14:textId="439A0332" w:rsidR="00CA5F42" w:rsidRDefault="003A6359" w:rsidP="009F663F">
      <w:pPr>
        <w:shd w:val="clear" w:color="auto" w:fill="F3F5E4"/>
      </w:pPr>
      <w:r w:rsidRPr="004E474C">
        <w:lastRenderedPageBreak/>
        <w:t xml:space="preserve">Children may witness domestic and family violence between family </w:t>
      </w:r>
      <w:proofErr w:type="gramStart"/>
      <w:r w:rsidRPr="004E474C">
        <w:t>members, or</w:t>
      </w:r>
      <w:proofErr w:type="gramEnd"/>
      <w:r w:rsidRPr="004E474C">
        <w:t xml:space="preserve"> be subjected to violence by family members. This can have a range of effects on their health, wellbeing, and social and emotional development.</w:t>
      </w:r>
      <w:r>
        <w:rPr>
          <w:rStyle w:val="FootnoteReference"/>
          <w:rFonts w:ascii="Calibri" w:hAnsi="Calibri" w:cs="Calibri"/>
          <w:sz w:val="22"/>
          <w:szCs w:val="22"/>
        </w:rPr>
        <w:footnoteReference w:id="20"/>
      </w:r>
      <w:r w:rsidRPr="004E474C">
        <w:t xml:space="preserve"> Over</w:t>
      </w:r>
      <w:r w:rsidR="00B037D3">
        <w:t xml:space="preserve"> the</w:t>
      </w:r>
      <w:r w:rsidRPr="004E474C">
        <w:t xml:space="preserve"> long-term, children who are victims of violence themselves or witnesses of intimate partner violence can be twice as likely to have a psychiatric diagnosis, emotional and behavioural difficulties, and impaired language skills at age 10.</w:t>
      </w:r>
      <w:r>
        <w:rPr>
          <w:rStyle w:val="FootnoteReference"/>
          <w:rFonts w:ascii="Calibri" w:hAnsi="Calibri" w:cs="Calibri"/>
          <w:sz w:val="22"/>
          <w:szCs w:val="22"/>
        </w:rPr>
        <w:footnoteReference w:id="21"/>
      </w:r>
    </w:p>
    <w:p w14:paraId="1BE5445A" w14:textId="67B48757" w:rsidR="00CA5F42" w:rsidRPr="00580627" w:rsidRDefault="003A6359" w:rsidP="009F663F">
      <w:pPr>
        <w:shd w:val="clear" w:color="auto" w:fill="F3F5E4"/>
      </w:pPr>
      <w:r>
        <w:t xml:space="preserve">The Australian Child Maltreatment Study has shown that 62% of Australians have experienced a form of child maltreatment. Australians who experience childhood maltreatment (physical abuse, sexual abuse, emotional abuse, </w:t>
      </w:r>
      <w:proofErr w:type="gramStart"/>
      <w:r>
        <w:t>neglect</w:t>
      </w:r>
      <w:proofErr w:type="gramEnd"/>
      <w:r>
        <w:t xml:space="preserve"> and exposure to domestic violence) are substantially more likely to have a mental disorder, engage in health</w:t>
      </w:r>
      <w:r w:rsidR="00B01C49">
        <w:t>-</w:t>
      </w:r>
      <w:r>
        <w:t xml:space="preserve">risk behaviours and </w:t>
      </w:r>
      <w:r w:rsidR="00B037D3">
        <w:t xml:space="preserve">use more health services </w:t>
      </w:r>
      <w:r w:rsidR="00B01C49">
        <w:t>s</w:t>
      </w:r>
      <w:r>
        <w:t>.</w:t>
      </w:r>
      <w:r>
        <w:rPr>
          <w:rStyle w:val="FootnoteReference"/>
        </w:rPr>
        <w:footnoteReference w:id="22"/>
      </w:r>
    </w:p>
    <w:p w14:paraId="457BE7D8" w14:textId="085892A7" w:rsidR="0027274B" w:rsidRPr="004E474C" w:rsidRDefault="003A6359" w:rsidP="009F663F">
      <w:pPr>
        <w:shd w:val="clear" w:color="auto" w:fill="F3F5E4"/>
      </w:pPr>
      <w:r w:rsidRPr="004E474C">
        <w:t xml:space="preserve">Children may experience mental health disorders either directly or indirectly. The World Health Organization estimates that worldwide, around 8% of children aged 5 to 9 and 14% </w:t>
      </w:r>
      <w:r w:rsidR="000E461B">
        <w:t xml:space="preserve">of </w:t>
      </w:r>
      <w:r w:rsidRPr="004E474C">
        <w:t>adolescents aged 10 to 19 live with a mental health disorder.</w:t>
      </w:r>
      <w:r>
        <w:rPr>
          <w:rStyle w:val="FootnoteReference"/>
          <w:rFonts w:ascii="Calibri" w:hAnsi="Calibri" w:cs="Calibri"/>
          <w:sz w:val="22"/>
          <w:szCs w:val="22"/>
        </w:rPr>
        <w:footnoteReference w:id="23"/>
      </w:r>
      <w:r w:rsidRPr="004E474C">
        <w:t xml:space="preserve"> Up to </w:t>
      </w:r>
      <w:r w:rsidR="00B037D3">
        <w:t>1</w:t>
      </w:r>
      <w:r w:rsidRPr="004E474C">
        <w:t>in 5 children in Australia live with a parent with a mental illness.</w:t>
      </w:r>
      <w:r>
        <w:rPr>
          <w:rStyle w:val="FootnoteReference"/>
          <w:rFonts w:ascii="Calibri" w:hAnsi="Calibri" w:cs="Calibri"/>
          <w:sz w:val="22"/>
          <w:szCs w:val="22"/>
        </w:rPr>
        <w:footnoteReference w:id="24"/>
      </w:r>
    </w:p>
    <w:p w14:paraId="3D7A1752" w14:textId="77777777" w:rsidR="0027274B" w:rsidRPr="004E474C" w:rsidRDefault="003A6359" w:rsidP="009F663F">
      <w:pPr>
        <w:shd w:val="clear" w:color="auto" w:fill="F3F5E4"/>
      </w:pPr>
      <w:r w:rsidRPr="004E474C">
        <w:t xml:space="preserve">There are also pockets of entrenched or persistent disadvantage, and commonly these are concentrated in specific locations. </w:t>
      </w:r>
    </w:p>
    <w:p w14:paraId="0FDD7411" w14:textId="77777777" w:rsidR="00E17EAF" w:rsidRPr="00B756B7" w:rsidRDefault="003A6359" w:rsidP="00CF22A5">
      <w:pPr>
        <w:pStyle w:val="Heading2"/>
        <w:rPr>
          <w:color w:val="002A3F"/>
        </w:rPr>
      </w:pPr>
      <w:bookmarkStart w:id="17" w:name="_Toc165022418"/>
      <w:r w:rsidRPr="00B756B7">
        <w:rPr>
          <w:color w:val="002A3F"/>
        </w:rPr>
        <w:t xml:space="preserve">Children aged 0 to </w:t>
      </w:r>
      <w:proofErr w:type="gramStart"/>
      <w:r w:rsidRPr="00B756B7">
        <w:rPr>
          <w:color w:val="002A3F"/>
        </w:rPr>
        <w:t>5</w:t>
      </w:r>
      <w:bookmarkEnd w:id="17"/>
      <w:proofErr w:type="gramEnd"/>
    </w:p>
    <w:p w14:paraId="3DBA6A65" w14:textId="77777777" w:rsidR="00E17EAF" w:rsidRPr="004E474C" w:rsidRDefault="003A6359" w:rsidP="00CF22A5">
      <w:proofErr w:type="gramStart"/>
      <w:r w:rsidRPr="004E474C">
        <w:t>At</w:t>
      </w:r>
      <w:proofErr w:type="gramEnd"/>
      <w:r w:rsidRPr="004E474C">
        <w:t xml:space="preserve"> 30 June 2022, an estimated 1.82 million children aged 0 to 5 lived in Australia. Boys made up a slightly higher proportion of the population than girls (51% compared </w:t>
      </w:r>
      <w:r w:rsidR="00896037">
        <w:t>to</w:t>
      </w:r>
      <w:r w:rsidR="00896037" w:rsidRPr="004E474C">
        <w:t xml:space="preserve"> </w:t>
      </w:r>
      <w:r w:rsidRPr="004E474C">
        <w:t>49%).</w:t>
      </w:r>
    </w:p>
    <w:p w14:paraId="339083B4" w14:textId="77777777" w:rsidR="00E17EAF" w:rsidRPr="004E474C" w:rsidRDefault="003A6359" w:rsidP="00CF22A5">
      <w:r w:rsidRPr="004E474C">
        <w:t>The number of children aged 0 to 5 living in Australia has increased from approximately 1.79 million in 2012.</w:t>
      </w:r>
    </w:p>
    <w:p w14:paraId="4A195028" w14:textId="48FEB7DB" w:rsidR="00E17EAF" w:rsidRPr="004E474C" w:rsidRDefault="003A6359" w:rsidP="00CF22A5">
      <w:r w:rsidRPr="004E474C">
        <w:t xml:space="preserve">However, due to sustained low fertility rates and increasing life expectancy, the number of children aged 0 to 5 as a proportion of the entire Australian population has steadily fallen from 7.9% in 2012 to </w:t>
      </w:r>
      <w:r w:rsidR="00CD5500">
        <w:t>6.8</w:t>
      </w:r>
      <w:r w:rsidRPr="004E474C">
        <w:t>% in 202</w:t>
      </w:r>
      <w:r w:rsidR="000E044E">
        <w:t>3</w:t>
      </w:r>
      <w:r w:rsidRPr="004E474C">
        <w:t>.</w:t>
      </w:r>
      <w:r>
        <w:rPr>
          <w:vertAlign w:val="superscript"/>
        </w:rPr>
        <w:footnoteReference w:id="25"/>
      </w:r>
    </w:p>
    <w:p w14:paraId="4824D81C" w14:textId="77777777" w:rsidR="00E17EAF" w:rsidRPr="00B756B7" w:rsidRDefault="003A6359" w:rsidP="00CF22A5">
      <w:pPr>
        <w:pStyle w:val="Heading2"/>
        <w:rPr>
          <w:color w:val="002A3F"/>
        </w:rPr>
      </w:pPr>
      <w:bookmarkStart w:id="18" w:name="_Toc165022419"/>
      <w:r w:rsidRPr="00B756B7">
        <w:rPr>
          <w:color w:val="002A3F"/>
        </w:rPr>
        <w:t>Where children live</w:t>
      </w:r>
      <w:bookmarkEnd w:id="18"/>
    </w:p>
    <w:p w14:paraId="4883923F" w14:textId="77777777" w:rsidR="00E17EAF" w:rsidRPr="004E474C" w:rsidRDefault="003A6359" w:rsidP="00B95B2A">
      <w:r w:rsidRPr="004E474C">
        <w:t xml:space="preserve">Children aged 0 to 5 typically live with their families, and so their geographic distribution will generally be </w:t>
      </w:r>
      <w:proofErr w:type="gramStart"/>
      <w:r w:rsidRPr="004E474C">
        <w:t>similar to</w:t>
      </w:r>
      <w:proofErr w:type="gramEnd"/>
      <w:r w:rsidRPr="004E474C">
        <w:t xml:space="preserve"> that of all Australians. In 202</w:t>
      </w:r>
      <w:r w:rsidR="00F80413">
        <w:t>3</w:t>
      </w:r>
      <w:r w:rsidRPr="004E474C">
        <w:t>, of all children aged 0 to 5:</w:t>
      </w:r>
    </w:p>
    <w:p w14:paraId="7A8E6030" w14:textId="6EE02652" w:rsidR="00E17EAF" w:rsidRPr="00B95B2A" w:rsidRDefault="00231620" w:rsidP="00E43DF7">
      <w:pPr>
        <w:pStyle w:val="ListBullet"/>
      </w:pPr>
      <w:r>
        <w:t>a</w:t>
      </w:r>
      <w:r w:rsidR="003A6359" w:rsidRPr="00B95B2A">
        <w:t>round one-third (32% or 57</w:t>
      </w:r>
      <w:r w:rsidR="00F80413">
        <w:t>8</w:t>
      </w:r>
      <w:r w:rsidR="003A6359" w:rsidRPr="00B95B2A">
        <w:t>,</w:t>
      </w:r>
      <w:r w:rsidR="00F80413">
        <w:t>000</w:t>
      </w:r>
      <w:r w:rsidR="003A6359" w:rsidRPr="00B95B2A">
        <w:t>) lived in New South Wales</w:t>
      </w:r>
    </w:p>
    <w:p w14:paraId="430D0175" w14:textId="282B08DC" w:rsidR="00E17EAF" w:rsidRPr="00B95B2A" w:rsidRDefault="00231620" w:rsidP="00E43DF7">
      <w:pPr>
        <w:pStyle w:val="ListBullet"/>
      </w:pPr>
      <w:r>
        <w:lastRenderedPageBreak/>
        <w:t>o</w:t>
      </w:r>
      <w:r w:rsidR="003A6359" w:rsidRPr="00B95B2A">
        <w:t>ne-quarter (25% or 46</w:t>
      </w:r>
      <w:r w:rsidR="00F80413">
        <w:t>5</w:t>
      </w:r>
      <w:r w:rsidR="003A6359" w:rsidRPr="00B95B2A">
        <w:t xml:space="preserve">,000) lived in </w:t>
      </w:r>
      <w:proofErr w:type="gramStart"/>
      <w:r w:rsidR="003A6359" w:rsidRPr="00B95B2A">
        <w:t>Victoria</w:t>
      </w:r>
      <w:proofErr w:type="gramEnd"/>
    </w:p>
    <w:p w14:paraId="64FDAE42" w14:textId="15FF9726" w:rsidR="00E17EAF" w:rsidRPr="00B95B2A" w:rsidRDefault="00231620" w:rsidP="00E43DF7">
      <w:pPr>
        <w:pStyle w:val="ListBullet"/>
      </w:pPr>
      <w:r>
        <w:t>o</w:t>
      </w:r>
      <w:r w:rsidR="003A6359" w:rsidRPr="00B95B2A">
        <w:t>ne-fifth (20% or 37</w:t>
      </w:r>
      <w:r w:rsidR="00F80413">
        <w:t>0</w:t>
      </w:r>
      <w:r w:rsidR="003A6359" w:rsidRPr="00B95B2A">
        <w:t xml:space="preserve">,000) lived in </w:t>
      </w:r>
      <w:proofErr w:type="gramStart"/>
      <w:r w:rsidR="003A6359" w:rsidRPr="00B95B2A">
        <w:t>Queensland</w:t>
      </w:r>
      <w:proofErr w:type="gramEnd"/>
      <w:r w:rsidR="003A6359" w:rsidRPr="00B95B2A">
        <w:t xml:space="preserve"> </w:t>
      </w:r>
    </w:p>
    <w:p w14:paraId="73130220" w14:textId="77777777" w:rsidR="00E17EAF" w:rsidRPr="00B95B2A" w:rsidRDefault="003A6359" w:rsidP="00E43DF7">
      <w:pPr>
        <w:pStyle w:val="ListBullet"/>
      </w:pPr>
      <w:r w:rsidRPr="00B95B2A">
        <w:t>11% (20</w:t>
      </w:r>
      <w:r w:rsidR="00F80413">
        <w:t>6</w:t>
      </w:r>
      <w:r w:rsidRPr="00B95B2A">
        <w:t>,000) lived in Western Australia</w:t>
      </w:r>
    </w:p>
    <w:p w14:paraId="3B4571E6" w14:textId="77777777" w:rsidR="00E17EAF" w:rsidRPr="00B95B2A" w:rsidRDefault="003A6359" w:rsidP="00E43DF7">
      <w:pPr>
        <w:pStyle w:val="ListBullet"/>
      </w:pPr>
      <w:r w:rsidRPr="00B95B2A">
        <w:t>7% (118,000) lived in South Australia</w:t>
      </w:r>
    </w:p>
    <w:p w14:paraId="722F4A29" w14:textId="77777777" w:rsidR="00E17EAF" w:rsidRPr="00B95B2A" w:rsidRDefault="003A6359" w:rsidP="00E43DF7">
      <w:pPr>
        <w:pStyle w:val="ListBullet"/>
      </w:pPr>
      <w:r w:rsidRPr="00B95B2A">
        <w:t>2% (35,000) lived in Tasmania</w:t>
      </w:r>
    </w:p>
    <w:p w14:paraId="1B3CFD49" w14:textId="77777777" w:rsidR="00E17EAF" w:rsidRPr="00B95B2A" w:rsidRDefault="003A6359" w:rsidP="00E43DF7">
      <w:pPr>
        <w:pStyle w:val="ListBullet"/>
      </w:pPr>
      <w:r w:rsidRPr="00B95B2A">
        <w:t>2% (32,000) lived in the Australian Capital Territory</w:t>
      </w:r>
    </w:p>
    <w:p w14:paraId="0DCD8CB3" w14:textId="77777777" w:rsidR="00E17EAF" w:rsidRPr="00B95B2A" w:rsidRDefault="003A6359" w:rsidP="00E43DF7">
      <w:pPr>
        <w:pStyle w:val="ListBullet"/>
      </w:pPr>
      <w:r w:rsidRPr="00B95B2A">
        <w:t>1% (21,000) lived in the Northern Territory.</w:t>
      </w:r>
      <w:r>
        <w:rPr>
          <w:vertAlign w:val="superscript"/>
        </w:rPr>
        <w:footnoteReference w:id="26"/>
      </w:r>
    </w:p>
    <w:p w14:paraId="219B64D4" w14:textId="77777777" w:rsidR="00E17EAF" w:rsidRPr="004E474C" w:rsidRDefault="003A6359" w:rsidP="00B95B2A">
      <w:r w:rsidRPr="004E474C">
        <w:t xml:space="preserve">In 2021, most children aged 0 to 5 lived in major cities (73% or 1.33 million), with 17% (315,000) living in </w:t>
      </w:r>
      <w:r w:rsidR="00137E3E">
        <w:t>i</w:t>
      </w:r>
      <w:r w:rsidRPr="004E474C">
        <w:t xml:space="preserve">nner </w:t>
      </w:r>
      <w:r w:rsidR="00137E3E">
        <w:t>r</w:t>
      </w:r>
      <w:r w:rsidRPr="004E474C">
        <w:t xml:space="preserve">egional areas, 8% (141,000) living in </w:t>
      </w:r>
      <w:r w:rsidR="00137E3E">
        <w:t>o</w:t>
      </w:r>
      <w:r w:rsidRPr="004E474C">
        <w:t xml:space="preserve">uter </w:t>
      </w:r>
      <w:r w:rsidR="00137E3E">
        <w:t>r</w:t>
      </w:r>
      <w:r w:rsidRPr="004E474C">
        <w:t xml:space="preserve">egional areas and 2% (42,000) living in </w:t>
      </w:r>
      <w:r w:rsidR="00137E3E">
        <w:t>r</w:t>
      </w:r>
      <w:r w:rsidRPr="004E474C">
        <w:t xml:space="preserve">emote and </w:t>
      </w:r>
      <w:r w:rsidR="00137E3E">
        <w:t>v</w:t>
      </w:r>
      <w:r w:rsidRPr="004E474C">
        <w:t xml:space="preserve">ery </w:t>
      </w:r>
      <w:r w:rsidR="00137E3E">
        <w:t>r</w:t>
      </w:r>
      <w:r w:rsidRPr="004E474C">
        <w:t>emote areas.</w:t>
      </w:r>
      <w:r>
        <w:rPr>
          <w:vertAlign w:val="superscript"/>
        </w:rPr>
        <w:footnoteReference w:id="27"/>
      </w:r>
      <w:r w:rsidRPr="004E474C">
        <w:t xml:space="preserve"> </w:t>
      </w:r>
    </w:p>
    <w:p w14:paraId="6177DC86" w14:textId="77777777" w:rsidR="00E17EAF" w:rsidRPr="00B756B7" w:rsidRDefault="003A6359" w:rsidP="00B95B2A">
      <w:pPr>
        <w:pStyle w:val="Heading2"/>
        <w:rPr>
          <w:color w:val="002A3F"/>
        </w:rPr>
      </w:pPr>
      <w:bookmarkStart w:id="19" w:name="_Toc165022420"/>
      <w:r w:rsidRPr="00B756B7">
        <w:rPr>
          <w:color w:val="002A3F"/>
        </w:rPr>
        <w:t>Children’s backgrounds</w:t>
      </w:r>
      <w:bookmarkEnd w:id="19"/>
    </w:p>
    <w:p w14:paraId="4E53F3C5" w14:textId="09563B44" w:rsidR="00E17EAF" w:rsidRPr="004E474C" w:rsidRDefault="003A6359" w:rsidP="00B95B2A">
      <w:r w:rsidRPr="004E474C">
        <w:t xml:space="preserve">In 2021, 6% (or around 104,000) of children aged 0 to 5 were Aboriginal and Torres Strait Islander children. Approximately 13% of the Aboriginal and Torres Strait Islander population was aged 0 to 5, compared </w:t>
      </w:r>
      <w:r w:rsidR="00EF52B2">
        <w:t>with</w:t>
      </w:r>
      <w:r w:rsidR="00EF52B2" w:rsidRPr="004E474C">
        <w:t xml:space="preserve"> </w:t>
      </w:r>
      <w:r w:rsidRPr="004E474C">
        <w:t>6.8% of the non-Indigenous population.</w:t>
      </w:r>
      <w:r>
        <w:rPr>
          <w:vertAlign w:val="superscript"/>
        </w:rPr>
        <w:footnoteReference w:id="28"/>
      </w:r>
    </w:p>
    <w:p w14:paraId="05BBA669" w14:textId="77777777" w:rsidR="00E17EAF" w:rsidRDefault="003A6359" w:rsidP="00B95B2A">
      <w:r w:rsidRPr="004E474C">
        <w:t xml:space="preserve">In 2021, just over 3% (around 59,300) of children aged 0 to 5 were born overseas. More than one-quarter (27% or around 473,000) of children aged 0 to 5 had both parents born overseas, while another 17% (around 302,000) had one parent born overseas. </w:t>
      </w:r>
    </w:p>
    <w:p w14:paraId="0AEBB575" w14:textId="77777777" w:rsidR="00E17EAF" w:rsidRPr="004E474C" w:rsidRDefault="003A6359" w:rsidP="00B95B2A">
      <w:r>
        <w:t xml:space="preserve">In 2021, almost three-quarters of children aged 0 to 5 (72% or 1.272 million) used English at home, while around </w:t>
      </w:r>
      <w:r w:rsidRPr="004E474C">
        <w:t>one-fifth (21% or around 381,000) spoke a language other than English at home.</w:t>
      </w:r>
      <w:r>
        <w:rPr>
          <w:vertAlign w:val="superscript"/>
        </w:rPr>
        <w:footnoteReference w:id="29"/>
      </w:r>
    </w:p>
    <w:p w14:paraId="0F9CFC89" w14:textId="6573BF6B" w:rsidR="00E17EAF" w:rsidRPr="004E474C" w:rsidRDefault="003A6359" w:rsidP="00B95B2A">
      <w:r w:rsidRPr="004E474C">
        <w:t xml:space="preserve">In 2021, almost 14,800 children aged 0 to 5 were permanently settled in Australia, including around 520 who arrived in Australia under the </w:t>
      </w:r>
      <w:r w:rsidR="00EF52B2">
        <w:t>h</w:t>
      </w:r>
      <w:r w:rsidRPr="004E474C">
        <w:t xml:space="preserve">umanitarian </w:t>
      </w:r>
      <w:r w:rsidR="00EF52B2">
        <w:t>p</w:t>
      </w:r>
      <w:r w:rsidRPr="004E474C">
        <w:t>rogram for refugees and others in refugee</w:t>
      </w:r>
      <w:r w:rsidRPr="004E474C">
        <w:noBreakHyphen/>
        <w:t>like situations.</w:t>
      </w:r>
      <w:r>
        <w:rPr>
          <w:vertAlign w:val="superscript"/>
        </w:rPr>
        <w:footnoteReference w:id="30"/>
      </w:r>
    </w:p>
    <w:p w14:paraId="1490BBA2" w14:textId="77777777" w:rsidR="0027274B" w:rsidRPr="00B756B7" w:rsidRDefault="003A6359" w:rsidP="0027274B">
      <w:pPr>
        <w:pStyle w:val="Heading2"/>
        <w:rPr>
          <w:color w:val="002A3F"/>
        </w:rPr>
      </w:pPr>
      <w:bookmarkStart w:id="20" w:name="_Toc147129556"/>
      <w:bookmarkStart w:id="21" w:name="_Toc165022421"/>
      <w:r w:rsidRPr="00B756B7">
        <w:rPr>
          <w:color w:val="002A3F"/>
        </w:rPr>
        <w:t>Child safety</w:t>
      </w:r>
      <w:bookmarkEnd w:id="20"/>
      <w:bookmarkEnd w:id="21"/>
    </w:p>
    <w:p w14:paraId="0F7B019B" w14:textId="2ECEFD42" w:rsidR="00D358B4" w:rsidRDefault="003A6359" w:rsidP="00D358B4">
      <w:r>
        <w:t>A 2021 national survey found that 62.2% of Australians aged 16 or older reported experiencing one or more form of child maltreatment in childhood. Of this:</w:t>
      </w:r>
    </w:p>
    <w:p w14:paraId="7CF96348" w14:textId="77777777" w:rsidR="00D358B4" w:rsidRPr="00D358B4" w:rsidRDefault="003A6359" w:rsidP="00425DC3">
      <w:pPr>
        <w:pStyle w:val="ListBullet"/>
        <w:numPr>
          <w:ilvl w:val="0"/>
          <w:numId w:val="20"/>
        </w:numPr>
      </w:pPr>
      <w:r>
        <w:t>32% experienced physical abuse as a child</w:t>
      </w:r>
    </w:p>
    <w:p w14:paraId="0662C868" w14:textId="77777777" w:rsidR="00D358B4" w:rsidRDefault="003A6359" w:rsidP="00425DC3">
      <w:pPr>
        <w:pStyle w:val="ListBullet"/>
        <w:numPr>
          <w:ilvl w:val="0"/>
          <w:numId w:val="20"/>
        </w:numPr>
      </w:pPr>
      <w:r>
        <w:t xml:space="preserve">28.5% experienced child sexual abuse, with just over half of those being abused by another child </w:t>
      </w:r>
      <w:r w:rsidR="00A67109">
        <w:t xml:space="preserve">aged </w:t>
      </w:r>
      <w:r>
        <w:t xml:space="preserve">under </w:t>
      </w:r>
      <w:proofErr w:type="gramStart"/>
      <w:r>
        <w:t>18</w:t>
      </w:r>
      <w:proofErr w:type="gramEnd"/>
    </w:p>
    <w:p w14:paraId="16AEEC04" w14:textId="77777777" w:rsidR="00D358B4" w:rsidRDefault="003A6359" w:rsidP="00425DC3">
      <w:pPr>
        <w:pStyle w:val="ListBullet"/>
        <w:numPr>
          <w:ilvl w:val="0"/>
          <w:numId w:val="20"/>
        </w:numPr>
      </w:pPr>
      <w:r>
        <w:t>30.9% experienced emotional abuse as a child</w:t>
      </w:r>
    </w:p>
    <w:p w14:paraId="4FA10BB3" w14:textId="77777777" w:rsidR="00D358B4" w:rsidRDefault="003A6359" w:rsidP="00425DC3">
      <w:pPr>
        <w:pStyle w:val="ListBullet"/>
        <w:numPr>
          <w:ilvl w:val="0"/>
          <w:numId w:val="20"/>
        </w:numPr>
      </w:pPr>
      <w:r>
        <w:t>8.9% experienced childhood neglect</w:t>
      </w:r>
    </w:p>
    <w:p w14:paraId="704ABF58" w14:textId="77777777" w:rsidR="00D358B4" w:rsidRPr="00D358B4" w:rsidRDefault="003A6359" w:rsidP="00425DC3">
      <w:pPr>
        <w:pStyle w:val="ListBullet"/>
        <w:numPr>
          <w:ilvl w:val="0"/>
          <w:numId w:val="20"/>
        </w:numPr>
      </w:pPr>
      <w:r>
        <w:lastRenderedPageBreak/>
        <w:t>39.6% had been exposed to domestic violence as a child.</w:t>
      </w:r>
      <w:r>
        <w:rPr>
          <w:rStyle w:val="FootnoteReference"/>
        </w:rPr>
        <w:footnoteReference w:id="31"/>
      </w:r>
    </w:p>
    <w:p w14:paraId="7E9B93B1" w14:textId="77777777" w:rsidR="0027274B" w:rsidRPr="00B756B7" w:rsidRDefault="003A6359" w:rsidP="0027274B">
      <w:pPr>
        <w:pStyle w:val="Heading3"/>
        <w:rPr>
          <w:color w:val="002A3F"/>
        </w:rPr>
      </w:pPr>
      <w:bookmarkStart w:id="22" w:name="_Toc147220207"/>
      <w:bookmarkStart w:id="23" w:name="_Toc148009147"/>
      <w:r w:rsidRPr="00B756B7">
        <w:rPr>
          <w:color w:val="002A3F"/>
        </w:rPr>
        <w:t>Substantiations of child protection notifications</w:t>
      </w:r>
      <w:bookmarkEnd w:id="22"/>
      <w:bookmarkEnd w:id="23"/>
    </w:p>
    <w:p w14:paraId="317DEFE7" w14:textId="77777777" w:rsidR="0027274B" w:rsidRPr="00BE77B0" w:rsidRDefault="003A6359" w:rsidP="00137E3E">
      <w:bookmarkStart w:id="24" w:name="_Toc147220208"/>
      <w:bookmarkStart w:id="25" w:name="_Toc148009148"/>
      <w:r w:rsidRPr="00BE77B0">
        <w:t>In 2021–22, around 16,200 children aged 0 to 4 (including unborn children) were subjects of substantiated maltreatment.</w:t>
      </w:r>
      <w:bookmarkEnd w:id="24"/>
      <w:bookmarkEnd w:id="25"/>
    </w:p>
    <w:p w14:paraId="47693B79" w14:textId="77777777" w:rsidR="0027274B" w:rsidRPr="00BE77B0" w:rsidRDefault="003A6359" w:rsidP="00137E3E">
      <w:r w:rsidRPr="00BE77B0">
        <w:t>Between 2019–20 and 2021–22, the rate of children aged 0 to 4 (including unborn children) who were subjects of substantiated maltreatment, decreased from 11.7 to 10.7 per 1,000 children.</w:t>
      </w:r>
      <w:r>
        <w:rPr>
          <w:vertAlign w:val="superscript"/>
        </w:rPr>
        <w:footnoteReference w:id="32"/>
      </w:r>
    </w:p>
    <w:p w14:paraId="2B1B6088" w14:textId="77777777" w:rsidR="0027274B" w:rsidRPr="00B756B7" w:rsidRDefault="003A6359" w:rsidP="0027274B">
      <w:pPr>
        <w:pStyle w:val="Heading3"/>
        <w:rPr>
          <w:color w:val="002A3F"/>
        </w:rPr>
      </w:pPr>
      <w:bookmarkStart w:id="26" w:name="_Toc147220209"/>
      <w:bookmarkStart w:id="27" w:name="_Toc148009149"/>
      <w:r w:rsidRPr="00B756B7">
        <w:rPr>
          <w:color w:val="002A3F"/>
        </w:rPr>
        <w:t>Out-of-home care</w:t>
      </w:r>
      <w:bookmarkEnd w:id="26"/>
      <w:bookmarkEnd w:id="27"/>
    </w:p>
    <w:p w14:paraId="5453177F" w14:textId="77777777" w:rsidR="0027274B" w:rsidRPr="00BE77B0" w:rsidRDefault="003A6359" w:rsidP="00137E3E">
      <w:proofErr w:type="gramStart"/>
      <w:r w:rsidRPr="00BE77B0">
        <w:t>At</w:t>
      </w:r>
      <w:proofErr w:type="gramEnd"/>
      <w:r w:rsidRPr="00BE77B0">
        <w:t xml:space="preserve"> 30 June 2022, around 9,700 children aged 0 to 4 were in out-of-home care.</w:t>
      </w:r>
    </w:p>
    <w:p w14:paraId="12B95807" w14:textId="77777777" w:rsidR="0027274B" w:rsidRPr="00BE77B0" w:rsidRDefault="003A6359" w:rsidP="00137E3E">
      <w:r w:rsidRPr="00BE77B0">
        <w:t>Between 30 June 2020 and 30 June 2022, the rate of children aged 0 to 4 who were in out-of-home care remained relatively stable for all children, from 6.7 to 6.4 per 1,000 children.</w:t>
      </w:r>
      <w:r>
        <w:rPr>
          <w:vertAlign w:val="superscript"/>
        </w:rPr>
        <w:footnoteReference w:id="33"/>
      </w:r>
    </w:p>
    <w:p w14:paraId="6B72C5CE" w14:textId="77777777" w:rsidR="0027274B" w:rsidRPr="00B756B7" w:rsidRDefault="003A6359" w:rsidP="0027274B">
      <w:pPr>
        <w:pStyle w:val="Heading3"/>
        <w:rPr>
          <w:color w:val="002A3F"/>
        </w:rPr>
      </w:pPr>
      <w:bookmarkStart w:id="28" w:name="_Toc147220211"/>
      <w:bookmarkStart w:id="29" w:name="_Toc148009150"/>
      <w:r w:rsidRPr="00B756B7">
        <w:rPr>
          <w:color w:val="002A3F"/>
        </w:rPr>
        <w:t>Domestic violence</w:t>
      </w:r>
      <w:bookmarkEnd w:id="28"/>
      <w:bookmarkEnd w:id="29"/>
    </w:p>
    <w:p w14:paraId="2D1B51B2" w14:textId="77777777" w:rsidR="0027274B" w:rsidRPr="00BE77B0" w:rsidRDefault="003A6359" w:rsidP="00137E3E">
      <w:r w:rsidRPr="00BE77B0">
        <w:t>An estimated 2.6 million people aged 18 years and over (13%) witnessed violence towards a parent by a partner before the age of 15.</w:t>
      </w:r>
      <w:r>
        <w:rPr>
          <w:rStyle w:val="FootnoteReference"/>
          <w:rFonts w:ascii="Calibri" w:hAnsi="Calibri" w:cs="Calibri"/>
          <w:sz w:val="22"/>
          <w:szCs w:val="20"/>
        </w:rPr>
        <w:footnoteReference w:id="34"/>
      </w:r>
    </w:p>
    <w:p w14:paraId="0C19D5D6" w14:textId="77777777" w:rsidR="00726A34" w:rsidRDefault="003A6359">
      <w:pPr>
        <w:spacing w:line="259" w:lineRule="auto"/>
        <w:rPr>
          <w:rFonts w:asciiTheme="majorHAnsi" w:eastAsiaTheme="majorEastAsia" w:hAnsiTheme="majorHAnsi" w:cstheme="majorBidi"/>
          <w:color w:val="262626" w:themeColor="text1" w:themeTint="D9"/>
          <w:sz w:val="40"/>
          <w:szCs w:val="40"/>
        </w:rPr>
      </w:pPr>
      <w:bookmarkStart w:id="30" w:name="_Existing_strategies_and"/>
      <w:bookmarkEnd w:id="30"/>
      <w:r>
        <w:br w:type="page"/>
      </w:r>
    </w:p>
    <w:p w14:paraId="562D20BF" w14:textId="77777777" w:rsidR="00E17EAF" w:rsidRPr="009F663F" w:rsidRDefault="003A6359" w:rsidP="00E17EAF">
      <w:pPr>
        <w:pStyle w:val="Heading1"/>
        <w:rPr>
          <w:color w:val="002A3F"/>
        </w:rPr>
      </w:pPr>
      <w:bookmarkStart w:id="31" w:name="_Toc165022422"/>
      <w:r w:rsidRPr="009F663F">
        <w:rPr>
          <w:color w:val="002A3F"/>
        </w:rPr>
        <w:lastRenderedPageBreak/>
        <w:t>What we know about families</w:t>
      </w:r>
      <w:bookmarkEnd w:id="31"/>
    </w:p>
    <w:p w14:paraId="1C4E2D75" w14:textId="77777777" w:rsidR="00E17EAF" w:rsidRPr="00137E3E" w:rsidRDefault="003A6359" w:rsidP="00B95B2A">
      <w:pPr>
        <w:rPr>
          <w:i/>
          <w:iCs/>
        </w:rPr>
      </w:pPr>
      <w:r w:rsidRPr="00137E3E">
        <w:rPr>
          <w:i/>
          <w:iCs/>
        </w:rPr>
        <w:t>The Australian Bureau of Statistics (ABS) defines a family as 2 or more persons, one of whom is at least 15 years of age, who are related by blood, marriage (registered or de facto), adoption, step or fostering, and who usually live in the same household.</w:t>
      </w:r>
      <w:r>
        <w:rPr>
          <w:i/>
          <w:iCs/>
          <w:vertAlign w:val="superscript"/>
        </w:rPr>
        <w:footnoteReference w:id="35"/>
      </w:r>
      <w:r w:rsidRPr="00137E3E">
        <w:rPr>
          <w:i/>
          <w:iCs/>
        </w:rPr>
        <w:t xml:space="preserve"> This definition may not always align with how a child defines their family, and it may not align with the concept of a family for Aboriginal and Torres Strait Islander Australians. </w:t>
      </w:r>
    </w:p>
    <w:p w14:paraId="7E32B4D2" w14:textId="77777777" w:rsidR="00E17EAF" w:rsidRPr="004E474C" w:rsidRDefault="003A6359" w:rsidP="00B95B2A">
      <w:r w:rsidRPr="004E474C">
        <w:t>In 2021, 81% (around 1.4 million) of children aged 0 to 5 lived in couple families, slightly higher than in 2011 (76%) and 2016 (79%). About 13% (around 228,000) of children lived in one-parent families</w:t>
      </w:r>
      <w:r>
        <w:t xml:space="preserve"> in 2021, while for another 6% (around 107,000) of children, family composition was other or not defined</w:t>
      </w:r>
      <w:r w:rsidRPr="004E474C">
        <w:t>.</w:t>
      </w:r>
      <w:r>
        <w:rPr>
          <w:vertAlign w:val="superscript"/>
        </w:rPr>
        <w:footnoteReference w:id="36"/>
      </w:r>
    </w:p>
    <w:p w14:paraId="7A4FDBE4" w14:textId="77777777" w:rsidR="00E17EAF" w:rsidRPr="004E474C" w:rsidRDefault="003A6359" w:rsidP="00B95B2A">
      <w:proofErr w:type="gramStart"/>
      <w:r w:rsidRPr="004E474C">
        <w:t>The majority of</w:t>
      </w:r>
      <w:proofErr w:type="gramEnd"/>
      <w:r w:rsidRPr="004E474C">
        <w:t xml:space="preserve"> children aged 0 to 5 living in couple families in 2021 lived with their </w:t>
      </w:r>
      <w:r w:rsidRPr="009F663F">
        <w:rPr>
          <w:rStyle w:val="IntenseEmphasis"/>
          <w:color w:val="auto"/>
        </w:rPr>
        <w:t>natural or adopted parents</w:t>
      </w:r>
      <w:r w:rsidRPr="004E474C">
        <w:t xml:space="preserve"> (90% or around 1.3 million):</w:t>
      </w:r>
    </w:p>
    <w:p w14:paraId="64B3A08E" w14:textId="77777777" w:rsidR="00E17EAF" w:rsidRPr="004E474C" w:rsidRDefault="003A6359" w:rsidP="00E43DF7">
      <w:pPr>
        <w:pStyle w:val="ListBullet"/>
      </w:pPr>
      <w:r w:rsidRPr="004E474C">
        <w:t xml:space="preserve">5.6% (around 80,400) lived in </w:t>
      </w:r>
      <w:r w:rsidRPr="009F663F">
        <w:rPr>
          <w:rStyle w:val="IntenseEmphasis"/>
          <w:color w:val="auto"/>
        </w:rPr>
        <w:t>blended families</w:t>
      </w:r>
      <w:r w:rsidRPr="009F663F">
        <w:t xml:space="preserve"> </w:t>
      </w:r>
      <w:r w:rsidRPr="004E474C">
        <w:t xml:space="preserve">– a family with at least one child of both partners (natural or adopted) and at least </w:t>
      </w:r>
      <w:r w:rsidR="00137E3E">
        <w:t>one</w:t>
      </w:r>
      <w:r w:rsidRPr="004E474C">
        <w:t xml:space="preserve"> stepchild</w:t>
      </w:r>
    </w:p>
    <w:p w14:paraId="5A23429F" w14:textId="77777777" w:rsidR="00E17EAF" w:rsidRPr="004E474C" w:rsidRDefault="003A6359" w:rsidP="00E43DF7">
      <w:pPr>
        <w:pStyle w:val="ListBullet"/>
      </w:pPr>
      <w:r w:rsidRPr="004E474C">
        <w:t xml:space="preserve">3.8% (around 54,300) lived in </w:t>
      </w:r>
      <w:r w:rsidRPr="009F663F">
        <w:rPr>
          <w:rStyle w:val="IntenseEmphasis"/>
          <w:color w:val="auto"/>
        </w:rPr>
        <w:t>stepfamilies</w:t>
      </w:r>
      <w:r w:rsidRPr="004E474C">
        <w:t xml:space="preserve"> – a family with at least one stepchild and no natural or adopted children.</w:t>
      </w:r>
    </w:p>
    <w:p w14:paraId="15BFC234" w14:textId="77777777" w:rsidR="00E17EAF" w:rsidRPr="004E474C" w:rsidRDefault="003A6359" w:rsidP="00B95B2A">
      <w:r w:rsidRPr="004E474C">
        <w:t>Children living in one-parent families, blended or stepfamilies may live according to shared-care arrangements agreed between their original parents; however</w:t>
      </w:r>
      <w:r w:rsidR="00137E3E">
        <w:t>,</w:t>
      </w:r>
      <w:r w:rsidRPr="004E474C">
        <w:t xml:space="preserve"> no nationally consistent data is available on these arrangements. Less than 1% of children in couple families lived in other arrangements, such as grandparent families and families with foster children only.</w:t>
      </w:r>
      <w:r>
        <w:rPr>
          <w:vertAlign w:val="superscript"/>
        </w:rPr>
        <w:footnoteReference w:id="37"/>
      </w:r>
    </w:p>
    <w:p w14:paraId="788A02B4" w14:textId="5F96D4EE" w:rsidR="00E17EAF" w:rsidRDefault="003A6359" w:rsidP="00B95B2A">
      <w:r w:rsidRPr="004E474C">
        <w:t>In 2021, approximately 7,800 (0.4%) children aged 0 to 5 lived with a same</w:t>
      </w:r>
      <w:r w:rsidR="00063ACB">
        <w:t>-</w:t>
      </w:r>
      <w:r w:rsidRPr="004E474C">
        <w:t>sex parent couple. The number of children living with a same</w:t>
      </w:r>
      <w:r w:rsidR="00063ACB">
        <w:t>-</w:t>
      </w:r>
      <w:r w:rsidRPr="004E474C">
        <w:t>sex parent couple has almost doubled since 2016 (from approximately 4,300 children).</w:t>
      </w:r>
      <w:r>
        <w:rPr>
          <w:vertAlign w:val="superscript"/>
        </w:rPr>
        <w:footnoteReference w:id="38"/>
      </w:r>
    </w:p>
    <w:p w14:paraId="6196ADF9" w14:textId="77777777" w:rsidR="00611C9C" w:rsidRPr="009F663F" w:rsidRDefault="003A6359" w:rsidP="00611C9C">
      <w:pPr>
        <w:pStyle w:val="Heading4"/>
        <w:pBdr>
          <w:top w:val="single" w:sz="4" w:space="1" w:color="auto"/>
          <w:left w:val="single" w:sz="4" w:space="1" w:color="auto"/>
          <w:bottom w:val="single" w:sz="4" w:space="1" w:color="auto"/>
          <w:right w:val="single" w:sz="4" w:space="1" w:color="auto"/>
        </w:pBdr>
        <w:rPr>
          <w:i w:val="0"/>
          <w:iCs w:val="0"/>
          <w:color w:val="auto"/>
        </w:rPr>
      </w:pPr>
      <w:r w:rsidRPr="009F663F">
        <w:rPr>
          <w:i w:val="0"/>
          <w:iCs w:val="0"/>
          <w:color w:val="auto"/>
        </w:rPr>
        <w:t>Strong families and proud in culture</w:t>
      </w:r>
    </w:p>
    <w:p w14:paraId="6C9D0996" w14:textId="2B80335A" w:rsidR="00611C9C" w:rsidRDefault="003A6359" w:rsidP="00611C9C">
      <w:pPr>
        <w:pBdr>
          <w:top w:val="single" w:sz="4" w:space="1" w:color="auto"/>
          <w:left w:val="single" w:sz="4" w:space="1" w:color="auto"/>
          <w:bottom w:val="single" w:sz="4" w:space="1" w:color="auto"/>
          <w:right w:val="single" w:sz="4" w:space="1" w:color="auto"/>
        </w:pBdr>
      </w:pPr>
      <w:r w:rsidRPr="004E474C">
        <w:t xml:space="preserve">Across Australia, </w:t>
      </w:r>
      <w:r>
        <w:t xml:space="preserve">many Aboriginal and Torres Strait </w:t>
      </w:r>
      <w:r w:rsidR="00063ACB">
        <w:t xml:space="preserve">Islander </w:t>
      </w:r>
      <w:r w:rsidRPr="004E474C">
        <w:t xml:space="preserve">families and communities </w:t>
      </w:r>
      <w:r>
        <w:t xml:space="preserve">are </w:t>
      </w:r>
      <w:r w:rsidRPr="004E474C">
        <w:t>successfully support</w:t>
      </w:r>
      <w:r>
        <w:t>ing</w:t>
      </w:r>
      <w:r w:rsidRPr="004E474C">
        <w:t xml:space="preserve"> and nurtur</w:t>
      </w:r>
      <w:r>
        <w:t>ing</w:t>
      </w:r>
      <w:r w:rsidRPr="004E474C">
        <w:t xml:space="preserve"> their young children. </w:t>
      </w:r>
      <w:r>
        <w:t xml:space="preserve">Yet </w:t>
      </w:r>
      <w:r w:rsidRPr="004E474C">
        <w:t>wide gaps in early childhood development outcomes persist</w:t>
      </w:r>
      <w:r>
        <w:t>.</w:t>
      </w:r>
      <w:r>
        <w:rPr>
          <w:rStyle w:val="FootnoteReference"/>
        </w:rPr>
        <w:footnoteReference w:id="39"/>
      </w:r>
    </w:p>
    <w:p w14:paraId="5F85C16B" w14:textId="672DF6DF" w:rsidR="00611C9C" w:rsidRDefault="003A6359" w:rsidP="00611C9C">
      <w:pPr>
        <w:pBdr>
          <w:top w:val="single" w:sz="4" w:space="1" w:color="auto"/>
          <w:left w:val="single" w:sz="4" w:space="1" w:color="auto"/>
          <w:bottom w:val="single" w:sz="4" w:space="1" w:color="auto"/>
          <w:right w:val="single" w:sz="4" w:space="1" w:color="auto"/>
        </w:pBdr>
      </w:pPr>
      <w:r>
        <w:t xml:space="preserve">We know relationships with community, kin, </w:t>
      </w:r>
      <w:proofErr w:type="gramStart"/>
      <w:r>
        <w:t>caregivers</w:t>
      </w:r>
      <w:proofErr w:type="gramEnd"/>
      <w:r>
        <w:t xml:space="preserve"> and Country are important. They are often the first relationships Aboriginal and Torres Strait </w:t>
      </w:r>
      <w:r w:rsidR="00063ACB">
        <w:t xml:space="preserve">Islander </w:t>
      </w:r>
      <w:r>
        <w:t>children have outside the home.</w:t>
      </w:r>
    </w:p>
    <w:p w14:paraId="2959FE83" w14:textId="77777777" w:rsidR="00611C9C" w:rsidRDefault="003A6359" w:rsidP="00611C9C">
      <w:pPr>
        <w:pBdr>
          <w:top w:val="single" w:sz="4" w:space="1" w:color="auto"/>
          <w:left w:val="single" w:sz="4" w:space="1" w:color="auto"/>
          <w:bottom w:val="single" w:sz="4" w:space="1" w:color="auto"/>
          <w:right w:val="single" w:sz="4" w:space="1" w:color="auto"/>
        </w:pBdr>
      </w:pPr>
      <w:r>
        <w:t xml:space="preserve">The Early Years Strategy supports the </w:t>
      </w:r>
      <w:r w:rsidRPr="009F663F">
        <w:rPr>
          <w:rStyle w:val="IntenseEmphasis"/>
          <w:b w:val="0"/>
          <w:bCs w:val="0"/>
          <w:i w:val="0"/>
          <w:iCs w:val="0"/>
          <w:color w:val="auto"/>
        </w:rPr>
        <w:t>Closing the Gap</w:t>
      </w:r>
      <w:r w:rsidRPr="009F663F">
        <w:t xml:space="preserve"> </w:t>
      </w:r>
      <w:r>
        <w:t>early years outcome areas:</w:t>
      </w:r>
    </w:p>
    <w:p w14:paraId="7C85BCDB" w14:textId="77777777" w:rsidR="00611C9C" w:rsidRDefault="003A6359" w:rsidP="00611C9C">
      <w:pPr>
        <w:pBdr>
          <w:top w:val="single" w:sz="4" w:space="1" w:color="auto"/>
          <w:left w:val="single" w:sz="4" w:space="1" w:color="auto"/>
          <w:bottom w:val="single" w:sz="4" w:space="1" w:color="auto"/>
          <w:right w:val="single" w:sz="4" w:space="1" w:color="auto"/>
        </w:pBdr>
      </w:pPr>
      <w:r>
        <w:rPr>
          <w:rFonts w:ascii="Symbol" w:hAnsi="Symbol"/>
          <w:iCs/>
        </w:rPr>
        <w:sym w:font="Symbol" w:char="F0AE"/>
      </w:r>
      <w:r>
        <w:rPr>
          <w:iCs/>
        </w:rPr>
        <w:t xml:space="preserve"> Outcome area 1: Aboriginal and Torres Strait Islander people enjoy long and healthy lives.</w:t>
      </w:r>
    </w:p>
    <w:p w14:paraId="31AB1286" w14:textId="77777777" w:rsidR="00611C9C" w:rsidRDefault="003A6359" w:rsidP="00611C9C">
      <w:pPr>
        <w:pBdr>
          <w:top w:val="single" w:sz="4" w:space="1" w:color="auto"/>
          <w:left w:val="single" w:sz="4" w:space="1" w:color="auto"/>
          <w:bottom w:val="single" w:sz="4" w:space="1" w:color="auto"/>
          <w:right w:val="single" w:sz="4" w:space="1" w:color="auto"/>
        </w:pBdr>
      </w:pPr>
      <w:r>
        <w:rPr>
          <w:rFonts w:ascii="Symbol" w:hAnsi="Symbol"/>
          <w:iCs/>
        </w:rPr>
        <w:lastRenderedPageBreak/>
        <w:sym w:font="Symbol" w:char="F0AE"/>
      </w:r>
      <w:r>
        <w:rPr>
          <w:iCs/>
        </w:rPr>
        <w:t xml:space="preserve"> </w:t>
      </w:r>
      <w:r>
        <w:t>Outcome area 2: Aboriginal and Torres Strait Islander children are born healthy and strong.</w:t>
      </w:r>
    </w:p>
    <w:p w14:paraId="0AF266FD" w14:textId="387384EE" w:rsidR="00611C9C" w:rsidRDefault="003A6359" w:rsidP="00611C9C">
      <w:pPr>
        <w:pBdr>
          <w:top w:val="single" w:sz="4" w:space="1" w:color="auto"/>
          <w:left w:val="single" w:sz="4" w:space="1" w:color="auto"/>
          <w:bottom w:val="single" w:sz="4" w:space="1" w:color="auto"/>
          <w:right w:val="single" w:sz="4" w:space="1" w:color="auto"/>
        </w:pBdr>
      </w:pPr>
      <w:r>
        <w:rPr>
          <w:rFonts w:ascii="Symbol" w:hAnsi="Symbol"/>
          <w:iCs/>
        </w:rPr>
        <w:sym w:font="Symbol" w:char="F0AE"/>
      </w:r>
      <w:r>
        <w:rPr>
          <w:iCs/>
        </w:rPr>
        <w:t xml:space="preserve"> </w:t>
      </w:r>
      <w:r>
        <w:t>Outcome area 3: Aboriginal and Torres Strait Islander children are engaged in high</w:t>
      </w:r>
      <w:r w:rsidR="00063ACB">
        <w:t>-</w:t>
      </w:r>
      <w:r>
        <w:t>quality, culturally appropriate early childhood education in their early years.</w:t>
      </w:r>
    </w:p>
    <w:p w14:paraId="1065B641" w14:textId="77777777" w:rsidR="00611C9C" w:rsidRDefault="003A6359" w:rsidP="00611C9C">
      <w:pPr>
        <w:pBdr>
          <w:top w:val="single" w:sz="4" w:space="1" w:color="auto"/>
          <w:left w:val="single" w:sz="4" w:space="1" w:color="auto"/>
          <w:bottom w:val="single" w:sz="4" w:space="1" w:color="auto"/>
          <w:right w:val="single" w:sz="4" w:space="1" w:color="auto"/>
        </w:pBdr>
      </w:pPr>
      <w:r>
        <w:rPr>
          <w:rFonts w:ascii="Symbol" w:hAnsi="Symbol"/>
          <w:iCs/>
        </w:rPr>
        <w:sym w:font="Symbol" w:char="F0AE"/>
      </w:r>
      <w:r>
        <w:rPr>
          <w:iCs/>
        </w:rPr>
        <w:t xml:space="preserve"> </w:t>
      </w:r>
      <w:r>
        <w:t xml:space="preserve">Outcome area 4: Aboriginal and Torres Strait Islander children thrive in their early years. </w:t>
      </w:r>
    </w:p>
    <w:p w14:paraId="290D93E3" w14:textId="77777777" w:rsidR="00611C9C" w:rsidRDefault="003A6359" w:rsidP="00611C9C">
      <w:pPr>
        <w:pBdr>
          <w:top w:val="single" w:sz="4" w:space="1" w:color="auto"/>
          <w:left w:val="single" w:sz="4" w:space="1" w:color="auto"/>
          <w:bottom w:val="single" w:sz="4" w:space="1" w:color="auto"/>
          <w:right w:val="single" w:sz="4" w:space="1" w:color="auto"/>
        </w:pBdr>
      </w:pPr>
      <w:r>
        <w:rPr>
          <w:rFonts w:ascii="Symbol" w:hAnsi="Symbol"/>
          <w:iCs/>
        </w:rPr>
        <w:sym w:font="Symbol" w:char="F0AE"/>
      </w:r>
      <w:r>
        <w:rPr>
          <w:iCs/>
        </w:rPr>
        <w:t xml:space="preserve"> </w:t>
      </w:r>
      <w:r>
        <w:t xml:space="preserve">Outcome area 12: Aboriginal and Torres Strait Islander children are not overrepresented in the child protection system. </w:t>
      </w:r>
    </w:p>
    <w:p w14:paraId="08EF2EC1" w14:textId="77777777" w:rsidR="00611C9C" w:rsidRPr="004E474C" w:rsidRDefault="003A6359" w:rsidP="00DE25AB">
      <w:pPr>
        <w:pBdr>
          <w:top w:val="single" w:sz="4" w:space="1" w:color="auto"/>
          <w:left w:val="single" w:sz="4" w:space="1" w:color="auto"/>
          <w:bottom w:val="single" w:sz="4" w:space="1" w:color="auto"/>
          <w:right w:val="single" w:sz="4" w:space="1" w:color="auto"/>
        </w:pBdr>
      </w:pPr>
      <w:r>
        <w:rPr>
          <w:rFonts w:ascii="Symbol" w:hAnsi="Symbol"/>
          <w:iCs/>
        </w:rPr>
        <w:sym w:font="Symbol" w:char="F0AE"/>
      </w:r>
      <w:r>
        <w:rPr>
          <w:iCs/>
        </w:rPr>
        <w:t xml:space="preserve"> </w:t>
      </w:r>
      <w:r>
        <w:t xml:space="preserve">Outcome area 13: Aboriginal and Torres Strait Islander families and households are safe. </w:t>
      </w:r>
    </w:p>
    <w:p w14:paraId="5AE159EF" w14:textId="77777777" w:rsidR="0027274B" w:rsidRPr="009F663F" w:rsidRDefault="003A6359" w:rsidP="0027274B">
      <w:pPr>
        <w:pStyle w:val="Heading2"/>
        <w:rPr>
          <w:color w:val="002A3F"/>
        </w:rPr>
      </w:pPr>
      <w:bookmarkStart w:id="32" w:name="_Toc165022423"/>
      <w:r w:rsidRPr="009F663F">
        <w:rPr>
          <w:color w:val="002A3F"/>
        </w:rPr>
        <w:t>Housing and labour force status</w:t>
      </w:r>
      <w:bookmarkEnd w:id="32"/>
    </w:p>
    <w:p w14:paraId="12440C08" w14:textId="77777777" w:rsidR="0027274B" w:rsidRPr="009F663F" w:rsidRDefault="003A6359" w:rsidP="0027274B">
      <w:pPr>
        <w:pStyle w:val="Heading3"/>
        <w:rPr>
          <w:color w:val="002A3F"/>
        </w:rPr>
      </w:pPr>
      <w:bookmarkStart w:id="33" w:name="_Toc147129555"/>
      <w:bookmarkStart w:id="34" w:name="_Toc147220204"/>
      <w:bookmarkStart w:id="35" w:name="_Toc148009144"/>
      <w:r w:rsidRPr="009F663F">
        <w:rPr>
          <w:color w:val="002A3F"/>
        </w:rPr>
        <w:t>Housing</w:t>
      </w:r>
      <w:bookmarkEnd w:id="33"/>
      <w:r w:rsidRPr="009F663F">
        <w:rPr>
          <w:color w:val="002A3F"/>
        </w:rPr>
        <w:t xml:space="preserve"> stress</w:t>
      </w:r>
      <w:bookmarkEnd w:id="34"/>
      <w:bookmarkEnd w:id="35"/>
    </w:p>
    <w:p w14:paraId="578E3917" w14:textId="77777777" w:rsidR="0027274B" w:rsidRPr="00BE77B0" w:rsidRDefault="003A6359" w:rsidP="00137E3E">
      <w:r w:rsidRPr="00BE77B0">
        <w:t>In 2021, 18% (around 316,000) of children aged 0 to 5 were living in households with housing costs (mortgage repayments or rent payments) that were above 30% of their household income.</w:t>
      </w:r>
      <w:r>
        <w:rPr>
          <w:vertAlign w:val="superscript"/>
        </w:rPr>
        <w:footnoteReference w:id="40"/>
      </w:r>
    </w:p>
    <w:p w14:paraId="06310B50" w14:textId="77777777" w:rsidR="0027274B" w:rsidRPr="009F663F" w:rsidRDefault="003A6359" w:rsidP="0027274B">
      <w:pPr>
        <w:pStyle w:val="Heading3"/>
        <w:rPr>
          <w:color w:val="002A3F"/>
        </w:rPr>
      </w:pPr>
      <w:bookmarkStart w:id="36" w:name="_Toc147220205"/>
      <w:bookmarkStart w:id="37" w:name="_Toc148009145"/>
      <w:r w:rsidRPr="009F663F">
        <w:rPr>
          <w:color w:val="002A3F"/>
        </w:rPr>
        <w:t>Homelessness</w:t>
      </w:r>
      <w:bookmarkEnd w:id="36"/>
      <w:bookmarkEnd w:id="37"/>
    </w:p>
    <w:p w14:paraId="228BBB61" w14:textId="77777777" w:rsidR="0027274B" w:rsidRPr="00BE77B0" w:rsidRDefault="003A6359" w:rsidP="00137E3E">
      <w:r w:rsidRPr="00BE77B0">
        <w:t>In 2021, 0.5% (almost 9,000) children aged 0 to 5 were homeless.</w:t>
      </w:r>
      <w:r>
        <w:rPr>
          <w:vertAlign w:val="superscript"/>
        </w:rPr>
        <w:footnoteReference w:id="41"/>
      </w:r>
    </w:p>
    <w:p w14:paraId="65A03E5F" w14:textId="77777777" w:rsidR="0027274B" w:rsidRPr="009F663F" w:rsidRDefault="003A6359" w:rsidP="0027274B">
      <w:pPr>
        <w:pStyle w:val="Heading3"/>
        <w:rPr>
          <w:color w:val="002A3F"/>
        </w:rPr>
      </w:pPr>
      <w:bookmarkStart w:id="38" w:name="_Toc147220206"/>
      <w:bookmarkStart w:id="39" w:name="_Toc148009146"/>
      <w:r w:rsidRPr="009F663F">
        <w:rPr>
          <w:color w:val="002A3F"/>
        </w:rPr>
        <w:t>Labour force status</w:t>
      </w:r>
      <w:bookmarkEnd w:id="38"/>
      <w:bookmarkEnd w:id="39"/>
    </w:p>
    <w:p w14:paraId="4F859CF3" w14:textId="3FD3535F" w:rsidR="0027274B" w:rsidRPr="004E474C" w:rsidRDefault="003A6359" w:rsidP="00137E3E">
      <w:r w:rsidRPr="004E474C">
        <w:t>A family’s economic situation is closely related to the labour force status of the individuals within the household. Family joblessness can affect children by reducing a family’s overall financial security and economic wellbeing. Joblessness denies families an important income stream, and the associated financial constraints can increase financial stress and reduce parental investment in children’s needs</w:t>
      </w:r>
      <w:r w:rsidR="00CE3913">
        <w:t>,</w:t>
      </w:r>
      <w:r w:rsidRPr="004E474C">
        <w:t xml:space="preserve"> such as education, </w:t>
      </w:r>
      <w:proofErr w:type="gramStart"/>
      <w:r w:rsidRPr="004E474C">
        <w:t>food</w:t>
      </w:r>
      <w:proofErr w:type="gramEnd"/>
      <w:r w:rsidRPr="004E474C">
        <w:t xml:space="preserve"> and housing.</w:t>
      </w:r>
    </w:p>
    <w:p w14:paraId="53E2F955" w14:textId="77777777" w:rsidR="0027274B" w:rsidRPr="004E474C" w:rsidRDefault="003A6359" w:rsidP="00137E3E">
      <w:r w:rsidRPr="004E474C">
        <w:t>In 2022, around 89% of families with a youngest child aged 0 to 4 had one or more parent employed, and around 9% of families had no parent employed.</w:t>
      </w:r>
      <w:r>
        <w:rPr>
          <w:vertAlign w:val="superscript"/>
        </w:rPr>
        <w:footnoteReference w:id="42"/>
      </w:r>
    </w:p>
    <w:p w14:paraId="458410AA" w14:textId="77777777" w:rsidR="00726A34" w:rsidRDefault="003A6359">
      <w:pPr>
        <w:spacing w:line="259" w:lineRule="auto"/>
        <w:rPr>
          <w:rFonts w:asciiTheme="majorHAnsi" w:eastAsiaTheme="majorEastAsia" w:hAnsiTheme="majorHAnsi" w:cstheme="majorBidi"/>
          <w:color w:val="262626" w:themeColor="text1" w:themeTint="D9"/>
          <w:sz w:val="40"/>
          <w:szCs w:val="40"/>
        </w:rPr>
      </w:pPr>
      <w:r>
        <w:br w:type="page"/>
      </w:r>
    </w:p>
    <w:p w14:paraId="76801AFA" w14:textId="77777777" w:rsidR="00E17EAF" w:rsidRPr="009F663F" w:rsidRDefault="003A6359" w:rsidP="00E17EAF">
      <w:pPr>
        <w:pStyle w:val="Heading1"/>
        <w:rPr>
          <w:color w:val="002A3F"/>
        </w:rPr>
      </w:pPr>
      <w:bookmarkStart w:id="41" w:name="_Toc165022424"/>
      <w:r w:rsidRPr="009F663F">
        <w:rPr>
          <w:color w:val="002A3F"/>
        </w:rPr>
        <w:lastRenderedPageBreak/>
        <w:t>What we know about the antenatal period</w:t>
      </w:r>
      <w:bookmarkEnd w:id="41"/>
    </w:p>
    <w:p w14:paraId="2B97E521" w14:textId="77777777" w:rsidR="00E17EAF" w:rsidRPr="004E474C" w:rsidRDefault="003A6359" w:rsidP="00B95B2A">
      <w:r w:rsidRPr="004E474C">
        <w:t>The foundations for good health start during the antenatal period and the first years of life. Maintaining a healthy lifestyle during pregnancy contributes to better outcomes for the baby and the mother.</w:t>
      </w:r>
      <w:r>
        <w:rPr>
          <w:rStyle w:val="FootnoteReference"/>
          <w:rFonts w:ascii="Calibri" w:hAnsi="Calibri" w:cs="Calibri"/>
          <w:color w:val="000000"/>
          <w:sz w:val="22"/>
          <w:szCs w:val="20"/>
        </w:rPr>
        <w:footnoteReference w:id="43"/>
      </w:r>
      <w:r w:rsidRPr="004E474C">
        <w:t xml:space="preserve"> </w:t>
      </w:r>
    </w:p>
    <w:p w14:paraId="7D3DE3A6" w14:textId="77777777" w:rsidR="00E17EAF" w:rsidRPr="009F663F" w:rsidRDefault="003A6359" w:rsidP="00B95B2A">
      <w:pPr>
        <w:pStyle w:val="Heading2"/>
        <w:rPr>
          <w:color w:val="002A3F"/>
        </w:rPr>
      </w:pPr>
      <w:bookmarkStart w:id="42" w:name="_Toc165022425"/>
      <w:r w:rsidRPr="009F663F">
        <w:rPr>
          <w:color w:val="002A3F"/>
        </w:rPr>
        <w:t>Smoking during pregnancy</w:t>
      </w:r>
      <w:bookmarkEnd w:id="42"/>
    </w:p>
    <w:p w14:paraId="4A534E24" w14:textId="77777777" w:rsidR="00E17EAF" w:rsidRPr="004E474C" w:rsidRDefault="003A6359" w:rsidP="00B95B2A">
      <w:r w:rsidRPr="004E474C">
        <w:t xml:space="preserve">In 2021, </w:t>
      </w:r>
      <w:proofErr w:type="gramStart"/>
      <w:r w:rsidRPr="004E474C">
        <w:t xml:space="preserve">the majority </w:t>
      </w:r>
      <w:r w:rsidR="00137E3E">
        <w:t>of</w:t>
      </w:r>
      <w:proofErr w:type="gramEnd"/>
      <w:r w:rsidR="00137E3E">
        <w:t xml:space="preserve"> </w:t>
      </w:r>
      <w:r w:rsidRPr="004E474C">
        <w:t>women who gave birth (around 92%) reported not smoking during the first 20 weeks of their pregnancy, while around 8% (around 25,600)</w:t>
      </w:r>
      <w:r w:rsidR="000E461B">
        <w:t xml:space="preserve"> of</w:t>
      </w:r>
      <w:r w:rsidRPr="004E474C">
        <w:t xml:space="preserve"> women did report smoking during the first 20 weeks of their pregnancy. Between 2011 and 2021, the proportion of women who smoked during the first 20 weeks of pregnancy fell from 13% (around 37,700) to 8% (25,600).</w:t>
      </w:r>
      <w:r>
        <w:rPr>
          <w:vertAlign w:val="superscript"/>
        </w:rPr>
        <w:footnoteReference w:id="44"/>
      </w:r>
    </w:p>
    <w:p w14:paraId="78E99836" w14:textId="77777777" w:rsidR="00E17EAF" w:rsidRPr="004E474C" w:rsidRDefault="003A6359" w:rsidP="00B95B2A">
      <w:r w:rsidRPr="004E474C">
        <w:t xml:space="preserve">In 2021, of </w:t>
      </w:r>
      <w:r w:rsidR="000E461B">
        <w:t xml:space="preserve">those </w:t>
      </w:r>
      <w:r w:rsidRPr="004E474C">
        <w:t>women who reported smoking during their pregnancy, 72% reported that they continued smoking after the first 20 weeks. Between 2011 and 2021, the proportion of women who continued smoking after the first 20 weeks of pregnancy rose from 70.8% to 72.4%. However, over this time, the total number who continued to smoke decreased from around 26,700 to 18,500.</w:t>
      </w:r>
      <w:r>
        <w:rPr>
          <w:vertAlign w:val="superscript"/>
        </w:rPr>
        <w:footnoteReference w:id="45"/>
      </w:r>
    </w:p>
    <w:p w14:paraId="3481475B" w14:textId="77777777" w:rsidR="00E17EAF" w:rsidRPr="009F663F" w:rsidRDefault="003A6359" w:rsidP="00CF22A5">
      <w:pPr>
        <w:pStyle w:val="Heading2"/>
        <w:rPr>
          <w:color w:val="002A3F"/>
        </w:rPr>
      </w:pPr>
      <w:bookmarkStart w:id="44" w:name="_Toc165022426"/>
      <w:r w:rsidRPr="009F663F">
        <w:rPr>
          <w:color w:val="002A3F"/>
        </w:rPr>
        <w:t>Drinking</w:t>
      </w:r>
      <w:r w:rsidR="0035747B" w:rsidRPr="009F663F">
        <w:rPr>
          <w:color w:val="002A3F"/>
        </w:rPr>
        <w:t xml:space="preserve"> alcohol</w:t>
      </w:r>
      <w:r w:rsidRPr="009F663F">
        <w:rPr>
          <w:color w:val="002A3F"/>
        </w:rPr>
        <w:t xml:space="preserve"> during pregnancy</w:t>
      </w:r>
      <w:bookmarkEnd w:id="44"/>
    </w:p>
    <w:p w14:paraId="5E9B2BB9" w14:textId="77777777" w:rsidR="00E17EAF" w:rsidRPr="004E474C" w:rsidRDefault="003A6359" w:rsidP="00B95B2A">
      <w:r w:rsidRPr="004E474C">
        <w:t xml:space="preserve">In 2021, </w:t>
      </w:r>
      <w:proofErr w:type="gramStart"/>
      <w:r w:rsidRPr="004E474C">
        <w:t xml:space="preserve">the majority </w:t>
      </w:r>
      <w:r w:rsidR="00367B13">
        <w:t>of</w:t>
      </w:r>
      <w:proofErr w:type="gramEnd"/>
      <w:r w:rsidR="00367B13">
        <w:t xml:space="preserve"> </w:t>
      </w:r>
      <w:r w:rsidRPr="004E474C">
        <w:t xml:space="preserve">women who gave birth (around 97%) reported not consuming alcohol during the first 20 weeks of their pregnancy, while around 3% (around 5,565) </w:t>
      </w:r>
      <w:r w:rsidR="000E461B">
        <w:t xml:space="preserve">of </w:t>
      </w:r>
      <w:r w:rsidRPr="004E474C">
        <w:t>women did report consuming alcohol during the first 20 weeks of their pregnancy.</w:t>
      </w:r>
      <w:r>
        <w:rPr>
          <w:vertAlign w:val="superscript"/>
        </w:rPr>
        <w:footnoteReference w:id="46"/>
      </w:r>
    </w:p>
    <w:p w14:paraId="01E944DB" w14:textId="77777777" w:rsidR="00E17EAF" w:rsidRPr="009F663F" w:rsidRDefault="003A6359" w:rsidP="00CF22A5">
      <w:pPr>
        <w:pStyle w:val="Heading2"/>
        <w:rPr>
          <w:color w:val="002A3F"/>
        </w:rPr>
      </w:pPr>
      <w:bookmarkStart w:id="45" w:name="_Toc165022427"/>
      <w:r w:rsidRPr="009F663F">
        <w:rPr>
          <w:color w:val="002A3F"/>
        </w:rPr>
        <w:t>Antenatal care</w:t>
      </w:r>
      <w:bookmarkEnd w:id="45"/>
    </w:p>
    <w:p w14:paraId="6D034791" w14:textId="027231C0" w:rsidR="00E17EAF" w:rsidRPr="004E474C" w:rsidRDefault="003A6359" w:rsidP="00B95B2A">
      <w:r w:rsidRPr="004E474C">
        <w:t>In 2021, around 80% of women (or 246,000) attended antenatal care visits in their first trimester. The number has increased from around 188,000 (or 66%) in 2011. Young women (aged less than 25), Aboriginal and Torres Strait Islander women, women living in remote or very remote areas</w:t>
      </w:r>
      <w:r w:rsidR="005E701E">
        <w:t>,</w:t>
      </w:r>
      <w:r w:rsidRPr="004E474C">
        <w:t xml:space="preserve"> and women from the lowest socioeconomic areas were less likely to attend antenatal care in the first trimester.</w:t>
      </w:r>
      <w:r>
        <w:rPr>
          <w:vertAlign w:val="superscript"/>
        </w:rPr>
        <w:footnoteReference w:id="47"/>
      </w:r>
    </w:p>
    <w:p w14:paraId="31DD86DB" w14:textId="77777777" w:rsidR="00E17EAF" w:rsidRPr="009F663F" w:rsidRDefault="003A6359" w:rsidP="00E17EAF">
      <w:pPr>
        <w:pStyle w:val="Heading1"/>
        <w:rPr>
          <w:color w:val="002A3F"/>
        </w:rPr>
      </w:pPr>
      <w:bookmarkStart w:id="47" w:name="_Toc147129548"/>
      <w:bookmarkStart w:id="48" w:name="_Toc165022428"/>
      <w:r w:rsidRPr="009F663F">
        <w:rPr>
          <w:color w:val="002A3F"/>
        </w:rPr>
        <w:lastRenderedPageBreak/>
        <w:t>What we know about births and infants</w:t>
      </w:r>
      <w:bookmarkEnd w:id="47"/>
      <w:bookmarkEnd w:id="48"/>
    </w:p>
    <w:p w14:paraId="1A8B4FCF" w14:textId="77777777" w:rsidR="00E17EAF" w:rsidRPr="009F663F" w:rsidRDefault="003A6359" w:rsidP="00CF22A5">
      <w:pPr>
        <w:pStyle w:val="Heading2"/>
        <w:rPr>
          <w:color w:val="002A3F"/>
        </w:rPr>
      </w:pPr>
      <w:bookmarkStart w:id="49" w:name="_Toc165022429"/>
      <w:r w:rsidRPr="009F663F">
        <w:rPr>
          <w:color w:val="002A3F"/>
        </w:rPr>
        <w:t>Births</w:t>
      </w:r>
      <w:bookmarkEnd w:id="49"/>
    </w:p>
    <w:p w14:paraId="6D818047" w14:textId="42BF6977" w:rsidR="00E17EAF" w:rsidRPr="004E474C" w:rsidRDefault="003A6359" w:rsidP="001B3339">
      <w:r w:rsidRPr="004E474C">
        <w:t>In 202</w:t>
      </w:r>
      <w:r w:rsidR="004D5D5E">
        <w:t>2</w:t>
      </w:r>
      <w:r w:rsidRPr="004E474C">
        <w:t xml:space="preserve">, there were </w:t>
      </w:r>
      <w:r w:rsidR="004D5D5E">
        <w:t>300,684 registered births in Australia, a slight decrease from 2021 whe</w:t>
      </w:r>
      <w:r w:rsidR="00181FA9">
        <w:t>n</w:t>
      </w:r>
      <w:r w:rsidR="004D5D5E">
        <w:t xml:space="preserve"> there were 309,996 birth registrations. </w:t>
      </w:r>
      <w:r w:rsidR="00864FA0" w:rsidRPr="001B3339">
        <w:t>Aboriginal and Torres Strait Islander children accounted for 7.6% of registered births in 2021</w:t>
      </w:r>
      <w:r w:rsidR="00864FA0" w:rsidRPr="004E474C">
        <w:rPr>
          <w:rFonts w:ascii="Calibri" w:hAnsi="Calibri" w:cs="Calibri"/>
          <w:sz w:val="22"/>
          <w:szCs w:val="22"/>
        </w:rPr>
        <w:t>.</w:t>
      </w:r>
      <w:r>
        <w:rPr>
          <w:rStyle w:val="FootnoteReference"/>
          <w:rFonts w:ascii="Calibri" w:hAnsi="Calibri" w:cs="Calibri"/>
          <w:sz w:val="22"/>
          <w:szCs w:val="22"/>
        </w:rPr>
        <w:footnoteReference w:id="48"/>
      </w:r>
      <w:r w:rsidR="00864FA0">
        <w:t xml:space="preserve"> </w:t>
      </w:r>
    </w:p>
    <w:p w14:paraId="1C2319F5" w14:textId="216C8C4D" w:rsidR="00E17EAF" w:rsidRPr="004E474C" w:rsidRDefault="003A6359" w:rsidP="00B95B2A">
      <w:r w:rsidRPr="004E474C">
        <w:t>In 202</w:t>
      </w:r>
      <w:r w:rsidR="00AF5CE4">
        <w:t>2</w:t>
      </w:r>
      <w:r w:rsidRPr="004E474C">
        <w:t>, the total fertility rate was about 1.</w:t>
      </w:r>
      <w:r w:rsidR="00AF5CE4">
        <w:t>63</w:t>
      </w:r>
      <w:r w:rsidRPr="004E474C">
        <w:t xml:space="preserve"> babies per woman</w:t>
      </w:r>
      <w:r w:rsidR="00AF5CE4">
        <w:t xml:space="preserve">, which is </w:t>
      </w:r>
      <w:proofErr w:type="gramStart"/>
      <w:r w:rsidR="00AF5CE4">
        <w:t>similar to</w:t>
      </w:r>
      <w:proofErr w:type="gramEnd"/>
      <w:r w:rsidR="00181FA9">
        <w:t xml:space="preserve"> the</w:t>
      </w:r>
      <w:r w:rsidR="00AF5CE4">
        <w:t xml:space="preserve"> </w:t>
      </w:r>
      <w:r w:rsidRPr="004E474C">
        <w:t>2020 rate (1.</w:t>
      </w:r>
      <w:r w:rsidR="004D5D5E">
        <w:t>7</w:t>
      </w:r>
      <w:r w:rsidRPr="004E474C">
        <w:t xml:space="preserve"> babies per woman)</w:t>
      </w:r>
      <w:r w:rsidR="004D5D5E">
        <w:t>.</w:t>
      </w:r>
      <w:r w:rsidRPr="004E474C">
        <w:t xml:space="preserve"> </w:t>
      </w:r>
      <w:r w:rsidR="004D5D5E">
        <w:t>O</w:t>
      </w:r>
      <w:r w:rsidRPr="004E474C">
        <w:t>verall, the total fertility rate has been declining since 201</w:t>
      </w:r>
      <w:r w:rsidR="00E777CF">
        <w:t>2</w:t>
      </w:r>
      <w:r w:rsidRPr="004E474C">
        <w:t xml:space="preserve"> when it was 1.9 babies per woman.</w:t>
      </w:r>
      <w:r>
        <w:rPr>
          <w:rStyle w:val="FootnoteReference"/>
          <w:rFonts w:ascii="Calibri" w:hAnsi="Calibri" w:cs="Calibri"/>
          <w:sz w:val="22"/>
          <w:szCs w:val="22"/>
        </w:rPr>
        <w:footnoteReference w:id="49"/>
      </w:r>
    </w:p>
    <w:p w14:paraId="09A790B7" w14:textId="4FDEE4CF" w:rsidR="00E17EAF" w:rsidRDefault="003A6359" w:rsidP="00B95B2A">
      <w:r w:rsidRPr="004E474C">
        <w:t>In 202</w:t>
      </w:r>
      <w:r w:rsidR="00AF5CE4">
        <w:t>2</w:t>
      </w:r>
      <w:r w:rsidRPr="004E474C">
        <w:t>, the median age of mothers was 31.</w:t>
      </w:r>
      <w:r w:rsidR="00AF5CE4">
        <w:t>9</w:t>
      </w:r>
      <w:r w:rsidRPr="004E474C">
        <w:t xml:space="preserve"> years</w:t>
      </w:r>
      <w:r w:rsidR="00181FA9">
        <w:t>,</w:t>
      </w:r>
      <w:r w:rsidRPr="004E474C">
        <w:t xml:space="preserve"> and the median age of fathers was 33.7 years. The median age of parents has generally increased since the 1970s. In 1975</w:t>
      </w:r>
      <w:r w:rsidR="00181FA9">
        <w:t>,</w:t>
      </w:r>
      <w:r w:rsidRPr="004E474C">
        <w:t xml:space="preserve"> the median age of mothers was 25.8 years, and the median age of fathers was 28.6 years.</w:t>
      </w:r>
      <w:r>
        <w:rPr>
          <w:rStyle w:val="FootnoteReference"/>
          <w:rFonts w:ascii="Calibri" w:hAnsi="Calibri" w:cs="Calibri"/>
          <w:sz w:val="22"/>
          <w:szCs w:val="22"/>
        </w:rPr>
        <w:footnoteReference w:id="50"/>
      </w:r>
    </w:p>
    <w:p w14:paraId="7C67859B" w14:textId="7057B4F4" w:rsidR="009E583C" w:rsidRPr="004E474C" w:rsidRDefault="003A6359" w:rsidP="00A67109">
      <w:r>
        <w:t xml:space="preserve">In 2021, women </w:t>
      </w:r>
      <w:r w:rsidR="00181FA9">
        <w:t xml:space="preserve">aged under 25 </w:t>
      </w:r>
      <w:r>
        <w:t xml:space="preserve">who gave birth accounted for </w:t>
      </w:r>
      <w:r w:rsidR="00E455AA">
        <w:t>11</w:t>
      </w:r>
      <w:r>
        <w:t>% (</w:t>
      </w:r>
      <w:r w:rsidR="00E455AA">
        <w:t>34,387</w:t>
      </w:r>
      <w:r>
        <w:t xml:space="preserve">) of all </w:t>
      </w:r>
      <w:r w:rsidR="0056727C">
        <w:t>births</w:t>
      </w:r>
      <w:r>
        <w:t>.</w:t>
      </w:r>
      <w:r>
        <w:rPr>
          <w:rStyle w:val="FootnoteReference"/>
        </w:rPr>
        <w:footnoteReference w:id="51"/>
      </w:r>
      <w:r>
        <w:t xml:space="preserve"> </w:t>
      </w:r>
      <w:r w:rsidR="0056727C" w:rsidRPr="0056727C">
        <w:t xml:space="preserve">Many </w:t>
      </w:r>
      <w:r w:rsidR="00420D00">
        <w:t>young</w:t>
      </w:r>
      <w:r w:rsidR="0056727C" w:rsidRPr="0056727C">
        <w:t xml:space="preserve"> mothers access antenatal care in the first trimester (68%) and have more than 5 antenatal visits (91%)</w:t>
      </w:r>
      <w:r w:rsidR="0056727C">
        <w:rPr>
          <w:rFonts w:ascii="Open Sans" w:hAnsi="Open Sans" w:cs="Open Sans"/>
          <w:color w:val="45494B"/>
        </w:rPr>
        <w:t>.</w:t>
      </w:r>
      <w:r>
        <w:rPr>
          <w:rStyle w:val="FootnoteReference"/>
        </w:rPr>
        <w:footnoteReference w:id="52"/>
      </w:r>
      <w:r>
        <w:t xml:space="preserve"> </w:t>
      </w:r>
    </w:p>
    <w:p w14:paraId="2A7D964D" w14:textId="77777777" w:rsidR="00E17EAF" w:rsidRPr="004E474C" w:rsidRDefault="003A6359" w:rsidP="00B95B2A">
      <w:pPr>
        <w:rPr>
          <w:color w:val="000000"/>
          <w:szCs w:val="20"/>
        </w:rPr>
      </w:pPr>
      <w:r w:rsidRPr="004E474C">
        <w:rPr>
          <w:color w:val="000000"/>
          <w:szCs w:val="20"/>
        </w:rPr>
        <w:t xml:space="preserve">The health of a baby at birth is a key determinant of subsequent health and wellbeing. Low birthweight has been associated with increased risk of coronary heart disease, diabetes, </w:t>
      </w:r>
      <w:proofErr w:type="gramStart"/>
      <w:r w:rsidRPr="004E474C">
        <w:rPr>
          <w:color w:val="000000"/>
          <w:szCs w:val="20"/>
        </w:rPr>
        <w:t>hypertension</w:t>
      </w:r>
      <w:proofErr w:type="gramEnd"/>
      <w:r w:rsidRPr="004E474C">
        <w:rPr>
          <w:color w:val="000000"/>
          <w:szCs w:val="20"/>
        </w:rPr>
        <w:t xml:space="preserve"> and stroke in adulthood. Following birth, breastfeeding is a protective factor </w:t>
      </w:r>
      <w:r w:rsidR="0056727C">
        <w:rPr>
          <w:color w:val="000000"/>
          <w:szCs w:val="20"/>
        </w:rPr>
        <w:t>that</w:t>
      </w:r>
      <w:r w:rsidRPr="004E474C">
        <w:rPr>
          <w:color w:val="000000"/>
          <w:szCs w:val="20"/>
        </w:rPr>
        <w:t xml:space="preserve"> reduc</w:t>
      </w:r>
      <w:r w:rsidR="0056727C">
        <w:rPr>
          <w:color w:val="000000"/>
          <w:szCs w:val="20"/>
        </w:rPr>
        <w:t>es</w:t>
      </w:r>
      <w:r w:rsidRPr="004E474C">
        <w:rPr>
          <w:color w:val="000000"/>
          <w:szCs w:val="20"/>
        </w:rPr>
        <w:t xml:space="preserve"> infant mortality, protect</w:t>
      </w:r>
      <w:r w:rsidR="00F957DC">
        <w:rPr>
          <w:color w:val="000000"/>
          <w:szCs w:val="20"/>
        </w:rPr>
        <w:t>s</w:t>
      </w:r>
      <w:r w:rsidRPr="004E474C">
        <w:rPr>
          <w:color w:val="000000"/>
          <w:szCs w:val="20"/>
        </w:rPr>
        <w:t xml:space="preserve"> against illnesses, and help</w:t>
      </w:r>
      <w:r w:rsidR="0056727C">
        <w:rPr>
          <w:color w:val="000000"/>
          <w:szCs w:val="20"/>
        </w:rPr>
        <w:t>s</w:t>
      </w:r>
      <w:r w:rsidRPr="004E474C">
        <w:rPr>
          <w:color w:val="000000"/>
          <w:szCs w:val="20"/>
        </w:rPr>
        <w:t xml:space="preserve"> develop </w:t>
      </w:r>
      <w:r w:rsidR="0056727C">
        <w:rPr>
          <w:color w:val="000000"/>
          <w:szCs w:val="20"/>
        </w:rPr>
        <w:t>a</w:t>
      </w:r>
      <w:r w:rsidR="0056727C" w:rsidRPr="004E474C">
        <w:rPr>
          <w:color w:val="000000"/>
          <w:szCs w:val="20"/>
        </w:rPr>
        <w:t xml:space="preserve"> </w:t>
      </w:r>
      <w:r w:rsidRPr="004E474C">
        <w:rPr>
          <w:color w:val="000000"/>
          <w:szCs w:val="20"/>
        </w:rPr>
        <w:t>baby’s microbiome.</w:t>
      </w:r>
      <w:r>
        <w:rPr>
          <w:rStyle w:val="FootnoteReference"/>
          <w:rFonts w:ascii="Calibri" w:hAnsi="Calibri" w:cs="Calibri"/>
          <w:color w:val="000000"/>
          <w:sz w:val="22"/>
          <w:szCs w:val="20"/>
        </w:rPr>
        <w:footnoteReference w:id="53"/>
      </w:r>
      <w:r w:rsidRPr="004E474C">
        <w:rPr>
          <w:color w:val="000000"/>
          <w:szCs w:val="20"/>
        </w:rPr>
        <w:t xml:space="preserve"> </w:t>
      </w:r>
    </w:p>
    <w:p w14:paraId="2EFBDFB7" w14:textId="173520E4" w:rsidR="00E17EAF" w:rsidRPr="004E474C" w:rsidRDefault="003A6359" w:rsidP="00AD0CB6">
      <w:r w:rsidRPr="004E474C">
        <w:t>In 2021</w:t>
      </w:r>
      <w:r w:rsidR="00181FA9">
        <w:t>,</w:t>
      </w:r>
      <w:r w:rsidRPr="004E474C">
        <w:t xml:space="preserve"> </w:t>
      </w:r>
      <w:proofErr w:type="gramStart"/>
      <w:r w:rsidRPr="004E474C">
        <w:t>the majority of</w:t>
      </w:r>
      <w:proofErr w:type="gramEnd"/>
      <w:r w:rsidRPr="004E474C">
        <w:t xml:space="preserve"> live</w:t>
      </w:r>
      <w:r w:rsidR="00107AF0">
        <w:t>-</w:t>
      </w:r>
      <w:r w:rsidRPr="004E474C">
        <w:t>born infants had a healthy birthweight (9</w:t>
      </w:r>
      <w:r w:rsidR="00A67EC1">
        <w:t>2</w:t>
      </w:r>
      <w:r w:rsidRPr="004E474C">
        <w:t>%</w:t>
      </w:r>
      <w:r w:rsidR="00181FA9">
        <w:t>)</w:t>
      </w:r>
      <w:r w:rsidRPr="004E474C">
        <w:t xml:space="preserve"> compared with around 6.3% (19,600) </w:t>
      </w:r>
      <w:r w:rsidR="00181FA9">
        <w:t xml:space="preserve">born </w:t>
      </w:r>
      <w:r w:rsidRPr="004E474C">
        <w:t>with low birthweight. There has been very little change in the proportion of children with low birthweight since 2011.</w:t>
      </w:r>
      <w:r>
        <w:rPr>
          <w:rStyle w:val="FootnoteReference"/>
          <w:rFonts w:ascii="Calibri" w:hAnsi="Calibri" w:cs="Calibri"/>
          <w:sz w:val="22"/>
          <w:szCs w:val="22"/>
        </w:rPr>
        <w:footnoteReference w:id="54"/>
      </w:r>
    </w:p>
    <w:p w14:paraId="0FC23DDC" w14:textId="77777777" w:rsidR="00E17EAF" w:rsidRPr="009F663F" w:rsidRDefault="003A6359" w:rsidP="00CF22A5">
      <w:pPr>
        <w:pStyle w:val="Heading2"/>
        <w:rPr>
          <w:color w:val="002A3F"/>
        </w:rPr>
      </w:pPr>
      <w:bookmarkStart w:id="50" w:name="_Toc165022430"/>
      <w:r w:rsidRPr="009F663F">
        <w:rPr>
          <w:color w:val="002A3F"/>
        </w:rPr>
        <w:t>Breastfeeding</w:t>
      </w:r>
      <w:bookmarkEnd w:id="50"/>
    </w:p>
    <w:p w14:paraId="29CBD440" w14:textId="77777777" w:rsidR="00E17EAF" w:rsidRPr="004E474C" w:rsidRDefault="003A6359" w:rsidP="00B95B2A">
      <w:r w:rsidRPr="004E474C">
        <w:t xml:space="preserve">Breastfeeding is a known protective factor for infant health and wellbeing, and it supports bonding between mother and baby. </w:t>
      </w:r>
    </w:p>
    <w:p w14:paraId="0B9A5EFD" w14:textId="6C3B9920" w:rsidR="00E17EAF" w:rsidRPr="004E474C" w:rsidRDefault="003A6359" w:rsidP="00B95B2A">
      <w:r w:rsidRPr="004E474C">
        <w:t>In 2020</w:t>
      </w:r>
      <w:r w:rsidR="00AD0CB6">
        <w:t>–</w:t>
      </w:r>
      <w:r w:rsidRPr="004E474C">
        <w:t>21, of infants aged 0</w:t>
      </w:r>
      <w:r w:rsidR="00ED4426">
        <w:t xml:space="preserve"> to </w:t>
      </w:r>
      <w:r w:rsidRPr="004E474C">
        <w:t>3 years:</w:t>
      </w:r>
    </w:p>
    <w:p w14:paraId="3C3ACB2E" w14:textId="77777777" w:rsidR="00E17EAF" w:rsidRPr="004E474C" w:rsidRDefault="003A6359" w:rsidP="00E43DF7">
      <w:pPr>
        <w:pStyle w:val="ListBullet"/>
      </w:pPr>
      <w:r>
        <w:t>4</w:t>
      </w:r>
      <w:r w:rsidRPr="004E474C">
        <w:t xml:space="preserve"> out of </w:t>
      </w:r>
      <w:r>
        <w:t>5</w:t>
      </w:r>
      <w:r w:rsidRPr="004E474C">
        <w:t xml:space="preserve"> (80%) received breast milk at 4</w:t>
      </w:r>
      <w:r>
        <w:t xml:space="preserve"> </w:t>
      </w:r>
      <w:r w:rsidRPr="004E474C">
        <w:t xml:space="preserve">months </w:t>
      </w:r>
      <w:proofErr w:type="gramStart"/>
      <w:r w:rsidRPr="004E474C">
        <w:t>old</w:t>
      </w:r>
      <w:proofErr w:type="gramEnd"/>
    </w:p>
    <w:p w14:paraId="36917130" w14:textId="77777777" w:rsidR="00E17EAF" w:rsidRPr="004E474C" w:rsidRDefault="003A6359" w:rsidP="00E43DF7">
      <w:pPr>
        <w:pStyle w:val="ListBullet"/>
      </w:pPr>
      <w:r w:rsidRPr="004E474C">
        <w:t>almost three-quarters (74%) received breast milk at 6</w:t>
      </w:r>
      <w:r w:rsidR="00CA69AA">
        <w:t xml:space="preserve"> </w:t>
      </w:r>
      <w:r w:rsidRPr="004E474C">
        <w:t xml:space="preserve">months </w:t>
      </w:r>
      <w:proofErr w:type="gramStart"/>
      <w:r w:rsidRPr="004E474C">
        <w:t>old</w:t>
      </w:r>
      <w:proofErr w:type="gramEnd"/>
    </w:p>
    <w:p w14:paraId="04B0113D" w14:textId="77777777" w:rsidR="00E17EAF" w:rsidRPr="004E474C" w:rsidRDefault="003A6359" w:rsidP="00E43DF7">
      <w:pPr>
        <w:pStyle w:val="ListBullet"/>
      </w:pPr>
      <w:r w:rsidRPr="004E474C">
        <w:t>around half (51%) received breast milk to 12</w:t>
      </w:r>
      <w:r w:rsidR="00CA69AA">
        <w:t xml:space="preserve"> </w:t>
      </w:r>
      <w:r w:rsidRPr="004E474C">
        <w:t>months old.</w:t>
      </w:r>
      <w:r>
        <w:rPr>
          <w:vertAlign w:val="superscript"/>
        </w:rPr>
        <w:footnoteReference w:id="55"/>
      </w:r>
    </w:p>
    <w:p w14:paraId="7191F99E" w14:textId="7264FC7A" w:rsidR="00E17EAF" w:rsidRPr="004E474C" w:rsidRDefault="003A6359" w:rsidP="00CA69AA">
      <w:r w:rsidRPr="004E474C">
        <w:lastRenderedPageBreak/>
        <w:t>In 2020</w:t>
      </w:r>
      <w:r w:rsidR="00AD0CB6">
        <w:t>–</w:t>
      </w:r>
      <w:r w:rsidRPr="004E474C">
        <w:t xml:space="preserve">21, </w:t>
      </w:r>
      <w:r w:rsidR="00C87784">
        <w:t>66</w:t>
      </w:r>
      <w:r w:rsidRPr="004E474C">
        <w:t>% of infants aged 0</w:t>
      </w:r>
      <w:r w:rsidR="00ED4426">
        <w:t xml:space="preserve"> to </w:t>
      </w:r>
      <w:r w:rsidRPr="004E474C">
        <w:t xml:space="preserve">3 exclusively breastfed </w:t>
      </w:r>
      <w:r w:rsidR="00181FA9">
        <w:t>at 4</w:t>
      </w:r>
      <w:r w:rsidRPr="004E474C">
        <w:t xml:space="preserve"> months</w:t>
      </w:r>
      <w:r w:rsidR="00C87784">
        <w:t>, and 35% at 6 months</w:t>
      </w:r>
      <w:r w:rsidRPr="004E474C">
        <w:t>.</w:t>
      </w:r>
      <w:r>
        <w:rPr>
          <w:vertAlign w:val="superscript"/>
        </w:rPr>
        <w:footnoteReference w:id="56"/>
      </w:r>
    </w:p>
    <w:p w14:paraId="082225E7" w14:textId="77777777" w:rsidR="00E17EAF" w:rsidRPr="009F663F" w:rsidRDefault="003A6359" w:rsidP="00CF22A5">
      <w:pPr>
        <w:pStyle w:val="Heading2"/>
        <w:rPr>
          <w:color w:val="002A3F"/>
        </w:rPr>
      </w:pPr>
      <w:bookmarkStart w:id="51" w:name="_Toc165022431"/>
      <w:r w:rsidRPr="009F663F">
        <w:rPr>
          <w:color w:val="002A3F"/>
        </w:rPr>
        <w:t>Infant mortality rate</w:t>
      </w:r>
      <w:bookmarkEnd w:id="51"/>
    </w:p>
    <w:p w14:paraId="2114BA01" w14:textId="77777777" w:rsidR="00E17EAF" w:rsidRPr="004E474C" w:rsidRDefault="003A6359" w:rsidP="00B95B2A">
      <w:r w:rsidRPr="004E474C">
        <w:t>In 202</w:t>
      </w:r>
      <w:r w:rsidR="00FB6010">
        <w:t>2</w:t>
      </w:r>
      <w:r w:rsidRPr="004E474C">
        <w:t xml:space="preserve">, the mortality rate for infants aged less than </w:t>
      </w:r>
      <w:r w:rsidR="00CA69AA">
        <w:t>one</w:t>
      </w:r>
      <w:r w:rsidRPr="004E474C">
        <w:t xml:space="preserve"> was 3.</w:t>
      </w:r>
      <w:r w:rsidR="00164623">
        <w:t>2</w:t>
      </w:r>
      <w:r w:rsidRPr="004E474C">
        <w:t xml:space="preserve"> per 1,000 live births. The infant mortality rate has decreased from 2011 (3.8 per 1,000 live births).</w:t>
      </w:r>
      <w:r>
        <w:rPr>
          <w:vertAlign w:val="superscript"/>
        </w:rPr>
        <w:footnoteReference w:id="57"/>
      </w:r>
    </w:p>
    <w:p w14:paraId="33307CD9" w14:textId="77777777" w:rsidR="00726A34" w:rsidRDefault="003A6359">
      <w:pPr>
        <w:spacing w:line="259" w:lineRule="auto"/>
        <w:rPr>
          <w:rFonts w:asciiTheme="majorHAnsi" w:eastAsiaTheme="majorEastAsia" w:hAnsiTheme="majorHAnsi" w:cstheme="majorBidi"/>
          <w:color w:val="262626" w:themeColor="text1" w:themeTint="D9"/>
          <w:sz w:val="40"/>
          <w:szCs w:val="40"/>
        </w:rPr>
      </w:pPr>
      <w:bookmarkStart w:id="52" w:name="_Toc147129549"/>
      <w:r>
        <w:br w:type="page"/>
      </w:r>
    </w:p>
    <w:p w14:paraId="66326B6B" w14:textId="77777777" w:rsidR="00E17EAF" w:rsidRPr="009F663F" w:rsidRDefault="003A6359" w:rsidP="00E17EAF">
      <w:pPr>
        <w:pStyle w:val="Heading1"/>
        <w:rPr>
          <w:color w:val="002A3F"/>
        </w:rPr>
      </w:pPr>
      <w:bookmarkStart w:id="53" w:name="_Toc165022432"/>
      <w:r w:rsidRPr="009F663F">
        <w:rPr>
          <w:color w:val="002A3F"/>
        </w:rPr>
        <w:lastRenderedPageBreak/>
        <w:t>What we know about early childhood</w:t>
      </w:r>
      <w:bookmarkEnd w:id="52"/>
      <w:r w:rsidRPr="009F663F">
        <w:rPr>
          <w:color w:val="002A3F"/>
        </w:rPr>
        <w:t xml:space="preserve"> health and wellbeing</w:t>
      </w:r>
      <w:bookmarkEnd w:id="53"/>
    </w:p>
    <w:p w14:paraId="374FD8DD" w14:textId="77777777" w:rsidR="007A498F" w:rsidRPr="009F663F" w:rsidRDefault="003A6359" w:rsidP="007A498F">
      <w:pPr>
        <w:pStyle w:val="Heading2"/>
        <w:rPr>
          <w:color w:val="002A3F"/>
        </w:rPr>
      </w:pPr>
      <w:bookmarkStart w:id="54" w:name="_Toc165022433"/>
      <w:r w:rsidRPr="009F663F">
        <w:rPr>
          <w:color w:val="002A3F"/>
        </w:rPr>
        <w:t>Preterm births</w:t>
      </w:r>
      <w:bookmarkEnd w:id="54"/>
    </w:p>
    <w:p w14:paraId="0D3F6CD5" w14:textId="06AFBAE3" w:rsidR="00EB1604" w:rsidRDefault="003A6359" w:rsidP="007A498F">
      <w:r>
        <w:t xml:space="preserve">Preterm birth is associated with perinatal mortality, long-term neurological disability, admission to neonatal intensive care, severe morbidity in the first weeks of life, prolonged hospital </w:t>
      </w:r>
      <w:proofErr w:type="gramStart"/>
      <w:r>
        <w:t>stay</w:t>
      </w:r>
      <w:proofErr w:type="gramEnd"/>
      <w:r>
        <w:t xml:space="preserve"> after birth, readmission to hospital in the first year of life</w:t>
      </w:r>
      <w:r w:rsidR="00ED4426">
        <w:t>,</w:t>
      </w:r>
      <w:r>
        <w:t xml:space="preserve"> and increased risk of chronic lung disease.</w:t>
      </w:r>
    </w:p>
    <w:p w14:paraId="553ED2FC" w14:textId="77777777" w:rsidR="00D0203C" w:rsidRDefault="003A6359" w:rsidP="007A498F">
      <w:r>
        <w:t xml:space="preserve">In Australia in 2021, 8.2% of births were preterm (less than 37 weeks gestation). </w:t>
      </w:r>
      <w:r w:rsidRPr="00580627">
        <w:t>The proportion of babies born between 20 and 36 weeks has remained steady</w:t>
      </w:r>
      <w:r>
        <w:t xml:space="preserve"> since </w:t>
      </w:r>
      <w:r w:rsidRPr="00580627">
        <w:t>2011 (8.3%).</w:t>
      </w:r>
    </w:p>
    <w:p w14:paraId="663102CF" w14:textId="33B76E47" w:rsidR="00C87784" w:rsidRDefault="003A6359" w:rsidP="007A498F">
      <w:r>
        <w:t>While a</w:t>
      </w:r>
      <w:r w:rsidRPr="00580627">
        <w:t xml:space="preserve">lmost </w:t>
      </w:r>
      <w:r w:rsidR="00B037D3">
        <w:t>1</w:t>
      </w:r>
      <w:r w:rsidRPr="00580627">
        <w:t xml:space="preserve"> in 5 (17%) babies required admission to Special Care Nursery (SCN) or Neonatal Intensive Care Unit (NICU), babies were more likely to require admission if they were born preterm (77%)</w:t>
      </w:r>
      <w:r>
        <w:t>.</w:t>
      </w:r>
    </w:p>
    <w:p w14:paraId="0145A34F" w14:textId="77777777" w:rsidR="00D0203C" w:rsidRDefault="003A6359" w:rsidP="007A498F">
      <w:r>
        <w:t xml:space="preserve">In 2021, </w:t>
      </w:r>
      <w:r w:rsidRPr="00580627">
        <w:t>spontaneous preterm labour or rupture of membranes accounted for 15% of perinatal deaths and 35% of neonatal deaths.</w:t>
      </w:r>
      <w:r>
        <w:rPr>
          <w:rStyle w:val="FootnoteReference"/>
        </w:rPr>
        <w:footnoteReference w:id="58"/>
      </w:r>
    </w:p>
    <w:p w14:paraId="6796B496" w14:textId="77777777" w:rsidR="00E17EAF" w:rsidRPr="009F663F" w:rsidRDefault="003A6359" w:rsidP="00CF22A5">
      <w:pPr>
        <w:pStyle w:val="Heading2"/>
        <w:rPr>
          <w:color w:val="002A3F"/>
        </w:rPr>
      </w:pPr>
      <w:bookmarkStart w:id="55" w:name="_Toc165022434"/>
      <w:r w:rsidRPr="009F663F">
        <w:rPr>
          <w:color w:val="002A3F"/>
        </w:rPr>
        <w:t>Immunisation</w:t>
      </w:r>
      <w:bookmarkEnd w:id="55"/>
    </w:p>
    <w:p w14:paraId="1B9AC2C0" w14:textId="7B2054A7" w:rsidR="007A498F" w:rsidRPr="00BE77B0" w:rsidRDefault="003A6359" w:rsidP="007A498F">
      <w:r w:rsidRPr="00BE77B0">
        <w:t>As children grow, immunisation protects them from harmful, and potentially fatal</w:t>
      </w:r>
      <w:r w:rsidR="00ED4426">
        <w:t>,</w:t>
      </w:r>
      <w:r w:rsidRPr="00BE77B0">
        <w:t xml:space="preserve"> diseases.</w:t>
      </w:r>
      <w:r>
        <w:rPr>
          <w:rStyle w:val="FootnoteReference"/>
          <w:rFonts w:ascii="Calibri" w:hAnsi="Calibri" w:cs="Calibri"/>
          <w:color w:val="000000"/>
          <w:sz w:val="22"/>
          <w:szCs w:val="20"/>
        </w:rPr>
        <w:footnoteReference w:id="59"/>
      </w:r>
    </w:p>
    <w:p w14:paraId="1B2E000B" w14:textId="77777777" w:rsidR="00E17EAF" w:rsidRPr="00BE77B0" w:rsidRDefault="003A6359" w:rsidP="00B95B2A">
      <w:r w:rsidRPr="00BE77B0">
        <w:t>In 2022, the proportion of children who were fully immunised was:</w:t>
      </w:r>
    </w:p>
    <w:p w14:paraId="4EC453A0" w14:textId="77777777" w:rsidR="00E17EAF" w:rsidRPr="00BE77B0" w:rsidRDefault="003A6359" w:rsidP="00E43DF7">
      <w:pPr>
        <w:pStyle w:val="ListBullet"/>
      </w:pPr>
      <w:r w:rsidRPr="00BE77B0">
        <w:t>94% for 1-year-olds</w:t>
      </w:r>
    </w:p>
    <w:p w14:paraId="5CC912B7" w14:textId="77777777" w:rsidR="00E17EAF" w:rsidRPr="00BE77B0" w:rsidRDefault="003A6359" w:rsidP="00E43DF7">
      <w:pPr>
        <w:pStyle w:val="ListBullet"/>
      </w:pPr>
      <w:r w:rsidRPr="00BE77B0">
        <w:t>92% for 2-year-olds</w:t>
      </w:r>
    </w:p>
    <w:p w14:paraId="28DFDE68" w14:textId="77777777" w:rsidR="00E17EAF" w:rsidRPr="00BE77B0" w:rsidRDefault="003A6359" w:rsidP="00E43DF7">
      <w:pPr>
        <w:pStyle w:val="ListBullet"/>
      </w:pPr>
      <w:r w:rsidRPr="00BE77B0">
        <w:t>94% for 5-year-olds.</w:t>
      </w:r>
      <w:r>
        <w:rPr>
          <w:rStyle w:val="FootnoteReference"/>
          <w:rFonts w:ascii="Calibri" w:hAnsi="Calibri" w:cs="Calibri"/>
          <w:sz w:val="22"/>
          <w:szCs w:val="22"/>
        </w:rPr>
        <w:footnoteReference w:id="60"/>
      </w:r>
    </w:p>
    <w:p w14:paraId="2F641326" w14:textId="77777777" w:rsidR="00E17EAF" w:rsidRPr="009F663F" w:rsidRDefault="003A6359" w:rsidP="00CF22A5">
      <w:pPr>
        <w:pStyle w:val="Heading2"/>
        <w:rPr>
          <w:color w:val="002A3F"/>
        </w:rPr>
      </w:pPr>
      <w:bookmarkStart w:id="56" w:name="_Toc165022435"/>
      <w:r w:rsidRPr="009F663F">
        <w:rPr>
          <w:color w:val="002A3F"/>
        </w:rPr>
        <w:t>Children with disability</w:t>
      </w:r>
      <w:bookmarkEnd w:id="56"/>
    </w:p>
    <w:p w14:paraId="2D3F6AB4" w14:textId="77777777" w:rsidR="00701A9D" w:rsidRDefault="003A6359" w:rsidP="00701A9D">
      <w:r>
        <w:t>In 2018, around 57,800 (3.7%) of children in Australia aged 0 to 4 were estimated to have disability, of whom around 36,000 (2.3%) were estimated to have a severe or profound disability. A higher proportion of boys (4.8%) were estimated to have a disability than girls (2.7%).</w:t>
      </w:r>
      <w:r>
        <w:rPr>
          <w:vertAlign w:val="superscript"/>
        </w:rPr>
        <w:footnoteReference w:id="61"/>
      </w:r>
    </w:p>
    <w:p w14:paraId="74ED4352" w14:textId="056902B4" w:rsidR="00701A9D" w:rsidRDefault="003A6359" w:rsidP="00701A9D">
      <w:r>
        <w:t>Higher prevalence of disability in boys than girls is also reflected in National Disability Insurance Scheme (NDIS) participation rates, with around 12% of 5</w:t>
      </w:r>
      <w:r w:rsidR="00ED4426">
        <w:t>-</w:t>
      </w:r>
      <w:r>
        <w:t xml:space="preserve"> to 7</w:t>
      </w:r>
      <w:r w:rsidR="00ED4426">
        <w:t>-</w:t>
      </w:r>
      <w:r>
        <w:t>year-old males and 5% of 5</w:t>
      </w:r>
      <w:r w:rsidR="00ED4426">
        <w:t>-</w:t>
      </w:r>
      <w:r>
        <w:t xml:space="preserve"> to 7</w:t>
      </w:r>
      <w:r w:rsidR="00ED4426">
        <w:t>-</w:t>
      </w:r>
      <w:r>
        <w:t xml:space="preserve">year-old females having </w:t>
      </w:r>
      <w:proofErr w:type="gramStart"/>
      <w:r>
        <w:t>an</w:t>
      </w:r>
      <w:proofErr w:type="gramEnd"/>
      <w:r>
        <w:t xml:space="preserve"> NDIS plan.</w:t>
      </w:r>
      <w:r w:rsidRPr="008206D8">
        <w:t xml:space="preserve"> </w:t>
      </w:r>
    </w:p>
    <w:p w14:paraId="4D3C8904" w14:textId="574DC90D" w:rsidR="00701A9D" w:rsidRDefault="003A6359" w:rsidP="00701A9D">
      <w:proofErr w:type="gramStart"/>
      <w:r>
        <w:t>A</w:t>
      </w:r>
      <w:r w:rsidR="00ED4426">
        <w:t>t</w:t>
      </w:r>
      <w:proofErr w:type="gramEnd"/>
      <w:r>
        <w:t xml:space="preserve"> 30 September 2023, there were around 151,000 children aged under 9 with a</w:t>
      </w:r>
      <w:r w:rsidR="00ED4426">
        <w:t xml:space="preserve">n </w:t>
      </w:r>
      <w:r>
        <w:t xml:space="preserve">NDIS plan comprising a package of reasonable and necessary supports. This </w:t>
      </w:r>
      <w:r w:rsidR="006C05C1">
        <w:t>wa</w:t>
      </w:r>
      <w:r>
        <w:t xml:space="preserve">s </w:t>
      </w:r>
      <w:r>
        <w:lastRenderedPageBreak/>
        <w:t xml:space="preserve">approximately 23% of all active participants with </w:t>
      </w:r>
      <w:proofErr w:type="gramStart"/>
      <w:r>
        <w:t>an</w:t>
      </w:r>
      <w:proofErr w:type="gramEnd"/>
      <w:r>
        <w:t xml:space="preserve"> NDIS plan. Around 104,000 of these children </w:t>
      </w:r>
      <w:r w:rsidR="006C05C1">
        <w:t>we</w:t>
      </w:r>
      <w:r>
        <w:t xml:space="preserve">re aged between 0 to 6 years (68.8%). </w:t>
      </w:r>
    </w:p>
    <w:p w14:paraId="26612B68" w14:textId="5E26EC9C" w:rsidR="00701A9D" w:rsidRPr="00BE77B0" w:rsidRDefault="003A6359" w:rsidP="00B95B2A">
      <w:r>
        <w:t xml:space="preserve">A further 17,200 children </w:t>
      </w:r>
      <w:r w:rsidR="006C05C1">
        <w:t xml:space="preserve">aged </w:t>
      </w:r>
      <w:r>
        <w:t>under 9 were supported by the NDIS</w:t>
      </w:r>
      <w:r w:rsidR="006C05C1">
        <w:t>-</w:t>
      </w:r>
      <w:r>
        <w:t>funded early childhood approach, of which around 16,500 (96%) were accessing early connections, that is, early childhood interventions that are available for children with developmental delay or a disability without requiring a diagnosis.</w:t>
      </w:r>
      <w:r>
        <w:rPr>
          <w:rStyle w:val="FootnoteReference"/>
          <w:rFonts w:asciiTheme="majorHAnsi" w:hAnsiTheme="majorHAnsi" w:cs="Calibri"/>
        </w:rPr>
        <w:footnoteReference w:id="62"/>
      </w:r>
    </w:p>
    <w:p w14:paraId="78CAFD29" w14:textId="77777777" w:rsidR="00E17EAF" w:rsidRPr="009F663F" w:rsidRDefault="003A6359" w:rsidP="00CF22A5">
      <w:pPr>
        <w:pStyle w:val="Heading2"/>
        <w:rPr>
          <w:color w:val="002A3F"/>
        </w:rPr>
      </w:pPr>
      <w:bookmarkStart w:id="57" w:name="_Toc165022436"/>
      <w:r w:rsidRPr="009F663F">
        <w:rPr>
          <w:color w:val="002A3F"/>
        </w:rPr>
        <w:t>Child mortality rate</w:t>
      </w:r>
      <w:bookmarkEnd w:id="57"/>
    </w:p>
    <w:p w14:paraId="1E5EF992" w14:textId="1650044D" w:rsidR="00E17EAF" w:rsidRPr="00BE77B0" w:rsidRDefault="003A6359" w:rsidP="00B95B2A">
      <w:r w:rsidRPr="00BE77B0">
        <w:t>In 2022, the mortality rate among children aged 0 to 4 was 0.8 per 1,000 children. The rate has decreased from 0.9 per 1,000 in 2011.</w:t>
      </w:r>
      <w:r>
        <w:rPr>
          <w:vertAlign w:val="superscript"/>
        </w:rPr>
        <w:footnoteReference w:id="63"/>
      </w:r>
    </w:p>
    <w:p w14:paraId="3C990A44" w14:textId="77777777" w:rsidR="0027274B" w:rsidRPr="009F663F" w:rsidRDefault="003A6359" w:rsidP="0027274B">
      <w:pPr>
        <w:pStyle w:val="Heading2"/>
        <w:rPr>
          <w:color w:val="002A3F"/>
        </w:rPr>
      </w:pPr>
      <w:bookmarkStart w:id="58" w:name="_Toc165022437"/>
      <w:bookmarkStart w:id="59" w:name="_Toc147129554"/>
      <w:r w:rsidRPr="009F663F">
        <w:rPr>
          <w:color w:val="002A3F"/>
        </w:rPr>
        <w:t>Child mental health</w:t>
      </w:r>
      <w:bookmarkEnd w:id="58"/>
      <w:r w:rsidRPr="009F663F">
        <w:rPr>
          <w:color w:val="002A3F"/>
        </w:rPr>
        <w:t xml:space="preserve"> </w:t>
      </w:r>
    </w:p>
    <w:p w14:paraId="562B9D55" w14:textId="16C1B978" w:rsidR="00611C9C" w:rsidRPr="004E474C" w:rsidRDefault="003A6359" w:rsidP="00611C9C">
      <w:r w:rsidRPr="004E474C">
        <w:t>There are multiple risk factors for childhood mental illness</w:t>
      </w:r>
      <w:r w:rsidR="006C05C1">
        <w:t>,</w:t>
      </w:r>
      <w:r w:rsidRPr="004E474C">
        <w:t xml:space="preserve"> including genetic predisposition, individual personality factors, family factors (including parents with mental illness) and adverse childhood experiences.</w:t>
      </w:r>
      <w:r>
        <w:rPr>
          <w:rStyle w:val="FootnoteReference"/>
          <w:rFonts w:ascii="Calibri" w:hAnsi="Calibri" w:cs="Calibri"/>
          <w:sz w:val="22"/>
          <w:szCs w:val="22"/>
        </w:rPr>
        <w:footnoteReference w:id="64"/>
      </w:r>
    </w:p>
    <w:p w14:paraId="623F9C6B" w14:textId="6F260977" w:rsidR="00611C9C" w:rsidRPr="004E474C" w:rsidRDefault="003A6359" w:rsidP="00611C9C">
      <w:r w:rsidRPr="004E474C">
        <w:t xml:space="preserve">Up to </w:t>
      </w:r>
      <w:r w:rsidR="00B037D3">
        <w:t>1</w:t>
      </w:r>
      <w:r w:rsidRPr="004E474C">
        <w:t xml:space="preserve"> in 5 children in Australia have a parent with a mental illness.</w:t>
      </w:r>
      <w:r>
        <w:rPr>
          <w:vertAlign w:val="superscript"/>
        </w:rPr>
        <w:footnoteReference w:id="65"/>
      </w:r>
    </w:p>
    <w:p w14:paraId="3D60AD35" w14:textId="77777777" w:rsidR="00611C9C" w:rsidRPr="004E474C" w:rsidRDefault="003A6359" w:rsidP="00611C9C">
      <w:r w:rsidRPr="004E474C">
        <w:t>Among children aged 5 to 14, mental disorders make up 3 of the 5 leading causes of the total burden of diseases for children in Australia.</w:t>
      </w:r>
      <w:r>
        <w:rPr>
          <w:rStyle w:val="FootnoteReference"/>
          <w:rFonts w:ascii="Calibri" w:hAnsi="Calibri" w:cs="Calibri"/>
          <w:sz w:val="22"/>
          <w:szCs w:val="22"/>
        </w:rPr>
        <w:footnoteReference w:id="66"/>
      </w:r>
      <w:r w:rsidRPr="004E474C">
        <w:t xml:space="preserve"> </w:t>
      </w:r>
    </w:p>
    <w:p w14:paraId="40E19927" w14:textId="77777777" w:rsidR="0027274B" w:rsidRPr="004E474C" w:rsidRDefault="003A6359" w:rsidP="00B354D2">
      <w:r w:rsidRPr="004E474C">
        <w:t>The World Health Organization estimates that worldwide, around 20% of children and adolescents suffer from a mental health condition and that mental disorders are likely to become the leading cause of morbidity and mortality by 2030.</w:t>
      </w:r>
      <w:r>
        <w:rPr>
          <w:vertAlign w:val="superscript"/>
        </w:rPr>
        <w:footnoteReference w:id="67"/>
      </w:r>
    </w:p>
    <w:p w14:paraId="29BD5146" w14:textId="77777777" w:rsidR="004B4BE8" w:rsidRPr="009F663F" w:rsidRDefault="003A6359" w:rsidP="004B4BE8">
      <w:pPr>
        <w:pStyle w:val="Heading2"/>
        <w:rPr>
          <w:color w:val="002A3F"/>
        </w:rPr>
      </w:pPr>
      <w:bookmarkStart w:id="60" w:name="_Toc165022438"/>
      <w:r w:rsidRPr="009F663F">
        <w:rPr>
          <w:color w:val="002A3F"/>
        </w:rPr>
        <w:t>Fruit and vegetable consumption</w:t>
      </w:r>
      <w:bookmarkEnd w:id="60"/>
    </w:p>
    <w:p w14:paraId="5EE3B7AE" w14:textId="17F57725" w:rsidR="004B4BE8" w:rsidRPr="00BE77B0" w:rsidRDefault="003A6359" w:rsidP="004B4BE8">
      <w:r w:rsidRPr="00BE77B0">
        <w:t>In 2020</w:t>
      </w:r>
      <w:r>
        <w:t>–</w:t>
      </w:r>
      <w:r w:rsidRPr="00BE77B0">
        <w:t xml:space="preserve">21, over 8 in 10 (85%) children aged 2 to 4 met the recommendations for daily fruit consumption. Just over </w:t>
      </w:r>
      <w:r w:rsidR="00B037D3">
        <w:t>1</w:t>
      </w:r>
      <w:r w:rsidRPr="00BE77B0">
        <w:t xml:space="preserve"> in 5 (21%) children aged 2 to 4 met the recommended guidelines for vegetable consumption.</w:t>
      </w:r>
      <w:r>
        <w:rPr>
          <w:rStyle w:val="FootnoteReference"/>
          <w:rFonts w:ascii="Calibri" w:hAnsi="Calibri" w:cs="Calibri"/>
          <w:sz w:val="22"/>
          <w:szCs w:val="22"/>
        </w:rPr>
        <w:footnoteReference w:id="68"/>
      </w:r>
    </w:p>
    <w:p w14:paraId="610A7277" w14:textId="77777777" w:rsidR="004B4BE8" w:rsidRPr="009F663F" w:rsidRDefault="003A6359" w:rsidP="004B4BE8">
      <w:pPr>
        <w:pStyle w:val="Heading2"/>
        <w:rPr>
          <w:color w:val="002A3F"/>
        </w:rPr>
      </w:pPr>
      <w:bookmarkStart w:id="61" w:name="_Toc165022439"/>
      <w:r w:rsidRPr="009F663F">
        <w:rPr>
          <w:color w:val="002A3F"/>
        </w:rPr>
        <w:t xml:space="preserve">Sugar sweetened </w:t>
      </w:r>
      <w:proofErr w:type="gramStart"/>
      <w:r w:rsidRPr="009F663F">
        <w:rPr>
          <w:color w:val="002A3F"/>
        </w:rPr>
        <w:t>drinks</w:t>
      </w:r>
      <w:bookmarkEnd w:id="61"/>
      <w:proofErr w:type="gramEnd"/>
    </w:p>
    <w:p w14:paraId="78C056E1" w14:textId="799C86E4" w:rsidR="001113AA" w:rsidRDefault="003A6359" w:rsidP="00E669E5">
      <w:pPr>
        <w:rPr>
          <w:rFonts w:asciiTheme="majorHAnsi" w:eastAsiaTheme="majorEastAsia" w:hAnsiTheme="majorHAnsi" w:cstheme="majorBidi"/>
          <w:i/>
          <w:iCs/>
          <w:color w:val="520740" w:themeColor="accent2" w:themeShade="80"/>
          <w:sz w:val="28"/>
          <w:szCs w:val="28"/>
        </w:rPr>
      </w:pPr>
      <w:r w:rsidRPr="00BE77B0">
        <w:t xml:space="preserve">Over 9 in 10 (91%) children aged 2 to 4 did not usually consume sugar sweetened or diet drinks. Nearly </w:t>
      </w:r>
      <w:r w:rsidR="00B037D3">
        <w:t>1</w:t>
      </w:r>
      <w:r w:rsidRPr="00BE77B0">
        <w:t xml:space="preserve"> in 10 (9%) children</w:t>
      </w:r>
      <w:r w:rsidRPr="004E474C">
        <w:t xml:space="preserve"> aged 2 to 4 usually consumed sugar sweetened or diet drinks on at least a weekly basis.</w:t>
      </w:r>
      <w:r>
        <w:rPr>
          <w:rStyle w:val="FootnoteReference"/>
          <w:rFonts w:ascii="Calibri" w:hAnsi="Calibri" w:cs="Calibri"/>
          <w:sz w:val="22"/>
          <w:szCs w:val="22"/>
        </w:rPr>
        <w:footnoteReference w:id="69"/>
      </w:r>
      <w:bookmarkEnd w:id="59"/>
      <w:r>
        <w:br w:type="page"/>
      </w:r>
    </w:p>
    <w:p w14:paraId="05D1F80B" w14:textId="77777777" w:rsidR="00E17EAF" w:rsidRPr="009F663F" w:rsidRDefault="003A6359" w:rsidP="00CF22A5">
      <w:pPr>
        <w:pStyle w:val="Heading2"/>
        <w:rPr>
          <w:color w:val="002A3F"/>
        </w:rPr>
      </w:pPr>
      <w:bookmarkStart w:id="62" w:name="_Toc165022440"/>
      <w:r w:rsidRPr="009F663F">
        <w:rPr>
          <w:color w:val="002A3F"/>
        </w:rPr>
        <w:lastRenderedPageBreak/>
        <w:t xml:space="preserve">Play, early learning and </w:t>
      </w:r>
      <w:proofErr w:type="gramStart"/>
      <w:r w:rsidRPr="009F663F">
        <w:rPr>
          <w:color w:val="002A3F"/>
        </w:rPr>
        <w:t>care</w:t>
      </w:r>
      <w:bookmarkEnd w:id="62"/>
      <w:proofErr w:type="gramEnd"/>
    </w:p>
    <w:p w14:paraId="63256CAD" w14:textId="5E34FB95" w:rsidR="00710AAA" w:rsidRDefault="003A6359" w:rsidP="00B95B2A">
      <w:r w:rsidRPr="00BE77B0">
        <w:t>In 2022</w:t>
      </w:r>
      <w:r w:rsidR="00491BE8">
        <w:t>,</w:t>
      </w:r>
      <w:r w:rsidR="001D35EC">
        <w:t xml:space="preserve"> a poll</w:t>
      </w:r>
      <w:r w:rsidRPr="00BE77B0">
        <w:t xml:space="preserve"> among children aged </w:t>
      </w:r>
      <w:r w:rsidR="00B037D3">
        <w:t>1</w:t>
      </w:r>
      <w:r w:rsidRPr="00BE77B0">
        <w:t>to 5 who played most days of the week</w:t>
      </w:r>
      <w:r w:rsidR="001D35EC">
        <w:t xml:space="preserve"> indicated</w:t>
      </w:r>
      <w:r>
        <w:t>:</w:t>
      </w:r>
    </w:p>
    <w:p w14:paraId="2DC708E8" w14:textId="77777777" w:rsidR="00710AAA" w:rsidRDefault="003A6359" w:rsidP="00710AAA">
      <w:pPr>
        <w:pStyle w:val="ListBullet"/>
      </w:pPr>
      <w:r w:rsidRPr="00BE77B0">
        <w:t xml:space="preserve">44% played outside at home in the front or back yard on at least 4 days a </w:t>
      </w:r>
      <w:proofErr w:type="gramStart"/>
      <w:r w:rsidRPr="00BE77B0">
        <w:t>week</w:t>
      </w:r>
      <w:proofErr w:type="gramEnd"/>
    </w:p>
    <w:p w14:paraId="47AD80E0" w14:textId="77777777" w:rsidR="00710AAA" w:rsidRDefault="003A6359" w:rsidP="00710AAA">
      <w:pPr>
        <w:pStyle w:val="ListBullet"/>
      </w:pPr>
      <w:r w:rsidRPr="00BE77B0">
        <w:t xml:space="preserve">45% played outside away from home on at least 4 days a </w:t>
      </w:r>
      <w:proofErr w:type="gramStart"/>
      <w:r w:rsidRPr="00BE77B0">
        <w:t>week</w:t>
      </w:r>
      <w:proofErr w:type="gramEnd"/>
    </w:p>
    <w:p w14:paraId="6635EDFC" w14:textId="77777777" w:rsidR="00710AAA" w:rsidRDefault="003A6359" w:rsidP="00710AAA">
      <w:pPr>
        <w:pStyle w:val="ListBullet"/>
      </w:pPr>
      <w:r w:rsidRPr="00BE77B0">
        <w:t xml:space="preserve">71% played inside not using a digital device on at least 4 days a </w:t>
      </w:r>
      <w:proofErr w:type="gramStart"/>
      <w:r w:rsidRPr="00BE77B0">
        <w:t>week</w:t>
      </w:r>
      <w:proofErr w:type="gramEnd"/>
    </w:p>
    <w:p w14:paraId="3DF7C9DE" w14:textId="77777777" w:rsidR="00E17EAF" w:rsidRPr="00BE77B0" w:rsidRDefault="003A6359" w:rsidP="00710AAA">
      <w:pPr>
        <w:pStyle w:val="ListBullet"/>
      </w:pPr>
      <w:r w:rsidRPr="00BE77B0">
        <w:t>27% played inside using a digital device (e</w:t>
      </w:r>
      <w:r w:rsidR="00710AAA">
        <w:t>.</w:t>
      </w:r>
      <w:r w:rsidRPr="00BE77B0">
        <w:t xml:space="preserve">g. iPad, </w:t>
      </w:r>
      <w:proofErr w:type="gramStart"/>
      <w:r w:rsidRPr="00BE77B0">
        <w:t>computer</w:t>
      </w:r>
      <w:proofErr w:type="gramEnd"/>
      <w:r w:rsidRPr="00BE77B0">
        <w:t xml:space="preserve"> or phone) on at least 4 days a week.</w:t>
      </w:r>
      <w:r>
        <w:rPr>
          <w:vertAlign w:val="superscript"/>
        </w:rPr>
        <w:footnoteReference w:id="70"/>
      </w:r>
    </w:p>
    <w:p w14:paraId="66082403" w14:textId="77777777" w:rsidR="00E17EAF" w:rsidRPr="00BE77B0" w:rsidRDefault="003A6359" w:rsidP="00B95B2A">
      <w:r w:rsidRPr="00BE77B0">
        <w:t xml:space="preserve">Early </w:t>
      </w:r>
      <w:r w:rsidRPr="009F663F">
        <w:rPr>
          <w:rStyle w:val="IntenseEmphasis"/>
          <w:color w:val="auto"/>
        </w:rPr>
        <w:t>home learning</w:t>
      </w:r>
      <w:r w:rsidRPr="009F663F">
        <w:t xml:space="preserve"> </w:t>
      </w:r>
      <w:r w:rsidRPr="00BE77B0">
        <w:t xml:space="preserve">experiences in the first 3 years of life are important </w:t>
      </w:r>
      <w:r w:rsidR="00611C9C">
        <w:t>because</w:t>
      </w:r>
      <w:r w:rsidRPr="00BE77B0">
        <w:t xml:space="preserve"> for most children</w:t>
      </w:r>
      <w:r w:rsidR="00611C9C">
        <w:t>,</w:t>
      </w:r>
      <w:r w:rsidRPr="00BE77B0">
        <w:t xml:space="preserve"> the home is the main influence on child language and cognitive development. </w:t>
      </w:r>
    </w:p>
    <w:p w14:paraId="615A632D" w14:textId="6ADCE00A" w:rsidR="00710AAA" w:rsidRDefault="003A6359" w:rsidP="00B95B2A">
      <w:r w:rsidRPr="00BE77B0">
        <w:t>Women tend to spend more time caring for children</w:t>
      </w:r>
      <w:r w:rsidR="00611C9C">
        <w:t>,</w:t>
      </w:r>
      <w:r w:rsidRPr="00BE77B0">
        <w:t xml:space="preserve"> and less time on employment</w:t>
      </w:r>
      <w:r>
        <w:t>-</w:t>
      </w:r>
      <w:r w:rsidRPr="00BE77B0">
        <w:t>related activities, compared to men. More female parents of children under 15 years participate in childcare activities than male parents (89% compared to 73%).</w:t>
      </w:r>
      <w:r>
        <w:t xml:space="preserve"> </w:t>
      </w:r>
      <w:r w:rsidRPr="00BE77B0">
        <w:t xml:space="preserve">Female parents spent 3 hours 34 minutes </w:t>
      </w:r>
      <w:r w:rsidR="00956C6C">
        <w:t>per day participating in childcare activities, compared to</w:t>
      </w:r>
      <w:r w:rsidRPr="00BE77B0">
        <w:t xml:space="preserve"> 2 hours 19 minutes</w:t>
      </w:r>
      <w:r w:rsidR="00956C6C">
        <w:t xml:space="preserve"> per day for male parents</w:t>
      </w:r>
      <w:r w:rsidRPr="00BE77B0">
        <w:t>.</w:t>
      </w:r>
      <w:r>
        <w:rPr>
          <w:vertAlign w:val="superscript"/>
        </w:rPr>
        <w:footnoteReference w:id="71"/>
      </w:r>
      <w:r w:rsidRPr="00BE77B0">
        <w:t xml:space="preserve"> </w:t>
      </w:r>
    </w:p>
    <w:p w14:paraId="639B9840" w14:textId="77777777" w:rsidR="00E17EAF" w:rsidRPr="00BE77B0" w:rsidRDefault="003A6359" w:rsidP="00B95B2A">
      <w:r>
        <w:t>Research shows:</w:t>
      </w:r>
    </w:p>
    <w:p w14:paraId="632CC676" w14:textId="77777777" w:rsidR="00E17EAF" w:rsidRPr="00BE77B0" w:rsidRDefault="003A6359" w:rsidP="00710AAA">
      <w:pPr>
        <w:pStyle w:val="ListBullet"/>
      </w:pPr>
      <w:r w:rsidRPr="00BE77B0">
        <w:t xml:space="preserve">54% of children are ‘always or usually’ cared for by the </w:t>
      </w:r>
      <w:proofErr w:type="gramStart"/>
      <w:r w:rsidRPr="00BE77B0">
        <w:t>mother</w:t>
      </w:r>
      <w:proofErr w:type="gramEnd"/>
    </w:p>
    <w:p w14:paraId="47C67655" w14:textId="77777777" w:rsidR="00E17EAF" w:rsidRPr="00BE77B0" w:rsidRDefault="003A6359" w:rsidP="00E43DF7">
      <w:pPr>
        <w:pStyle w:val="ListBullet"/>
      </w:pPr>
      <w:r w:rsidRPr="00BE77B0">
        <w:t>37% of children are equally</w:t>
      </w:r>
      <w:r w:rsidR="00710AAA">
        <w:t xml:space="preserve"> cared</w:t>
      </w:r>
      <w:r w:rsidRPr="00BE77B0">
        <w:t xml:space="preserve"> for between the mother and </w:t>
      </w:r>
      <w:proofErr w:type="gramStart"/>
      <w:r w:rsidRPr="00BE77B0">
        <w:t>father</w:t>
      </w:r>
      <w:proofErr w:type="gramEnd"/>
    </w:p>
    <w:p w14:paraId="23B67013" w14:textId="77777777" w:rsidR="00E17EAF" w:rsidRPr="00BE77B0" w:rsidRDefault="003A6359" w:rsidP="00E43DF7">
      <w:pPr>
        <w:pStyle w:val="ListBullet"/>
      </w:pPr>
      <w:r w:rsidRPr="00BE77B0">
        <w:t>11% of children are always or usually cared for by the father.</w:t>
      </w:r>
      <w:r>
        <w:rPr>
          <w:vertAlign w:val="superscript"/>
        </w:rPr>
        <w:footnoteReference w:id="72"/>
      </w:r>
    </w:p>
    <w:p w14:paraId="28F65089" w14:textId="77777777" w:rsidR="004B4BE8" w:rsidRPr="00B756B7" w:rsidRDefault="003A6359" w:rsidP="004B4BE8">
      <w:pPr>
        <w:pStyle w:val="Heading3"/>
        <w:rPr>
          <w:color w:val="002A3F"/>
        </w:rPr>
      </w:pPr>
      <w:bookmarkStart w:id="63" w:name="_Toc147129551"/>
      <w:bookmarkStart w:id="64" w:name="_Toc147220202"/>
      <w:bookmarkStart w:id="65" w:name="_Toc148009142"/>
      <w:r w:rsidRPr="00B756B7">
        <w:rPr>
          <w:color w:val="002A3F"/>
        </w:rPr>
        <w:t xml:space="preserve">Early education settings </w:t>
      </w:r>
    </w:p>
    <w:p w14:paraId="0C7C6420" w14:textId="74060305" w:rsidR="004B4BE8" w:rsidRPr="004E474C" w:rsidRDefault="003A6359" w:rsidP="004B4BE8">
      <w:r w:rsidRPr="004E474C">
        <w:t>Early education settings, such as early childhood education and care, which include</w:t>
      </w:r>
      <w:r w:rsidR="00A72800">
        <w:t>s</w:t>
      </w:r>
      <w:r w:rsidRPr="004E474C">
        <w:t xml:space="preserve"> preschools, </w:t>
      </w:r>
      <w:r>
        <w:t>centre</w:t>
      </w:r>
      <w:r w:rsidR="00A72800">
        <w:t>-</w:t>
      </w:r>
      <w:r>
        <w:t xml:space="preserve">based </w:t>
      </w:r>
      <w:r w:rsidRPr="004E474C">
        <w:t>day care, in</w:t>
      </w:r>
      <w:r w:rsidR="00A72800">
        <w:t>-</w:t>
      </w:r>
      <w:r w:rsidRPr="004E474C">
        <w:t xml:space="preserve">home </w:t>
      </w:r>
      <w:proofErr w:type="gramStart"/>
      <w:r w:rsidRPr="004E474C">
        <w:t>care</w:t>
      </w:r>
      <w:proofErr w:type="gramEnd"/>
      <w:r w:rsidRPr="004E474C">
        <w:t xml:space="preserve"> and family day care, along with other </w:t>
      </w:r>
      <w:r>
        <w:t xml:space="preserve">community </w:t>
      </w:r>
      <w:r w:rsidRPr="004E474C">
        <w:t xml:space="preserve">settings such as playgroups and libraries, </w:t>
      </w:r>
      <w:r w:rsidR="00A72800">
        <w:t>provide</w:t>
      </w:r>
      <w:r w:rsidRPr="004E474C">
        <w:t xml:space="preserve"> opportunities for children to grow and learn. </w:t>
      </w:r>
    </w:p>
    <w:p w14:paraId="1B19D6A0" w14:textId="41764A8A" w:rsidR="004B4BE8" w:rsidRPr="004E474C" w:rsidRDefault="003A6359" w:rsidP="004B4BE8">
      <w:r w:rsidRPr="004E474C">
        <w:t xml:space="preserve">When children attend </w:t>
      </w:r>
      <w:r>
        <w:t>early childhood education and care</w:t>
      </w:r>
      <w:r w:rsidRPr="004E474C">
        <w:t xml:space="preserve"> settings</w:t>
      </w:r>
      <w:r w:rsidR="00A72800">
        <w:t>,</w:t>
      </w:r>
      <w:r w:rsidRPr="004E474C">
        <w:t xml:space="preserve"> they have opportunities to learn through play, and socialise with other children, </w:t>
      </w:r>
      <w:proofErr w:type="gramStart"/>
      <w:r w:rsidRPr="004E474C">
        <w:t>facilitated</w:t>
      </w:r>
      <w:proofErr w:type="gramEnd"/>
      <w:r w:rsidRPr="004E474C">
        <w:t xml:space="preserve"> and extended by qualified educators and teachers.</w:t>
      </w:r>
      <w:r>
        <w:rPr>
          <w:rStyle w:val="FootnoteReference"/>
          <w:rFonts w:ascii="Calibri" w:hAnsi="Calibri" w:cs="Calibri"/>
          <w:sz w:val="22"/>
          <w:szCs w:val="22"/>
        </w:rPr>
        <w:footnoteReference w:id="73"/>
      </w:r>
      <w:r w:rsidRPr="004E474C">
        <w:t xml:space="preserve"> This </w:t>
      </w:r>
      <w:r>
        <w:t>includes</w:t>
      </w:r>
      <w:r w:rsidRPr="004E474C">
        <w:t xml:space="preserve"> </w:t>
      </w:r>
      <w:r>
        <w:t>the recently updated and</w:t>
      </w:r>
      <w:r w:rsidRPr="004E474C">
        <w:t xml:space="preserve"> approved </w:t>
      </w:r>
      <w:r w:rsidRPr="00B756B7">
        <w:rPr>
          <w:rStyle w:val="IntenseEmphasis"/>
          <w:color w:val="auto"/>
        </w:rPr>
        <w:t>early years curriculum</w:t>
      </w:r>
      <w:r w:rsidRPr="00EF6A04">
        <w:t>,</w:t>
      </w:r>
      <w:r w:rsidRPr="004E474C">
        <w:t xml:space="preserve"> </w:t>
      </w:r>
      <w:r>
        <w:t xml:space="preserve">the </w:t>
      </w:r>
      <w:r w:rsidRPr="004E474C">
        <w:t>Early Years Learning Framework.</w:t>
      </w:r>
    </w:p>
    <w:p w14:paraId="494B780A" w14:textId="3C8A8E72" w:rsidR="004B4BE8" w:rsidRPr="004E474C" w:rsidRDefault="003A6359" w:rsidP="004B4BE8">
      <w:r w:rsidRPr="004E474C">
        <w:t xml:space="preserve">For Aboriginal and Torres Strait Islander children, </w:t>
      </w:r>
      <w:r>
        <w:t>early childhood education and care</w:t>
      </w:r>
      <w:r w:rsidRPr="004E474C">
        <w:t xml:space="preserve"> services also provide an opportunity for them to strengthen their cultural identity and sense of belonging within their communities. Aboriginal and Torres Strait Islander </w:t>
      </w:r>
      <w:r>
        <w:t>c</w:t>
      </w:r>
      <w:r w:rsidRPr="004E474C">
        <w:t>ommunity</w:t>
      </w:r>
      <w:r>
        <w:t>-c</w:t>
      </w:r>
      <w:r w:rsidRPr="004E474C">
        <w:t xml:space="preserve">ontrolled </w:t>
      </w:r>
      <w:r>
        <w:t>o</w:t>
      </w:r>
      <w:r w:rsidRPr="004E474C">
        <w:t xml:space="preserve">rganisations play a critical role </w:t>
      </w:r>
      <w:r>
        <w:t>in delivering</w:t>
      </w:r>
      <w:r w:rsidRPr="004E474C">
        <w:t xml:space="preserve"> </w:t>
      </w:r>
      <w:r>
        <w:t>early childhood education and care</w:t>
      </w:r>
      <w:r w:rsidRPr="004E474C">
        <w:t xml:space="preserve"> services</w:t>
      </w:r>
      <w:r>
        <w:t xml:space="preserve"> </w:t>
      </w:r>
      <w:r w:rsidR="00A72800">
        <w:t>that</w:t>
      </w:r>
      <w:r w:rsidR="00A72800" w:rsidRPr="004E474C">
        <w:t xml:space="preserve"> </w:t>
      </w:r>
      <w:r w:rsidRPr="004E474C">
        <w:t xml:space="preserve">meet </w:t>
      </w:r>
      <w:r>
        <w:t>the</w:t>
      </w:r>
      <w:r w:rsidRPr="004E474C">
        <w:t xml:space="preserve"> needs</w:t>
      </w:r>
      <w:r>
        <w:t xml:space="preserve"> of children and families</w:t>
      </w:r>
      <w:r w:rsidRPr="004E474C">
        <w:t xml:space="preserve">. </w:t>
      </w:r>
    </w:p>
    <w:p w14:paraId="6F48EF26" w14:textId="2DDEAB77" w:rsidR="004B4BE8" w:rsidRPr="004E474C" w:rsidRDefault="003A6359" w:rsidP="004B4BE8">
      <w:r w:rsidRPr="004E474C">
        <w:lastRenderedPageBreak/>
        <w:t>Early childhood education helps to enhance children’s learning at this critical stage to create a foundation for lifelong learning, skill development and wellbeing.</w:t>
      </w:r>
      <w:r>
        <w:rPr>
          <w:rStyle w:val="FootnoteReference"/>
          <w:rFonts w:ascii="Calibri" w:hAnsi="Calibri" w:cs="Calibri"/>
          <w:sz w:val="22"/>
          <w:szCs w:val="22"/>
        </w:rPr>
        <w:footnoteReference w:id="74"/>
      </w:r>
      <w:r w:rsidRPr="004E474C">
        <w:t xml:space="preserve"> Experiences at preschool, underpinned by the early years curriculum, help children to develop their vocabulary, communication skills, maths skills and problem</w:t>
      </w:r>
      <w:r w:rsidR="00107AF0">
        <w:t>-</w:t>
      </w:r>
      <w:r w:rsidRPr="004E474C">
        <w:t>solving abilities, as well as the ability to concentrate, follow instructions and get along with others – skills that are critical to later success.</w:t>
      </w:r>
      <w:r>
        <w:rPr>
          <w:rStyle w:val="FootnoteReference"/>
          <w:rFonts w:ascii="Calibri" w:hAnsi="Calibri" w:cs="Calibri"/>
          <w:sz w:val="22"/>
          <w:szCs w:val="22"/>
        </w:rPr>
        <w:footnoteReference w:id="75"/>
      </w:r>
      <w:r w:rsidRPr="004E474C">
        <w:rPr>
          <w:rStyle w:val="FootnoteReference"/>
          <w:rFonts w:ascii="Calibri" w:hAnsi="Calibri" w:cs="Calibri"/>
          <w:sz w:val="22"/>
          <w:szCs w:val="22"/>
        </w:rPr>
        <w:t xml:space="preserve"> </w:t>
      </w:r>
    </w:p>
    <w:p w14:paraId="5C0B64A3" w14:textId="77777777" w:rsidR="004B4BE8" w:rsidRPr="00EE3EFE" w:rsidRDefault="003A6359" w:rsidP="004B4BE8">
      <w:r w:rsidRPr="004E474C">
        <w:t>Studies highlight that early childhood education breaks down the barriers to educational success faced by children in disadvantaged circumstances</w:t>
      </w:r>
      <w:r>
        <w:t>, making sure</w:t>
      </w:r>
      <w:r w:rsidRPr="004E474C">
        <w:t xml:space="preserve"> they have basic skills they need for life. </w:t>
      </w:r>
    </w:p>
    <w:p w14:paraId="3C20A758" w14:textId="77777777" w:rsidR="0027274B" w:rsidRPr="00B756B7" w:rsidRDefault="003A6359" w:rsidP="0027274B">
      <w:pPr>
        <w:pStyle w:val="Heading3"/>
        <w:rPr>
          <w:color w:val="002A3F"/>
        </w:rPr>
      </w:pPr>
      <w:r w:rsidRPr="00B756B7">
        <w:rPr>
          <w:color w:val="002A3F"/>
        </w:rPr>
        <w:t>Attendance</w:t>
      </w:r>
      <w:bookmarkEnd w:id="63"/>
      <w:bookmarkEnd w:id="64"/>
      <w:bookmarkEnd w:id="65"/>
      <w:r w:rsidRPr="00B756B7">
        <w:rPr>
          <w:color w:val="002A3F"/>
        </w:rPr>
        <w:t xml:space="preserve"> at early childhood education and care</w:t>
      </w:r>
    </w:p>
    <w:p w14:paraId="4BC0A48C" w14:textId="77777777" w:rsidR="0027274B" w:rsidRPr="00BE77B0" w:rsidRDefault="003A6359" w:rsidP="0066028B">
      <w:r w:rsidRPr="00BE77B0">
        <w:t xml:space="preserve">In the </w:t>
      </w:r>
      <w:r w:rsidR="003A7FEC">
        <w:t xml:space="preserve">September </w:t>
      </w:r>
      <w:r w:rsidRPr="00BE77B0">
        <w:t>quarter 202</w:t>
      </w:r>
      <w:r w:rsidR="003A7FEC">
        <w:t>3</w:t>
      </w:r>
      <w:r w:rsidRPr="00BE77B0">
        <w:t>, 4</w:t>
      </w:r>
      <w:r w:rsidR="003A7FEC">
        <w:t>9</w:t>
      </w:r>
      <w:r w:rsidRPr="00BE77B0">
        <w:t xml:space="preserve">% (or around </w:t>
      </w:r>
      <w:r w:rsidR="003A7FEC">
        <w:t>911,000</w:t>
      </w:r>
      <w:r w:rsidRPr="00BE77B0">
        <w:t xml:space="preserve">) of children aged 0 to 5 </w:t>
      </w:r>
      <w:r w:rsidR="001D35EC">
        <w:t xml:space="preserve">attended Australian </w:t>
      </w:r>
      <w:r w:rsidR="00FA718B">
        <w:t>G</w:t>
      </w:r>
      <w:r w:rsidRPr="00BE77B0">
        <w:t xml:space="preserve">overnment subsidised </w:t>
      </w:r>
      <w:r w:rsidR="00710AAA">
        <w:t>early childhood education and care</w:t>
      </w:r>
      <w:r w:rsidRPr="00BE77B0">
        <w:t>. This was consistent with proportions over the previous 12 months (ranging from around 48% to 49%).</w:t>
      </w:r>
      <w:r>
        <w:rPr>
          <w:rStyle w:val="FootnoteReference"/>
        </w:rPr>
        <w:footnoteReference w:id="76"/>
      </w:r>
    </w:p>
    <w:p w14:paraId="387576F0" w14:textId="77777777" w:rsidR="0027274B" w:rsidRPr="00BE77B0" w:rsidRDefault="003A6359" w:rsidP="00710AAA">
      <w:r w:rsidRPr="00BE77B0">
        <w:t xml:space="preserve">Between the September quarter 2020 and the </w:t>
      </w:r>
      <w:r w:rsidR="003D51DD">
        <w:t>September</w:t>
      </w:r>
      <w:r w:rsidR="003D51DD" w:rsidRPr="00BE77B0">
        <w:t xml:space="preserve"> </w:t>
      </w:r>
      <w:r w:rsidRPr="00BE77B0">
        <w:t>quarter 202</w:t>
      </w:r>
      <w:r w:rsidR="003D51DD">
        <w:t>3</w:t>
      </w:r>
      <w:r w:rsidRPr="00BE77B0">
        <w:t xml:space="preserve">, use of </w:t>
      </w:r>
      <w:r w:rsidR="003D51DD">
        <w:t>early childhood education and care</w:t>
      </w:r>
      <w:r w:rsidR="003D51DD" w:rsidRPr="00BE77B0">
        <w:t xml:space="preserve"> </w:t>
      </w:r>
      <w:r w:rsidRPr="00BE77B0">
        <w:t>has been consistently highest for children aged 3 (between 60% to 68%) and lowest for children aged less than </w:t>
      </w:r>
      <w:r w:rsidR="00710AAA">
        <w:t>one</w:t>
      </w:r>
      <w:r w:rsidRPr="00BE77B0">
        <w:t xml:space="preserve"> (between 6% to 12%).</w:t>
      </w:r>
      <w:r>
        <w:rPr>
          <w:vertAlign w:val="superscript"/>
        </w:rPr>
        <w:footnoteReference w:id="77"/>
      </w:r>
    </w:p>
    <w:p w14:paraId="0D609421" w14:textId="5FB9B8BB" w:rsidR="0027274B" w:rsidRPr="00BE77B0" w:rsidRDefault="003A6359" w:rsidP="00710AAA">
      <w:bookmarkStart w:id="66" w:name="_Toc147129552"/>
      <w:bookmarkStart w:id="67" w:name="_Toc147220203"/>
      <w:bookmarkStart w:id="68" w:name="_Toc148009143"/>
      <w:r w:rsidRPr="00BE77B0">
        <w:t xml:space="preserve">The quality of education and care services has consistently risen in recent years, with </w:t>
      </w:r>
      <w:r w:rsidR="004428DD">
        <w:t>9</w:t>
      </w:r>
      <w:r w:rsidR="00164623">
        <w:t>1</w:t>
      </w:r>
      <w:r w:rsidRPr="00BE77B0">
        <w:t xml:space="preserve">% of the </w:t>
      </w:r>
      <w:r w:rsidR="004428DD">
        <w:t xml:space="preserve">17,424 </w:t>
      </w:r>
      <w:r w:rsidRPr="00BE77B0">
        <w:t xml:space="preserve">approved </w:t>
      </w:r>
      <w:r w:rsidR="001C3956">
        <w:t>early childhood education and care</w:t>
      </w:r>
      <w:r w:rsidR="001C3956" w:rsidRPr="00BE77B0">
        <w:t xml:space="preserve"> </w:t>
      </w:r>
      <w:r w:rsidRPr="00BE77B0">
        <w:t xml:space="preserve">services in Australia meeting or exceeding the National Quality Standards </w:t>
      </w:r>
      <w:proofErr w:type="gramStart"/>
      <w:r w:rsidRPr="00BE77B0">
        <w:t>at</w:t>
      </w:r>
      <w:proofErr w:type="gramEnd"/>
      <w:r w:rsidRPr="00BE77B0">
        <w:t> 1 </w:t>
      </w:r>
      <w:r w:rsidR="004428DD">
        <w:t>October</w:t>
      </w:r>
      <w:r w:rsidRPr="00BE77B0">
        <w:t> 2023</w:t>
      </w:r>
      <w:r w:rsidR="00A72800">
        <w:t>,</w:t>
      </w:r>
      <w:r w:rsidR="00242C85">
        <w:t xml:space="preserve"> up</w:t>
      </w:r>
      <w:r w:rsidR="001D35EC">
        <w:t xml:space="preserve"> from 56% in 2013</w:t>
      </w:r>
      <w:r w:rsidRPr="00BE77B0">
        <w:t>.</w:t>
      </w:r>
      <w:r>
        <w:rPr>
          <w:vertAlign w:val="superscript"/>
        </w:rPr>
        <w:footnoteReference w:id="78"/>
      </w:r>
    </w:p>
    <w:p w14:paraId="4D1F7FA4" w14:textId="77777777" w:rsidR="0027274B" w:rsidRPr="00B756B7" w:rsidRDefault="003A6359" w:rsidP="0027274B">
      <w:pPr>
        <w:pStyle w:val="Heading3"/>
        <w:rPr>
          <w:color w:val="002A3F"/>
        </w:rPr>
      </w:pPr>
      <w:r w:rsidRPr="00B756B7">
        <w:rPr>
          <w:color w:val="002A3F"/>
        </w:rPr>
        <w:t xml:space="preserve">Preschool </w:t>
      </w:r>
      <w:bookmarkEnd w:id="66"/>
      <w:bookmarkEnd w:id="67"/>
      <w:bookmarkEnd w:id="68"/>
      <w:r w:rsidRPr="00B756B7">
        <w:rPr>
          <w:color w:val="002A3F"/>
        </w:rPr>
        <w:t>participation</w:t>
      </w:r>
    </w:p>
    <w:p w14:paraId="4C70A59F" w14:textId="7E7F0E83" w:rsidR="00B74C18" w:rsidRPr="004E474C" w:rsidRDefault="003A6359" w:rsidP="00B74C18">
      <w:r w:rsidRPr="004E474C">
        <w:t xml:space="preserve">In 2022, </w:t>
      </w:r>
      <w:r>
        <w:t xml:space="preserve">out of an estimated population of 319,000 </w:t>
      </w:r>
      <w:r w:rsidRPr="004E474C">
        <w:t>children</w:t>
      </w:r>
      <w:r>
        <w:t xml:space="preserve"> in the year before full-time school, about 284,000 children (</w:t>
      </w:r>
      <w:r w:rsidR="00A72800">
        <w:t xml:space="preserve">approximately </w:t>
      </w:r>
      <w:r>
        <w:t xml:space="preserve">89%) </w:t>
      </w:r>
      <w:r w:rsidRPr="004E474C">
        <w:t xml:space="preserve">were enrolled in a preschool program </w:t>
      </w:r>
      <w:r>
        <w:t>and over 275,900 (</w:t>
      </w:r>
      <w:r w:rsidR="00A72800">
        <w:t xml:space="preserve">approximately </w:t>
      </w:r>
      <w:r>
        <w:t>86%) were enrolled for 600 hours or more</w:t>
      </w:r>
      <w:r w:rsidRPr="004E474C">
        <w:t>.</w:t>
      </w:r>
      <w:r w:rsidR="00A72800">
        <w:rPr>
          <w:rStyle w:val="FootnoteReference"/>
        </w:rPr>
        <w:footnoteReference w:id="79"/>
      </w:r>
      <w:r w:rsidRPr="004E474C">
        <w:t xml:space="preserve"> </w:t>
      </w:r>
    </w:p>
    <w:p w14:paraId="188EA5F2" w14:textId="77777777" w:rsidR="00B74C18" w:rsidRPr="004E474C" w:rsidRDefault="003A6359" w:rsidP="00B74C18">
      <w:r w:rsidRPr="004E474C">
        <w:t xml:space="preserve">Children were </w:t>
      </w:r>
      <w:proofErr w:type="gramStart"/>
      <w:r w:rsidRPr="004E474C">
        <w:t>most commonly enrolled</w:t>
      </w:r>
      <w:proofErr w:type="gramEnd"/>
      <w:r w:rsidRPr="004E474C">
        <w:t xml:space="preserve"> in </w:t>
      </w:r>
      <w:r>
        <w:t xml:space="preserve">preschool programs in </w:t>
      </w:r>
      <w:r w:rsidRPr="004E474C">
        <w:t>centre-based day care (around 47% or 134,000), followed by dedicated preschool</w:t>
      </w:r>
      <w:r>
        <w:t>s</w:t>
      </w:r>
      <w:r w:rsidRPr="004E474C">
        <w:t xml:space="preserve"> (around 39% or 110,000). </w:t>
      </w:r>
      <w:r>
        <w:t>Around 14% or 40,100 were enrolled</w:t>
      </w:r>
      <w:r w:rsidRPr="004E474C">
        <w:t xml:space="preserve"> across both </w:t>
      </w:r>
      <w:r>
        <w:t>service types</w:t>
      </w:r>
      <w:r w:rsidRPr="004E474C">
        <w:t>.</w:t>
      </w:r>
    </w:p>
    <w:p w14:paraId="3380FEF2" w14:textId="5E25B489" w:rsidR="00B74C18" w:rsidRPr="004E474C" w:rsidRDefault="003A6359" w:rsidP="00B74C18">
      <w:r w:rsidRPr="004E474C">
        <w:t xml:space="preserve">In 2022, </w:t>
      </w:r>
      <w:r>
        <w:t>out of an estimated population of 19,200</w:t>
      </w:r>
      <w:r w:rsidRPr="004E474C">
        <w:t xml:space="preserve"> Aboriginal and Torres Strait Islander children</w:t>
      </w:r>
      <w:r w:rsidR="00242C85">
        <w:t>,</w:t>
      </w:r>
      <w:r>
        <w:t xml:space="preserve"> in the year before full-time school about 18,900 children (</w:t>
      </w:r>
      <w:r w:rsidR="00B70934">
        <w:t xml:space="preserve">approximately </w:t>
      </w:r>
      <w:r>
        <w:t>99%)</w:t>
      </w:r>
      <w:r w:rsidRPr="004E474C">
        <w:t xml:space="preserve"> were enrolled in preschool</w:t>
      </w:r>
      <w:r>
        <w:t xml:space="preserve"> and 18,400 (</w:t>
      </w:r>
      <w:r w:rsidR="00B70934">
        <w:t xml:space="preserve">approximately </w:t>
      </w:r>
      <w:r>
        <w:t>96%) were enrolled for 600 hours or more</w:t>
      </w:r>
      <w:r w:rsidRPr="004E474C">
        <w:t xml:space="preserve">. Aboriginal and Torres Strait Islander children were </w:t>
      </w:r>
      <w:proofErr w:type="gramStart"/>
      <w:r w:rsidRPr="004E474C">
        <w:t>most commonly enrolled</w:t>
      </w:r>
      <w:proofErr w:type="gramEnd"/>
      <w:r w:rsidRPr="004E474C">
        <w:t xml:space="preserve"> in </w:t>
      </w:r>
      <w:r w:rsidRPr="004E474C">
        <w:lastRenderedPageBreak/>
        <w:t>dedicated preschool</w:t>
      </w:r>
      <w:r>
        <w:t>s</w:t>
      </w:r>
      <w:r w:rsidRPr="004E474C">
        <w:t xml:space="preserve"> (49% or 9,200), followed by </w:t>
      </w:r>
      <w:r>
        <w:t xml:space="preserve">preschool programs in </w:t>
      </w:r>
      <w:r w:rsidRPr="004E474C">
        <w:t xml:space="preserve">centre-based day care (39% or 7,400). </w:t>
      </w:r>
      <w:r>
        <w:t>Around</w:t>
      </w:r>
      <w:r w:rsidR="00242C85">
        <w:t> </w:t>
      </w:r>
      <w:r>
        <w:t xml:space="preserve">13% or 2,400 were enrolled </w:t>
      </w:r>
      <w:r w:rsidRPr="004E474C">
        <w:t xml:space="preserve">across both </w:t>
      </w:r>
      <w:r>
        <w:t>service types</w:t>
      </w:r>
      <w:r w:rsidRPr="004E474C">
        <w:t>.</w:t>
      </w:r>
      <w:r>
        <w:rPr>
          <w:vertAlign w:val="superscript"/>
        </w:rPr>
        <w:footnoteReference w:id="80"/>
      </w:r>
    </w:p>
    <w:p w14:paraId="76C14F12" w14:textId="77777777" w:rsidR="00726A34" w:rsidRDefault="003A6359">
      <w:pPr>
        <w:spacing w:line="259" w:lineRule="auto"/>
        <w:rPr>
          <w:rFonts w:asciiTheme="majorHAnsi" w:eastAsiaTheme="majorEastAsia" w:hAnsiTheme="majorHAnsi" w:cstheme="majorBidi"/>
          <w:color w:val="262626" w:themeColor="text1" w:themeTint="D9"/>
          <w:sz w:val="40"/>
          <w:szCs w:val="40"/>
        </w:rPr>
      </w:pPr>
      <w:r>
        <w:br w:type="page"/>
      </w:r>
    </w:p>
    <w:p w14:paraId="7103587A" w14:textId="77777777" w:rsidR="000A4333" w:rsidRPr="00B756B7" w:rsidRDefault="003A6359" w:rsidP="000A4333">
      <w:pPr>
        <w:pStyle w:val="Heading1"/>
        <w:rPr>
          <w:color w:val="002A3F"/>
        </w:rPr>
      </w:pPr>
      <w:bookmarkStart w:id="69" w:name="_Toc165022441"/>
      <w:r w:rsidRPr="00B756B7">
        <w:rPr>
          <w:color w:val="002A3F"/>
        </w:rPr>
        <w:lastRenderedPageBreak/>
        <w:t>The best start for children</w:t>
      </w:r>
      <w:bookmarkEnd w:id="69"/>
    </w:p>
    <w:p w14:paraId="286632BD" w14:textId="77777777" w:rsidR="000A4333" w:rsidRPr="00B756B7" w:rsidRDefault="003A6359" w:rsidP="00B95B2A">
      <w:pPr>
        <w:pStyle w:val="Pullouttext"/>
        <w:rPr>
          <w:color w:val="55266B"/>
        </w:rPr>
      </w:pPr>
      <w:r w:rsidRPr="00B756B7">
        <w:rPr>
          <w:color w:val="55266B"/>
        </w:rPr>
        <w:t xml:space="preserve">The </w:t>
      </w:r>
      <w:r w:rsidR="00B95B2A" w:rsidRPr="00B756B7">
        <w:rPr>
          <w:color w:val="55266B"/>
        </w:rPr>
        <w:t xml:space="preserve">Early Years </w:t>
      </w:r>
      <w:r w:rsidRPr="00B756B7">
        <w:rPr>
          <w:color w:val="55266B"/>
        </w:rPr>
        <w:t>Strategy recognises that children grow and develop in the context of their families,</w:t>
      </w:r>
      <w:r w:rsidR="009E6069" w:rsidRPr="00B756B7">
        <w:rPr>
          <w:color w:val="55266B"/>
        </w:rPr>
        <w:t xml:space="preserve"> kin,</w:t>
      </w:r>
      <w:r w:rsidRPr="00B756B7">
        <w:rPr>
          <w:color w:val="55266B"/>
        </w:rPr>
        <w:t xml:space="preserve"> </w:t>
      </w:r>
      <w:proofErr w:type="gramStart"/>
      <w:r w:rsidRPr="00B756B7">
        <w:rPr>
          <w:color w:val="55266B"/>
        </w:rPr>
        <w:t>communities</w:t>
      </w:r>
      <w:proofErr w:type="gramEnd"/>
      <w:r w:rsidRPr="00B756B7">
        <w:rPr>
          <w:color w:val="55266B"/>
        </w:rPr>
        <w:t xml:space="preserve"> and society. Action to improve outcomes for young children must encompass </w:t>
      </w:r>
      <w:proofErr w:type="gramStart"/>
      <w:r w:rsidRPr="00B756B7">
        <w:rPr>
          <w:color w:val="55266B"/>
        </w:rPr>
        <w:t>all of</w:t>
      </w:r>
      <w:proofErr w:type="gramEnd"/>
      <w:r w:rsidRPr="00B756B7">
        <w:rPr>
          <w:color w:val="55266B"/>
        </w:rPr>
        <w:t xml:space="preserve"> these spheres. </w:t>
      </w:r>
    </w:p>
    <w:p w14:paraId="73B53E38" w14:textId="77777777" w:rsidR="000A4333" w:rsidRDefault="003A6359" w:rsidP="00B95B2A">
      <w:r w:rsidRPr="004E474C">
        <w:t xml:space="preserve">A child’s development is shaped by the people and relationships, communities, </w:t>
      </w:r>
      <w:proofErr w:type="gramStart"/>
      <w:r w:rsidRPr="004E474C">
        <w:t>cultures</w:t>
      </w:r>
      <w:proofErr w:type="gramEnd"/>
      <w:r w:rsidRPr="004E474C">
        <w:t xml:space="preserve"> and society that surround them.</w:t>
      </w:r>
      <w:r>
        <w:rPr>
          <w:rStyle w:val="FootnoteReference"/>
          <w:rFonts w:ascii="Calibri" w:hAnsi="Calibri" w:cs="Calibri"/>
          <w:sz w:val="22"/>
          <w:szCs w:val="22"/>
        </w:rPr>
        <w:footnoteReference w:id="81"/>
      </w:r>
      <w:r w:rsidRPr="004E474C">
        <w:t xml:space="preserve"> Children are part of Australia’s social ecology, and we recognise they affect, and are affected by, a complex range of social and environmental interactions (see Figure 1). </w:t>
      </w:r>
    </w:p>
    <w:p w14:paraId="0B20E814" w14:textId="77777777" w:rsidR="00EA4562" w:rsidRDefault="003A6359" w:rsidP="00EA4562">
      <w:pPr>
        <w:keepNext/>
        <w:jc w:val="center"/>
      </w:pPr>
      <w:r>
        <w:rPr>
          <w:noProof/>
          <w:lang w:eastAsia="en-AU"/>
        </w:rPr>
        <w:drawing>
          <wp:inline distT="0" distB="0" distL="0" distR="0" wp14:anchorId="5D155AD9" wp14:editId="174B16BE">
            <wp:extent cx="2648310" cy="2364563"/>
            <wp:effectExtent l="0" t="0" r="0" b="0"/>
            <wp:docPr id="1512063461" name="Picture 1512063461" descr="This image shows the social ecology of child development through concentric circles, with the child at the centre, surrounded by relationships with parents, family and caregivers, surrounded by communities, surrounded by society. " title="Social ecology of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63461" name=""/>
                    <pic:cNvPicPr/>
                  </pic:nvPicPr>
                  <pic:blipFill>
                    <a:blip r:embed="rId13"/>
                    <a:stretch>
                      <a:fillRect/>
                    </a:stretch>
                  </pic:blipFill>
                  <pic:spPr>
                    <a:xfrm>
                      <a:off x="0" y="0"/>
                      <a:ext cx="2672167" cy="2385864"/>
                    </a:xfrm>
                    <a:prstGeom prst="rect">
                      <a:avLst/>
                    </a:prstGeom>
                  </pic:spPr>
                </pic:pic>
              </a:graphicData>
            </a:graphic>
          </wp:inline>
        </w:drawing>
      </w:r>
    </w:p>
    <w:p w14:paraId="0873F2F4" w14:textId="198DF804" w:rsidR="000A4333" w:rsidRPr="00B756B7" w:rsidRDefault="003A6359" w:rsidP="00EA4562">
      <w:pPr>
        <w:pStyle w:val="Caption"/>
        <w:jc w:val="center"/>
        <w:rPr>
          <w:rFonts w:ascii="Calibri" w:hAnsi="Calibri" w:cs="Calibri"/>
          <w:i w:val="0"/>
          <w:iCs w:val="0"/>
          <w:color w:val="auto"/>
          <w:sz w:val="22"/>
          <w:szCs w:val="22"/>
        </w:rPr>
      </w:pPr>
      <w:r w:rsidRPr="00B756B7">
        <w:rPr>
          <w:i w:val="0"/>
          <w:iCs w:val="0"/>
          <w:color w:val="auto"/>
        </w:rPr>
        <w:t xml:space="preserve">Figure </w:t>
      </w:r>
      <w:r w:rsidRPr="00B756B7">
        <w:rPr>
          <w:i w:val="0"/>
          <w:iCs w:val="0"/>
          <w:color w:val="auto"/>
        </w:rPr>
        <w:fldChar w:fldCharType="begin"/>
      </w:r>
      <w:r w:rsidRPr="00B756B7">
        <w:rPr>
          <w:i w:val="0"/>
          <w:iCs w:val="0"/>
          <w:color w:val="auto"/>
        </w:rPr>
        <w:instrText xml:space="preserve"> SEQ Figure \* ARABIC </w:instrText>
      </w:r>
      <w:r w:rsidRPr="00B756B7">
        <w:rPr>
          <w:i w:val="0"/>
          <w:iCs w:val="0"/>
          <w:color w:val="auto"/>
        </w:rPr>
        <w:fldChar w:fldCharType="separate"/>
      </w:r>
      <w:r w:rsidR="00F26C3E" w:rsidRPr="00B756B7">
        <w:rPr>
          <w:i w:val="0"/>
          <w:iCs w:val="0"/>
          <w:noProof/>
          <w:color w:val="auto"/>
        </w:rPr>
        <w:t>1</w:t>
      </w:r>
      <w:r w:rsidRPr="00B756B7">
        <w:rPr>
          <w:i w:val="0"/>
          <w:iCs w:val="0"/>
          <w:color w:val="auto"/>
        </w:rPr>
        <w:fldChar w:fldCharType="end"/>
      </w:r>
      <w:r w:rsidRPr="00B756B7">
        <w:rPr>
          <w:i w:val="0"/>
          <w:iCs w:val="0"/>
          <w:color w:val="auto"/>
        </w:rPr>
        <w:t xml:space="preserve">: Social ecology of child </w:t>
      </w:r>
      <w:proofErr w:type="gramStart"/>
      <w:r w:rsidRPr="00B756B7">
        <w:rPr>
          <w:i w:val="0"/>
          <w:iCs w:val="0"/>
          <w:color w:val="auto"/>
        </w:rPr>
        <w:t>development</w:t>
      </w:r>
      <w:proofErr w:type="gramEnd"/>
    </w:p>
    <w:p w14:paraId="633C2A25" w14:textId="77777777" w:rsidR="000A4333" w:rsidRPr="00B756B7" w:rsidRDefault="003A6359" w:rsidP="00CF22A5">
      <w:pPr>
        <w:pStyle w:val="Heading2"/>
        <w:rPr>
          <w:color w:val="002A3F"/>
        </w:rPr>
      </w:pPr>
      <w:bookmarkStart w:id="70" w:name="_Toc154069279"/>
      <w:bookmarkStart w:id="71" w:name="_Toc165022442"/>
      <w:r w:rsidRPr="00B756B7">
        <w:rPr>
          <w:color w:val="002A3F"/>
        </w:rPr>
        <w:t>Positive protective factors</w:t>
      </w:r>
      <w:bookmarkEnd w:id="70"/>
      <w:bookmarkEnd w:id="71"/>
      <w:r w:rsidRPr="00B756B7">
        <w:rPr>
          <w:color w:val="002A3F"/>
        </w:rPr>
        <w:t xml:space="preserve"> </w:t>
      </w:r>
    </w:p>
    <w:p w14:paraId="1629AD6D" w14:textId="77777777" w:rsidR="000A4333" w:rsidRPr="004E474C" w:rsidRDefault="003A6359" w:rsidP="00B95B2A">
      <w:r>
        <w:t>Children’s development can be conceptualised like a</w:t>
      </w:r>
      <w:r w:rsidRPr="004E474C">
        <w:t xml:space="preserve"> scale, with positive, protective factors on one side, and significant adversity or trauma on the other side</w:t>
      </w:r>
      <w:r w:rsidR="00EA4562">
        <w:t xml:space="preserve"> (see Figure 2)</w:t>
      </w:r>
      <w:r w:rsidRPr="004E474C">
        <w:t xml:space="preserve">. </w:t>
      </w:r>
      <w:r w:rsidR="005F07D9" w:rsidRPr="00B756B7">
        <w:rPr>
          <w:rStyle w:val="IntenseEmphasis"/>
          <w:color w:val="auto"/>
        </w:rPr>
        <w:t>Adverse</w:t>
      </w:r>
      <w:r w:rsidR="005F07D9" w:rsidRPr="00B756B7">
        <w:t xml:space="preserve"> </w:t>
      </w:r>
      <w:r w:rsidR="005F07D9">
        <w:t>childhood experiences are things that may cause toxic stress.</w:t>
      </w:r>
      <w:r>
        <w:rPr>
          <w:rStyle w:val="FootnoteReference"/>
        </w:rPr>
        <w:footnoteReference w:id="82"/>
      </w:r>
      <w:r w:rsidR="005F07D9">
        <w:t xml:space="preserve"> </w:t>
      </w:r>
      <w:r w:rsidR="00D902E6">
        <w:t>Examples</w:t>
      </w:r>
      <w:r w:rsidR="005F07D9">
        <w:t xml:space="preserve"> include poverty, exposure to domestic violence or parental substance abuse, </w:t>
      </w:r>
      <w:proofErr w:type="gramStart"/>
      <w:r w:rsidR="005F07D9">
        <w:t>discrimination</w:t>
      </w:r>
      <w:proofErr w:type="gramEnd"/>
      <w:r w:rsidR="005F07D9">
        <w:t xml:space="preserve"> or parental mental illness. </w:t>
      </w:r>
    </w:p>
    <w:p w14:paraId="57EEFC39" w14:textId="77777777" w:rsidR="007C526B" w:rsidRDefault="003A6359" w:rsidP="007C526B">
      <w:r w:rsidRPr="004E474C">
        <w:t xml:space="preserve">In the early years, the goal is to tip or </w:t>
      </w:r>
      <w:r w:rsidRPr="00B756B7">
        <w:rPr>
          <w:rStyle w:val="IntenseEmphasis"/>
          <w:color w:val="auto"/>
        </w:rPr>
        <w:t>stack the scale</w:t>
      </w:r>
      <w:r w:rsidRPr="00B756B7">
        <w:t xml:space="preserve"> </w:t>
      </w:r>
      <w:r w:rsidRPr="004E474C">
        <w:t xml:space="preserve">in favour of protective factors that can have a positive impact on children and their development </w:t>
      </w:r>
      <w:proofErr w:type="gramStart"/>
      <w:r w:rsidRPr="004E474C">
        <w:t>and also</w:t>
      </w:r>
      <w:proofErr w:type="gramEnd"/>
      <w:r w:rsidRPr="004E474C">
        <w:t xml:space="preserve"> minimise the impact of any adverse childhood experiences. Over time, the cumulative impact of positive experiences can make it easier to achieve positive outcomes.</w:t>
      </w:r>
      <w:r>
        <w:rPr>
          <w:rStyle w:val="FootnoteReference"/>
          <w:rFonts w:ascii="Calibri" w:hAnsi="Calibri" w:cs="Calibri"/>
          <w:sz w:val="22"/>
          <w:szCs w:val="22"/>
        </w:rPr>
        <w:footnoteReference w:id="83"/>
      </w:r>
      <w:r w:rsidR="00D902E6" w:rsidRPr="00D902E6">
        <w:rPr>
          <w:rStyle w:val="IntenseEmphasis"/>
        </w:rPr>
        <w:t xml:space="preserve"> </w:t>
      </w:r>
      <w:r w:rsidR="00D902E6" w:rsidRPr="00B756B7">
        <w:rPr>
          <w:rStyle w:val="IntenseEmphasis"/>
          <w:color w:val="auto"/>
        </w:rPr>
        <w:t>Protective factors</w:t>
      </w:r>
      <w:r w:rsidR="00D902E6">
        <w:t xml:space="preserve"> </w:t>
      </w:r>
      <w:r w:rsidR="00242C85">
        <w:t xml:space="preserve">can </w:t>
      </w:r>
      <w:r w:rsidR="00D902E6">
        <w:t>include</w:t>
      </w:r>
      <w:r>
        <w:t xml:space="preserve"> </w:t>
      </w:r>
      <w:r w:rsidR="00242C85">
        <w:t xml:space="preserve">things like </w:t>
      </w:r>
      <w:r>
        <w:t>having</w:t>
      </w:r>
      <w:r w:rsidR="00D902E6">
        <w:t xml:space="preserve"> at least one stable, </w:t>
      </w:r>
      <w:proofErr w:type="gramStart"/>
      <w:r w:rsidR="00D902E6">
        <w:t>caring</w:t>
      </w:r>
      <w:proofErr w:type="gramEnd"/>
      <w:r w:rsidR="00D902E6">
        <w:t xml:space="preserve"> and supportive relationship or </w:t>
      </w:r>
      <w:r w:rsidR="00242C85">
        <w:t xml:space="preserve">connecting with </w:t>
      </w:r>
      <w:r w:rsidR="00D902E6">
        <w:t>cultural traditions.</w:t>
      </w:r>
      <w:r w:rsidRPr="007C526B">
        <w:t xml:space="preserve"> </w:t>
      </w:r>
    </w:p>
    <w:p w14:paraId="064EF771" w14:textId="77777777" w:rsidR="007C526B" w:rsidRPr="004E474C" w:rsidRDefault="003A6359" w:rsidP="007C526B">
      <w:pPr>
        <w:rPr>
          <w:sz w:val="18"/>
          <w:szCs w:val="18"/>
        </w:rPr>
      </w:pPr>
      <w:r w:rsidRPr="004E474C">
        <w:lastRenderedPageBreak/>
        <w:t xml:space="preserve">When children do not have </w:t>
      </w:r>
      <w:proofErr w:type="gramStart"/>
      <w:r w:rsidRPr="004E474C">
        <w:t>all</w:t>
      </w:r>
      <w:proofErr w:type="gramEnd"/>
      <w:r w:rsidRPr="004E474C">
        <w:t xml:space="preserve"> they need in their early years, including when they experience greater adversit</w:t>
      </w:r>
      <w:r>
        <w:t>y</w:t>
      </w:r>
      <w:r w:rsidRPr="004E474C">
        <w:t>, this can affect their development.</w:t>
      </w:r>
      <w:r>
        <w:rPr>
          <w:rStyle w:val="FootnoteReference"/>
          <w:rFonts w:ascii="Calibri" w:hAnsi="Calibri" w:cs="Calibri"/>
          <w:sz w:val="22"/>
          <w:szCs w:val="22"/>
        </w:rPr>
        <w:footnoteReference w:id="84"/>
      </w:r>
    </w:p>
    <w:p w14:paraId="1E7770A3" w14:textId="77777777" w:rsidR="000A4333" w:rsidRDefault="000A4333" w:rsidP="00B95B2A"/>
    <w:p w14:paraId="6728D4BC" w14:textId="77777777" w:rsidR="00EA4562" w:rsidRDefault="003A6359" w:rsidP="00EA4562">
      <w:pPr>
        <w:keepNext/>
        <w:spacing w:after="0" w:line="240" w:lineRule="auto"/>
        <w:jc w:val="center"/>
      </w:pPr>
      <w:r>
        <w:rPr>
          <w:noProof/>
          <w:lang w:eastAsia="en-AU"/>
        </w:rPr>
        <w:drawing>
          <wp:inline distT="0" distB="0" distL="0" distR="0" wp14:anchorId="36B43DAF" wp14:editId="3BAF2111">
            <wp:extent cx="3234905" cy="1697524"/>
            <wp:effectExtent l="0" t="0" r="3810" b="0"/>
            <wp:docPr id="1512063460" name="Picture 1512063460" descr="A visual of scales with adverse childhood experiences on the left hand side, and protective factors on the right. " title="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63460" name=""/>
                    <pic:cNvPicPr/>
                  </pic:nvPicPr>
                  <pic:blipFill>
                    <a:blip r:embed="rId14"/>
                    <a:stretch>
                      <a:fillRect/>
                    </a:stretch>
                  </pic:blipFill>
                  <pic:spPr>
                    <a:xfrm>
                      <a:off x="0" y="0"/>
                      <a:ext cx="3264808" cy="1713216"/>
                    </a:xfrm>
                    <a:prstGeom prst="rect">
                      <a:avLst/>
                    </a:prstGeom>
                  </pic:spPr>
                </pic:pic>
              </a:graphicData>
            </a:graphic>
          </wp:inline>
        </w:drawing>
      </w:r>
    </w:p>
    <w:p w14:paraId="247620FE" w14:textId="22FDD09A" w:rsidR="000A4333" w:rsidRPr="00B756B7" w:rsidRDefault="003A6359" w:rsidP="00EA4562">
      <w:pPr>
        <w:pStyle w:val="Caption"/>
        <w:jc w:val="center"/>
        <w:rPr>
          <w:rFonts w:ascii="Calibri" w:hAnsi="Calibri" w:cs="Calibri"/>
          <w:i w:val="0"/>
          <w:iCs w:val="0"/>
          <w:color w:val="auto"/>
          <w:sz w:val="22"/>
          <w:szCs w:val="22"/>
        </w:rPr>
      </w:pPr>
      <w:r w:rsidRPr="00B756B7">
        <w:rPr>
          <w:i w:val="0"/>
          <w:iCs w:val="0"/>
          <w:color w:val="auto"/>
        </w:rPr>
        <w:t xml:space="preserve">Figure </w:t>
      </w:r>
      <w:r w:rsidRPr="00B756B7">
        <w:rPr>
          <w:i w:val="0"/>
          <w:iCs w:val="0"/>
          <w:color w:val="auto"/>
        </w:rPr>
        <w:fldChar w:fldCharType="begin"/>
      </w:r>
      <w:r w:rsidRPr="00B756B7">
        <w:rPr>
          <w:i w:val="0"/>
          <w:iCs w:val="0"/>
          <w:color w:val="auto"/>
        </w:rPr>
        <w:instrText xml:space="preserve"> SEQ Figure \* ARABIC </w:instrText>
      </w:r>
      <w:r w:rsidRPr="00B756B7">
        <w:rPr>
          <w:i w:val="0"/>
          <w:iCs w:val="0"/>
          <w:color w:val="auto"/>
        </w:rPr>
        <w:fldChar w:fldCharType="separate"/>
      </w:r>
      <w:r w:rsidR="00F26C3E" w:rsidRPr="00B756B7">
        <w:rPr>
          <w:i w:val="0"/>
          <w:iCs w:val="0"/>
          <w:noProof/>
          <w:color w:val="auto"/>
        </w:rPr>
        <w:t>2</w:t>
      </w:r>
      <w:r w:rsidRPr="00B756B7">
        <w:rPr>
          <w:i w:val="0"/>
          <w:iCs w:val="0"/>
          <w:color w:val="auto"/>
        </w:rPr>
        <w:fldChar w:fldCharType="end"/>
      </w:r>
      <w:r w:rsidRPr="00B756B7">
        <w:rPr>
          <w:i w:val="0"/>
          <w:iCs w:val="0"/>
          <w:color w:val="auto"/>
        </w:rPr>
        <w:t xml:space="preserve">: Protective factors </w:t>
      </w:r>
      <w:proofErr w:type="gramStart"/>
      <w:r w:rsidRPr="00B756B7">
        <w:rPr>
          <w:i w:val="0"/>
          <w:iCs w:val="0"/>
          <w:color w:val="auto"/>
        </w:rPr>
        <w:t>scale</w:t>
      </w:r>
      <w:proofErr w:type="gramEnd"/>
    </w:p>
    <w:p w14:paraId="62DC6AF1" w14:textId="678BCB3A" w:rsidR="00EE3EFE" w:rsidRPr="004E474C" w:rsidRDefault="003A6359" w:rsidP="00B756B7">
      <w:pPr>
        <w:shd w:val="clear" w:color="auto" w:fill="ECF8FE"/>
      </w:pPr>
      <w:bookmarkStart w:id="72" w:name="_Toc154069280"/>
      <w:r>
        <w:t>A</w:t>
      </w:r>
      <w:r w:rsidRPr="004E474C">
        <w:t xml:space="preserve">ll children should have great opportunities right from the start. </w:t>
      </w:r>
      <w:r>
        <w:t>Yet c</w:t>
      </w:r>
      <w:r w:rsidRPr="004E474C">
        <w:t xml:space="preserve">hallenges in early childhood development can occur for a range of </w:t>
      </w:r>
      <w:r w:rsidRPr="00B756B7">
        <w:rPr>
          <w:rStyle w:val="IntenseEmphasis"/>
          <w:color w:val="auto"/>
        </w:rPr>
        <w:t>complex</w:t>
      </w:r>
      <w:r w:rsidRPr="004E474C">
        <w:t xml:space="preserve"> reasons</w:t>
      </w:r>
      <w:r w:rsidR="00242C85">
        <w:t xml:space="preserve">, </w:t>
      </w:r>
      <w:r w:rsidRPr="004E474C">
        <w:t xml:space="preserve">within a wide range of families and in a wide </w:t>
      </w:r>
      <w:r w:rsidR="007127BC">
        <w:t>variety</w:t>
      </w:r>
      <w:r w:rsidR="007127BC" w:rsidRPr="004E474C">
        <w:t xml:space="preserve"> </w:t>
      </w:r>
      <w:r w:rsidRPr="004E474C">
        <w:t xml:space="preserve">of circumstances. It is important to avoid making </w:t>
      </w:r>
      <w:r w:rsidRPr="00B756B7">
        <w:rPr>
          <w:rStyle w:val="IntenseEmphasis"/>
          <w:color w:val="auto"/>
        </w:rPr>
        <w:t>assumptions</w:t>
      </w:r>
      <w:r w:rsidRPr="00B756B7">
        <w:t xml:space="preserve"> </w:t>
      </w:r>
      <w:r w:rsidRPr="004E474C">
        <w:t>about outcomes based only on a child’s family background or circumstances.</w:t>
      </w:r>
    </w:p>
    <w:p w14:paraId="3CFF8202" w14:textId="77777777" w:rsidR="00EE3EFE" w:rsidRPr="004E474C" w:rsidRDefault="003A6359" w:rsidP="001F5FBA">
      <w:r w:rsidRPr="004E474C">
        <w:t xml:space="preserve">Learning to cope with stress or adversity is a normal part of brain development. The evidence tells us that all children need to experience some </w:t>
      </w:r>
      <w:r w:rsidRPr="00B756B7">
        <w:rPr>
          <w:rStyle w:val="IntenseEmphasis"/>
          <w:color w:val="auto"/>
        </w:rPr>
        <w:t>stressors</w:t>
      </w:r>
      <w:r w:rsidRPr="004E474C">
        <w:t xml:space="preserve"> in their lives to grow healthy brains and build lifelong resilience. The evidence also tells us that when there is too much stress or stress over a prolonged period, this can disrupt healthy brain development and other biological systems, and even weaken the immune system.</w:t>
      </w:r>
      <w:r>
        <w:rPr>
          <w:vertAlign w:val="superscript"/>
        </w:rPr>
        <w:footnoteReference w:id="85"/>
      </w:r>
      <w:r w:rsidRPr="004E474C">
        <w:t xml:space="preserve"> </w:t>
      </w:r>
    </w:p>
    <w:p w14:paraId="312B5421" w14:textId="77777777" w:rsidR="00EE3EFE" w:rsidRPr="004E474C" w:rsidRDefault="003A6359" w:rsidP="00C03BB3">
      <w:r w:rsidRPr="004E474C">
        <w:t xml:space="preserve">We know that some children may experience adversity or adverse events in the early years. </w:t>
      </w:r>
      <w:r w:rsidR="00163332">
        <w:t>N</w:t>
      </w:r>
      <w:r w:rsidR="00163332" w:rsidRPr="004E474C">
        <w:t>urturing relationships with trusted adults</w:t>
      </w:r>
      <w:r w:rsidR="00163332">
        <w:t xml:space="preserve"> can buffer</w:t>
      </w:r>
      <w:r w:rsidRPr="004E474C">
        <w:t xml:space="preserve"> a stressful experience, </w:t>
      </w:r>
      <w:r w:rsidR="00163332">
        <w:t>which</w:t>
      </w:r>
      <w:r w:rsidRPr="004E474C">
        <w:t xml:space="preserve"> helps babies and very young children to develop resilience </w:t>
      </w:r>
      <w:r w:rsidR="00163332">
        <w:t>and</w:t>
      </w:r>
      <w:r w:rsidRPr="004E474C">
        <w:t xml:space="preserve"> helps them cope with stress and adversity later in life.</w:t>
      </w:r>
    </w:p>
    <w:p w14:paraId="664741D0" w14:textId="790059A4" w:rsidR="00EE3EFE" w:rsidRPr="004E474C" w:rsidRDefault="003A6359" w:rsidP="00C03BB3">
      <w:r w:rsidRPr="004E474C">
        <w:t xml:space="preserve">If children do not have a nurturing and responsive relationship with an adult, or if they experience adversity, </w:t>
      </w:r>
      <w:r w:rsidR="007127BC">
        <w:t>such as</w:t>
      </w:r>
      <w:r w:rsidR="009B1376">
        <w:t xml:space="preserve"> </w:t>
      </w:r>
      <w:r w:rsidRPr="004E474C">
        <w:t xml:space="preserve">physical or emotional abuse, </w:t>
      </w:r>
      <w:r w:rsidR="009B1376">
        <w:t>poverty,</w:t>
      </w:r>
      <w:r w:rsidRPr="004E474C">
        <w:t xml:space="preserve"> or their parent or other primary caregiver experiences serious illness, they can experience the effects of excessive stress.</w:t>
      </w:r>
      <w:r>
        <w:rPr>
          <w:rStyle w:val="FootnoteReference"/>
          <w:rFonts w:ascii="Calibri" w:hAnsi="Calibri" w:cs="Calibri"/>
          <w:sz w:val="22"/>
          <w:szCs w:val="22"/>
        </w:rPr>
        <w:footnoteReference w:id="86"/>
      </w:r>
    </w:p>
    <w:p w14:paraId="56B4C1DF" w14:textId="77777777" w:rsidR="00EE3EFE" w:rsidRPr="004E474C" w:rsidRDefault="003A6359" w:rsidP="00C03BB3">
      <w:r w:rsidRPr="004E474C">
        <w:t>Overall, poor early childhood experience</w:t>
      </w:r>
      <w:r w:rsidR="0089416B">
        <w:t>s</w:t>
      </w:r>
      <w:r w:rsidRPr="004E474C">
        <w:t xml:space="preserve"> can lead to physiological and behavioural changes, including to children’s brain development, and can make children more prone to poor long-term outcomes.</w:t>
      </w:r>
      <w:r>
        <w:rPr>
          <w:rStyle w:val="FootnoteReference"/>
          <w:rFonts w:ascii="Calibri" w:hAnsi="Calibri" w:cs="Calibri"/>
          <w:sz w:val="22"/>
          <w:szCs w:val="22"/>
        </w:rPr>
        <w:footnoteReference w:id="87"/>
      </w:r>
      <w:r w:rsidRPr="004E474C">
        <w:t xml:space="preserve"> </w:t>
      </w:r>
    </w:p>
    <w:p w14:paraId="6F7E64C5" w14:textId="353976DB" w:rsidR="00EE3EFE" w:rsidRPr="004E474C" w:rsidRDefault="003A6359" w:rsidP="00C03BB3">
      <w:r w:rsidRPr="004E474C">
        <w:t xml:space="preserve">This includes being susceptible to impairments in learning, memory and regulating behaviour, and chronic health conditions later in life such as heart disease, diabetes, </w:t>
      </w:r>
      <w:proofErr w:type="gramStart"/>
      <w:r w:rsidRPr="004E474C">
        <w:lastRenderedPageBreak/>
        <w:t>depression</w:t>
      </w:r>
      <w:proofErr w:type="gramEnd"/>
      <w:r w:rsidRPr="004E474C">
        <w:t xml:space="preserve"> and dementia.</w:t>
      </w:r>
      <w:r>
        <w:rPr>
          <w:rStyle w:val="FootnoteReference"/>
          <w:rFonts w:ascii="Calibri" w:hAnsi="Calibri" w:cs="Calibri"/>
          <w:sz w:val="22"/>
          <w:szCs w:val="22"/>
        </w:rPr>
        <w:footnoteReference w:id="88"/>
      </w:r>
      <w:r w:rsidRPr="004E474C">
        <w:t xml:space="preserve"> Research has found that approximately 80% of young people in juvenile justice settings in Australia have experienced multiple traumatic stressors.</w:t>
      </w:r>
      <w:r>
        <w:rPr>
          <w:rStyle w:val="FootnoteReference"/>
          <w:rFonts w:ascii="Calibri" w:hAnsi="Calibri" w:cs="Calibri"/>
          <w:sz w:val="22"/>
          <w:szCs w:val="22"/>
        </w:rPr>
        <w:footnoteReference w:id="89"/>
      </w:r>
      <w:r w:rsidRPr="004E474C">
        <w:t xml:space="preserve"> Trauma in early childhood can impair school readiness, academic achievement</w:t>
      </w:r>
      <w:r w:rsidR="003006DB">
        <w:t>,</w:t>
      </w:r>
      <w:r w:rsidRPr="004E474C">
        <w:t xml:space="preserve"> and both physical and mental health through</w:t>
      </w:r>
      <w:r w:rsidR="003006DB">
        <w:t>out</w:t>
      </w:r>
      <w:r w:rsidRPr="004E474C">
        <w:t xml:space="preserve"> life.</w:t>
      </w:r>
      <w:r>
        <w:rPr>
          <w:rStyle w:val="FootnoteReference"/>
          <w:rFonts w:ascii="Calibri" w:hAnsi="Calibri" w:cs="Calibri"/>
          <w:sz w:val="22"/>
          <w:szCs w:val="22"/>
        </w:rPr>
        <w:footnoteReference w:id="90"/>
      </w:r>
      <w:r w:rsidRPr="004E474C">
        <w:t xml:space="preserve"> </w:t>
      </w:r>
    </w:p>
    <w:p w14:paraId="5EECD4D2" w14:textId="77777777" w:rsidR="00EE3EFE" w:rsidRPr="00B756B7" w:rsidRDefault="003A6359" w:rsidP="00B756B7">
      <w:pPr>
        <w:pStyle w:val="Heading3"/>
        <w:shd w:val="clear" w:color="auto" w:fill="F3F5E4"/>
        <w:rPr>
          <w:color w:val="002A3F"/>
        </w:rPr>
      </w:pPr>
      <w:bookmarkStart w:id="73" w:name="_Toc154069285"/>
      <w:r w:rsidRPr="00B756B7">
        <w:rPr>
          <w:color w:val="002A3F"/>
        </w:rPr>
        <w:t xml:space="preserve">‘Stacking the </w:t>
      </w:r>
      <w:proofErr w:type="gramStart"/>
      <w:r w:rsidRPr="00B756B7">
        <w:rPr>
          <w:color w:val="002A3F"/>
        </w:rPr>
        <w:t>scales’</w:t>
      </w:r>
      <w:proofErr w:type="gramEnd"/>
      <w:r w:rsidRPr="00B756B7">
        <w:rPr>
          <w:color w:val="002A3F"/>
        </w:rPr>
        <w:t xml:space="preserve"> </w:t>
      </w:r>
      <w:bookmarkEnd w:id="73"/>
    </w:p>
    <w:p w14:paraId="3EAD74D9" w14:textId="77777777" w:rsidR="00EE3EFE" w:rsidRPr="004E474C" w:rsidRDefault="003A6359" w:rsidP="00B756B7">
      <w:pPr>
        <w:shd w:val="clear" w:color="auto" w:fill="F3F5E4"/>
      </w:pPr>
      <w:r w:rsidRPr="004E474C">
        <w:t>Children thrive when they have what they need to develop well. We know from the science of early childhood development that when protective factors such as responsive relationships and supportive environments are present, children, even those experiencing challenges, are better able to cope and achieve good outcomes.</w:t>
      </w:r>
      <w:r>
        <w:rPr>
          <w:rStyle w:val="FootnoteReference"/>
          <w:rFonts w:ascii="Calibri" w:hAnsi="Calibri" w:cs="Calibri"/>
          <w:sz w:val="22"/>
          <w:szCs w:val="22"/>
        </w:rPr>
        <w:footnoteReference w:id="91"/>
      </w:r>
    </w:p>
    <w:p w14:paraId="1F688CA4" w14:textId="78917FBB" w:rsidR="00EE3EFE" w:rsidRPr="004E474C" w:rsidRDefault="003A6359" w:rsidP="00B756B7">
      <w:pPr>
        <w:shd w:val="clear" w:color="auto" w:fill="F3F5E4"/>
      </w:pPr>
      <w:r w:rsidRPr="004E474C">
        <w:t>Strengthening foundational adult relationships by supporting families and communities can prevent early harm and strengthen developing brains, ensuring that a child’s early development is on track or</w:t>
      </w:r>
      <w:r w:rsidR="003006DB">
        <w:t>,</w:t>
      </w:r>
      <w:r w:rsidRPr="004E474C">
        <w:t xml:space="preserve"> if required, can get back on track, to give them the best start in life.</w:t>
      </w:r>
    </w:p>
    <w:p w14:paraId="08E820F6" w14:textId="77777777" w:rsidR="00EE3EFE" w:rsidRPr="004E474C" w:rsidRDefault="003A6359" w:rsidP="00B756B7">
      <w:pPr>
        <w:shd w:val="clear" w:color="auto" w:fill="F3F5E4"/>
      </w:pPr>
      <w:r w:rsidRPr="004E474C">
        <w:t>For example, assisting adults to build the skills necessary for success in parenting and the workplace can protect children from the adverse impact of poverty in early childhood.</w:t>
      </w:r>
      <w:r>
        <w:rPr>
          <w:rStyle w:val="FootnoteReference"/>
          <w:rFonts w:ascii="Calibri" w:hAnsi="Calibri" w:cs="Calibri"/>
          <w:sz w:val="22"/>
          <w:szCs w:val="22"/>
        </w:rPr>
        <w:footnoteReference w:id="92"/>
      </w:r>
      <w:r w:rsidRPr="004E474C">
        <w:t xml:space="preserve"> </w:t>
      </w:r>
    </w:p>
    <w:p w14:paraId="4C452561" w14:textId="77777777" w:rsidR="00EE3EFE" w:rsidRPr="004E474C" w:rsidRDefault="003A6359" w:rsidP="00B756B7">
      <w:pPr>
        <w:shd w:val="clear" w:color="auto" w:fill="F3F5E4"/>
      </w:pPr>
      <w:r w:rsidRPr="004E474C">
        <w:t xml:space="preserve">Healthy protective behaviours are also important and begin </w:t>
      </w:r>
      <w:r w:rsidRPr="00EA4562">
        <w:rPr>
          <w:rStyle w:val="IntenseEmphasis"/>
        </w:rPr>
        <w:t>before</w:t>
      </w:r>
      <w:r w:rsidRPr="004E474C">
        <w:t xml:space="preserve"> a child is born. </w:t>
      </w:r>
      <w:r w:rsidR="00BD70D2">
        <w:t>Avoiding exposure</w:t>
      </w:r>
      <w:r w:rsidRPr="004E474C">
        <w:t xml:space="preserve"> to smoking or alcohol in pregnancy </w:t>
      </w:r>
      <w:r w:rsidR="00BD70D2">
        <w:t>is a</w:t>
      </w:r>
      <w:r w:rsidRPr="004E474C">
        <w:t xml:space="preserve"> protective</w:t>
      </w:r>
      <w:r w:rsidR="00BD70D2">
        <w:t xml:space="preserve"> factor</w:t>
      </w:r>
      <w:r w:rsidRPr="004E474C">
        <w:t>. Other protective factors include having lots of fruit and vegetables and good mental health.</w:t>
      </w:r>
    </w:p>
    <w:p w14:paraId="13B7D3EE" w14:textId="77777777" w:rsidR="00EE3EFE" w:rsidRPr="004E474C" w:rsidRDefault="003A6359" w:rsidP="00B756B7">
      <w:pPr>
        <w:shd w:val="clear" w:color="auto" w:fill="F3F5E4"/>
      </w:pPr>
      <w:r w:rsidRPr="004E474C">
        <w:t>When the added protection and buffering of protective factors outweighs adversity early in life, children are more likely to complete school education, become lifelong learners</w:t>
      </w:r>
      <w:r>
        <w:t>, be</w:t>
      </w:r>
      <w:r w:rsidRPr="004E474C">
        <w:t xml:space="preserve"> prepared for adult life with work, </w:t>
      </w:r>
      <w:proofErr w:type="gramStart"/>
      <w:r w:rsidRPr="004E474C">
        <w:t>family</w:t>
      </w:r>
      <w:proofErr w:type="gramEnd"/>
      <w:r w:rsidRPr="004E474C">
        <w:t xml:space="preserve"> and friends</w:t>
      </w:r>
      <w:r>
        <w:t>,</w:t>
      </w:r>
      <w:r w:rsidRPr="004E474C">
        <w:t xml:space="preserve"> and be active members of their community.</w:t>
      </w:r>
      <w:r>
        <w:rPr>
          <w:rStyle w:val="FootnoteReference"/>
          <w:rFonts w:ascii="Calibri" w:hAnsi="Calibri" w:cs="Calibri"/>
          <w:sz w:val="22"/>
          <w:szCs w:val="22"/>
        </w:rPr>
        <w:footnoteReference w:id="93"/>
      </w:r>
      <w:r w:rsidRPr="004E474C">
        <w:t xml:space="preserve"> </w:t>
      </w:r>
    </w:p>
    <w:p w14:paraId="0E4A1533" w14:textId="77777777" w:rsidR="000A4333" w:rsidRPr="00B756B7" w:rsidRDefault="003A6359" w:rsidP="00CF22A5">
      <w:pPr>
        <w:pStyle w:val="Heading2"/>
        <w:rPr>
          <w:color w:val="002A3F"/>
        </w:rPr>
      </w:pPr>
      <w:bookmarkStart w:id="74" w:name="_Toc165022443"/>
      <w:r w:rsidRPr="00B756B7">
        <w:rPr>
          <w:color w:val="002A3F"/>
        </w:rPr>
        <w:t>Nurturing relationships</w:t>
      </w:r>
      <w:bookmarkEnd w:id="74"/>
      <w:r w:rsidRPr="00B756B7">
        <w:rPr>
          <w:color w:val="002A3F"/>
        </w:rPr>
        <w:t xml:space="preserve"> </w:t>
      </w:r>
      <w:bookmarkEnd w:id="72"/>
    </w:p>
    <w:p w14:paraId="4B1C00CC" w14:textId="77777777" w:rsidR="000A4333" w:rsidRPr="004E474C" w:rsidRDefault="003A6359" w:rsidP="00B95B2A">
      <w:r w:rsidRPr="004E474C">
        <w:t xml:space="preserve">The single most important protective factor that helps children develop well and build resilience is having at least one </w:t>
      </w:r>
      <w:r w:rsidRPr="00B756B7">
        <w:rPr>
          <w:rStyle w:val="IntenseEmphasis"/>
          <w:color w:val="auto"/>
        </w:rPr>
        <w:t>stable and committed relationship</w:t>
      </w:r>
      <w:r w:rsidRPr="00B756B7">
        <w:t xml:space="preserve"> </w:t>
      </w:r>
      <w:r w:rsidRPr="004E474C">
        <w:t xml:space="preserve">with a parent, </w:t>
      </w:r>
      <w:proofErr w:type="gramStart"/>
      <w:r w:rsidRPr="004E474C">
        <w:t>caregiver</w:t>
      </w:r>
      <w:proofErr w:type="gramEnd"/>
      <w:r w:rsidRPr="004E474C">
        <w:t xml:space="preserve"> or other adult.</w:t>
      </w:r>
      <w:r>
        <w:rPr>
          <w:rStyle w:val="FootnoteReference"/>
          <w:rFonts w:ascii="Calibri" w:hAnsi="Calibri" w:cs="Calibri"/>
          <w:sz w:val="22"/>
          <w:szCs w:val="22"/>
        </w:rPr>
        <w:footnoteReference w:id="94"/>
      </w:r>
      <w:r w:rsidRPr="004E474C">
        <w:t xml:space="preserve"> </w:t>
      </w:r>
    </w:p>
    <w:p w14:paraId="0C575F97" w14:textId="77777777" w:rsidR="000A4333" w:rsidRPr="004E474C" w:rsidRDefault="003A6359" w:rsidP="00B95B2A">
      <w:pPr>
        <w:rPr>
          <w:rFonts w:cstheme="minorHAnsi"/>
        </w:rPr>
      </w:pPr>
      <w:r w:rsidRPr="004E474C">
        <w:t>A child's early relationships, environments and experiences can either support or inhibit their healthy development.</w:t>
      </w:r>
      <w:r>
        <w:rPr>
          <w:rStyle w:val="FootnoteReference"/>
          <w:rFonts w:ascii="Calibri" w:hAnsi="Calibri" w:cs="Calibri"/>
          <w:sz w:val="22"/>
          <w:szCs w:val="22"/>
        </w:rPr>
        <w:footnoteReference w:id="95"/>
      </w:r>
      <w:r w:rsidRPr="004E474C">
        <w:rPr>
          <w:rFonts w:cstheme="minorHAnsi"/>
        </w:rPr>
        <w:t xml:space="preserve"> </w:t>
      </w:r>
    </w:p>
    <w:p w14:paraId="0EFAD04B" w14:textId="00DE106A" w:rsidR="000A4333" w:rsidRPr="004E474C" w:rsidRDefault="003A6359" w:rsidP="00B95B2A">
      <w:r w:rsidRPr="004E474C">
        <w:lastRenderedPageBreak/>
        <w:t>Sensitive and nurturing relationships build foundational language and communication skills, and create secure attachment, which lead</w:t>
      </w:r>
      <w:r w:rsidR="0089416B">
        <w:t>s</w:t>
      </w:r>
      <w:r w:rsidRPr="004E474C">
        <w:t xml:space="preserve"> to higher levels of cognitive competence and fewer psychological problems.</w:t>
      </w:r>
      <w:r>
        <w:rPr>
          <w:rStyle w:val="FootnoteReference"/>
          <w:rFonts w:ascii="Calibri" w:hAnsi="Calibri" w:cs="Calibri"/>
          <w:sz w:val="22"/>
          <w:szCs w:val="22"/>
        </w:rPr>
        <w:footnoteReference w:id="96"/>
      </w:r>
      <w:r w:rsidRPr="004E474C">
        <w:t xml:space="preserve"> The</w:t>
      </w:r>
      <w:r w:rsidR="003006DB">
        <w:t>se relationships</w:t>
      </w:r>
      <w:r w:rsidRPr="004E474C">
        <w:t xml:space="preserve"> provide a significant buffer for children when they experience high levels of </w:t>
      </w:r>
      <w:proofErr w:type="gramStart"/>
      <w:r w:rsidRPr="004E474C">
        <w:t>stress, and</w:t>
      </w:r>
      <w:proofErr w:type="gramEnd"/>
      <w:r w:rsidRPr="004E474C">
        <w:t xml:space="preserve"> contribute to them building resilience.</w:t>
      </w:r>
      <w:r>
        <w:rPr>
          <w:rStyle w:val="FootnoteReference"/>
          <w:rFonts w:ascii="Calibri" w:hAnsi="Calibri" w:cs="Calibri"/>
          <w:sz w:val="22"/>
          <w:szCs w:val="22"/>
        </w:rPr>
        <w:footnoteReference w:id="97"/>
      </w:r>
    </w:p>
    <w:p w14:paraId="2BF156C3" w14:textId="77777777" w:rsidR="003006DB" w:rsidRDefault="003A6359" w:rsidP="00580627">
      <w:r w:rsidRPr="00B95B2A">
        <w:t xml:space="preserve">Children thrive when these relationships are based on a strong connection to their own </w:t>
      </w:r>
      <w:r w:rsidRPr="00580627">
        <w:t>culture</w:t>
      </w:r>
      <w:r w:rsidR="00EA4562" w:rsidRPr="00EA4562">
        <w:t>,</w:t>
      </w:r>
      <w:r w:rsidRPr="00B95B2A">
        <w:t xml:space="preserve"> including the experiences, values and beliefs of their families and their communities. </w:t>
      </w:r>
      <w:r w:rsidRPr="004E474C">
        <w:t xml:space="preserve">For Aboriginal and Torres Strait Islander children, connection to family, kin, community, </w:t>
      </w:r>
      <w:proofErr w:type="gramStart"/>
      <w:r w:rsidRPr="004E474C">
        <w:t>culture</w:t>
      </w:r>
      <w:proofErr w:type="gramEnd"/>
      <w:r w:rsidRPr="004E474C">
        <w:t xml:space="preserve"> and Country are critical to their development and wellbeing. </w:t>
      </w:r>
    </w:p>
    <w:p w14:paraId="1D517DE4" w14:textId="246773BA" w:rsidR="000A4333" w:rsidRPr="004E474C" w:rsidRDefault="003A6359" w:rsidP="00B756B7">
      <w:pPr>
        <w:shd w:val="clear" w:color="auto" w:fill="ECF8FE"/>
      </w:pPr>
      <w:r w:rsidRPr="004E474C">
        <w:t xml:space="preserve">Aboriginal and Torres Strait Islander people have a close relationship and connection to Country, which enables ways of being, learning, </w:t>
      </w:r>
      <w:proofErr w:type="gramStart"/>
      <w:r w:rsidRPr="004E474C">
        <w:t>knowing</w:t>
      </w:r>
      <w:proofErr w:type="gramEnd"/>
      <w:r w:rsidRPr="004E474C">
        <w:t xml:space="preserve"> and doing.</w:t>
      </w:r>
      <w:r w:rsidR="003006DB">
        <w:t xml:space="preserve"> </w:t>
      </w:r>
      <w:r>
        <w:t>W</w:t>
      </w:r>
      <w:r w:rsidRPr="00B95B2A">
        <w:t>hen connection to culture and society is strong, children</w:t>
      </w:r>
      <w:r w:rsidRPr="004E474C">
        <w:t xml:space="preserve"> develop a sense of belonging.</w:t>
      </w:r>
      <w:r>
        <w:rPr>
          <w:rStyle w:val="FootnoteReference"/>
          <w:rFonts w:ascii="Calibri" w:hAnsi="Calibri" w:cs="Calibri"/>
          <w:sz w:val="22"/>
          <w:szCs w:val="22"/>
        </w:rPr>
        <w:footnoteReference w:id="98"/>
      </w:r>
    </w:p>
    <w:p w14:paraId="5A576533" w14:textId="77777777" w:rsidR="000A4333" w:rsidRPr="004E474C" w:rsidRDefault="003A6359" w:rsidP="00B95B2A">
      <w:r w:rsidRPr="004E474C">
        <w:t>When there is respect and understanding of the importance of Aboriginal and Torres Strait Islander culture and child-rearing practices, this helps to build safe and secure environments for children to develop a strong sense of identity.</w:t>
      </w:r>
      <w:r>
        <w:rPr>
          <w:rStyle w:val="FootnoteReference"/>
          <w:rFonts w:ascii="Calibri" w:hAnsi="Calibri" w:cs="Calibri"/>
          <w:sz w:val="22"/>
          <w:szCs w:val="22"/>
        </w:rPr>
        <w:footnoteReference w:id="99"/>
      </w:r>
    </w:p>
    <w:p w14:paraId="65D23968" w14:textId="77777777" w:rsidR="000A4333" w:rsidRPr="004E474C" w:rsidRDefault="003A6359" w:rsidP="00B95B2A">
      <w:r>
        <w:t>C</w:t>
      </w:r>
      <w:r w:rsidRPr="004E474C">
        <w:t xml:space="preserve">hildren from </w:t>
      </w:r>
      <w:r>
        <w:t>multicultural</w:t>
      </w:r>
      <w:r w:rsidRPr="004E474C">
        <w:t xml:space="preserve"> backgrounds </w:t>
      </w:r>
      <w:r>
        <w:t>also</w:t>
      </w:r>
      <w:r w:rsidRPr="004E474C">
        <w:t xml:space="preserve"> have a rich heritage of their own, and stay</w:t>
      </w:r>
      <w:r>
        <w:t>ing</w:t>
      </w:r>
      <w:r w:rsidRPr="004E474C">
        <w:t xml:space="preserve"> connected </w:t>
      </w:r>
      <w:r>
        <w:t xml:space="preserve">to their culture can </w:t>
      </w:r>
      <w:r w:rsidRPr="004E474C">
        <w:t>help them thrive.</w:t>
      </w:r>
    </w:p>
    <w:p w14:paraId="4CF1297D" w14:textId="77777777" w:rsidR="000A4333" w:rsidRPr="00B756B7" w:rsidRDefault="003A6359" w:rsidP="00176147">
      <w:pPr>
        <w:pStyle w:val="Heading3"/>
        <w:rPr>
          <w:rFonts w:ascii="Calibri" w:hAnsi="Calibri" w:cs="Calibri"/>
          <w:color w:val="002A3F"/>
          <w:sz w:val="22"/>
          <w:szCs w:val="22"/>
        </w:rPr>
      </w:pPr>
      <w:bookmarkStart w:id="76" w:name="_Toc154069281"/>
      <w:r w:rsidRPr="00B756B7">
        <w:rPr>
          <w:color w:val="002A3F"/>
        </w:rPr>
        <w:t xml:space="preserve">Parents and caregivers are a child’s first and most important </w:t>
      </w:r>
      <w:proofErr w:type="gramStart"/>
      <w:r w:rsidRPr="00B756B7">
        <w:rPr>
          <w:color w:val="002A3F"/>
        </w:rPr>
        <w:t>teacher</w:t>
      </w:r>
      <w:bookmarkEnd w:id="76"/>
      <w:proofErr w:type="gramEnd"/>
      <w:r w:rsidRPr="00B756B7">
        <w:rPr>
          <w:color w:val="002A3F"/>
        </w:rPr>
        <w:t xml:space="preserve"> </w:t>
      </w:r>
    </w:p>
    <w:p w14:paraId="5AD19107" w14:textId="77777777" w:rsidR="00176147" w:rsidRPr="00B756B7" w:rsidRDefault="003A6359" w:rsidP="00176147">
      <w:pPr>
        <w:pStyle w:val="Pullouttext"/>
        <w:rPr>
          <w:color w:val="55266B"/>
        </w:rPr>
      </w:pPr>
      <w:r w:rsidRPr="00B756B7">
        <w:rPr>
          <w:color w:val="55266B"/>
        </w:rPr>
        <w:t xml:space="preserve">Relationships are the foundation of </w:t>
      </w:r>
      <w:proofErr w:type="gramStart"/>
      <w:r w:rsidRPr="00B756B7">
        <w:rPr>
          <w:color w:val="55266B"/>
        </w:rPr>
        <w:t>positive growth</w:t>
      </w:r>
      <w:proofErr w:type="gramEnd"/>
      <w:r w:rsidRPr="00B756B7">
        <w:rPr>
          <w:color w:val="55266B"/>
        </w:rPr>
        <w:t xml:space="preserve"> and development for children. One of the most important contributions we can make is to support the foundational relationships that really matter to children in their early years. When we focus on these foundational relationships, children and their parents, families</w:t>
      </w:r>
      <w:r w:rsidR="009E6069" w:rsidRPr="00B756B7">
        <w:rPr>
          <w:color w:val="55266B"/>
        </w:rPr>
        <w:t xml:space="preserve">, </w:t>
      </w:r>
      <w:proofErr w:type="gramStart"/>
      <w:r w:rsidR="009E6069" w:rsidRPr="00B756B7">
        <w:rPr>
          <w:color w:val="55266B"/>
        </w:rPr>
        <w:t>kin</w:t>
      </w:r>
      <w:proofErr w:type="gramEnd"/>
      <w:r w:rsidRPr="00B756B7">
        <w:rPr>
          <w:color w:val="55266B"/>
        </w:rPr>
        <w:t xml:space="preserve"> and caregivers </w:t>
      </w:r>
      <w:r w:rsidR="00BD70D2" w:rsidRPr="00B756B7">
        <w:rPr>
          <w:color w:val="55266B"/>
        </w:rPr>
        <w:t>get</w:t>
      </w:r>
      <w:r w:rsidRPr="00B756B7">
        <w:rPr>
          <w:color w:val="55266B"/>
        </w:rPr>
        <w:t xml:space="preserve"> support to do better now and into the future. </w:t>
      </w:r>
    </w:p>
    <w:p w14:paraId="34B5939C" w14:textId="33C67276" w:rsidR="000A4333" w:rsidRPr="004E474C" w:rsidRDefault="003A6359" w:rsidP="00EE3EFE">
      <w:r w:rsidRPr="004E474C">
        <w:t xml:space="preserve">Children’s first and most important teachers are their parents, </w:t>
      </w:r>
      <w:proofErr w:type="gramStart"/>
      <w:r w:rsidRPr="004E474C">
        <w:t>families</w:t>
      </w:r>
      <w:proofErr w:type="gramEnd"/>
      <w:r w:rsidRPr="004E474C">
        <w:t xml:space="preserve"> and caregivers, including kinship carers. When adults form special </w:t>
      </w:r>
      <w:r w:rsidRPr="00F443CE">
        <w:rPr>
          <w:rStyle w:val="IntenseEmphasis"/>
        </w:rPr>
        <w:t>bonds</w:t>
      </w:r>
      <w:r w:rsidRPr="004E474C">
        <w:t xml:space="preserve"> with young children and spend time closely interacting with them, children </w:t>
      </w:r>
      <w:proofErr w:type="gramStart"/>
      <w:r w:rsidRPr="004E474C">
        <w:t>are able to</w:t>
      </w:r>
      <w:proofErr w:type="gramEnd"/>
      <w:r w:rsidRPr="004E474C">
        <w:t xml:space="preserve"> </w:t>
      </w:r>
      <w:r w:rsidR="00341BAF">
        <w:t xml:space="preserve">learn about themselves, and their world, including ways to express </w:t>
      </w:r>
      <w:r w:rsidR="00D8294F">
        <w:t xml:space="preserve">themselves </w:t>
      </w:r>
      <w:r w:rsidR="00341BAF">
        <w:t>and communicate.</w:t>
      </w:r>
      <w:r>
        <w:rPr>
          <w:rStyle w:val="FootnoteReference"/>
          <w:rFonts w:ascii="Calibri" w:hAnsi="Calibri" w:cs="Calibri"/>
          <w:sz w:val="22"/>
          <w:szCs w:val="22"/>
        </w:rPr>
        <w:footnoteReference w:id="100"/>
      </w:r>
    </w:p>
    <w:p w14:paraId="34EC87E3" w14:textId="77777777" w:rsidR="001F5FBA" w:rsidRPr="00B756B7" w:rsidRDefault="003A6359" w:rsidP="00B756B7">
      <w:pPr>
        <w:pStyle w:val="Heading4"/>
        <w:shd w:val="clear" w:color="auto" w:fill="ECF8FE"/>
        <w:rPr>
          <w:i w:val="0"/>
          <w:iCs w:val="0"/>
          <w:color w:val="002A3F"/>
        </w:rPr>
      </w:pPr>
      <w:r w:rsidRPr="00B756B7">
        <w:rPr>
          <w:i w:val="0"/>
          <w:iCs w:val="0"/>
          <w:color w:val="002A3F"/>
        </w:rPr>
        <w:t xml:space="preserve">Serve and </w:t>
      </w:r>
      <w:proofErr w:type="gramStart"/>
      <w:r w:rsidRPr="00B756B7">
        <w:rPr>
          <w:i w:val="0"/>
          <w:iCs w:val="0"/>
          <w:color w:val="002A3F"/>
        </w:rPr>
        <w:t>return</w:t>
      </w:r>
      <w:proofErr w:type="gramEnd"/>
    </w:p>
    <w:p w14:paraId="7125DC7D" w14:textId="77777777" w:rsidR="001F5FBA" w:rsidRPr="004E474C" w:rsidRDefault="003A6359" w:rsidP="00B756B7">
      <w:pPr>
        <w:shd w:val="clear" w:color="auto" w:fill="ECF8FE"/>
      </w:pPr>
      <w:r w:rsidRPr="004E474C">
        <w:t>Children, especially as infant</w:t>
      </w:r>
      <w:r>
        <w:t>s</w:t>
      </w:r>
      <w:r w:rsidRPr="004E474C">
        <w:t xml:space="preserve"> and then toddler</w:t>
      </w:r>
      <w:r>
        <w:t>s</w:t>
      </w:r>
      <w:r w:rsidRPr="004E474C">
        <w:t>, need many positive interactions with responsive caregivers, often called ‘serve and return’.</w:t>
      </w:r>
      <w:r w:rsidR="00D76D5C">
        <w:t xml:space="preserve"> </w:t>
      </w:r>
      <w:r w:rsidRPr="004E474C">
        <w:t xml:space="preserve">There are many ways parents, caregivers and families can build positive and responsive relationships with young children. </w:t>
      </w:r>
      <w:proofErr w:type="gramStart"/>
      <w:r w:rsidRPr="004E474C">
        <w:t>Similar to</w:t>
      </w:r>
      <w:proofErr w:type="gramEnd"/>
      <w:r w:rsidRPr="004E474C">
        <w:t xml:space="preserve"> a game of tennis, ‘serve and return’ is when a baby or young child babbles, cries or communicates with gestures or movements, and an adult responds </w:t>
      </w:r>
      <w:r w:rsidRPr="004E474C">
        <w:lastRenderedPageBreak/>
        <w:t xml:space="preserve">with words, singing or hugging. New neural connections in the brain are built and strengthened, which help develop early communication and social skills. Close </w:t>
      </w:r>
      <w:r w:rsidRPr="00B756B7">
        <w:rPr>
          <w:rStyle w:val="IntenseEmphasis"/>
          <w:color w:val="auto"/>
        </w:rPr>
        <w:t>interactions</w:t>
      </w:r>
      <w:r w:rsidRPr="00B756B7">
        <w:t xml:space="preserve"> </w:t>
      </w:r>
      <w:r w:rsidRPr="004E474C">
        <w:t xml:space="preserve">and </w:t>
      </w:r>
      <w:r w:rsidRPr="00B756B7">
        <w:rPr>
          <w:rStyle w:val="IntenseEmphasis"/>
          <w:color w:val="auto"/>
        </w:rPr>
        <w:t>responsiveness</w:t>
      </w:r>
      <w:r w:rsidRPr="004E474C">
        <w:t xml:space="preserve"> with plenty of ‘serve and return’ opportunities that are often joyful and fun, create a rich brain-building environment.</w:t>
      </w:r>
      <w:r>
        <w:rPr>
          <w:rStyle w:val="FootnoteReference"/>
          <w:rFonts w:ascii="Calibri" w:hAnsi="Calibri" w:cs="Calibri"/>
          <w:sz w:val="22"/>
          <w:szCs w:val="22"/>
        </w:rPr>
        <w:footnoteReference w:id="101"/>
      </w:r>
    </w:p>
    <w:p w14:paraId="54889D1F" w14:textId="77777777" w:rsidR="000A4333" w:rsidRPr="004E474C" w:rsidRDefault="003A6359" w:rsidP="00EE3EFE">
      <w:r w:rsidRPr="004E474C">
        <w:t>Families provide the first learning environment in their homes. There are many ‘te</w:t>
      </w:r>
      <w:r w:rsidR="004C65B4">
        <w:t xml:space="preserve">achable’ moments </w:t>
      </w:r>
      <w:r w:rsidRPr="004E474C">
        <w:t xml:space="preserve">every day with parents, </w:t>
      </w:r>
      <w:proofErr w:type="gramStart"/>
      <w:r w:rsidRPr="004E474C">
        <w:t>siblings</w:t>
      </w:r>
      <w:proofErr w:type="gramEnd"/>
      <w:r w:rsidRPr="004E474C">
        <w:t xml:space="preserve"> and other family members. Children learn best when they have access to everyday objects, </w:t>
      </w:r>
      <w:proofErr w:type="gramStart"/>
      <w:r w:rsidRPr="004E474C">
        <w:t>books</w:t>
      </w:r>
      <w:proofErr w:type="gramEnd"/>
      <w:r w:rsidRPr="004E474C">
        <w:t xml:space="preserve"> and natural materials to investigate and satisfy their curiosity.</w:t>
      </w:r>
      <w:r>
        <w:rPr>
          <w:rStyle w:val="FootnoteReference"/>
          <w:rFonts w:ascii="Calibri" w:hAnsi="Calibri" w:cs="Calibri"/>
          <w:sz w:val="22"/>
          <w:szCs w:val="22"/>
        </w:rPr>
        <w:footnoteReference w:id="102"/>
      </w:r>
    </w:p>
    <w:p w14:paraId="180095E4" w14:textId="2FCF75EC" w:rsidR="000A4333" w:rsidRPr="004E474C" w:rsidRDefault="003A6359" w:rsidP="00EE3EFE">
      <w:r w:rsidRPr="004E474C">
        <w:t>Children learn and</w:t>
      </w:r>
      <w:r w:rsidR="00BD70D2">
        <w:t xml:space="preserve"> get continuous </w:t>
      </w:r>
      <w:r w:rsidRPr="004E474C">
        <w:t>stimulat</w:t>
      </w:r>
      <w:r w:rsidR="00BD70D2">
        <w:t>ion</w:t>
      </w:r>
      <w:r w:rsidRPr="004E474C">
        <w:t xml:space="preserve"> through their environment, especially when a responsive adult is talking to them and playing with them.</w:t>
      </w:r>
      <w:r>
        <w:rPr>
          <w:rStyle w:val="FootnoteReference"/>
          <w:rFonts w:ascii="Calibri" w:hAnsi="Calibri" w:cs="Calibri"/>
          <w:sz w:val="22"/>
          <w:szCs w:val="22"/>
        </w:rPr>
        <w:footnoteReference w:id="103"/>
      </w:r>
      <w:r w:rsidRPr="004E474C">
        <w:t xml:space="preserve"> This might be by counting when climbing stairs, predicting the next part of a familiar storybook or by remembering the words and rhythm of songs, which they sing together. Playing simple games with children such as peek-a-boo</w:t>
      </w:r>
      <w:r w:rsidR="001D35EC">
        <w:t xml:space="preserve"> builds strong </w:t>
      </w:r>
      <w:r w:rsidRPr="004E474C">
        <w:t>relationships and creates a sense of belonging and joy.</w:t>
      </w:r>
    </w:p>
    <w:p w14:paraId="69830752" w14:textId="77777777" w:rsidR="000A4333" w:rsidRPr="004E474C" w:rsidRDefault="003A6359" w:rsidP="00EE3EFE">
      <w:r w:rsidRPr="004E474C">
        <w:t>These simple activities are powerful ways parents, caregivers and families stimulate thinking and imagination, which improves social and emotional skills and helps to build better brains and bodies.</w:t>
      </w:r>
      <w:r>
        <w:rPr>
          <w:rStyle w:val="FootnoteReference"/>
          <w:rFonts w:ascii="Calibri" w:hAnsi="Calibri" w:cs="Calibri"/>
          <w:sz w:val="22"/>
          <w:szCs w:val="22"/>
        </w:rPr>
        <w:footnoteReference w:id="104"/>
      </w:r>
      <w:r w:rsidRPr="004E474C">
        <w:t xml:space="preserve"> </w:t>
      </w:r>
      <w:r w:rsidR="0074014A">
        <w:t>E</w:t>
      </w:r>
      <w:r w:rsidRPr="004E474C">
        <w:t>ngagement has many positive impacts on children’s development and education outcomes.</w:t>
      </w:r>
      <w:r>
        <w:rPr>
          <w:rStyle w:val="FootnoteReference"/>
          <w:rFonts w:ascii="Calibri" w:hAnsi="Calibri" w:cs="Calibri"/>
          <w:sz w:val="22"/>
          <w:szCs w:val="22"/>
        </w:rPr>
        <w:footnoteReference w:id="105"/>
      </w:r>
    </w:p>
    <w:p w14:paraId="62BCB72B" w14:textId="77777777" w:rsidR="00176147" w:rsidRPr="00B756B7" w:rsidRDefault="003A6359" w:rsidP="00FF1705">
      <w:pPr>
        <w:pStyle w:val="Heading2"/>
        <w:rPr>
          <w:color w:val="002A3F"/>
        </w:rPr>
      </w:pPr>
      <w:bookmarkStart w:id="80" w:name="_Toc165022444"/>
      <w:bookmarkStart w:id="81" w:name="_Toc154069282"/>
      <w:bookmarkStart w:id="82" w:name="_Toc154069283"/>
      <w:r w:rsidRPr="00B756B7">
        <w:rPr>
          <w:color w:val="002A3F"/>
        </w:rPr>
        <w:t>Communities</w:t>
      </w:r>
      <w:bookmarkEnd w:id="80"/>
      <w:r w:rsidRPr="00B756B7">
        <w:rPr>
          <w:color w:val="002A3F"/>
        </w:rPr>
        <w:t xml:space="preserve"> </w:t>
      </w:r>
      <w:bookmarkEnd w:id="81"/>
    </w:p>
    <w:p w14:paraId="7CCBD96A" w14:textId="1E62FBA0" w:rsidR="00176147" w:rsidRPr="004E474C" w:rsidRDefault="003A6359" w:rsidP="00176147">
      <w:r w:rsidRPr="004E474C">
        <w:t>Early childhood environments, including outside the home, also help children</w:t>
      </w:r>
      <w:r w:rsidR="00D8294F">
        <w:t xml:space="preserve"> thrive</w:t>
      </w:r>
      <w:r w:rsidRPr="004E474C">
        <w:t>.</w:t>
      </w:r>
    </w:p>
    <w:p w14:paraId="3360ADD2" w14:textId="77777777" w:rsidR="00176147" w:rsidRPr="004E474C" w:rsidRDefault="003A6359" w:rsidP="00176147">
      <w:r w:rsidRPr="004E474C">
        <w:t>Communities matter and help shape development in many ways. Physical and social environments have a significant effect on children’s developing brains and bodies.</w:t>
      </w:r>
      <w:r>
        <w:rPr>
          <w:rStyle w:val="FootnoteReference"/>
          <w:rFonts w:ascii="Calibri" w:hAnsi="Calibri" w:cs="Calibri"/>
          <w:sz w:val="22"/>
          <w:szCs w:val="22"/>
        </w:rPr>
        <w:footnoteReference w:id="106"/>
      </w:r>
      <w:r w:rsidRPr="004E474C">
        <w:t xml:space="preserve"> </w:t>
      </w:r>
    </w:p>
    <w:p w14:paraId="1EF923F0" w14:textId="77777777" w:rsidR="00176147" w:rsidRPr="004E474C" w:rsidRDefault="003A6359" w:rsidP="00176147">
      <w:r w:rsidRPr="004E474C">
        <w:t xml:space="preserve">The network of people around children and families, including </w:t>
      </w:r>
      <w:r w:rsidR="009E6069">
        <w:t xml:space="preserve">kin, </w:t>
      </w:r>
      <w:r w:rsidRPr="004E474C">
        <w:t xml:space="preserve">friends, </w:t>
      </w:r>
      <w:proofErr w:type="gramStart"/>
      <w:r w:rsidRPr="004E474C">
        <w:t>neighbours</w:t>
      </w:r>
      <w:proofErr w:type="gramEnd"/>
      <w:r w:rsidRPr="004E474C">
        <w:t xml:space="preserve"> and educators, has a role in creating positive environments and experiences to support children’s health and wellbeing. These broader social supports offer connection, </w:t>
      </w:r>
      <w:proofErr w:type="gramStart"/>
      <w:r w:rsidRPr="004E474C">
        <w:t>safety</w:t>
      </w:r>
      <w:proofErr w:type="gramEnd"/>
      <w:r w:rsidRPr="004E474C">
        <w:t xml:space="preserve"> and security.</w:t>
      </w:r>
      <w:r>
        <w:rPr>
          <w:rStyle w:val="FootnoteReference"/>
        </w:rPr>
        <w:footnoteReference w:id="107"/>
      </w:r>
      <w:r w:rsidRPr="004E474C">
        <w:t xml:space="preserve"> </w:t>
      </w:r>
    </w:p>
    <w:p w14:paraId="56E46F13" w14:textId="77777777" w:rsidR="00176147" w:rsidRPr="004E474C" w:rsidRDefault="003A6359" w:rsidP="00176147">
      <w:r w:rsidRPr="004E474C">
        <w:t xml:space="preserve">Importantly, </w:t>
      </w:r>
      <w:r w:rsidR="004B4BE8">
        <w:t xml:space="preserve">communities should be accessible to </w:t>
      </w:r>
      <w:r w:rsidRPr="004E474C">
        <w:t>all children</w:t>
      </w:r>
      <w:r w:rsidR="004B4BE8">
        <w:t xml:space="preserve">, </w:t>
      </w:r>
      <w:r w:rsidRPr="004E474C">
        <w:t>includ</w:t>
      </w:r>
      <w:r w:rsidR="004B4BE8">
        <w:t>ing to</w:t>
      </w:r>
      <w:r w:rsidRPr="004E474C">
        <w:t xml:space="preserve"> children with disability or developmental delay who should experience </w:t>
      </w:r>
      <w:r w:rsidRPr="00B756B7">
        <w:rPr>
          <w:rStyle w:val="IntenseEmphasis"/>
          <w:color w:val="auto"/>
        </w:rPr>
        <w:t>full participation</w:t>
      </w:r>
      <w:r w:rsidRPr="00B756B7">
        <w:t xml:space="preserve"> </w:t>
      </w:r>
      <w:r w:rsidRPr="004E474C">
        <w:t xml:space="preserve">in all aspects of life. The built and natural environment, for example, affects how children access spaces to play and spend time in nature, in turn influencing their physical, </w:t>
      </w:r>
      <w:proofErr w:type="gramStart"/>
      <w:r w:rsidRPr="004E474C">
        <w:t>social</w:t>
      </w:r>
      <w:proofErr w:type="gramEnd"/>
      <w:r w:rsidRPr="004E474C">
        <w:t xml:space="preserve"> and emotional health. </w:t>
      </w:r>
    </w:p>
    <w:p w14:paraId="14861149" w14:textId="77777777" w:rsidR="00176147" w:rsidRPr="004E474C" w:rsidRDefault="003A6359" w:rsidP="00B756B7">
      <w:pPr>
        <w:shd w:val="clear" w:color="auto" w:fill="ECF8FE"/>
      </w:pPr>
      <w:r w:rsidRPr="004E474C">
        <w:lastRenderedPageBreak/>
        <w:t xml:space="preserve">All </w:t>
      </w:r>
      <w:proofErr w:type="gramStart"/>
      <w:r w:rsidRPr="004E474C">
        <w:t>environments</w:t>
      </w:r>
      <w:proofErr w:type="gramEnd"/>
      <w:r w:rsidRPr="004E474C">
        <w:t xml:space="preserve"> children experience, including before they are born, shape their development. This includes good nutrition, dental care, adequate sleep, rest, </w:t>
      </w:r>
      <w:r w:rsidR="00B74C18">
        <w:t xml:space="preserve">physical </w:t>
      </w:r>
      <w:r w:rsidRPr="004E474C">
        <w:t xml:space="preserve">activity, and connection with others. </w:t>
      </w:r>
    </w:p>
    <w:p w14:paraId="7651C7C7" w14:textId="565BE943" w:rsidR="00176147" w:rsidRPr="004E474C" w:rsidRDefault="00D8294F" w:rsidP="00176147">
      <w:r>
        <w:t>High-q</w:t>
      </w:r>
      <w:r w:rsidR="003A6359" w:rsidRPr="004E474C">
        <w:t xml:space="preserve">uality antenatal care during pregnancy, and regular antenatal care in the first trimester, is associated with better maternal health in pregnancy, fewer interventions in late pregnancy and positive child health, </w:t>
      </w:r>
      <w:proofErr w:type="gramStart"/>
      <w:r w:rsidR="003A6359" w:rsidRPr="004E474C">
        <w:t>development</w:t>
      </w:r>
      <w:proofErr w:type="gramEnd"/>
      <w:r w:rsidR="003A6359" w:rsidRPr="004E474C">
        <w:t xml:space="preserve"> and wellbeing outcomes.</w:t>
      </w:r>
      <w:r w:rsidR="003A6359">
        <w:rPr>
          <w:rStyle w:val="FootnoteReference"/>
          <w:rFonts w:ascii="Calibri" w:hAnsi="Calibri" w:cs="Calibri"/>
          <w:sz w:val="22"/>
          <w:szCs w:val="22"/>
        </w:rPr>
        <w:footnoteReference w:id="108"/>
      </w:r>
      <w:r w:rsidR="003A6359" w:rsidRPr="004E474C">
        <w:t xml:space="preserve"> Good support during pregnancy, birth and the early months and years of a baby’s life can improve short</w:t>
      </w:r>
      <w:r>
        <w:t>-</w:t>
      </w:r>
      <w:r w:rsidR="003A6359" w:rsidRPr="004E474C">
        <w:t xml:space="preserve"> and long</w:t>
      </w:r>
      <w:r w:rsidR="003A6359">
        <w:t>-</w:t>
      </w:r>
      <w:r w:rsidR="003A6359" w:rsidRPr="004E474C">
        <w:t xml:space="preserve">term outcomes for mothers and babies. </w:t>
      </w:r>
    </w:p>
    <w:p w14:paraId="3A6A0837" w14:textId="1F109BC3" w:rsidR="00176147" w:rsidRPr="004E474C" w:rsidRDefault="003A6359" w:rsidP="00176147">
      <w:r w:rsidRPr="004E474C">
        <w:t>Broader economic and social factors, such as economic security, social inclusion, safe and secure housing</w:t>
      </w:r>
      <w:r w:rsidR="00D8294F">
        <w:t>,</w:t>
      </w:r>
      <w:r w:rsidRPr="004E474C">
        <w:t xml:space="preserve"> and access to high</w:t>
      </w:r>
      <w:r w:rsidR="00D8294F">
        <w:t>-</w:t>
      </w:r>
      <w:r w:rsidRPr="004E474C">
        <w:t>quality health care a</w:t>
      </w:r>
      <w:r>
        <w:t>r</w:t>
      </w:r>
      <w:r w:rsidRPr="004E474C">
        <w:t>e also important.</w:t>
      </w:r>
      <w:r>
        <w:rPr>
          <w:rStyle w:val="FootnoteReference"/>
          <w:rFonts w:ascii="Calibri" w:hAnsi="Calibri" w:cs="Calibri"/>
          <w:sz w:val="22"/>
          <w:szCs w:val="22"/>
        </w:rPr>
        <w:footnoteReference w:id="109"/>
      </w:r>
    </w:p>
    <w:p w14:paraId="10CA079E" w14:textId="77777777" w:rsidR="00726A34" w:rsidRDefault="003A6359">
      <w:pPr>
        <w:spacing w:line="259" w:lineRule="auto"/>
        <w:rPr>
          <w:rFonts w:asciiTheme="majorHAnsi" w:eastAsiaTheme="majorEastAsia" w:hAnsiTheme="majorHAnsi" w:cstheme="majorBidi"/>
          <w:color w:val="262626" w:themeColor="text1" w:themeTint="D9"/>
          <w:sz w:val="40"/>
          <w:szCs w:val="40"/>
        </w:rPr>
      </w:pPr>
      <w:bookmarkStart w:id="83" w:name="_Toc154069273"/>
      <w:bookmarkEnd w:id="10"/>
      <w:bookmarkEnd w:id="82"/>
      <w:r>
        <w:br w:type="page"/>
      </w:r>
    </w:p>
    <w:p w14:paraId="3192DF83" w14:textId="77777777" w:rsidR="000A4333" w:rsidRPr="00B756B7" w:rsidRDefault="003A6359" w:rsidP="007A651E">
      <w:pPr>
        <w:pStyle w:val="Heading1"/>
        <w:rPr>
          <w:color w:val="002A3F"/>
        </w:rPr>
      </w:pPr>
      <w:bookmarkStart w:id="84" w:name="_Toc165022445"/>
      <w:r w:rsidRPr="00B756B7">
        <w:rPr>
          <w:color w:val="002A3F"/>
        </w:rPr>
        <w:lastRenderedPageBreak/>
        <w:t>Investing in young children</w:t>
      </w:r>
      <w:bookmarkEnd w:id="83"/>
      <w:bookmarkEnd w:id="84"/>
    </w:p>
    <w:p w14:paraId="6A957762" w14:textId="7352FB3A" w:rsidR="000A4333" w:rsidRPr="004E474C" w:rsidRDefault="003A6359" w:rsidP="007A651E">
      <w:r w:rsidRPr="004E474C">
        <w:t>Investments in the early years have immediate and direct benefit</w:t>
      </w:r>
      <w:r w:rsidR="000E461B">
        <w:t>s</w:t>
      </w:r>
      <w:r w:rsidRPr="004E474C">
        <w:t xml:space="preserve"> </w:t>
      </w:r>
      <w:r w:rsidR="000E461B">
        <w:t>for children, helping to</w:t>
      </w:r>
      <w:r w:rsidRPr="004E474C">
        <w:t xml:space="preserve"> achieve better outcomes across health, wellbeing, </w:t>
      </w:r>
      <w:proofErr w:type="gramStart"/>
      <w:r w:rsidRPr="004E474C">
        <w:t>education</w:t>
      </w:r>
      <w:proofErr w:type="gramEnd"/>
      <w:r w:rsidRPr="004E474C">
        <w:t xml:space="preserve"> and other domains. </w:t>
      </w:r>
      <w:r w:rsidR="00D8294F">
        <w:t>Investments</w:t>
      </w:r>
      <w:r w:rsidR="00D8294F" w:rsidRPr="004E474C">
        <w:t xml:space="preserve"> </w:t>
      </w:r>
      <w:r w:rsidRPr="004E474C">
        <w:t xml:space="preserve">can also help </w:t>
      </w:r>
      <w:r w:rsidR="00D8294F">
        <w:t>children</w:t>
      </w:r>
      <w:r w:rsidR="00D8294F" w:rsidRPr="004E474C">
        <w:t xml:space="preserve"> </w:t>
      </w:r>
      <w:r w:rsidRPr="004E474C">
        <w:t xml:space="preserve">have a fulfilling childhood with opportunities to experience play, nurturing and connection.  </w:t>
      </w:r>
    </w:p>
    <w:p w14:paraId="0311DFCB" w14:textId="77777777" w:rsidR="0092059D" w:rsidRPr="00B756B7" w:rsidRDefault="003A6359" w:rsidP="0092059D">
      <w:pPr>
        <w:pStyle w:val="Heading2"/>
        <w:rPr>
          <w:color w:val="002A3F"/>
        </w:rPr>
      </w:pPr>
      <w:bookmarkStart w:id="85" w:name="_Toc154069274"/>
      <w:bookmarkStart w:id="86" w:name="_Toc165022446"/>
      <w:r w:rsidRPr="00B756B7">
        <w:rPr>
          <w:color w:val="002A3F"/>
        </w:rPr>
        <w:t>Better outcomes</w:t>
      </w:r>
      <w:bookmarkEnd w:id="85"/>
      <w:bookmarkEnd w:id="86"/>
      <w:r w:rsidRPr="00B756B7">
        <w:rPr>
          <w:color w:val="002A3F"/>
        </w:rPr>
        <w:t xml:space="preserve"> </w:t>
      </w:r>
    </w:p>
    <w:p w14:paraId="5FC32584" w14:textId="77777777" w:rsidR="005A682F" w:rsidRDefault="003A6359" w:rsidP="007A651E">
      <w:pPr>
        <w:rPr>
          <w:rFonts w:ascii="Times New Roman" w:eastAsiaTheme="minorHAnsi" w:hAnsi="Times New Roman" w:cs="Times New Roman"/>
          <w:sz w:val="24"/>
          <w:szCs w:val="24"/>
          <w:lang w:eastAsia="en-AU"/>
        </w:rPr>
      </w:pPr>
      <w:r w:rsidRPr="004E474C">
        <w:t xml:space="preserve">Investing in the early years of a child’s life sets them up to be a well-functioning and positive contributor to their society. There are also long-term benefits more broadly for individuals, </w:t>
      </w:r>
      <w:proofErr w:type="gramStart"/>
      <w:r w:rsidRPr="004E474C">
        <w:t>families</w:t>
      </w:r>
      <w:proofErr w:type="gramEnd"/>
      <w:r w:rsidRPr="004E474C">
        <w:t xml:space="preserve"> and </w:t>
      </w:r>
      <w:r>
        <w:t>communities.</w:t>
      </w:r>
      <w:r>
        <w:rPr>
          <w:rFonts w:ascii="Times New Roman" w:eastAsiaTheme="minorHAnsi" w:hAnsi="Times New Roman" w:cs="Times New Roman"/>
          <w:sz w:val="24"/>
          <w:szCs w:val="24"/>
          <w:lang w:eastAsia="en-AU"/>
        </w:rPr>
        <w:t xml:space="preserve"> </w:t>
      </w:r>
    </w:p>
    <w:p w14:paraId="5C8330B1" w14:textId="77777777" w:rsidR="000A4333" w:rsidRPr="004E474C" w:rsidRDefault="003A6359" w:rsidP="00176147">
      <w:r w:rsidRPr="004E474C">
        <w:t xml:space="preserve">With healthy early childhood development, the building blocks for </w:t>
      </w:r>
      <w:r w:rsidR="0092059D">
        <w:t>‘</w:t>
      </w:r>
      <w:r w:rsidRPr="004E474C">
        <w:t>educational achievement, economic productivity, responsible citizenship, lifelong health, strong communities and successful parenting in the next generation</w:t>
      </w:r>
      <w:r w:rsidR="0092059D">
        <w:t>’</w:t>
      </w:r>
      <w:r w:rsidRPr="004E474C">
        <w:t>, are established.</w:t>
      </w:r>
      <w:r>
        <w:rPr>
          <w:rStyle w:val="FootnoteReference"/>
          <w:rFonts w:ascii="Calibri" w:hAnsi="Calibri" w:cs="Calibri"/>
          <w:sz w:val="22"/>
          <w:szCs w:val="22"/>
        </w:rPr>
        <w:footnoteReference w:id="110"/>
      </w:r>
      <w:r w:rsidRPr="004E474C">
        <w:t xml:space="preserve"> Healthy early childhood development helps to grow citizens who can contribute to Australian society and make us </w:t>
      </w:r>
      <w:r w:rsidRPr="00B756B7">
        <w:rPr>
          <w:rStyle w:val="IntenseEmphasis"/>
          <w:color w:val="auto"/>
        </w:rPr>
        <w:t>stronger as a nation</w:t>
      </w:r>
      <w:r w:rsidRPr="004E474C">
        <w:t>.</w:t>
      </w:r>
    </w:p>
    <w:p w14:paraId="2FEFCAD2" w14:textId="77777777" w:rsidR="000A4333" w:rsidRPr="004E474C" w:rsidRDefault="003A6359" w:rsidP="00176147">
      <w:r w:rsidRPr="004E474C">
        <w:t xml:space="preserve">Studies over the past few decades in Australia and overseas reinforce what we have known for a long time – investment in the early years is a sound investment in both the lives of children and families today and for the future productivity, </w:t>
      </w:r>
      <w:proofErr w:type="gramStart"/>
      <w:r w:rsidRPr="004E474C">
        <w:t>prosperity</w:t>
      </w:r>
      <w:proofErr w:type="gramEnd"/>
      <w:r w:rsidRPr="004E474C">
        <w:t xml:space="preserve"> and wellbeing of the nation.</w:t>
      </w:r>
      <w:r w:rsidR="0092059D">
        <w:t xml:space="preserve"> M</w:t>
      </w:r>
      <w:r w:rsidRPr="004E474C">
        <w:t xml:space="preserve">any countries and jurisdictions </w:t>
      </w:r>
      <w:r w:rsidR="0092059D">
        <w:t>now have</w:t>
      </w:r>
      <w:r w:rsidRPr="004E474C">
        <w:t xml:space="preserve"> child wellbeing plans in place.</w:t>
      </w:r>
    </w:p>
    <w:p w14:paraId="1D44AFEF" w14:textId="77777777" w:rsidR="000A4333" w:rsidRPr="004E474C" w:rsidRDefault="003A6359" w:rsidP="00B756B7">
      <w:pPr>
        <w:shd w:val="clear" w:color="auto" w:fill="ECF8FE"/>
      </w:pPr>
      <w:r w:rsidRPr="00880213">
        <w:t xml:space="preserve">The Effective Provision of Pre-School Education Project found </w:t>
      </w:r>
      <w:r w:rsidRPr="004E474C">
        <w:t xml:space="preserve">that children from both advantaged and disadvantaged communities are less likely to be developmentally vulnerable if they attended preschool. Those who attend preschool typically outperform their peers in physical, social, cognitive, </w:t>
      </w:r>
      <w:proofErr w:type="gramStart"/>
      <w:r w:rsidRPr="004E474C">
        <w:t>communicative</w:t>
      </w:r>
      <w:proofErr w:type="gramEnd"/>
      <w:r w:rsidRPr="004E474C">
        <w:t xml:space="preserve"> and adaptive development.</w:t>
      </w:r>
      <w:r>
        <w:rPr>
          <w:rStyle w:val="FootnoteReference"/>
          <w:rFonts w:ascii="Calibri" w:hAnsi="Calibri" w:cs="Calibri"/>
          <w:sz w:val="22"/>
          <w:szCs w:val="22"/>
        </w:rPr>
        <w:footnoteReference w:id="111"/>
      </w:r>
      <w:r w:rsidRPr="004E474C">
        <w:t xml:space="preserve"> </w:t>
      </w:r>
    </w:p>
    <w:p w14:paraId="6F1E2EE6" w14:textId="77777777" w:rsidR="000A4333" w:rsidRPr="004E474C" w:rsidRDefault="003A6359" w:rsidP="00176147">
      <w:r w:rsidRPr="004E474C">
        <w:t>Children who are developmentally on track when they start school are more likely to stay on track, complete school education, get a job and contribute positively to the broader society.</w:t>
      </w:r>
    </w:p>
    <w:p w14:paraId="73FA2DE7" w14:textId="77777777" w:rsidR="000A4333" w:rsidRPr="004E474C" w:rsidRDefault="003A6359" w:rsidP="00176147">
      <w:r w:rsidRPr="004E474C">
        <w:t>Research conducted in 2019 analysed the economic impact of early childhood education in Australia and found that for every $1 invested in preschool education, Australia receives $2 back over a child’s lifetime.</w:t>
      </w:r>
      <w:r>
        <w:rPr>
          <w:rStyle w:val="FootnoteReference"/>
          <w:rFonts w:ascii="Calibri" w:hAnsi="Calibri" w:cs="Calibri"/>
          <w:sz w:val="22"/>
          <w:szCs w:val="22"/>
        </w:rPr>
        <w:footnoteReference w:id="112"/>
      </w:r>
      <w:r w:rsidRPr="004E474C">
        <w:t xml:space="preserve"> </w:t>
      </w:r>
    </w:p>
    <w:p w14:paraId="5FBFFCF7" w14:textId="517CE3DE" w:rsidR="000A4333" w:rsidRPr="004E474C" w:rsidRDefault="003A6359" w:rsidP="00176147">
      <w:r w:rsidRPr="004E474C">
        <w:t xml:space="preserve">A 2010 study found that in Australia, the potential value of future benefits that can be realised </w:t>
      </w:r>
      <w:proofErr w:type="gramStart"/>
      <w:r w:rsidRPr="004E474C">
        <w:t>as a result of</w:t>
      </w:r>
      <w:proofErr w:type="gramEnd"/>
      <w:r w:rsidRPr="004E474C">
        <w:t xml:space="preserve"> prevention and early intervention is over $5.4 billion per </w:t>
      </w:r>
      <w:r w:rsidR="00BE6BBB">
        <w:t>year</w:t>
      </w:r>
      <w:r w:rsidRPr="004E474C">
        <w:t>.</w:t>
      </w:r>
      <w:r>
        <w:rPr>
          <w:rStyle w:val="FootnoteReference"/>
          <w:rFonts w:ascii="Calibri" w:hAnsi="Calibri" w:cs="Calibri"/>
          <w:sz w:val="22"/>
          <w:szCs w:val="22"/>
        </w:rPr>
        <w:footnoteReference w:id="113"/>
      </w:r>
    </w:p>
    <w:p w14:paraId="635867EB" w14:textId="77777777" w:rsidR="000A4333" w:rsidRPr="004E474C" w:rsidRDefault="003A6359" w:rsidP="00176147">
      <w:pPr>
        <w:rPr>
          <w:rFonts w:cstheme="minorHAnsi"/>
        </w:rPr>
      </w:pPr>
      <w:r w:rsidRPr="004E474C">
        <w:lastRenderedPageBreak/>
        <w:t>Significant research in the United States has shown that every $1 invested in quality early years programs from 0 to 5 years can yield returns of between $4 and $16.</w:t>
      </w:r>
      <w:r>
        <w:rPr>
          <w:rStyle w:val="FootnoteReference"/>
          <w:rFonts w:ascii="Calibri" w:hAnsi="Calibri" w:cs="Calibri"/>
          <w:sz w:val="22"/>
          <w:szCs w:val="22"/>
        </w:rPr>
        <w:footnoteReference w:id="114"/>
      </w:r>
    </w:p>
    <w:p w14:paraId="51979A8E" w14:textId="77777777" w:rsidR="000A4333" w:rsidRPr="00B756B7" w:rsidRDefault="003A6359" w:rsidP="00176147">
      <w:pPr>
        <w:pStyle w:val="Heading2"/>
        <w:rPr>
          <w:color w:val="002A3F"/>
        </w:rPr>
      </w:pPr>
      <w:bookmarkStart w:id="88" w:name="_Toc165022447"/>
      <w:bookmarkStart w:id="89" w:name="_Toc154069275"/>
      <w:r w:rsidRPr="00B756B7">
        <w:rPr>
          <w:color w:val="002A3F"/>
        </w:rPr>
        <w:t>The impact of</w:t>
      </w:r>
      <w:r w:rsidR="00176147" w:rsidRPr="00B756B7">
        <w:rPr>
          <w:color w:val="002A3F"/>
        </w:rPr>
        <w:t xml:space="preserve"> n</w:t>
      </w:r>
      <w:r w:rsidRPr="00B756B7">
        <w:rPr>
          <w:color w:val="002A3F"/>
        </w:rPr>
        <w:t>ot investing in the early years</w:t>
      </w:r>
      <w:bookmarkEnd w:id="88"/>
      <w:r w:rsidRPr="00B756B7">
        <w:rPr>
          <w:color w:val="002A3F"/>
        </w:rPr>
        <w:t xml:space="preserve"> </w:t>
      </w:r>
      <w:bookmarkEnd w:id="89"/>
    </w:p>
    <w:p w14:paraId="401120EA" w14:textId="77777777" w:rsidR="000A4333" w:rsidRPr="004E474C" w:rsidRDefault="003A6359" w:rsidP="00176147">
      <w:r w:rsidRPr="004E474C">
        <w:t xml:space="preserve">A lack of appropriate and well-targeted investment in early childhood development affects the long-term health and wellbeing of individual children. The consequence of not addressing adverse environments can create </w:t>
      </w:r>
      <w:r w:rsidRPr="00B756B7">
        <w:rPr>
          <w:rStyle w:val="IntenseEmphasis"/>
          <w:color w:val="auto"/>
        </w:rPr>
        <w:t>deficits</w:t>
      </w:r>
      <w:r w:rsidRPr="00B756B7">
        <w:t xml:space="preserve"> </w:t>
      </w:r>
      <w:r w:rsidRPr="004E474C">
        <w:t>in skills and abilities. This drives down economic productivity and increases social costs.</w:t>
      </w:r>
    </w:p>
    <w:p w14:paraId="6C2876FD" w14:textId="77777777" w:rsidR="000A4333" w:rsidRPr="004E474C" w:rsidRDefault="003A6359" w:rsidP="00176147">
      <w:r w:rsidRPr="004E474C">
        <w:t xml:space="preserve">Children who do not receive optimal care or stimulation, who are poorly nourished, neglected or abused, can experience physiological and behavioural changes that make them more susceptible to </w:t>
      </w:r>
      <w:r w:rsidRPr="00C9350E">
        <w:t>chronic health conditions</w:t>
      </w:r>
      <w:r w:rsidR="004477B4">
        <w:t xml:space="preserve"> and mental health disorders</w:t>
      </w:r>
      <w:r w:rsidRPr="00C9350E">
        <w:t xml:space="preserve"> later</w:t>
      </w:r>
      <w:r w:rsidRPr="004E474C">
        <w:t xml:space="preserve"> in life</w:t>
      </w:r>
      <w:r w:rsidR="004477B4">
        <w:t>,</w:t>
      </w:r>
      <w:r w:rsidRPr="004E474C">
        <w:t xml:space="preserve"> such as heart disease, diabetes, </w:t>
      </w:r>
      <w:proofErr w:type="gramStart"/>
      <w:r w:rsidRPr="004E474C">
        <w:t>depression</w:t>
      </w:r>
      <w:proofErr w:type="gramEnd"/>
      <w:r w:rsidRPr="004E474C">
        <w:t xml:space="preserve"> and dementia.</w:t>
      </w:r>
      <w:r>
        <w:rPr>
          <w:vertAlign w:val="superscript"/>
        </w:rPr>
        <w:footnoteReference w:id="115"/>
      </w:r>
      <w:r w:rsidRPr="004E474C">
        <w:t xml:space="preserve"> </w:t>
      </w:r>
    </w:p>
    <w:p w14:paraId="6769BAC6" w14:textId="3F3EA8F8" w:rsidR="000A4333" w:rsidRPr="004E474C" w:rsidRDefault="003A6359" w:rsidP="00176147">
      <w:r w:rsidRPr="004E474C">
        <w:t xml:space="preserve">Research shows that by Grade 3, children assessed as </w:t>
      </w:r>
      <w:r w:rsidR="004428DD">
        <w:t xml:space="preserve">developmentally </w:t>
      </w:r>
      <w:r w:rsidRPr="004E474C">
        <w:t>vulnerable</w:t>
      </w:r>
      <w:r w:rsidR="004428DD">
        <w:t xml:space="preserve"> according to the </w:t>
      </w:r>
      <w:r w:rsidR="00420D00">
        <w:t>AEDC</w:t>
      </w:r>
      <w:r w:rsidRPr="004E474C">
        <w:t xml:space="preserve"> are a year behind their peers on NAPLAN (the national literacy and numeracy assessment), and by Grade 5 they are on average </w:t>
      </w:r>
      <w:r w:rsidR="00C9350E">
        <w:t>2</w:t>
      </w:r>
      <w:r w:rsidRPr="004E474C">
        <w:t xml:space="preserve"> years behind. Evidence shows these children are more likely to drop out of education early without the skills they need to go on to tertiary education or vocational training.</w:t>
      </w:r>
      <w:r>
        <w:rPr>
          <w:rStyle w:val="FootnoteReference"/>
          <w:rFonts w:ascii="Calibri" w:hAnsi="Calibri" w:cs="Calibri"/>
          <w:sz w:val="22"/>
          <w:szCs w:val="22"/>
        </w:rPr>
        <w:footnoteReference w:id="116"/>
      </w:r>
      <w:r w:rsidRPr="004E474C">
        <w:t xml:space="preserve"> </w:t>
      </w:r>
    </w:p>
    <w:p w14:paraId="5E2F294D" w14:textId="77777777" w:rsidR="000A4333" w:rsidRDefault="003A6359" w:rsidP="00176147">
      <w:r w:rsidRPr="004E474C">
        <w:t>Children who experience poverty at some time in their childhood are</w:t>
      </w:r>
      <w:r w:rsidR="005A682F">
        <w:t xml:space="preserve"> more</w:t>
      </w:r>
      <w:r w:rsidRPr="004E474C">
        <w:t xml:space="preserve"> likely to have poorer cognitive and social outcomes</w:t>
      </w:r>
      <w:r w:rsidR="005A682F">
        <w:t>,</w:t>
      </w:r>
      <w:r w:rsidRPr="004E474C">
        <w:t xml:space="preserve"> to be obese and have lower levels of general health.</w:t>
      </w:r>
      <w:r w:rsidR="00C9350E">
        <w:t xml:space="preserve"> T</w:t>
      </w:r>
      <w:r w:rsidRPr="004E474C">
        <w:t>here are substantial differences in developmental outcomes for children who had experienced persistent poverty, compared to children who were never poor.</w:t>
      </w:r>
      <w:r>
        <w:rPr>
          <w:rStyle w:val="FootnoteReference"/>
          <w:rFonts w:ascii="Calibri" w:hAnsi="Calibri" w:cs="Calibri"/>
          <w:sz w:val="22"/>
          <w:szCs w:val="22"/>
        </w:rPr>
        <w:footnoteReference w:id="117"/>
      </w:r>
    </w:p>
    <w:p w14:paraId="525053FA" w14:textId="77777777" w:rsidR="00CF0C46" w:rsidRPr="004E474C" w:rsidRDefault="003A6359" w:rsidP="00176147">
      <w:r>
        <w:t xml:space="preserve">Research has established that interventions in the early years, particularly supportive parental </w:t>
      </w:r>
      <w:proofErr w:type="gramStart"/>
      <w:r>
        <w:t>relationships</w:t>
      </w:r>
      <w:proofErr w:type="gramEnd"/>
      <w:r>
        <w:t xml:space="preserve"> and efforts to improve education outcomes, can interrupt disadvantage.</w:t>
      </w:r>
      <w:r>
        <w:rPr>
          <w:rStyle w:val="FootnoteReference"/>
        </w:rPr>
        <w:footnoteReference w:id="118"/>
      </w:r>
      <w:r>
        <w:t xml:space="preserve"> </w:t>
      </w:r>
    </w:p>
    <w:p w14:paraId="6EB271F6" w14:textId="77777777" w:rsidR="00726A34" w:rsidRDefault="003A6359">
      <w:pPr>
        <w:spacing w:line="259" w:lineRule="auto"/>
        <w:rPr>
          <w:rFonts w:asciiTheme="majorHAnsi" w:eastAsiaTheme="majorEastAsia" w:hAnsiTheme="majorHAnsi" w:cstheme="majorBidi"/>
          <w:color w:val="262626" w:themeColor="text1" w:themeTint="D9"/>
          <w:sz w:val="40"/>
          <w:szCs w:val="40"/>
        </w:rPr>
      </w:pPr>
      <w:r>
        <w:br w:type="page"/>
      </w:r>
    </w:p>
    <w:p w14:paraId="4ECAE9E5" w14:textId="77777777" w:rsidR="000A4333" w:rsidRPr="00B756B7" w:rsidRDefault="003A6359" w:rsidP="0027274B">
      <w:pPr>
        <w:pStyle w:val="Heading1"/>
        <w:rPr>
          <w:color w:val="002A3F"/>
        </w:rPr>
      </w:pPr>
      <w:bookmarkStart w:id="91" w:name="_Toc165022448"/>
      <w:r w:rsidRPr="00B756B7">
        <w:rPr>
          <w:color w:val="002A3F"/>
        </w:rPr>
        <w:lastRenderedPageBreak/>
        <w:t>Equity</w:t>
      </w:r>
      <w:bookmarkEnd w:id="91"/>
      <w:r w:rsidRPr="00B756B7">
        <w:rPr>
          <w:color w:val="002A3F"/>
        </w:rPr>
        <w:t xml:space="preserve"> </w:t>
      </w:r>
    </w:p>
    <w:p w14:paraId="597BD606" w14:textId="77777777" w:rsidR="000A4333" w:rsidRPr="004E474C" w:rsidRDefault="003A6359" w:rsidP="0027274B">
      <w:r w:rsidRPr="004E474C">
        <w:t xml:space="preserve">The Australian Government, through </w:t>
      </w:r>
      <w:r w:rsidR="00C9350E">
        <w:t>the Early Years</w:t>
      </w:r>
      <w:r w:rsidRPr="004E474C">
        <w:t xml:space="preserve"> Strategy, aspires to do more than just having most children do well. It is about all children thriving.</w:t>
      </w:r>
    </w:p>
    <w:p w14:paraId="7ECE8A3A" w14:textId="77777777" w:rsidR="000A4333" w:rsidRPr="004E474C" w:rsidRDefault="003A6359" w:rsidP="0027274B">
      <w:r w:rsidRPr="004E474C">
        <w:t xml:space="preserve">We want </w:t>
      </w:r>
      <w:r w:rsidRPr="00B756B7">
        <w:rPr>
          <w:rStyle w:val="IntenseEmphasis"/>
          <w:color w:val="auto"/>
        </w:rPr>
        <w:t>all Australian children</w:t>
      </w:r>
      <w:r w:rsidRPr="00B756B7">
        <w:t xml:space="preserve"> </w:t>
      </w:r>
      <w:r w:rsidRPr="004E474C">
        <w:t>to enjoy a positive start to life, reach adulthood equipped to meet life’s opportunities and challenges, and to realise their own unique potential</w:t>
      </w:r>
      <w:r w:rsidR="00C9350E">
        <w:t>.</w:t>
      </w:r>
    </w:p>
    <w:p w14:paraId="5499E268" w14:textId="77777777" w:rsidR="000A4333" w:rsidRPr="00B756B7" w:rsidRDefault="003A6359" w:rsidP="0027274B">
      <w:pPr>
        <w:pStyle w:val="Heading2"/>
        <w:rPr>
          <w:color w:val="002A3F"/>
        </w:rPr>
      </w:pPr>
      <w:bookmarkStart w:id="92" w:name="_Toc165022449"/>
      <w:r w:rsidRPr="00B756B7">
        <w:rPr>
          <w:color w:val="002A3F"/>
        </w:rPr>
        <w:t>Reducing disadvantage</w:t>
      </w:r>
      <w:bookmarkEnd w:id="92"/>
    </w:p>
    <w:p w14:paraId="2E8F9C0E" w14:textId="77777777" w:rsidR="000A4333" w:rsidRPr="004E474C" w:rsidRDefault="003A6359" w:rsidP="00F50446">
      <w:pPr>
        <w:rPr>
          <w:lang w:val="en-US"/>
        </w:rPr>
      </w:pPr>
      <w:r>
        <w:t>The r</w:t>
      </w:r>
      <w:r w:rsidRPr="004E474C">
        <w:t>esults from the AEDC across Australia</w:t>
      </w:r>
      <w:r>
        <w:t xml:space="preserve"> are mixed</w:t>
      </w:r>
      <w:r w:rsidRPr="004E474C">
        <w:t>. Some children are at risk of not reaching their potential</w:t>
      </w:r>
      <w:r w:rsidR="00341BAF">
        <w:t xml:space="preserve"> and </w:t>
      </w:r>
      <w:r w:rsidR="00341BAF" w:rsidRPr="004E474C">
        <w:t>some</w:t>
      </w:r>
      <w:r w:rsidRPr="004E474C">
        <w:t xml:space="preserve"> children are experiencing higher rates of vulnerability</w:t>
      </w:r>
      <w:r w:rsidR="00341BAF">
        <w:t xml:space="preserve">. </w:t>
      </w:r>
      <w:r w:rsidR="00273840">
        <w:t xml:space="preserve">These </w:t>
      </w:r>
      <w:r w:rsidRPr="004E474C">
        <w:t xml:space="preserve">experiences </w:t>
      </w:r>
      <w:r>
        <w:t>intensify</w:t>
      </w:r>
      <w:r w:rsidRPr="004E474C">
        <w:t xml:space="preserve"> when children</w:t>
      </w:r>
      <w:r w:rsidRPr="004E474C">
        <w:rPr>
          <w:lang w:val="en-US"/>
        </w:rPr>
        <w:t xml:space="preserve"> face intersecting experiences of disadvantage and vulnerability.</w:t>
      </w:r>
    </w:p>
    <w:p w14:paraId="56628A9E" w14:textId="77777777" w:rsidR="005A682F" w:rsidRDefault="003A6359" w:rsidP="00F50446">
      <w:pPr>
        <w:rPr>
          <w:rFonts w:ascii="Times New Roman" w:eastAsiaTheme="minorHAnsi" w:hAnsi="Times New Roman" w:cs="Times New Roman"/>
          <w:sz w:val="24"/>
          <w:szCs w:val="24"/>
          <w:lang w:eastAsia="en-AU"/>
        </w:rPr>
      </w:pPr>
      <w:r w:rsidRPr="004E474C">
        <w:t xml:space="preserve">A fair outcome for children is about </w:t>
      </w:r>
      <w:r w:rsidRPr="00B756B7">
        <w:rPr>
          <w:rStyle w:val="IntenseEmphasis"/>
          <w:color w:val="auto"/>
        </w:rPr>
        <w:t>reducing disadvantage and vulnerability</w:t>
      </w:r>
      <w:r w:rsidRPr="004E474C">
        <w:t>.</w:t>
      </w:r>
      <w:r w:rsidRPr="004E474C">
        <w:rPr>
          <w:rFonts w:eastAsiaTheme="majorEastAsia"/>
        </w:rPr>
        <w:t xml:space="preserve"> </w:t>
      </w:r>
      <w:r w:rsidR="00556707">
        <w:rPr>
          <w:rFonts w:eastAsiaTheme="majorEastAsia"/>
        </w:rPr>
        <w:t>Every</w:t>
      </w:r>
      <w:r w:rsidRPr="004E474C">
        <w:rPr>
          <w:rFonts w:eastAsiaTheme="majorEastAsia"/>
        </w:rPr>
        <w:t xml:space="preserve"> child </w:t>
      </w:r>
      <w:r w:rsidR="00556707">
        <w:rPr>
          <w:rFonts w:eastAsiaTheme="majorEastAsia"/>
        </w:rPr>
        <w:t>should have</w:t>
      </w:r>
      <w:r w:rsidR="00556707" w:rsidRPr="004E474C">
        <w:rPr>
          <w:rFonts w:eastAsiaTheme="majorEastAsia"/>
        </w:rPr>
        <w:t xml:space="preserve"> </w:t>
      </w:r>
      <w:r w:rsidRPr="004E474C">
        <w:rPr>
          <w:rFonts w:eastAsiaTheme="majorEastAsia"/>
        </w:rPr>
        <w:t xml:space="preserve">the same opportunities, right from the </w:t>
      </w:r>
      <w:r>
        <w:rPr>
          <w:rFonts w:eastAsiaTheme="majorEastAsia"/>
        </w:rPr>
        <w:t>start.</w:t>
      </w:r>
      <w:r>
        <w:rPr>
          <w:rFonts w:ascii="Times New Roman" w:eastAsiaTheme="minorHAnsi" w:hAnsi="Times New Roman" w:cs="Times New Roman"/>
          <w:sz w:val="24"/>
          <w:szCs w:val="24"/>
          <w:lang w:eastAsia="en-AU"/>
        </w:rPr>
        <w:t xml:space="preserve"> </w:t>
      </w:r>
    </w:p>
    <w:p w14:paraId="1D6CBED2" w14:textId="77777777" w:rsidR="000A4333" w:rsidRPr="004E474C" w:rsidRDefault="003A6359" w:rsidP="00F50446">
      <w:r>
        <w:t>T</w:t>
      </w:r>
      <w:r w:rsidRPr="004E474C">
        <w:t>here are also pockets of progress</w:t>
      </w:r>
      <w:r>
        <w:t xml:space="preserve"> in the AEDC results.</w:t>
      </w:r>
      <w:r w:rsidRPr="004E474C">
        <w:t xml:space="preserve"> An example of where improvement has occurred is the number of children who are </w:t>
      </w:r>
      <w:r w:rsidRPr="004E474C">
        <w:rPr>
          <w:lang w:val="en-US"/>
        </w:rPr>
        <w:t>developmentally vulnerable on one or more AEDC domain(s) who have a language background other than English compared with those children with English only. Th</w:t>
      </w:r>
      <w:r w:rsidR="00460307">
        <w:rPr>
          <w:lang w:val="en-US"/>
        </w:rPr>
        <w:t>is</w:t>
      </w:r>
      <w:r w:rsidRPr="004E474C">
        <w:rPr>
          <w:lang w:val="en-US"/>
        </w:rPr>
        <w:t xml:space="preserve"> gap has steadily narrowed from 10.5 percentage points in 2009 to 4.5 percentage points in 2021.</w:t>
      </w:r>
    </w:p>
    <w:p w14:paraId="6FE13595" w14:textId="77777777" w:rsidR="000A4333" w:rsidRPr="004E474C" w:rsidRDefault="003A6359" w:rsidP="00F50446">
      <w:pPr>
        <w:rPr>
          <w:lang w:val="en-US"/>
        </w:rPr>
      </w:pPr>
      <w:r w:rsidRPr="004E474C">
        <w:rPr>
          <w:lang w:val="en-US"/>
        </w:rPr>
        <w:t xml:space="preserve">For Aboriginal and Torres Strait Islander children, the proportion who are on track in all </w:t>
      </w:r>
      <w:r w:rsidR="00C9350E">
        <w:rPr>
          <w:lang w:val="en-US"/>
        </w:rPr>
        <w:t>5</w:t>
      </w:r>
      <w:r w:rsidRPr="004E474C">
        <w:rPr>
          <w:lang w:val="en-US"/>
        </w:rPr>
        <w:t xml:space="preserve"> domains is increasing at a faster rate (8.0 percentage points between 2009 and 2021) than the whole population (4.1 percentage points). </w:t>
      </w:r>
    </w:p>
    <w:p w14:paraId="2DD19748" w14:textId="77777777" w:rsidR="000A4333" w:rsidRPr="004E474C" w:rsidRDefault="003A6359" w:rsidP="0027274B">
      <w:pPr>
        <w:rPr>
          <w:lang w:val="en-US"/>
        </w:rPr>
      </w:pPr>
      <w:r w:rsidRPr="004E474C">
        <w:rPr>
          <w:lang w:val="en-US"/>
        </w:rPr>
        <w:t xml:space="preserve">Overall, the proportion of Aboriginal and Torres Strait Islander children on track in all </w:t>
      </w:r>
      <w:r w:rsidR="00C9350E">
        <w:rPr>
          <w:lang w:val="en-US"/>
        </w:rPr>
        <w:t>5</w:t>
      </w:r>
      <w:r w:rsidRPr="004E474C">
        <w:rPr>
          <w:lang w:val="en-US"/>
        </w:rPr>
        <w:t xml:space="preserve"> AEDC domains rose between 2009 and 2018 (from 26.3% to 35.2%), but then declined slightly to 34.3% in 2021. This is the </w:t>
      </w:r>
      <w:proofErr w:type="gramStart"/>
      <w:r w:rsidRPr="004E474C">
        <w:rPr>
          <w:lang w:val="en-US"/>
        </w:rPr>
        <w:t>first time</w:t>
      </w:r>
      <w:proofErr w:type="gramEnd"/>
      <w:r w:rsidRPr="004E474C">
        <w:rPr>
          <w:lang w:val="en-US"/>
        </w:rPr>
        <w:t xml:space="preserve"> developmental readiness has declined since 2009.</w:t>
      </w:r>
    </w:p>
    <w:p w14:paraId="5CA56C43" w14:textId="2849A378" w:rsidR="005C050E" w:rsidRDefault="003A6359" w:rsidP="005C050E">
      <w:pPr>
        <w:pBdr>
          <w:top w:val="single" w:sz="4" w:space="1" w:color="auto"/>
          <w:left w:val="single" w:sz="4" w:space="4" w:color="auto"/>
          <w:bottom w:val="single" w:sz="4" w:space="1" w:color="auto"/>
          <w:right w:val="single" w:sz="4" w:space="4" w:color="auto"/>
        </w:pBdr>
        <w:rPr>
          <w:lang w:val="en-US"/>
        </w:rPr>
      </w:pPr>
      <w:r>
        <w:rPr>
          <w:lang w:val="en-US"/>
        </w:rPr>
        <w:t>We need c</w:t>
      </w:r>
      <w:r w:rsidRPr="004E474C">
        <w:rPr>
          <w:lang w:val="en-US"/>
        </w:rPr>
        <w:t xml:space="preserve">ollective efforts to support </w:t>
      </w:r>
      <w:r w:rsidRPr="00624F40">
        <w:rPr>
          <w:rStyle w:val="IntenseEmphasis"/>
          <w:color w:val="auto"/>
        </w:rPr>
        <w:t>Aboriginal and Torres Strait Islander children</w:t>
      </w:r>
      <w:r w:rsidRPr="00624F40">
        <w:rPr>
          <w:lang w:val="en-US"/>
        </w:rPr>
        <w:t xml:space="preserve"> </w:t>
      </w:r>
      <w:r w:rsidRPr="004E474C">
        <w:rPr>
          <w:lang w:val="en-US"/>
        </w:rPr>
        <w:t>to be school-ready and thrive, in genuine partnership with Aboriginal and Torres Strait Islander families,</w:t>
      </w:r>
      <w:r>
        <w:rPr>
          <w:lang w:val="en-US"/>
        </w:rPr>
        <w:t xml:space="preserve"> kin,</w:t>
      </w:r>
      <w:r w:rsidRPr="004E474C">
        <w:rPr>
          <w:lang w:val="en-US"/>
        </w:rPr>
        <w:t xml:space="preserve"> stakeholders, communities</w:t>
      </w:r>
      <w:r w:rsidR="001C5C64">
        <w:rPr>
          <w:lang w:val="en-US"/>
        </w:rPr>
        <w:t>,</w:t>
      </w:r>
      <w:r w:rsidRPr="004E474C">
        <w:rPr>
          <w:lang w:val="en-US"/>
        </w:rPr>
        <w:t xml:space="preserve"> and states and territories. </w:t>
      </w:r>
      <w:r>
        <w:rPr>
          <w:lang w:val="en-US"/>
        </w:rPr>
        <w:t xml:space="preserve">The Early Years Strategy aligns with, </w:t>
      </w:r>
      <w:proofErr w:type="gramStart"/>
      <w:r>
        <w:rPr>
          <w:lang w:val="en-US"/>
        </w:rPr>
        <w:t>complements</w:t>
      </w:r>
      <w:proofErr w:type="gramEnd"/>
      <w:r>
        <w:rPr>
          <w:lang w:val="en-US"/>
        </w:rPr>
        <w:t xml:space="preserve"> and accelerates existing reforms.</w:t>
      </w:r>
    </w:p>
    <w:p w14:paraId="51372EA4" w14:textId="61E50C75" w:rsidR="005C050E" w:rsidRDefault="003A6359" w:rsidP="005C050E">
      <w:pPr>
        <w:pBdr>
          <w:top w:val="single" w:sz="4" w:space="1" w:color="auto"/>
          <w:left w:val="single" w:sz="4" w:space="4" w:color="auto"/>
          <w:bottom w:val="single" w:sz="4" w:space="1" w:color="auto"/>
          <w:right w:val="single" w:sz="4" w:space="4" w:color="auto"/>
        </w:pBdr>
      </w:pPr>
      <w:r>
        <w:rPr>
          <w:rFonts w:ascii="Symbol" w:hAnsi="Symbol"/>
          <w:iCs/>
        </w:rPr>
        <w:sym w:font="Symbol" w:char="F0AE"/>
      </w:r>
      <w:r>
        <w:rPr>
          <w:iCs/>
        </w:rPr>
        <w:t xml:space="preserve"> </w:t>
      </w:r>
      <w:r>
        <w:t>T</w:t>
      </w:r>
      <w:r w:rsidRPr="004E474C">
        <w:t xml:space="preserve">he </w:t>
      </w:r>
      <w:r w:rsidRPr="00624F40">
        <w:rPr>
          <w:rStyle w:val="IntenseEmphasis"/>
          <w:color w:val="auto"/>
        </w:rPr>
        <w:t>National Agreement on Closing the Gap</w:t>
      </w:r>
      <w:r w:rsidRPr="00624F40">
        <w:t xml:space="preserve"> </w:t>
      </w:r>
      <w:r>
        <w:t>is a commitment to work</w:t>
      </w:r>
      <w:r w:rsidRPr="004E474C">
        <w:t xml:space="preserve">ing in partnership with Aboriginal and Torres Strait Islander people, </w:t>
      </w:r>
      <w:proofErr w:type="gramStart"/>
      <w:r w:rsidRPr="004E474C">
        <w:t>communities</w:t>
      </w:r>
      <w:proofErr w:type="gramEnd"/>
      <w:r w:rsidRPr="004E474C">
        <w:t xml:space="preserve"> and organisations to implement the policy reform and supports needed to improve early childhood development, health and wellbeing outcomes for Aboriginal and Torres Strait Islander children. </w:t>
      </w:r>
    </w:p>
    <w:p w14:paraId="4D051D6C" w14:textId="77777777" w:rsidR="005C050E" w:rsidRPr="004E474C" w:rsidRDefault="003A6359" w:rsidP="005C050E">
      <w:pPr>
        <w:pBdr>
          <w:top w:val="single" w:sz="4" w:space="1" w:color="auto"/>
          <w:left w:val="single" w:sz="4" w:space="4" w:color="auto"/>
          <w:bottom w:val="single" w:sz="4" w:space="1" w:color="auto"/>
          <w:right w:val="single" w:sz="4" w:space="4" w:color="auto"/>
        </w:pBdr>
      </w:pPr>
      <w:r>
        <w:rPr>
          <w:rFonts w:ascii="Symbol" w:hAnsi="Symbol"/>
          <w:iCs/>
        </w:rPr>
        <w:sym w:font="Symbol" w:char="F0AE"/>
      </w:r>
      <w:r>
        <w:rPr>
          <w:iCs/>
        </w:rPr>
        <w:t xml:space="preserve"> </w:t>
      </w:r>
      <w:r w:rsidRPr="004E474C">
        <w:t xml:space="preserve">The </w:t>
      </w:r>
      <w:r w:rsidRPr="00624F40">
        <w:rPr>
          <w:rStyle w:val="IntenseEmphasis"/>
          <w:color w:val="auto"/>
        </w:rPr>
        <w:t>National Aboriginal and Torres Strait Islander Early Childhood Strategy</w:t>
      </w:r>
      <w:r w:rsidRPr="00624F40">
        <w:t xml:space="preserve"> </w:t>
      </w:r>
      <w:r w:rsidRPr="004E474C">
        <w:t xml:space="preserve">sets out </w:t>
      </w:r>
      <w:r>
        <w:t>5</w:t>
      </w:r>
      <w:r w:rsidRPr="004E474C">
        <w:t xml:space="preserve"> goals for Aboriginal and Torres Strait Islander children, the outcomes to be achieved and opportunities for reform.</w:t>
      </w:r>
    </w:p>
    <w:p w14:paraId="58469BE3" w14:textId="3FE61967" w:rsidR="005C050E" w:rsidRDefault="003A6359" w:rsidP="0089416B">
      <w:pPr>
        <w:keepNext/>
        <w:keepLines/>
        <w:pBdr>
          <w:top w:val="single" w:sz="4" w:space="1" w:color="auto"/>
          <w:left w:val="single" w:sz="4" w:space="4" w:color="auto"/>
          <w:bottom w:val="single" w:sz="4" w:space="1" w:color="auto"/>
          <w:right w:val="single" w:sz="4" w:space="4" w:color="auto"/>
        </w:pBdr>
      </w:pPr>
      <w:r>
        <w:rPr>
          <w:rFonts w:ascii="Symbol" w:hAnsi="Symbol"/>
          <w:iCs/>
        </w:rPr>
        <w:lastRenderedPageBreak/>
        <w:sym w:font="Symbol" w:char="F0AE"/>
      </w:r>
      <w:r>
        <w:rPr>
          <w:iCs/>
        </w:rPr>
        <w:t xml:space="preserve"> </w:t>
      </w:r>
      <w:r w:rsidRPr="004E474C">
        <w:t xml:space="preserve">The </w:t>
      </w:r>
      <w:r w:rsidRPr="00624F40">
        <w:rPr>
          <w:rStyle w:val="IntenseEmphasis"/>
          <w:color w:val="auto"/>
        </w:rPr>
        <w:t>Early Childhood Care and Development Policy Partnership</w:t>
      </w:r>
      <w:r w:rsidRPr="00624F40">
        <w:t xml:space="preserve"> </w:t>
      </w:r>
      <w:r w:rsidR="0089416B">
        <w:t xml:space="preserve">– </w:t>
      </w:r>
      <w:r w:rsidR="0089416B" w:rsidRPr="0089416B">
        <w:t xml:space="preserve">co-chaired by SNAICC, National Voice for </w:t>
      </w:r>
      <w:r w:rsidR="001C5C64">
        <w:t>o</w:t>
      </w:r>
      <w:r w:rsidR="0089416B" w:rsidRPr="0089416B">
        <w:t>ur Children</w:t>
      </w:r>
      <w:r w:rsidR="0089416B">
        <w:t>,</w:t>
      </w:r>
      <w:r w:rsidR="0089416B" w:rsidRPr="0089416B">
        <w:t xml:space="preserve"> and the Australian Government Department of Education – provides a forum for governments and First Nations representative</w:t>
      </w:r>
      <w:r w:rsidR="0089416B">
        <w:t>s</w:t>
      </w:r>
      <w:r w:rsidR="0089416B" w:rsidRPr="0089416B">
        <w:t xml:space="preserve"> to develop advice on reforms to improve early childhood outcomes for Aboriginal and Torres Strait Islander children and families across early childhood education and care, maternal and child health,</w:t>
      </w:r>
      <w:r w:rsidR="00B037D3">
        <w:t xml:space="preserve"> and</w:t>
      </w:r>
      <w:r w:rsidR="0089416B">
        <w:t xml:space="preserve"> </w:t>
      </w:r>
      <w:r w:rsidR="00161FE3">
        <w:t xml:space="preserve">child safety. </w:t>
      </w:r>
      <w:r w:rsidR="0089416B" w:rsidRPr="0089416B">
        <w:t xml:space="preserve">  </w:t>
      </w:r>
    </w:p>
    <w:p w14:paraId="27D743A2" w14:textId="02CA3652" w:rsidR="005C050E" w:rsidRPr="004E474C" w:rsidRDefault="003A6359" w:rsidP="00580627">
      <w:pPr>
        <w:pBdr>
          <w:top w:val="single" w:sz="4" w:space="1" w:color="auto"/>
          <w:left w:val="single" w:sz="4" w:space="4" w:color="auto"/>
          <w:bottom w:val="single" w:sz="4" w:space="1" w:color="auto"/>
          <w:right w:val="single" w:sz="4" w:space="4" w:color="auto"/>
        </w:pBdr>
        <w:spacing w:after="0"/>
      </w:pPr>
      <w:r>
        <w:rPr>
          <w:rFonts w:ascii="Symbol" w:hAnsi="Symbol"/>
          <w:iCs/>
        </w:rPr>
        <w:sym w:font="Symbol" w:char="F0AE"/>
      </w:r>
      <w:r>
        <w:rPr>
          <w:iCs/>
        </w:rPr>
        <w:t xml:space="preserve"> </w:t>
      </w:r>
      <w:r w:rsidRPr="004E474C">
        <w:t xml:space="preserve">The </w:t>
      </w:r>
      <w:r w:rsidRPr="00624F40">
        <w:rPr>
          <w:rStyle w:val="IntenseEmphasis"/>
          <w:color w:val="auto"/>
        </w:rPr>
        <w:t>Early Childhood Care and Development Sector Strengthening Plan</w:t>
      </w:r>
      <w:r w:rsidRPr="00624F40">
        <w:rPr>
          <w:b/>
          <w:bCs/>
        </w:rPr>
        <w:t xml:space="preserve"> </w:t>
      </w:r>
      <w:r w:rsidRPr="004E474C">
        <w:t xml:space="preserve">outlines the critical role of Aboriginal and Torres Strait Islander </w:t>
      </w:r>
      <w:r w:rsidR="001C5C64">
        <w:t>c</w:t>
      </w:r>
      <w:r w:rsidRPr="004E474C">
        <w:t>ommunity</w:t>
      </w:r>
      <w:r w:rsidR="001C5C64">
        <w:t>-c</w:t>
      </w:r>
      <w:r w:rsidRPr="004E474C">
        <w:t xml:space="preserve">ontrolled </w:t>
      </w:r>
      <w:r w:rsidR="001C5C64">
        <w:t>o</w:t>
      </w:r>
      <w:r w:rsidRPr="004E474C">
        <w:t xml:space="preserve">rganisations in leadership and service delivery to support the safety, wellbeing, </w:t>
      </w:r>
      <w:proofErr w:type="gramStart"/>
      <w:r w:rsidRPr="004E474C">
        <w:t>health</w:t>
      </w:r>
      <w:proofErr w:type="gramEnd"/>
      <w:r w:rsidRPr="004E474C">
        <w:t xml:space="preserve"> and development of children in their early years. </w:t>
      </w:r>
    </w:p>
    <w:p w14:paraId="084A7479" w14:textId="77777777" w:rsidR="005C050E" w:rsidRPr="004E474C" w:rsidRDefault="005C050E" w:rsidP="00580627">
      <w:pPr>
        <w:spacing w:after="0"/>
        <w:rPr>
          <w:lang w:val="en-US"/>
        </w:rPr>
      </w:pPr>
    </w:p>
    <w:p w14:paraId="0EE56A8D" w14:textId="77777777" w:rsidR="000A4333" w:rsidRPr="004E474C" w:rsidRDefault="003A6359" w:rsidP="0027274B">
      <w:pPr>
        <w:rPr>
          <w:lang w:val="en-US"/>
        </w:rPr>
      </w:pPr>
      <w:r w:rsidRPr="004E474C">
        <w:rPr>
          <w:rFonts w:eastAsiaTheme="majorEastAsia"/>
        </w:rPr>
        <w:t xml:space="preserve">It is important to note that for some children their development may not be best measured against universal developmental milestones. Children who are not measured as developmentally on track through the AEDC can still reach their </w:t>
      </w:r>
      <w:r w:rsidRPr="00624F40">
        <w:rPr>
          <w:rStyle w:val="IntenseEmphasis"/>
          <w:color w:val="auto"/>
        </w:rPr>
        <w:t>individual potential</w:t>
      </w:r>
      <w:r w:rsidRPr="004E474C">
        <w:rPr>
          <w:rFonts w:eastAsiaTheme="majorEastAsia"/>
        </w:rPr>
        <w:t>. This is where other measures, such as broader measures of wellbeing</w:t>
      </w:r>
      <w:r w:rsidR="00174F87">
        <w:rPr>
          <w:rFonts w:eastAsiaTheme="majorEastAsia"/>
        </w:rPr>
        <w:t>,</w:t>
      </w:r>
      <w:r w:rsidRPr="004E474C">
        <w:rPr>
          <w:rFonts w:eastAsiaTheme="majorEastAsia"/>
        </w:rPr>
        <w:t xml:space="preserve"> can be critical to understanding the true experiences of these children and their families.</w:t>
      </w:r>
    </w:p>
    <w:p w14:paraId="12356157" w14:textId="123E4FF4" w:rsidR="000A4333" w:rsidRPr="00B756B7" w:rsidRDefault="00483565" w:rsidP="00B756B7">
      <w:pPr>
        <w:pStyle w:val="Heading2"/>
        <w:shd w:val="clear" w:color="auto" w:fill="ECF8FE"/>
        <w:rPr>
          <w:color w:val="auto"/>
        </w:rPr>
      </w:pPr>
      <w:bookmarkStart w:id="93" w:name="_Toc165022450"/>
      <w:r w:rsidRPr="00B756B7">
        <w:rPr>
          <w:color w:val="auto"/>
        </w:rPr>
        <w:t xml:space="preserve">Children’s </w:t>
      </w:r>
      <w:r w:rsidR="003A6359" w:rsidRPr="00B756B7">
        <w:rPr>
          <w:color w:val="auto"/>
        </w:rPr>
        <w:t>rights</w:t>
      </w:r>
      <w:bookmarkEnd w:id="93"/>
      <w:r w:rsidR="003A6359" w:rsidRPr="00B756B7">
        <w:rPr>
          <w:color w:val="auto"/>
        </w:rPr>
        <w:t xml:space="preserve"> </w:t>
      </w:r>
    </w:p>
    <w:p w14:paraId="24E41056" w14:textId="77777777" w:rsidR="00A41681" w:rsidRPr="00A41681" w:rsidRDefault="003A6359" w:rsidP="00B756B7">
      <w:pPr>
        <w:shd w:val="clear" w:color="auto" w:fill="ECF8FE"/>
        <w:rPr>
          <w:b/>
          <w:bCs/>
        </w:rPr>
      </w:pPr>
      <w:r>
        <w:rPr>
          <w:b/>
          <w:bCs/>
        </w:rPr>
        <w:t>We respect</w:t>
      </w:r>
      <w:r w:rsidRPr="00A41681">
        <w:rPr>
          <w:b/>
          <w:bCs/>
        </w:rPr>
        <w:t xml:space="preserve"> </w:t>
      </w:r>
      <w:r w:rsidR="00460307">
        <w:rPr>
          <w:b/>
          <w:bCs/>
        </w:rPr>
        <w:t>the human rights of children in</w:t>
      </w:r>
      <w:r w:rsidRPr="00A41681">
        <w:rPr>
          <w:b/>
          <w:bCs/>
        </w:rPr>
        <w:t xml:space="preserve"> Australia. This means that </w:t>
      </w:r>
      <w:r w:rsidR="00D71D1F">
        <w:rPr>
          <w:b/>
          <w:bCs/>
        </w:rPr>
        <w:t xml:space="preserve">we consider </w:t>
      </w:r>
      <w:r>
        <w:rPr>
          <w:b/>
          <w:bCs/>
        </w:rPr>
        <w:t>children’s</w:t>
      </w:r>
      <w:r w:rsidRPr="00A41681">
        <w:rPr>
          <w:b/>
          <w:bCs/>
        </w:rPr>
        <w:t xml:space="preserve"> </w:t>
      </w:r>
      <w:r w:rsidR="00D71D1F">
        <w:rPr>
          <w:b/>
          <w:bCs/>
        </w:rPr>
        <w:t xml:space="preserve">views and </w:t>
      </w:r>
      <w:r w:rsidRPr="00A41681">
        <w:rPr>
          <w:b/>
          <w:bCs/>
        </w:rPr>
        <w:t xml:space="preserve">needs </w:t>
      </w:r>
      <w:r w:rsidR="00D71D1F">
        <w:rPr>
          <w:b/>
          <w:bCs/>
        </w:rPr>
        <w:t>as</w:t>
      </w:r>
      <w:r w:rsidRPr="00A41681">
        <w:rPr>
          <w:b/>
          <w:bCs/>
        </w:rPr>
        <w:t xml:space="preserve"> valuable </w:t>
      </w:r>
      <w:r>
        <w:rPr>
          <w:b/>
          <w:bCs/>
        </w:rPr>
        <w:t xml:space="preserve">members of our society. Children </w:t>
      </w:r>
      <w:r w:rsidR="00460307">
        <w:rPr>
          <w:b/>
          <w:bCs/>
        </w:rPr>
        <w:t>should live free from discrimination and harm</w:t>
      </w:r>
      <w:r w:rsidRPr="00A41681">
        <w:rPr>
          <w:b/>
          <w:bCs/>
        </w:rPr>
        <w:t>.</w:t>
      </w:r>
    </w:p>
    <w:p w14:paraId="5C5382E4" w14:textId="571AC7BE" w:rsidR="00D71D1F" w:rsidRDefault="003A6359" w:rsidP="00B756B7">
      <w:pPr>
        <w:shd w:val="clear" w:color="auto" w:fill="ECF8FE"/>
      </w:pPr>
      <w:r>
        <w:t xml:space="preserve">The Early Years Strategy gives life to the </w:t>
      </w:r>
      <w:r w:rsidRPr="00B756B7">
        <w:rPr>
          <w:rStyle w:val="IntenseEmphasis"/>
          <w:color w:val="auto"/>
        </w:rPr>
        <w:t>United Nations Convention on the Rights of the Child (</w:t>
      </w:r>
      <w:r w:rsidR="00213A11" w:rsidRPr="00B756B7">
        <w:rPr>
          <w:rStyle w:val="IntenseEmphasis"/>
          <w:color w:val="auto"/>
        </w:rPr>
        <w:t>UN</w:t>
      </w:r>
      <w:r w:rsidRPr="00B756B7">
        <w:rPr>
          <w:rStyle w:val="IntenseEmphasis"/>
          <w:color w:val="auto"/>
        </w:rPr>
        <w:t>CRC)</w:t>
      </w:r>
      <w:r w:rsidRPr="00D71D1F">
        <w:t xml:space="preserve">, which </w:t>
      </w:r>
      <w:r w:rsidRPr="00C15ACA">
        <w:t xml:space="preserve">recognises that childhood is a special, protected time, in which children must be allowed to grow, learn, play, </w:t>
      </w:r>
      <w:proofErr w:type="gramStart"/>
      <w:r w:rsidRPr="00C15ACA">
        <w:t>develop</w:t>
      </w:r>
      <w:proofErr w:type="gramEnd"/>
      <w:r w:rsidRPr="00C15ACA">
        <w:t xml:space="preserve"> and flourish with </w:t>
      </w:r>
      <w:r w:rsidRPr="00B756B7">
        <w:rPr>
          <w:rStyle w:val="IntenseEmphasis"/>
          <w:color w:val="auto"/>
        </w:rPr>
        <w:t>dignity</w:t>
      </w:r>
      <w:r w:rsidRPr="00C15ACA">
        <w:t xml:space="preserve">. </w:t>
      </w:r>
    </w:p>
    <w:p w14:paraId="0AD141E5" w14:textId="77777777" w:rsidR="00A62A6A" w:rsidRDefault="003A6359" w:rsidP="00B756B7">
      <w:pPr>
        <w:shd w:val="clear" w:color="auto" w:fill="ECF8FE"/>
      </w:pPr>
      <w:r>
        <w:t>In support of th</w:t>
      </w:r>
      <w:r w:rsidR="00273840">
        <w:t>is</w:t>
      </w:r>
      <w:r>
        <w:t xml:space="preserve"> UN Convention, th</w:t>
      </w:r>
      <w:r w:rsidR="00273840">
        <w:t>e</w:t>
      </w:r>
      <w:r>
        <w:t xml:space="preserve"> </w:t>
      </w:r>
      <w:r w:rsidR="00420D00">
        <w:t xml:space="preserve">Early Years Strategy </w:t>
      </w:r>
      <w:r>
        <w:t>is child focused, giving life to its principles that:</w:t>
      </w:r>
    </w:p>
    <w:p w14:paraId="18D9923C" w14:textId="77777777" w:rsidR="00A62A6A" w:rsidRDefault="003A6359" w:rsidP="00B756B7">
      <w:pPr>
        <w:shd w:val="clear" w:color="auto" w:fill="ECF8FE"/>
      </w:pPr>
      <w:r>
        <w:rPr>
          <w:rFonts w:ascii="Symbol" w:hAnsi="Symbol"/>
          <w:iCs/>
        </w:rPr>
        <w:sym w:font="Symbol" w:char="F0AE"/>
      </w:r>
      <w:r>
        <w:rPr>
          <w:iCs/>
        </w:rPr>
        <w:t xml:space="preserve"> </w:t>
      </w:r>
      <w:r>
        <w:t>c</w:t>
      </w:r>
      <w:r w:rsidR="00D71D1F" w:rsidRPr="00C15ACA">
        <w:t xml:space="preserve">hildren </w:t>
      </w:r>
      <w:r w:rsidR="00D71D1F">
        <w:t>should</w:t>
      </w:r>
      <w:r w:rsidR="00D71D1F" w:rsidRPr="00C15ACA">
        <w:t xml:space="preserve"> not be subject to </w:t>
      </w:r>
      <w:proofErr w:type="gramStart"/>
      <w:r w:rsidR="00D71D1F" w:rsidRPr="00C15ACA">
        <w:t>discrimination</w:t>
      </w:r>
      <w:proofErr w:type="gramEnd"/>
    </w:p>
    <w:p w14:paraId="6DCBC96E" w14:textId="77777777" w:rsidR="00A62A6A" w:rsidRDefault="003A6359" w:rsidP="00B756B7">
      <w:pPr>
        <w:shd w:val="clear" w:color="auto" w:fill="ECF8FE"/>
      </w:pPr>
      <w:r>
        <w:rPr>
          <w:rFonts w:ascii="Symbol" w:hAnsi="Symbol"/>
          <w:iCs/>
        </w:rPr>
        <w:sym w:font="Symbol" w:char="F0AE"/>
      </w:r>
      <w:r>
        <w:rPr>
          <w:iCs/>
        </w:rPr>
        <w:t xml:space="preserve"> a</w:t>
      </w:r>
      <w:r w:rsidR="00D71D1F">
        <w:t xml:space="preserve"> child’s</w:t>
      </w:r>
      <w:r w:rsidR="00D71D1F" w:rsidRPr="00C15ACA">
        <w:t xml:space="preserve"> best interests should be a primary consideration when making decisions </w:t>
      </w:r>
      <w:r w:rsidR="00D71D1F">
        <w:t xml:space="preserve">that affect </w:t>
      </w:r>
      <w:proofErr w:type="gramStart"/>
      <w:r w:rsidR="00D71D1F">
        <w:t>them</w:t>
      </w:r>
      <w:proofErr w:type="gramEnd"/>
    </w:p>
    <w:p w14:paraId="3DFB85A9" w14:textId="77777777" w:rsidR="00A62A6A" w:rsidRDefault="003A6359" w:rsidP="00B756B7">
      <w:pPr>
        <w:shd w:val="clear" w:color="auto" w:fill="ECF8FE"/>
      </w:pPr>
      <w:r>
        <w:rPr>
          <w:rFonts w:ascii="Symbol" w:hAnsi="Symbol"/>
          <w:iCs/>
        </w:rPr>
        <w:sym w:font="Symbol" w:char="F0AE"/>
      </w:r>
      <w:r>
        <w:rPr>
          <w:iCs/>
        </w:rPr>
        <w:t xml:space="preserve"> t</w:t>
      </w:r>
      <w:r w:rsidR="00D71D1F" w:rsidRPr="00C15ACA">
        <w:t xml:space="preserve">he rights of children to survival and development should be </w:t>
      </w:r>
      <w:proofErr w:type="gramStart"/>
      <w:r w:rsidR="00D71D1F" w:rsidRPr="00C15ACA">
        <w:t>protected</w:t>
      </w:r>
      <w:proofErr w:type="gramEnd"/>
    </w:p>
    <w:p w14:paraId="7543723E" w14:textId="77777777" w:rsidR="00D71D1F" w:rsidRDefault="003A6359" w:rsidP="00B756B7">
      <w:pPr>
        <w:shd w:val="clear" w:color="auto" w:fill="ECF8FE"/>
      </w:pPr>
      <w:r>
        <w:rPr>
          <w:rFonts w:ascii="Symbol" w:hAnsi="Symbol"/>
          <w:iCs/>
        </w:rPr>
        <w:sym w:font="Symbol" w:char="F0AE"/>
      </w:r>
      <w:r>
        <w:rPr>
          <w:iCs/>
        </w:rPr>
        <w:t xml:space="preserve"> t</w:t>
      </w:r>
      <w:r w:rsidRPr="00C15ACA">
        <w:t>he views of the child should be respected.</w:t>
      </w:r>
      <w:r w:rsidRPr="00D71D1F">
        <w:t xml:space="preserve"> </w:t>
      </w:r>
    </w:p>
    <w:p w14:paraId="3782AA29" w14:textId="77777777" w:rsidR="000A4333" w:rsidRPr="00C15ACA" w:rsidRDefault="003A6359" w:rsidP="00B756B7">
      <w:pPr>
        <w:shd w:val="clear" w:color="auto" w:fill="ECF8FE"/>
      </w:pPr>
      <w:r>
        <w:t>The</w:t>
      </w:r>
      <w:r w:rsidRPr="00C15ACA">
        <w:t xml:space="preserve"> Australian Government </w:t>
      </w:r>
      <w:r w:rsidR="00D71D1F">
        <w:t>is also guided by</w:t>
      </w:r>
      <w:r w:rsidRPr="00C15ACA">
        <w:t>:</w:t>
      </w:r>
    </w:p>
    <w:p w14:paraId="2AC6C7A1" w14:textId="5CC88BB9" w:rsidR="000A4333" w:rsidRPr="00C15ACA" w:rsidRDefault="003A6359" w:rsidP="00B756B7">
      <w:pPr>
        <w:shd w:val="clear" w:color="auto" w:fill="ECF8FE"/>
      </w:pPr>
      <w:r>
        <w:rPr>
          <w:rFonts w:ascii="Symbol" w:hAnsi="Symbol"/>
          <w:iCs/>
        </w:rPr>
        <w:sym w:font="Symbol" w:char="F0AE"/>
      </w:r>
      <w:r>
        <w:rPr>
          <w:iCs/>
        </w:rPr>
        <w:t xml:space="preserve"> </w:t>
      </w:r>
      <w:r w:rsidRPr="00C15ACA">
        <w:t xml:space="preserve">the </w:t>
      </w:r>
      <w:bookmarkStart w:id="94" w:name="_Hlk161134900"/>
      <w:r w:rsidRPr="00C15ACA">
        <w:t>Optional Protocol to the Convention on the Rights of the Child on the Sale of Children, Child Prostitution and Child Pornography</w:t>
      </w:r>
      <w:bookmarkEnd w:id="94"/>
      <w:r w:rsidR="00F67010">
        <w:t xml:space="preserve"> (OPSC)</w:t>
      </w:r>
    </w:p>
    <w:p w14:paraId="26E53213" w14:textId="74B427FA" w:rsidR="000A4333" w:rsidRPr="00C15ACA" w:rsidRDefault="003A6359" w:rsidP="00B756B7">
      <w:pPr>
        <w:shd w:val="clear" w:color="auto" w:fill="ECF8FE"/>
      </w:pPr>
      <w:r>
        <w:rPr>
          <w:rFonts w:ascii="Symbol" w:hAnsi="Symbol"/>
          <w:iCs/>
        </w:rPr>
        <w:sym w:font="Symbol" w:char="F0AE"/>
      </w:r>
      <w:r>
        <w:rPr>
          <w:iCs/>
        </w:rPr>
        <w:t xml:space="preserve"> </w:t>
      </w:r>
      <w:r w:rsidRPr="00C15ACA">
        <w:t>the Optional Protocol to the Convention on the Rights of the Child on Involvement of Children in Armed Conflict</w:t>
      </w:r>
      <w:r w:rsidR="00F67010">
        <w:t xml:space="preserve"> (OPAC)</w:t>
      </w:r>
    </w:p>
    <w:p w14:paraId="4D02B1ED" w14:textId="395EEA45" w:rsidR="008E0E1E" w:rsidRPr="00580627" w:rsidRDefault="003A6359" w:rsidP="00B756B7">
      <w:pPr>
        <w:shd w:val="clear" w:color="auto" w:fill="ECF8FE"/>
      </w:pPr>
      <w:r>
        <w:rPr>
          <w:rFonts w:ascii="Symbol" w:hAnsi="Symbol"/>
          <w:iCs/>
        </w:rPr>
        <w:sym w:font="Symbol" w:char="F0AE"/>
      </w:r>
      <w:r>
        <w:rPr>
          <w:iCs/>
        </w:rPr>
        <w:t xml:space="preserve"> </w:t>
      </w:r>
      <w:r w:rsidR="000A4333" w:rsidRPr="00C15ACA">
        <w:t>the United Nations Convention on the Rights of Persons with Disabilities (</w:t>
      </w:r>
      <w:r w:rsidR="006A249C">
        <w:t>UN</w:t>
      </w:r>
      <w:r w:rsidR="000A4333" w:rsidRPr="00C15ACA">
        <w:t>CRPD)</w:t>
      </w:r>
      <w:r w:rsidR="00213A11">
        <w:t>, which</w:t>
      </w:r>
      <w:r w:rsidR="00C86DC8" w:rsidRPr="00580627">
        <w:rPr>
          <w:rStyle w:val="s2"/>
          <w:iCs/>
        </w:rPr>
        <w:t xml:space="preserve"> </w:t>
      </w:r>
      <w:r w:rsidRPr="00580627">
        <w:rPr>
          <w:rStyle w:val="s2"/>
          <w:iCs/>
        </w:rPr>
        <w:t>provides a framework that seeks to protect the rights and dignity of people with disability</w:t>
      </w:r>
      <w:r w:rsidR="00460307">
        <w:rPr>
          <w:rStyle w:val="s2"/>
          <w:iCs/>
        </w:rPr>
        <w:t xml:space="preserve"> – including children </w:t>
      </w:r>
      <w:r w:rsidR="00213A11">
        <w:rPr>
          <w:rStyle w:val="s2"/>
          <w:iCs/>
        </w:rPr>
        <w:t>–</w:t>
      </w:r>
      <w:r w:rsidR="00460307">
        <w:rPr>
          <w:rStyle w:val="s2"/>
          <w:iCs/>
        </w:rPr>
        <w:t xml:space="preserve"> </w:t>
      </w:r>
      <w:r w:rsidRPr="00580627">
        <w:rPr>
          <w:rStyle w:val="s2"/>
          <w:iCs/>
        </w:rPr>
        <w:t xml:space="preserve">and promote their full participation in society, on an </w:t>
      </w:r>
      <w:r w:rsidRPr="00580627">
        <w:rPr>
          <w:rStyle w:val="s2"/>
          <w:iCs/>
        </w:rPr>
        <w:lastRenderedPageBreak/>
        <w:t>equal basis with others</w:t>
      </w:r>
      <w:r w:rsidR="00213A11">
        <w:rPr>
          <w:rStyle w:val="s2"/>
          <w:iCs/>
        </w:rPr>
        <w:t>;</w:t>
      </w:r>
      <w:r w:rsidR="00213A11">
        <w:rPr>
          <w:iCs/>
        </w:rPr>
        <w:t xml:space="preserve"> i</w:t>
      </w:r>
      <w:r w:rsidRPr="00580627">
        <w:rPr>
          <w:iCs/>
        </w:rPr>
        <w:t xml:space="preserve">n broad terms, in Australia the </w:t>
      </w:r>
      <w:r w:rsidR="00213A11">
        <w:rPr>
          <w:iCs/>
        </w:rPr>
        <w:t>UN</w:t>
      </w:r>
      <w:r w:rsidRPr="00580627">
        <w:rPr>
          <w:iCs/>
        </w:rPr>
        <w:t xml:space="preserve">CRPD is implemented through legislation, policy and </w:t>
      </w:r>
      <w:proofErr w:type="gramStart"/>
      <w:r w:rsidRPr="00580627">
        <w:rPr>
          <w:iCs/>
        </w:rPr>
        <w:t>programs</w:t>
      </w:r>
      <w:proofErr w:type="gramEnd"/>
    </w:p>
    <w:p w14:paraId="2D6E7E72" w14:textId="392B2771" w:rsidR="008E0E1E" w:rsidRPr="00C15ACA" w:rsidRDefault="003A6359" w:rsidP="00B756B7">
      <w:pPr>
        <w:shd w:val="clear" w:color="auto" w:fill="ECF8FE"/>
      </w:pPr>
      <w:r>
        <w:rPr>
          <w:rFonts w:ascii="Symbol" w:hAnsi="Symbol"/>
          <w:iCs/>
        </w:rPr>
        <w:sym w:font="Symbol" w:char="F0AE"/>
      </w:r>
      <w:r>
        <w:rPr>
          <w:iCs/>
        </w:rPr>
        <w:t xml:space="preserve"> </w:t>
      </w:r>
      <w:r>
        <w:t>the United Nations Declaration on the Rights of Indigenous Peoples (UNDRIP)</w:t>
      </w:r>
      <w:r w:rsidR="00F67010">
        <w:t xml:space="preserve"> – </w:t>
      </w:r>
      <w:r w:rsidRPr="00580627">
        <w:t xml:space="preserve">Australia supports the </w:t>
      </w:r>
      <w:r w:rsidR="00C86DC8">
        <w:t>UNDRIP</w:t>
      </w:r>
      <w:r w:rsidR="00C86DC8" w:rsidRPr="00C86DC8">
        <w:t xml:space="preserve"> </w:t>
      </w:r>
      <w:r w:rsidRPr="00580627">
        <w:t>and shares its underlying commitment to deliver real and lasting improvements for Indigenous peoples and their communities. As a resolution of the United Nations General Assembly, UNDRIP is not a legally binding instrument</w:t>
      </w:r>
      <w:r w:rsidR="00F67010">
        <w:t>,</w:t>
      </w:r>
      <w:r w:rsidRPr="00580627">
        <w:t xml:space="preserve"> but it does carry political and moral weight. Australia gives practical effect to the principles set out in UNDRIP through the development of our domestic policies and programs. Many of the principles set out in UNDRIP reflect, or provide further content to, Australia’s obligations under international human rights treaties, including th</w:t>
      </w:r>
      <w:r w:rsidR="00F67010">
        <w:t>ose</w:t>
      </w:r>
      <w:r w:rsidRPr="00580627">
        <w:t xml:space="preserve"> listed </w:t>
      </w:r>
      <w:proofErr w:type="gramStart"/>
      <w:r w:rsidR="00F67010">
        <w:t>here</w:t>
      </w:r>
      <w:proofErr w:type="gramEnd"/>
    </w:p>
    <w:p w14:paraId="02F5A8F8" w14:textId="77777777" w:rsidR="000A4333" w:rsidRPr="00C15ACA" w:rsidRDefault="003A6359" w:rsidP="00B756B7">
      <w:pPr>
        <w:shd w:val="clear" w:color="auto" w:fill="ECF8FE"/>
      </w:pPr>
      <w:r>
        <w:rPr>
          <w:rFonts w:ascii="Symbol" w:hAnsi="Symbol"/>
          <w:iCs/>
        </w:rPr>
        <w:sym w:font="Symbol" w:char="F0AE"/>
      </w:r>
      <w:r>
        <w:rPr>
          <w:iCs/>
        </w:rPr>
        <w:t xml:space="preserve"> </w:t>
      </w:r>
      <w:r w:rsidRPr="00C15ACA">
        <w:t>the International Covenant on Civil and Political Rights (ICCPR)</w:t>
      </w:r>
    </w:p>
    <w:p w14:paraId="255FE57F" w14:textId="77777777" w:rsidR="000A4333" w:rsidRPr="00C15ACA" w:rsidRDefault="003A6359" w:rsidP="00B756B7">
      <w:pPr>
        <w:shd w:val="clear" w:color="auto" w:fill="ECF8FE"/>
      </w:pPr>
      <w:r>
        <w:rPr>
          <w:rFonts w:ascii="Symbol" w:hAnsi="Symbol"/>
          <w:iCs/>
        </w:rPr>
        <w:sym w:font="Symbol" w:char="F0AE"/>
      </w:r>
      <w:r>
        <w:rPr>
          <w:iCs/>
        </w:rPr>
        <w:t xml:space="preserve"> </w:t>
      </w:r>
      <w:r w:rsidRPr="00C15ACA">
        <w:t>the International Covenant on Economic, Social and Cultural Rights (ICESCR)</w:t>
      </w:r>
    </w:p>
    <w:p w14:paraId="6AF403D7" w14:textId="77777777" w:rsidR="000A4333" w:rsidRDefault="003A6359" w:rsidP="00B756B7">
      <w:pPr>
        <w:shd w:val="clear" w:color="auto" w:fill="ECF8FE"/>
      </w:pPr>
      <w:r>
        <w:rPr>
          <w:rFonts w:ascii="Symbol" w:hAnsi="Symbol"/>
          <w:iCs/>
        </w:rPr>
        <w:sym w:font="Symbol" w:char="F0AE"/>
      </w:r>
      <w:r>
        <w:rPr>
          <w:iCs/>
        </w:rPr>
        <w:t xml:space="preserve"> </w:t>
      </w:r>
      <w:r w:rsidRPr="00C15ACA">
        <w:t>the Convention on the Elimination of All Forms of Discrimination against Women (CEDAW).</w:t>
      </w:r>
    </w:p>
    <w:p w14:paraId="2E44439F" w14:textId="431C1EE0" w:rsidR="001B7DC2" w:rsidRPr="00C15ACA" w:rsidRDefault="003A6359" w:rsidP="00B756B7">
      <w:pPr>
        <w:shd w:val="clear" w:color="auto" w:fill="ECF8FE"/>
      </w:pPr>
      <w:r w:rsidRPr="00B756B7">
        <w:rPr>
          <w:rStyle w:val="IntenseEmphasis"/>
          <w:color w:val="auto"/>
        </w:rPr>
        <w:t>Australia’s Disability Strategy 2021</w:t>
      </w:r>
      <w:r w:rsidR="00F67010" w:rsidRPr="00B756B7">
        <w:rPr>
          <w:rStyle w:val="IntenseEmphasis"/>
          <w:color w:val="auto"/>
        </w:rPr>
        <w:t>–</w:t>
      </w:r>
      <w:r w:rsidRPr="00B756B7">
        <w:rPr>
          <w:rStyle w:val="IntenseEmphasis"/>
          <w:color w:val="auto"/>
        </w:rPr>
        <w:t>2031</w:t>
      </w:r>
      <w:r w:rsidRPr="00B756B7">
        <w:t xml:space="preserve"> </w:t>
      </w:r>
      <w:r>
        <w:t xml:space="preserve">also </w:t>
      </w:r>
      <w:r w:rsidRPr="001B7DC2">
        <w:t xml:space="preserve">plays an important role in protecting, </w:t>
      </w:r>
      <w:proofErr w:type="gramStart"/>
      <w:r w:rsidRPr="001B7DC2">
        <w:t>promoting</w:t>
      </w:r>
      <w:proofErr w:type="gramEnd"/>
      <w:r w:rsidRPr="001B7DC2">
        <w:t xml:space="preserve"> and realising the human rights of people with disability. </w:t>
      </w:r>
      <w:r>
        <w:t xml:space="preserve">Under that </w:t>
      </w:r>
      <w:r w:rsidR="00F67010">
        <w:t>s</w:t>
      </w:r>
      <w:r>
        <w:t xml:space="preserve">trategy, there are </w:t>
      </w:r>
      <w:r w:rsidR="00F67010">
        <w:t xml:space="preserve">5 </w:t>
      </w:r>
      <w:r>
        <w:t>Targeted Action Plans (TAP</w:t>
      </w:r>
      <w:r w:rsidR="00F67010">
        <w:t>s</w:t>
      </w:r>
      <w:r>
        <w:t>) that commit governments to specific actions to improve outcomes for people with disability. One TAP f</w:t>
      </w:r>
      <w:r w:rsidRPr="001B7DC2">
        <w:t xml:space="preserve">ocuses on children from infancy to school age with disability or developmental concerns, their </w:t>
      </w:r>
      <w:proofErr w:type="gramStart"/>
      <w:r w:rsidRPr="001B7DC2">
        <w:t>families</w:t>
      </w:r>
      <w:proofErr w:type="gramEnd"/>
      <w:r w:rsidRPr="001B7DC2">
        <w:t xml:space="preserve"> and care</w:t>
      </w:r>
      <w:r w:rsidR="00F67010">
        <w:t>give</w:t>
      </w:r>
      <w:r w:rsidRPr="001B7DC2">
        <w:t>rs. This TAP sets out key actions to strengthen early identification, information, supports and pathways, as well as collaboration between programs and services, all of which contribute to the development and wellbeing of children to help them thrive across and between life stages. </w:t>
      </w:r>
    </w:p>
    <w:p w14:paraId="0BE2EFA0" w14:textId="77777777" w:rsidR="000A4333" w:rsidRPr="00624F40" w:rsidRDefault="003A6359" w:rsidP="0027274B">
      <w:pPr>
        <w:pStyle w:val="Heading2"/>
        <w:rPr>
          <w:color w:val="002A3F"/>
        </w:rPr>
      </w:pPr>
      <w:bookmarkStart w:id="95" w:name="_Toc165022451"/>
      <w:bookmarkStart w:id="96" w:name="_Toc154069290"/>
      <w:r w:rsidRPr="00624F40">
        <w:rPr>
          <w:color w:val="002A3F"/>
        </w:rPr>
        <w:t>Where children are born and raised</w:t>
      </w:r>
      <w:bookmarkEnd w:id="95"/>
      <w:r w:rsidRPr="00624F40">
        <w:rPr>
          <w:color w:val="002A3F"/>
        </w:rPr>
        <w:t xml:space="preserve"> </w:t>
      </w:r>
      <w:bookmarkEnd w:id="96"/>
    </w:p>
    <w:p w14:paraId="1C0F7DD5" w14:textId="77777777" w:rsidR="000A4333" w:rsidRPr="004E474C" w:rsidRDefault="003A6359" w:rsidP="0027274B">
      <w:pPr>
        <w:rPr>
          <w:lang w:val="en-US"/>
        </w:rPr>
      </w:pPr>
      <w:r w:rsidRPr="004E474C">
        <w:rPr>
          <w:lang w:val="en-US"/>
        </w:rPr>
        <w:t xml:space="preserve">All children deserve a fair outcome, regardless of where they are born or raised. We know that not every community is providing children with the opportunities they need to thrive. </w:t>
      </w:r>
    </w:p>
    <w:p w14:paraId="030C150D" w14:textId="77777777" w:rsidR="00483565" w:rsidRDefault="00483565" w:rsidP="00624F40">
      <w:pPr>
        <w:shd w:val="clear" w:color="auto" w:fill="F3F5E4"/>
      </w:pPr>
      <w:r>
        <w:t>A</w:t>
      </w:r>
      <w:r w:rsidRPr="004E474C">
        <w:t xml:space="preserve"> myriad of factors </w:t>
      </w:r>
      <w:r>
        <w:t xml:space="preserve">can </w:t>
      </w:r>
      <w:r w:rsidRPr="004E474C">
        <w:t>affect child development</w:t>
      </w:r>
      <w:r>
        <w:t>. S</w:t>
      </w:r>
      <w:r w:rsidRPr="004E474C">
        <w:t>ome children, families</w:t>
      </w:r>
      <w:r>
        <w:t xml:space="preserve">, </w:t>
      </w:r>
      <w:proofErr w:type="gramStart"/>
      <w:r>
        <w:t>kin</w:t>
      </w:r>
      <w:proofErr w:type="gramEnd"/>
      <w:r w:rsidRPr="004E474C">
        <w:t xml:space="preserve"> and communities will need different supports at different times in their lives. We know there are times when we need to acknowledge the </w:t>
      </w:r>
      <w:r w:rsidRPr="00624F40">
        <w:rPr>
          <w:rStyle w:val="IntenseEmphasis"/>
          <w:color w:val="auto"/>
        </w:rPr>
        <w:t>unique differences</w:t>
      </w:r>
      <w:r w:rsidRPr="00624F40">
        <w:t xml:space="preserve"> </w:t>
      </w:r>
      <w:r w:rsidRPr="004E474C">
        <w:t xml:space="preserve">that exist across Australia’s children, </w:t>
      </w:r>
      <w:proofErr w:type="gramStart"/>
      <w:r w:rsidRPr="004E474C">
        <w:t>families</w:t>
      </w:r>
      <w:proofErr w:type="gramEnd"/>
      <w:r w:rsidRPr="004E474C">
        <w:t xml:space="preserve"> and communities, embrace the </w:t>
      </w:r>
      <w:r w:rsidRPr="00624F40">
        <w:rPr>
          <w:rStyle w:val="IntenseEmphasis"/>
          <w:color w:val="auto"/>
        </w:rPr>
        <w:t>strengths</w:t>
      </w:r>
      <w:r w:rsidRPr="004E474C">
        <w:t xml:space="preserve"> that these differences bring and </w:t>
      </w:r>
      <w:r w:rsidRPr="00624F40">
        <w:rPr>
          <w:rStyle w:val="IntenseEmphasis"/>
          <w:color w:val="auto"/>
        </w:rPr>
        <w:t>adjust</w:t>
      </w:r>
      <w:r w:rsidRPr="004E474C">
        <w:t xml:space="preserve"> our approaches to get the best possible outcomes for children.</w:t>
      </w:r>
    </w:p>
    <w:p w14:paraId="195B0A68" w14:textId="77777777" w:rsidR="000A4333" w:rsidRPr="004E474C" w:rsidRDefault="003A6359" w:rsidP="0027274B">
      <w:pPr>
        <w:rPr>
          <w:lang w:val="en-US"/>
        </w:rPr>
      </w:pPr>
      <w:r w:rsidRPr="004E474C">
        <w:rPr>
          <w:lang w:val="en-US"/>
        </w:rPr>
        <w:t xml:space="preserve">There are increasing rates of developmental vulnerability the further away a child is from a metropolitan </w:t>
      </w:r>
      <w:proofErr w:type="spellStart"/>
      <w:r w:rsidRPr="004E474C">
        <w:rPr>
          <w:lang w:val="en-US"/>
        </w:rPr>
        <w:t>centre</w:t>
      </w:r>
      <w:proofErr w:type="spellEnd"/>
      <w:r w:rsidRPr="004E474C">
        <w:rPr>
          <w:lang w:val="en-US"/>
        </w:rPr>
        <w:t xml:space="preserve">. </w:t>
      </w:r>
      <w:r w:rsidR="00264561">
        <w:rPr>
          <w:lang w:val="en-US"/>
        </w:rPr>
        <w:t>C</w:t>
      </w:r>
      <w:r w:rsidRPr="004E474C">
        <w:rPr>
          <w:lang w:val="en-US"/>
        </w:rPr>
        <w:t xml:space="preserve">hildren from major cities were less likely to be developmentally vulnerable on one or more domains </w:t>
      </w:r>
      <w:r w:rsidR="00273840">
        <w:rPr>
          <w:lang w:val="en-US"/>
        </w:rPr>
        <w:t xml:space="preserve">of the AECD </w:t>
      </w:r>
      <w:r w:rsidRPr="004E474C">
        <w:rPr>
          <w:lang w:val="en-US"/>
        </w:rPr>
        <w:t>(20.8%) compared with children from remote and very remote areas (34.4%).</w:t>
      </w:r>
      <w:r>
        <w:rPr>
          <w:rStyle w:val="FootnoteReference"/>
          <w:lang w:val="en-US"/>
        </w:rPr>
        <w:footnoteReference w:id="119"/>
      </w:r>
    </w:p>
    <w:p w14:paraId="54AAE9D5" w14:textId="77777777" w:rsidR="000A4333" w:rsidRPr="004E474C" w:rsidRDefault="003A6359" w:rsidP="0027274B">
      <w:pPr>
        <w:rPr>
          <w:lang w:val="en-US"/>
        </w:rPr>
      </w:pPr>
      <w:r w:rsidRPr="004E474C">
        <w:rPr>
          <w:lang w:val="en-US"/>
        </w:rPr>
        <w:lastRenderedPageBreak/>
        <w:t xml:space="preserve">Children from the most socioeconomically disadvantaged Local Government Areas (LGAs) are less likely to be developmentally on track on all </w:t>
      </w:r>
      <w:r w:rsidR="00264561">
        <w:rPr>
          <w:lang w:val="en-US"/>
        </w:rPr>
        <w:t>5</w:t>
      </w:r>
      <w:r w:rsidRPr="004E474C">
        <w:rPr>
          <w:lang w:val="en-US"/>
        </w:rPr>
        <w:t xml:space="preserve"> AEDC domains (42.7%) in comparison with those from the least socioeconomically disadvantaged LGAs (63.4%).</w:t>
      </w:r>
      <w:r>
        <w:rPr>
          <w:rStyle w:val="FootnoteReference"/>
          <w:lang w:val="en-US"/>
        </w:rPr>
        <w:footnoteReference w:id="120"/>
      </w:r>
    </w:p>
    <w:p w14:paraId="3BD9771B" w14:textId="77777777" w:rsidR="000A4333" w:rsidRDefault="003A6359" w:rsidP="0027274B">
      <w:pPr>
        <w:rPr>
          <w:lang w:val="en-US"/>
        </w:rPr>
      </w:pPr>
      <w:r w:rsidRPr="004E474C">
        <w:rPr>
          <w:lang w:val="en-US"/>
        </w:rPr>
        <w:t>The AEDC results show that the gap in developmental vulnerability on one or more domains between the most socioeconomically disadvantaged locations and the least disadvantaged locations has increased, widening to 18.3 percentage points in 2021 from 17.4 in 2018.</w:t>
      </w:r>
    </w:p>
    <w:p w14:paraId="6BDC609B" w14:textId="77777777" w:rsidR="00483565" w:rsidRPr="004E474C" w:rsidRDefault="00483565" w:rsidP="00624F40">
      <w:pPr>
        <w:shd w:val="clear" w:color="auto" w:fill="ECF8FE"/>
        <w:rPr>
          <w:lang w:val="en-US"/>
        </w:rPr>
      </w:pPr>
      <w:r>
        <w:rPr>
          <w:lang w:val="en-US"/>
        </w:rPr>
        <w:t>We</w:t>
      </w:r>
      <w:r w:rsidRPr="004E474C">
        <w:rPr>
          <w:lang w:val="en-US"/>
        </w:rPr>
        <w:t xml:space="preserve"> also </w:t>
      </w:r>
      <w:proofErr w:type="spellStart"/>
      <w:r w:rsidRPr="004E474C">
        <w:rPr>
          <w:lang w:val="en-US"/>
        </w:rPr>
        <w:t>recognise</w:t>
      </w:r>
      <w:proofErr w:type="spellEnd"/>
      <w:r w:rsidRPr="004E474C">
        <w:rPr>
          <w:lang w:val="en-US"/>
        </w:rPr>
        <w:t xml:space="preserve"> the unique experience of </w:t>
      </w:r>
      <w:r w:rsidRPr="00624F40">
        <w:rPr>
          <w:rStyle w:val="IntenseEmphasis"/>
          <w:color w:val="auto"/>
        </w:rPr>
        <w:t xml:space="preserve">Australian Defence Force </w:t>
      </w:r>
      <w:r w:rsidRPr="007A651E">
        <w:t>families</w:t>
      </w:r>
      <w:r w:rsidRPr="004E474C">
        <w:rPr>
          <w:lang w:val="en-US"/>
        </w:rPr>
        <w:t xml:space="preserve"> and </w:t>
      </w:r>
      <w:r>
        <w:rPr>
          <w:lang w:val="en-US"/>
        </w:rPr>
        <w:t xml:space="preserve">the </w:t>
      </w:r>
      <w:r w:rsidRPr="004E474C">
        <w:rPr>
          <w:lang w:val="en-US"/>
        </w:rPr>
        <w:t>children and families</w:t>
      </w:r>
      <w:r>
        <w:rPr>
          <w:lang w:val="en-US"/>
        </w:rPr>
        <w:t xml:space="preserve"> of</w:t>
      </w:r>
      <w:r w:rsidRPr="007A651E">
        <w:rPr>
          <w:rStyle w:val="IntenseEmphasis"/>
        </w:rPr>
        <w:t xml:space="preserve"> </w:t>
      </w:r>
      <w:r w:rsidRPr="00624F40">
        <w:rPr>
          <w:rStyle w:val="IntenseEmphasis"/>
          <w:color w:val="auto"/>
        </w:rPr>
        <w:t>veterans</w:t>
      </w:r>
      <w:r w:rsidRPr="004E474C">
        <w:rPr>
          <w:lang w:val="en-US"/>
        </w:rPr>
        <w:t>.</w:t>
      </w:r>
      <w:r>
        <w:rPr>
          <w:lang w:val="en-US"/>
        </w:rPr>
        <w:t xml:space="preserve"> </w:t>
      </w:r>
      <w:r w:rsidRPr="004E474C">
        <w:rPr>
          <w:lang w:val="en-US"/>
        </w:rPr>
        <w:t xml:space="preserve">While many </w:t>
      </w:r>
      <w:proofErr w:type="spellStart"/>
      <w:r>
        <w:rPr>
          <w:lang w:val="en-US"/>
        </w:rPr>
        <w:t>defence</w:t>
      </w:r>
      <w:proofErr w:type="spellEnd"/>
      <w:r w:rsidRPr="004E474C">
        <w:rPr>
          <w:lang w:val="en-US"/>
        </w:rPr>
        <w:t xml:space="preserve"> and veteran families report overall positive wellbeing, the children of </w:t>
      </w:r>
      <w:proofErr w:type="spellStart"/>
      <w:r>
        <w:rPr>
          <w:lang w:val="en-US"/>
        </w:rPr>
        <w:t>defence</w:t>
      </w:r>
      <w:proofErr w:type="spellEnd"/>
      <w:r w:rsidRPr="004E474C">
        <w:rPr>
          <w:lang w:val="en-US"/>
        </w:rPr>
        <w:t xml:space="preserve"> and veteran families often deal with challenges that are not faced by civilian families, such as frequent relocations, school changes, disruptions to education, loss of social networks, and separation from close family members. Additional concerns may arise during deployment and transition to civilian life, </w:t>
      </w:r>
      <w:r>
        <w:rPr>
          <w:lang w:val="en-US"/>
        </w:rPr>
        <w:t>due to</w:t>
      </w:r>
      <w:r w:rsidRPr="004E474C">
        <w:rPr>
          <w:lang w:val="en-US"/>
        </w:rPr>
        <w:t xml:space="preserve"> worry about the parent's wellbeing and changes in the home environment. There is, for example, evidence of a higher percentage of emotional, hyperactive or peer problems, including an increased vulnerability to </w:t>
      </w:r>
      <w:proofErr w:type="spellStart"/>
      <w:r w:rsidRPr="004E474C">
        <w:rPr>
          <w:lang w:val="en-US"/>
        </w:rPr>
        <w:t>behavio</w:t>
      </w:r>
      <w:r>
        <w:rPr>
          <w:lang w:val="en-US"/>
        </w:rPr>
        <w:t>u</w:t>
      </w:r>
      <w:r w:rsidRPr="004E474C">
        <w:rPr>
          <w:lang w:val="en-US"/>
        </w:rPr>
        <w:t>r</w:t>
      </w:r>
      <w:proofErr w:type="spellEnd"/>
      <w:r w:rsidRPr="004E474C">
        <w:rPr>
          <w:lang w:val="en-US"/>
        </w:rPr>
        <w:t xml:space="preserve"> problems among the children of current serving Australian </w:t>
      </w:r>
      <w:proofErr w:type="spellStart"/>
      <w:r w:rsidRPr="004E474C">
        <w:rPr>
          <w:lang w:val="en-US"/>
        </w:rPr>
        <w:t>Defence</w:t>
      </w:r>
      <w:proofErr w:type="spellEnd"/>
      <w:r w:rsidRPr="004E474C">
        <w:rPr>
          <w:lang w:val="en-US"/>
        </w:rPr>
        <w:t xml:space="preserve"> Force members when compared to the general population.</w:t>
      </w:r>
      <w:r>
        <w:rPr>
          <w:rStyle w:val="FootnoteReference"/>
          <w:lang w:val="en-US"/>
        </w:rPr>
        <w:footnoteReference w:id="121"/>
      </w:r>
    </w:p>
    <w:p w14:paraId="42164831" w14:textId="77777777" w:rsidR="00483565" w:rsidRPr="004E474C" w:rsidRDefault="00483565" w:rsidP="0027274B">
      <w:pPr>
        <w:rPr>
          <w:lang w:val="en-US"/>
        </w:rPr>
      </w:pPr>
    </w:p>
    <w:p w14:paraId="460B7009" w14:textId="24EDABBD" w:rsidR="00CA01CD" w:rsidRDefault="00CA01CD">
      <w:pPr>
        <w:spacing w:line="259" w:lineRule="auto"/>
      </w:pPr>
      <w:r>
        <w:br w:type="page"/>
      </w:r>
    </w:p>
    <w:p w14:paraId="79AC671B" w14:textId="77D98987" w:rsidR="00CA01CD" w:rsidRPr="00624F40" w:rsidRDefault="00CA01CD" w:rsidP="00CA01CD">
      <w:pPr>
        <w:pStyle w:val="Heading1"/>
        <w:rPr>
          <w:color w:val="002A3F"/>
        </w:rPr>
      </w:pPr>
      <w:bookmarkStart w:id="99" w:name="_Toc165022452"/>
      <w:r w:rsidRPr="00624F40">
        <w:rPr>
          <w:color w:val="002A3F"/>
        </w:rPr>
        <w:lastRenderedPageBreak/>
        <w:t>References</w:t>
      </w:r>
      <w:bookmarkEnd w:id="99"/>
    </w:p>
    <w:p w14:paraId="5D5482B4" w14:textId="77777777" w:rsidR="002D2B9B" w:rsidRPr="002D2B9B" w:rsidRDefault="002D2B9B" w:rsidP="002D2B9B">
      <w:r w:rsidRPr="002D2B9B">
        <w:t xml:space="preserve">Australian Bureau of Statistics, </w:t>
      </w:r>
      <w:hyperlink r:id="rId15" w:anchor=":~:text=A%20family%20is%20defined%20by%20the%20ABS%20as,who%20are%20usually%20resident%20in%20the%20same%20household." w:history="1">
        <w:r w:rsidRPr="002D2B9B">
          <w:rPr>
            <w:rStyle w:val="Hyperlink"/>
            <w:rFonts w:asciiTheme="minorHAnsi" w:hAnsiTheme="minorHAnsi"/>
            <w:i/>
            <w:iCs/>
            <w:sz w:val="21"/>
          </w:rPr>
          <w:t>2901.0 - Census Dictionary</w:t>
        </w:r>
        <w:r w:rsidRPr="002D2B9B">
          <w:t xml:space="preserve">, ABS website, 2011, accessed 16 June 2023.  </w:t>
        </w:r>
      </w:hyperlink>
    </w:p>
    <w:p w14:paraId="0E2709DC" w14:textId="77777777" w:rsidR="002D2B9B" w:rsidRPr="002D2B9B" w:rsidRDefault="002D2B9B" w:rsidP="002D2B9B">
      <w:r w:rsidRPr="002D2B9B">
        <w:t>——</w:t>
      </w:r>
      <w:r w:rsidRPr="002D2B9B">
        <w:rPr>
          <w:i/>
          <w:iCs/>
        </w:rPr>
        <w:t>Census of Population and Housing</w:t>
      </w:r>
      <w:r w:rsidRPr="002D2B9B">
        <w:t>, [</w:t>
      </w:r>
      <w:proofErr w:type="spellStart"/>
      <w:r w:rsidRPr="002D2B9B">
        <w:t>Tablebuilder</w:t>
      </w:r>
      <w:proofErr w:type="spellEnd"/>
      <w:r w:rsidRPr="002D2B9B">
        <w:t>], 2011, produced by AIHW on request.</w:t>
      </w:r>
    </w:p>
    <w:p w14:paraId="0AB207EE" w14:textId="77777777" w:rsidR="002D2B9B" w:rsidRPr="002D2B9B" w:rsidRDefault="002D2B9B" w:rsidP="002D2B9B">
      <w:r w:rsidRPr="002D2B9B">
        <w:t>——</w:t>
      </w:r>
      <w:hyperlink r:id="rId16" w:history="1">
        <w:r w:rsidRPr="002D2B9B">
          <w:rPr>
            <w:rStyle w:val="Hyperlink"/>
            <w:rFonts w:asciiTheme="minorHAnsi" w:hAnsiTheme="minorHAnsi"/>
            <w:i/>
            <w:iCs/>
            <w:sz w:val="21"/>
          </w:rPr>
          <w:t>How Australians Use Their Time</w:t>
        </w:r>
      </w:hyperlink>
      <w:r w:rsidRPr="002D2B9B">
        <w:t>, ABS website, 2020–21, accessed 13 October 2023.</w:t>
      </w:r>
    </w:p>
    <w:p w14:paraId="6AE6E21E" w14:textId="77777777" w:rsidR="002D2B9B" w:rsidRPr="002D2B9B" w:rsidRDefault="002D2B9B" w:rsidP="002D2B9B">
      <w:r w:rsidRPr="002D2B9B">
        <w:t>——</w:t>
      </w:r>
      <w:r w:rsidRPr="002D2B9B">
        <w:rPr>
          <w:i/>
          <w:iCs/>
        </w:rPr>
        <w:t>National Health Survey 2020–2021, Australia</w:t>
      </w:r>
      <w:r w:rsidRPr="002D2B9B">
        <w:t>, [Table 10.1, 10.3], 2022, produced by AIHW on request.</w:t>
      </w:r>
    </w:p>
    <w:p w14:paraId="367D7CA1" w14:textId="77777777" w:rsidR="002D2B9B" w:rsidRPr="002D2B9B" w:rsidRDefault="002D2B9B" w:rsidP="002D2B9B">
      <w:r w:rsidRPr="002D2B9B">
        <w:t>——</w:t>
      </w:r>
      <w:r w:rsidRPr="002D2B9B">
        <w:rPr>
          <w:i/>
          <w:iCs/>
        </w:rPr>
        <w:t>Census of Population and Housing</w:t>
      </w:r>
      <w:r w:rsidRPr="002D2B9B">
        <w:t>, [</w:t>
      </w:r>
      <w:proofErr w:type="spellStart"/>
      <w:r w:rsidRPr="002D2B9B">
        <w:t>Tablebuilder</w:t>
      </w:r>
      <w:proofErr w:type="spellEnd"/>
      <w:r w:rsidRPr="002D2B9B">
        <w:t xml:space="preserve">], 2021, produced by AIHW on request. </w:t>
      </w:r>
    </w:p>
    <w:p w14:paraId="0722FD57" w14:textId="77777777" w:rsidR="002D2B9B" w:rsidRPr="002D2B9B" w:rsidRDefault="002D2B9B" w:rsidP="002D2B9B">
      <w:r w:rsidRPr="002D2B9B">
        <w:t>——</w:t>
      </w:r>
      <w:hyperlink r:id="rId17" w:history="1">
        <w:r w:rsidRPr="002D2B9B">
          <w:rPr>
            <w:rStyle w:val="Hyperlink"/>
            <w:rFonts w:asciiTheme="minorHAnsi" w:hAnsiTheme="minorHAnsi"/>
            <w:i/>
            <w:iCs/>
            <w:sz w:val="21"/>
          </w:rPr>
          <w:t>Deaths, Australia</w:t>
        </w:r>
      </w:hyperlink>
      <w:r w:rsidRPr="002D2B9B">
        <w:t>, 2022, ABS website, 2021, accessed 3 February 2024.</w:t>
      </w:r>
    </w:p>
    <w:p w14:paraId="645DA5B4" w14:textId="77777777" w:rsidR="002D2B9B" w:rsidRPr="002D2B9B" w:rsidRDefault="002D2B9B" w:rsidP="002D2B9B">
      <w:r w:rsidRPr="002D2B9B">
        <w:t>——</w:t>
      </w:r>
      <w:hyperlink r:id="rId18" w:history="1">
        <w:r w:rsidRPr="002D2B9B">
          <w:rPr>
            <w:rStyle w:val="Hyperlink"/>
            <w:rFonts w:asciiTheme="minorHAnsi" w:hAnsiTheme="minorHAnsi"/>
            <w:i/>
            <w:iCs/>
            <w:sz w:val="21"/>
          </w:rPr>
          <w:t>Personal Safety Australia</w:t>
        </w:r>
      </w:hyperlink>
      <w:r w:rsidRPr="002D2B9B">
        <w:t>, ABS website, 2021–22, accessed 5 September 2023.</w:t>
      </w:r>
    </w:p>
    <w:p w14:paraId="77AAE5F2" w14:textId="77777777" w:rsidR="002D2B9B" w:rsidRPr="002D2B9B" w:rsidRDefault="002D2B9B" w:rsidP="002D2B9B">
      <w:r w:rsidRPr="002D2B9B">
        <w:t>——</w:t>
      </w:r>
      <w:hyperlink r:id="rId19" w:history="1">
        <w:r w:rsidRPr="002D2B9B">
          <w:rPr>
            <w:rStyle w:val="Hyperlink"/>
            <w:rFonts w:asciiTheme="minorHAnsi" w:hAnsiTheme="minorHAnsi"/>
            <w:i/>
            <w:iCs/>
            <w:sz w:val="21"/>
          </w:rPr>
          <w:t>Births, Australia</w:t>
        </w:r>
      </w:hyperlink>
      <w:r w:rsidRPr="002D2B9B">
        <w:t xml:space="preserve"> [key statistics], ABS website, 2022, accessed 3 February 2024.</w:t>
      </w:r>
    </w:p>
    <w:p w14:paraId="724462E8" w14:textId="77777777" w:rsidR="002D2B9B" w:rsidRPr="002D2B9B" w:rsidRDefault="002D2B9B" w:rsidP="002D2B9B">
      <w:r w:rsidRPr="002D2B9B">
        <w:t>——</w:t>
      </w:r>
      <w:r w:rsidRPr="002D2B9B">
        <w:rPr>
          <w:i/>
          <w:iCs/>
        </w:rPr>
        <w:t>Labour Force Status of Families</w:t>
      </w:r>
      <w:r w:rsidRPr="002D2B9B">
        <w:t>, [</w:t>
      </w:r>
      <w:proofErr w:type="spellStart"/>
      <w:r w:rsidRPr="002D2B9B">
        <w:t>Tablebuilder</w:t>
      </w:r>
      <w:proofErr w:type="spellEnd"/>
      <w:r w:rsidRPr="002D2B9B">
        <w:t>], 2022, produced by AIHW on request.</w:t>
      </w:r>
    </w:p>
    <w:p w14:paraId="449350FF" w14:textId="77777777" w:rsidR="002D2B9B" w:rsidRPr="002D2B9B" w:rsidRDefault="002D2B9B" w:rsidP="002D2B9B">
      <w:r w:rsidRPr="002D2B9B">
        <w:t>——</w:t>
      </w:r>
      <w:hyperlink r:id="rId20" w:history="1">
        <w:r w:rsidRPr="002D2B9B">
          <w:rPr>
            <w:rStyle w:val="Hyperlink"/>
            <w:rFonts w:asciiTheme="minorHAnsi" w:hAnsiTheme="minorHAnsi"/>
            <w:i/>
            <w:iCs/>
            <w:sz w:val="21"/>
          </w:rPr>
          <w:t>Preschool Education methodology</w:t>
        </w:r>
      </w:hyperlink>
      <w:r w:rsidRPr="002D2B9B">
        <w:t>, 2022, ABS website, accessed 19 January 2024.</w:t>
      </w:r>
    </w:p>
    <w:p w14:paraId="62972412" w14:textId="77777777" w:rsidR="002D2B9B" w:rsidRPr="002D2B9B" w:rsidRDefault="002D2B9B" w:rsidP="002D2B9B">
      <w:r w:rsidRPr="002D2B9B">
        <w:t>——</w:t>
      </w:r>
      <w:r w:rsidRPr="002D2B9B">
        <w:rPr>
          <w:i/>
          <w:iCs/>
        </w:rPr>
        <w:t>Regional population by age and sex</w:t>
      </w:r>
      <w:r w:rsidRPr="002D2B9B">
        <w:t>, 2022, obtained by data request on 9 September 2022.</w:t>
      </w:r>
    </w:p>
    <w:p w14:paraId="5B4FB3C8" w14:textId="77777777" w:rsidR="002D2B9B" w:rsidRPr="002D2B9B" w:rsidRDefault="002D2B9B" w:rsidP="002D2B9B">
      <w:r w:rsidRPr="002D2B9B">
        <w:t>——</w:t>
      </w:r>
      <w:r w:rsidRPr="002D2B9B">
        <w:rPr>
          <w:i/>
          <w:iCs/>
        </w:rPr>
        <w:t>Deaths, Australia, Data explorer dataset (Deaths, Year of registration, Age at death, Age-specific death rates, Sex, States, Territories and Australia)</w:t>
      </w:r>
      <w:r w:rsidRPr="002D2B9B">
        <w:t>, [</w:t>
      </w:r>
      <w:proofErr w:type="spellStart"/>
      <w:r w:rsidRPr="002D2B9B">
        <w:t>Tablebuilder</w:t>
      </w:r>
      <w:proofErr w:type="spellEnd"/>
      <w:r w:rsidRPr="002D2B9B">
        <w:t>], 2023, produced by AIHW on request.</w:t>
      </w:r>
    </w:p>
    <w:p w14:paraId="1BB0F96B" w14:textId="77777777" w:rsidR="002D2B9B" w:rsidRPr="002D2B9B" w:rsidRDefault="002D2B9B" w:rsidP="002D2B9B">
      <w:r w:rsidRPr="002D2B9B">
        <w:t>——</w:t>
      </w:r>
      <w:hyperlink r:id="rId21" w:history="1">
        <w:r w:rsidRPr="002D2B9B">
          <w:rPr>
            <w:rStyle w:val="Hyperlink"/>
            <w:rFonts w:asciiTheme="minorHAnsi" w:hAnsiTheme="minorHAnsi"/>
            <w:i/>
            <w:iCs/>
            <w:sz w:val="21"/>
          </w:rPr>
          <w:t xml:space="preserve">National, state and territory population, June 2023 </w:t>
        </w:r>
      </w:hyperlink>
      <w:r w:rsidRPr="002D2B9B">
        <w:t>[key statistics], ABS website, 2023, accessed 2 February 2024.</w:t>
      </w:r>
    </w:p>
    <w:p w14:paraId="6F5D37B7" w14:textId="77777777" w:rsidR="002D2B9B" w:rsidRPr="002D2B9B" w:rsidRDefault="002D2B9B" w:rsidP="002D2B9B">
      <w:r w:rsidRPr="002D2B9B">
        <w:t>——</w:t>
      </w:r>
      <w:hyperlink r:id="rId22" w:history="1">
        <w:r w:rsidRPr="002D2B9B">
          <w:rPr>
            <w:rStyle w:val="Hyperlink"/>
            <w:rFonts w:asciiTheme="minorHAnsi" w:hAnsiTheme="minorHAnsi"/>
            <w:i/>
            <w:iCs/>
            <w:sz w:val="21"/>
          </w:rPr>
          <w:t>Preschool Education 2022</w:t>
        </w:r>
      </w:hyperlink>
      <w:r w:rsidRPr="002D2B9B">
        <w:t>, ABS website, 2023, accessed 31 August 2023.</w:t>
      </w:r>
    </w:p>
    <w:p w14:paraId="662F4A02" w14:textId="77777777" w:rsidR="002D2B9B" w:rsidRPr="002D2B9B" w:rsidRDefault="002D2B9B" w:rsidP="002D2B9B">
      <w:r w:rsidRPr="002D2B9B">
        <w:t xml:space="preserve">Australian Children’s Education and Care Quality Authority, </w:t>
      </w:r>
      <w:hyperlink r:id="rId23" w:history="1">
        <w:r w:rsidRPr="002D2B9B">
          <w:rPr>
            <w:rStyle w:val="Hyperlink"/>
            <w:rFonts w:asciiTheme="minorHAnsi" w:hAnsiTheme="minorHAnsi"/>
            <w:i/>
            <w:iCs/>
            <w:sz w:val="21"/>
          </w:rPr>
          <w:t>Standard 1.2 Practice – Case study 1</w:t>
        </w:r>
      </w:hyperlink>
      <w:r w:rsidRPr="002D2B9B">
        <w:t>, ACECQA website, n.d., accessed 24 October 2023.</w:t>
      </w:r>
    </w:p>
    <w:p w14:paraId="3F372989" w14:textId="77777777" w:rsidR="002D2B9B" w:rsidRPr="002D2B9B" w:rsidRDefault="002D2B9B" w:rsidP="002D2B9B">
      <w:r w:rsidRPr="002D2B9B">
        <w:t>——</w:t>
      </w:r>
      <w:hyperlink r:id="rId24" w:history="1">
        <w:r w:rsidRPr="002D2B9B">
          <w:rPr>
            <w:rStyle w:val="Hyperlink"/>
            <w:rFonts w:asciiTheme="minorHAnsi" w:hAnsiTheme="minorHAnsi"/>
            <w:i/>
            <w:iCs/>
            <w:sz w:val="21"/>
          </w:rPr>
          <w:t>National Quality Framework Snapshot Quarter 2</w:t>
        </w:r>
      </w:hyperlink>
      <w:r w:rsidRPr="002D2B9B">
        <w:t>, ACECQA, 2023, accessed 2 February 2024.</w:t>
      </w:r>
    </w:p>
    <w:p w14:paraId="42413B72" w14:textId="77777777" w:rsidR="002D2B9B" w:rsidRPr="002D2B9B" w:rsidRDefault="002D2B9B" w:rsidP="002D2B9B">
      <w:r w:rsidRPr="002D2B9B">
        <w:t xml:space="preserve">Australian Early Development Census, </w:t>
      </w:r>
      <w:hyperlink r:id="rId25" w:history="1">
        <w:r w:rsidRPr="002D2B9B">
          <w:rPr>
            <w:rStyle w:val="Hyperlink"/>
            <w:rFonts w:asciiTheme="minorHAnsi" w:hAnsiTheme="minorHAnsi"/>
            <w:i/>
            <w:iCs/>
            <w:sz w:val="21"/>
          </w:rPr>
          <w:t>Australian Early Development Census National Report 2021</w:t>
        </w:r>
      </w:hyperlink>
      <w:r w:rsidRPr="002D2B9B">
        <w:t>, AEDC, 2022, accessed 14 September 2023.</w:t>
      </w:r>
    </w:p>
    <w:p w14:paraId="5B92539D" w14:textId="04258DB5" w:rsidR="002D2B9B" w:rsidRPr="002D2B9B" w:rsidRDefault="002D2B9B" w:rsidP="002D2B9B">
      <w:r w:rsidRPr="002D2B9B">
        <w:t xml:space="preserve">Australian Institute of Health and Welfare, </w:t>
      </w:r>
      <w:r w:rsidRPr="002D2B9B">
        <w:rPr>
          <w:i/>
          <w:iCs/>
        </w:rPr>
        <w:t>Microdata: Disability, Ageing and Carers, Australia</w:t>
      </w:r>
      <w:r w:rsidRPr="002D2B9B">
        <w:t>, [</w:t>
      </w:r>
      <w:proofErr w:type="spellStart"/>
      <w:r w:rsidRPr="002D2B9B">
        <w:t>Table</w:t>
      </w:r>
      <w:r w:rsidR="00286DD0">
        <w:t>b</w:t>
      </w:r>
      <w:r w:rsidRPr="002D2B9B">
        <w:t>uilder</w:t>
      </w:r>
      <w:proofErr w:type="spellEnd"/>
      <w:r w:rsidRPr="002D2B9B">
        <w:t>], 2018, by AIHW on request.</w:t>
      </w:r>
    </w:p>
    <w:p w14:paraId="179E87A7" w14:textId="77777777" w:rsidR="002D2B9B" w:rsidRPr="002D2B9B" w:rsidRDefault="002D2B9B" w:rsidP="002D2B9B">
      <w:r w:rsidRPr="002D2B9B">
        <w:t>——</w:t>
      </w:r>
      <w:r w:rsidRPr="002D2B9B">
        <w:rPr>
          <w:i/>
          <w:iCs/>
        </w:rPr>
        <w:t>analysis (2019–20 to 2021–22) Child Protection Australia</w:t>
      </w:r>
      <w:r w:rsidRPr="002D2B9B">
        <w:t>, [Table S3.6 &amp; P2], produced by AIHW on request.</w:t>
      </w:r>
    </w:p>
    <w:p w14:paraId="37C6CE70" w14:textId="77777777" w:rsidR="002D2B9B" w:rsidRPr="002D2B9B" w:rsidRDefault="002D2B9B" w:rsidP="002D2B9B">
      <w:r w:rsidRPr="002D2B9B">
        <w:t>——</w:t>
      </w:r>
      <w:r w:rsidRPr="002D2B9B">
        <w:rPr>
          <w:i/>
          <w:iCs/>
        </w:rPr>
        <w:t>analysis (2019–20 to 2021–22) Child Protection Australia</w:t>
      </w:r>
      <w:r w:rsidRPr="002D2B9B">
        <w:t>, [Table S5.5 &amp; P4], produced by AIHW on request.</w:t>
      </w:r>
    </w:p>
    <w:p w14:paraId="60EA5E13" w14:textId="77777777" w:rsidR="002D2B9B" w:rsidRPr="002D2B9B" w:rsidRDefault="002D2B9B" w:rsidP="002D2B9B">
      <w:r w:rsidRPr="002D2B9B">
        <w:lastRenderedPageBreak/>
        <w:t>——</w:t>
      </w:r>
      <w:hyperlink r:id="rId26" w:history="1">
        <w:r w:rsidRPr="002D2B9B">
          <w:rPr>
            <w:rStyle w:val="Hyperlink"/>
            <w:rFonts w:asciiTheme="minorHAnsi" w:hAnsiTheme="minorHAnsi"/>
            <w:i/>
            <w:iCs/>
            <w:sz w:val="21"/>
          </w:rPr>
          <w:t>Australia’s children</w:t>
        </w:r>
      </w:hyperlink>
      <w:r w:rsidRPr="002D2B9B">
        <w:t>, Cat. no. CWS 69, AIHW, Canberra, 2020, accessed 25 October 2023.</w:t>
      </w:r>
    </w:p>
    <w:p w14:paraId="1A27F25F" w14:textId="77777777" w:rsidR="002D2B9B" w:rsidRPr="002D2B9B" w:rsidRDefault="002D2B9B" w:rsidP="002D2B9B">
      <w:r w:rsidRPr="002D2B9B">
        <w:t>——</w:t>
      </w:r>
      <w:hyperlink r:id="rId27" w:anchor=":~:text=The%20National%20Perinatal%20Data%20Collection%20%28NPDC%29%20is%20a,collection%20in%20each%20state%20and%20territory%20in%20Australia." w:history="1">
        <w:r w:rsidRPr="002D2B9B">
          <w:rPr>
            <w:rStyle w:val="Hyperlink"/>
            <w:rFonts w:asciiTheme="minorHAnsi" w:hAnsiTheme="minorHAnsi"/>
            <w:i/>
            <w:iCs/>
            <w:sz w:val="21"/>
          </w:rPr>
          <w:t>National Perinatal Data Collection</w:t>
        </w:r>
      </w:hyperlink>
      <w:r w:rsidRPr="002D2B9B">
        <w:t xml:space="preserve"> annual update 2021 data visualizations [Table 4.2], AIHW, Canberra, 2021. </w:t>
      </w:r>
    </w:p>
    <w:p w14:paraId="0989D678" w14:textId="77777777" w:rsidR="002D2B9B" w:rsidRPr="002D2B9B" w:rsidRDefault="002D2B9B" w:rsidP="002D2B9B">
      <w:r w:rsidRPr="002D2B9B">
        <w:t>——</w:t>
      </w:r>
      <w:r w:rsidRPr="002D2B9B">
        <w:rPr>
          <w:i/>
          <w:iCs/>
        </w:rPr>
        <w:t>National Perinatal Data Collection</w:t>
      </w:r>
      <w:r w:rsidRPr="002D2B9B">
        <w:t xml:space="preserve"> annual update 2021, [Table 2.1], AIHW website, 2021, accessed 16 August 2023.</w:t>
      </w:r>
    </w:p>
    <w:p w14:paraId="07F576AA" w14:textId="77777777" w:rsidR="002D2B9B" w:rsidRPr="002D2B9B" w:rsidRDefault="002D2B9B" w:rsidP="002D2B9B">
      <w:r w:rsidRPr="002D2B9B">
        <w:t>——</w:t>
      </w:r>
      <w:r w:rsidRPr="002D2B9B">
        <w:rPr>
          <w:i/>
          <w:iCs/>
        </w:rPr>
        <w:t>National Perinatal Data Collection</w:t>
      </w:r>
      <w:r w:rsidRPr="002D2B9B">
        <w:t xml:space="preserve"> annual update 2021, [Data sets], AIHW website, 2021, accessed 16 August 2023.</w:t>
      </w:r>
    </w:p>
    <w:p w14:paraId="6ED60CA8" w14:textId="77777777" w:rsidR="002D2B9B" w:rsidRPr="002D2B9B" w:rsidRDefault="002D2B9B" w:rsidP="002D2B9B">
      <w:r w:rsidRPr="002D2B9B">
        <w:t>——</w:t>
      </w:r>
      <w:hyperlink r:id="rId28" w:history="1">
        <w:r w:rsidRPr="002D2B9B">
          <w:rPr>
            <w:rStyle w:val="Hyperlink"/>
            <w:rFonts w:asciiTheme="minorHAnsi" w:hAnsiTheme="minorHAnsi"/>
            <w:i/>
            <w:iCs/>
            <w:sz w:val="21"/>
          </w:rPr>
          <w:t>Australia’s children: Immunisation</w:t>
        </w:r>
      </w:hyperlink>
      <w:r w:rsidRPr="002D2B9B">
        <w:t xml:space="preserve">, AIHW website, 2023, accessed 3 February 2024. </w:t>
      </w:r>
    </w:p>
    <w:p w14:paraId="24B06C03" w14:textId="77777777" w:rsidR="002D2B9B" w:rsidRPr="002D2B9B" w:rsidRDefault="002D2B9B" w:rsidP="002D2B9B">
      <w:r w:rsidRPr="002D2B9B">
        <w:t>——</w:t>
      </w:r>
      <w:hyperlink r:id="rId29" w:history="1">
        <w:r w:rsidRPr="002D2B9B">
          <w:rPr>
            <w:rStyle w:val="Hyperlink"/>
            <w:rFonts w:asciiTheme="minorHAnsi" w:hAnsiTheme="minorHAnsi"/>
            <w:i/>
            <w:iCs/>
            <w:sz w:val="21"/>
          </w:rPr>
          <w:t>Australia’s mothers and babies</w:t>
        </w:r>
      </w:hyperlink>
      <w:r w:rsidRPr="002D2B9B">
        <w:t xml:space="preserve"> [media release], AIHW, 29 June 2023, accessed 24 October 2023.</w:t>
      </w:r>
    </w:p>
    <w:p w14:paraId="1F2C86FC" w14:textId="77777777" w:rsidR="002D2B9B" w:rsidRPr="002D2B9B" w:rsidRDefault="002D2B9B" w:rsidP="002D2B9B">
      <w:r w:rsidRPr="002D2B9B">
        <w:t>——</w:t>
      </w:r>
      <w:hyperlink r:id="rId30" w:history="1">
        <w:r w:rsidRPr="002D2B9B">
          <w:rPr>
            <w:rStyle w:val="Hyperlink"/>
            <w:rFonts w:asciiTheme="minorHAnsi" w:hAnsiTheme="minorHAnsi"/>
            <w:i/>
            <w:iCs/>
            <w:sz w:val="21"/>
          </w:rPr>
          <w:t>Australia’s mothers and babies: Maternal age</w:t>
        </w:r>
      </w:hyperlink>
      <w:r w:rsidRPr="002D2B9B">
        <w:t>, AIHW website, 2023, accessed 3 February 2024.</w:t>
      </w:r>
    </w:p>
    <w:p w14:paraId="0A432780" w14:textId="77777777" w:rsidR="002D2B9B" w:rsidRPr="002D2B9B" w:rsidRDefault="002D2B9B" w:rsidP="002D2B9B">
      <w:r w:rsidRPr="002D2B9B">
        <w:t>——</w:t>
      </w:r>
      <w:hyperlink r:id="rId31" w:history="1">
        <w:r w:rsidRPr="002D2B9B">
          <w:rPr>
            <w:rStyle w:val="Hyperlink"/>
            <w:rFonts w:asciiTheme="minorHAnsi" w:hAnsiTheme="minorHAnsi"/>
            <w:i/>
            <w:iCs/>
            <w:sz w:val="21"/>
          </w:rPr>
          <w:t>Australia’s mothers and babies: Focus population groups</w:t>
        </w:r>
      </w:hyperlink>
      <w:r w:rsidRPr="002D2B9B">
        <w:t xml:space="preserve">, AIHW website, 2023, accessed 16 January 2024. </w:t>
      </w:r>
    </w:p>
    <w:p w14:paraId="4D4F0495" w14:textId="77777777" w:rsidR="002D2B9B" w:rsidRPr="002D2B9B" w:rsidRDefault="002D2B9B" w:rsidP="002D2B9B">
      <w:r w:rsidRPr="002D2B9B">
        <w:t>——</w:t>
      </w:r>
      <w:hyperlink r:id="rId32" w:history="1">
        <w:r w:rsidRPr="002D2B9B">
          <w:rPr>
            <w:rStyle w:val="Hyperlink"/>
            <w:rFonts w:asciiTheme="minorHAnsi" w:hAnsiTheme="minorHAnsi"/>
            <w:i/>
            <w:iCs/>
            <w:sz w:val="21"/>
          </w:rPr>
          <w:t>Australia's mothers and babies: Breastfeeding</w:t>
        </w:r>
      </w:hyperlink>
      <w:r w:rsidRPr="002D2B9B">
        <w:t>, AIHW website, 2023, accessed 3 February 2024.</w:t>
      </w:r>
    </w:p>
    <w:p w14:paraId="6B6FB2F9" w14:textId="77777777" w:rsidR="002D2B9B" w:rsidRPr="002D2B9B" w:rsidRDefault="002D2B9B" w:rsidP="002D2B9B">
      <w:r w:rsidRPr="002D2B9B">
        <w:t>——</w:t>
      </w:r>
      <w:hyperlink r:id="rId33" w:history="1">
        <w:r w:rsidRPr="002D2B9B">
          <w:rPr>
            <w:rStyle w:val="Hyperlink"/>
            <w:rFonts w:asciiTheme="minorHAnsi" w:hAnsiTheme="minorHAnsi"/>
            <w:i/>
            <w:iCs/>
            <w:sz w:val="21"/>
          </w:rPr>
          <w:t>Australia’s mothers and babies: Gestational</w:t>
        </w:r>
      </w:hyperlink>
      <w:r w:rsidRPr="002D2B9B">
        <w:rPr>
          <w:rStyle w:val="Hyperlink"/>
          <w:rFonts w:asciiTheme="minorHAnsi" w:hAnsiTheme="minorHAnsi"/>
          <w:i/>
          <w:iCs/>
          <w:sz w:val="21"/>
        </w:rPr>
        <w:t xml:space="preserve"> age</w:t>
      </w:r>
      <w:r w:rsidRPr="002D2B9B">
        <w:t>, AIHW website, 2023, accessed 3 February 2024.</w:t>
      </w:r>
    </w:p>
    <w:p w14:paraId="3731FB69" w14:textId="77777777" w:rsidR="002D2B9B" w:rsidRPr="002D2B9B" w:rsidRDefault="002D2B9B" w:rsidP="002D2B9B">
      <w:r w:rsidRPr="002D2B9B">
        <w:t>——</w:t>
      </w:r>
      <w:hyperlink r:id="rId34" w:history="1">
        <w:r w:rsidRPr="002D2B9B">
          <w:rPr>
            <w:rStyle w:val="Hyperlink"/>
            <w:rFonts w:asciiTheme="minorHAnsi" w:hAnsiTheme="minorHAnsi"/>
            <w:i/>
            <w:iCs/>
            <w:sz w:val="21"/>
          </w:rPr>
          <w:t>Child Protection Australia 2021–22</w:t>
        </w:r>
      </w:hyperlink>
      <w:r w:rsidRPr="002D2B9B">
        <w:t xml:space="preserve"> [web report], AIHW, 19 September 2023, accessed 26 September 2023.</w:t>
      </w:r>
    </w:p>
    <w:p w14:paraId="1386B5DA" w14:textId="77777777" w:rsidR="002D2B9B" w:rsidRPr="002D2B9B" w:rsidRDefault="002D2B9B" w:rsidP="002D2B9B">
      <w:r w:rsidRPr="002D2B9B">
        <w:t xml:space="preserve">Bronfenbrenner U and Morris PA, ‘The Bioecological Model of Human Development’, in RM Lerner and W Damon (eds.), </w:t>
      </w:r>
      <w:r w:rsidRPr="002D2B9B">
        <w:rPr>
          <w:i/>
          <w:iCs/>
        </w:rPr>
        <w:t>Handbook of child psychology; Vol. 1: Theoretical models of human development</w:t>
      </w:r>
      <w:r w:rsidRPr="002D2B9B">
        <w:t xml:space="preserve"> (pp.793–828), John Wiley &amp; Sons, Inc, New York, 2006.</w:t>
      </w:r>
    </w:p>
    <w:p w14:paraId="31FB2358" w14:textId="77777777" w:rsidR="002D2B9B" w:rsidRPr="002D2B9B" w:rsidRDefault="002D2B9B" w:rsidP="002D2B9B">
      <w:r w:rsidRPr="002D2B9B">
        <w:t>Campo M, </w:t>
      </w:r>
      <w:hyperlink r:id="rId35" w:history="1">
        <w:r w:rsidRPr="002D2B9B">
          <w:rPr>
            <w:rStyle w:val="Hyperlink"/>
            <w:rFonts w:asciiTheme="minorHAnsi" w:hAnsiTheme="minorHAnsi"/>
            <w:i/>
            <w:iCs/>
            <w:sz w:val="21"/>
          </w:rPr>
          <w:t>Children's exposure to domestic and family violence: Key issues and responses</w:t>
        </w:r>
      </w:hyperlink>
      <w:r w:rsidRPr="002D2B9B">
        <w:t> (CFCA Paper No. 36), Child Family Community Australia information exchange, Australian Institute of Family Studies, Melbourne, 2015.</w:t>
      </w:r>
    </w:p>
    <w:p w14:paraId="0A87B4D3" w14:textId="77777777" w:rsidR="002D2B9B" w:rsidRPr="002D2B9B" w:rsidRDefault="002D2B9B" w:rsidP="002D2B9B">
      <w:proofErr w:type="spellStart"/>
      <w:r w:rsidRPr="002D2B9B">
        <w:t>Center</w:t>
      </w:r>
      <w:proofErr w:type="spellEnd"/>
      <w:r w:rsidRPr="002D2B9B">
        <w:t xml:space="preserve"> on the Developing Child, </w:t>
      </w:r>
      <w:hyperlink r:id="rId36" w:history="1">
        <w:r w:rsidRPr="002D2B9B">
          <w:rPr>
            <w:rStyle w:val="Hyperlink"/>
            <w:rFonts w:asciiTheme="minorHAnsi" w:hAnsiTheme="minorHAnsi"/>
            <w:sz w:val="21"/>
          </w:rPr>
          <w:t>Resilience</w:t>
        </w:r>
      </w:hyperlink>
      <w:r w:rsidRPr="002D2B9B">
        <w:t>, [web page], Harvard University, n.d., accessed 24 October 2023.</w:t>
      </w:r>
    </w:p>
    <w:p w14:paraId="1330AB91" w14:textId="77777777" w:rsidR="002D2B9B" w:rsidRPr="002D2B9B" w:rsidRDefault="002D2B9B" w:rsidP="002D2B9B">
      <w:r w:rsidRPr="002D2B9B">
        <w:t>——</w:t>
      </w:r>
      <w:hyperlink r:id="rId37" w:history="1">
        <w:r w:rsidRPr="002D2B9B">
          <w:rPr>
            <w:rStyle w:val="Hyperlink"/>
            <w:rFonts w:asciiTheme="minorHAnsi" w:hAnsiTheme="minorHAnsi"/>
            <w:i/>
            <w:iCs/>
            <w:sz w:val="21"/>
          </w:rPr>
          <w:t>What is Early Childhood Development? A Guide to the Science (ECD 1.0)</w:t>
        </w:r>
      </w:hyperlink>
      <w:r w:rsidRPr="002D2B9B">
        <w:t>, Harvard University, n.d.</w:t>
      </w:r>
    </w:p>
    <w:p w14:paraId="4D3293E5" w14:textId="77777777" w:rsidR="002D2B9B" w:rsidRPr="002D2B9B" w:rsidRDefault="002D2B9B" w:rsidP="002D2B9B">
      <w:r w:rsidRPr="002D2B9B">
        <w:t>——</w:t>
      </w:r>
      <w:hyperlink r:id="rId38" w:history="1">
        <w:r w:rsidRPr="002D2B9B">
          <w:rPr>
            <w:rStyle w:val="Hyperlink"/>
            <w:rFonts w:asciiTheme="minorHAnsi" w:hAnsiTheme="minorHAnsi"/>
            <w:i/>
            <w:iCs/>
            <w:sz w:val="21"/>
          </w:rPr>
          <w:t>Early Childhood Mental Health</w:t>
        </w:r>
      </w:hyperlink>
      <w:r w:rsidRPr="002D2B9B">
        <w:t>, [web page], Harvard University, n.d., accessed 25 October 2023.</w:t>
      </w:r>
    </w:p>
    <w:p w14:paraId="28609734" w14:textId="77777777" w:rsidR="002D2B9B" w:rsidRPr="002D2B9B" w:rsidRDefault="002D2B9B" w:rsidP="002D2B9B">
      <w:r w:rsidRPr="002D2B9B">
        <w:t>——</w:t>
      </w:r>
      <w:proofErr w:type="spellStart"/>
      <w:r>
        <w:fldChar w:fldCharType="begin"/>
      </w:r>
      <w:r>
        <w:instrText>HYPERLINK "https://developingchild.harvard.edu/resources/inbrief-science-of-ecd/"</w:instrText>
      </w:r>
      <w:r>
        <w:fldChar w:fldCharType="separate"/>
      </w:r>
      <w:r w:rsidRPr="002D2B9B">
        <w:rPr>
          <w:rStyle w:val="Hyperlink"/>
          <w:rFonts w:asciiTheme="minorHAnsi" w:hAnsiTheme="minorHAnsi"/>
          <w:i/>
          <w:iCs/>
          <w:sz w:val="21"/>
        </w:rPr>
        <w:t>Inbrief</w:t>
      </w:r>
      <w:proofErr w:type="spellEnd"/>
      <w:r w:rsidRPr="002D2B9B">
        <w:rPr>
          <w:rStyle w:val="Hyperlink"/>
          <w:rFonts w:asciiTheme="minorHAnsi" w:hAnsiTheme="minorHAnsi"/>
          <w:i/>
          <w:iCs/>
          <w:sz w:val="21"/>
        </w:rPr>
        <w:t>: The Science of Early Childhood Development</w:t>
      </w:r>
      <w:r>
        <w:rPr>
          <w:rStyle w:val="Hyperlink"/>
          <w:rFonts w:asciiTheme="minorHAnsi" w:hAnsiTheme="minorHAnsi"/>
          <w:i/>
          <w:iCs/>
          <w:sz w:val="21"/>
        </w:rPr>
        <w:fldChar w:fldCharType="end"/>
      </w:r>
      <w:r w:rsidRPr="002D2B9B">
        <w:t>, Harvard University, 2007.</w:t>
      </w:r>
    </w:p>
    <w:p w14:paraId="1C9565A8" w14:textId="77777777" w:rsidR="002D2B9B" w:rsidRPr="002D2B9B" w:rsidRDefault="002D2B9B" w:rsidP="002D2B9B">
      <w:r w:rsidRPr="002D2B9B">
        <w:t>——</w:t>
      </w:r>
      <w:hyperlink r:id="rId39" w:history="1">
        <w:r w:rsidRPr="002D2B9B">
          <w:rPr>
            <w:rStyle w:val="Hyperlink"/>
            <w:rFonts w:asciiTheme="minorHAnsi" w:hAnsiTheme="minorHAnsi"/>
            <w:i/>
            <w:iCs/>
            <w:sz w:val="21"/>
          </w:rPr>
          <w:t>3 Principles to Improve Outcomes for Children and Families</w:t>
        </w:r>
      </w:hyperlink>
      <w:r w:rsidRPr="002D2B9B">
        <w:t>, Harvard University, 2021.</w:t>
      </w:r>
    </w:p>
    <w:p w14:paraId="2A69A79D" w14:textId="77777777" w:rsidR="002D2B9B" w:rsidRPr="002D2B9B" w:rsidRDefault="002D2B9B" w:rsidP="002D2B9B">
      <w:r w:rsidRPr="002D2B9B">
        <w:t xml:space="preserve">Conway LJ, Cook F, Cahir P, Brown S, Reilly S, Gartland D, Mensah F and Giallo R, ‘Children’s language abilities at age 10 and exposure to intimate partner violence in </w:t>
      </w:r>
      <w:r w:rsidRPr="002D2B9B">
        <w:lastRenderedPageBreak/>
        <w:t xml:space="preserve">early childhood: results of an Australian prospective pregnancy cohort study’, </w:t>
      </w:r>
      <w:r w:rsidRPr="002D2B9B">
        <w:rPr>
          <w:i/>
          <w:iCs/>
        </w:rPr>
        <w:t>Child Abuse &amp; Neglect</w:t>
      </w:r>
      <w:r w:rsidRPr="002D2B9B">
        <w:t xml:space="preserve">, 2021, 111:104794, </w:t>
      </w:r>
      <w:proofErr w:type="gramStart"/>
      <w:r w:rsidRPr="002D2B9B">
        <w:t>doi:10.1016/j.chiabu</w:t>
      </w:r>
      <w:proofErr w:type="gramEnd"/>
      <w:r w:rsidRPr="002D2B9B">
        <w:t>.2020.104794.</w:t>
      </w:r>
    </w:p>
    <w:p w14:paraId="324FF3C0" w14:textId="77777777" w:rsidR="002D2B9B" w:rsidRPr="002D2B9B" w:rsidRDefault="002D2B9B" w:rsidP="002D2B9B">
      <w:r w:rsidRPr="002D2B9B">
        <w:t xml:space="preserve">Department of Education, </w:t>
      </w:r>
      <w:hyperlink r:id="rId40" w:history="1">
        <w:r w:rsidRPr="002D2B9B">
          <w:rPr>
            <w:rStyle w:val="Hyperlink"/>
            <w:rFonts w:asciiTheme="minorHAnsi" w:hAnsiTheme="minorHAnsi"/>
            <w:sz w:val="21"/>
          </w:rPr>
          <w:t>Child Care Subsidy, September quarter 2023 data tables</w:t>
        </w:r>
      </w:hyperlink>
      <w:r w:rsidRPr="002D2B9B">
        <w:t xml:space="preserve">, 2023. </w:t>
      </w:r>
    </w:p>
    <w:p w14:paraId="4046CBB1" w14:textId="77777777" w:rsidR="002D2B9B" w:rsidRPr="002D2B9B" w:rsidRDefault="002D2B9B" w:rsidP="002D2B9B">
      <w:r w:rsidRPr="002D2B9B">
        <w:t xml:space="preserve">Department of Health and Aged Care, </w:t>
      </w:r>
      <w:hyperlink r:id="rId41" w:history="1">
        <w:r w:rsidRPr="002D2B9B">
          <w:rPr>
            <w:rStyle w:val="Hyperlink"/>
            <w:rFonts w:asciiTheme="minorHAnsi" w:hAnsiTheme="minorHAnsi"/>
            <w:i/>
            <w:iCs/>
            <w:sz w:val="21"/>
          </w:rPr>
          <w:t>Immunisation Data: Historical coverage</w:t>
        </w:r>
      </w:hyperlink>
      <w:r w:rsidRPr="002D2B9B">
        <w:rPr>
          <w:i/>
          <w:iCs/>
        </w:rPr>
        <w:t xml:space="preserve"> </w:t>
      </w:r>
      <w:r w:rsidRPr="002D2B9B">
        <w:t xml:space="preserve">[data tables for all children], Australian Government, Canberra, 2023. </w:t>
      </w:r>
    </w:p>
    <w:p w14:paraId="77010EF4" w14:textId="77777777" w:rsidR="002D2B9B" w:rsidRPr="002D2B9B" w:rsidRDefault="002D2B9B" w:rsidP="002D2B9B">
      <w:r w:rsidRPr="002D2B9B">
        <w:t xml:space="preserve">Department of Home Affairs, </w:t>
      </w:r>
      <w:hyperlink r:id="rId42" w:history="1">
        <w:r w:rsidRPr="002D2B9B">
          <w:rPr>
            <w:rStyle w:val="Hyperlink"/>
            <w:rFonts w:asciiTheme="minorHAnsi" w:hAnsiTheme="minorHAnsi"/>
            <w:i/>
            <w:iCs/>
            <w:sz w:val="21"/>
          </w:rPr>
          <w:t>Settlement reports</w:t>
        </w:r>
      </w:hyperlink>
      <w:r w:rsidRPr="002D2B9B">
        <w:t>, 2023, accessed 25 August 2023.</w:t>
      </w:r>
    </w:p>
    <w:p w14:paraId="7EA795AE" w14:textId="77777777" w:rsidR="002D2B9B" w:rsidRPr="002D2B9B" w:rsidRDefault="002D2B9B" w:rsidP="002D2B9B">
      <w:r w:rsidRPr="002D2B9B">
        <w:t xml:space="preserve">Department of Social Services, </w:t>
      </w:r>
      <w:hyperlink r:id="rId43" w:history="1">
        <w:r w:rsidRPr="002D2B9B">
          <w:rPr>
            <w:rStyle w:val="Hyperlink"/>
            <w:rFonts w:asciiTheme="minorHAnsi" w:hAnsiTheme="minorHAnsi"/>
            <w:i/>
            <w:iCs/>
            <w:sz w:val="21"/>
          </w:rPr>
          <w:t>Positive Family Functioning</w:t>
        </w:r>
      </w:hyperlink>
      <w:r w:rsidRPr="002D2B9B">
        <w:t>, final report by Access Economics Pty Ltd for Department of Families, Housing, Community Services and Indigenous Affairs, DSS, 2010.</w:t>
      </w:r>
    </w:p>
    <w:p w14:paraId="7E263BE7" w14:textId="77777777" w:rsidR="002D2B9B" w:rsidRPr="002D2B9B" w:rsidRDefault="002D2B9B" w:rsidP="002D2B9B">
      <w:r w:rsidRPr="002D2B9B">
        <w:t xml:space="preserve">Hand K, Baxter J, Carroll M and Budinski M, </w:t>
      </w:r>
      <w:hyperlink r:id="rId44" w:history="1">
        <w:r w:rsidRPr="002D2B9B">
          <w:rPr>
            <w:rStyle w:val="Hyperlink"/>
            <w:rFonts w:asciiTheme="minorHAnsi" w:hAnsiTheme="minorHAnsi"/>
            <w:i/>
            <w:iCs/>
            <w:sz w:val="21"/>
          </w:rPr>
          <w:t>Life during COVID-19: Early findings</w:t>
        </w:r>
      </w:hyperlink>
      <w:r w:rsidRPr="002D2B9B">
        <w:rPr>
          <w:rStyle w:val="Hyperlink"/>
          <w:rFonts w:asciiTheme="minorHAnsi" w:hAnsiTheme="minorHAnsi"/>
          <w:i/>
          <w:iCs/>
          <w:sz w:val="21"/>
        </w:rPr>
        <w:t xml:space="preserve"> </w:t>
      </w:r>
      <w:r w:rsidRPr="002D2B9B">
        <w:t>(Families in Australia Survey report), Australian Institute of Family Studies, AIFS website, 2020, accessed 22 September 2023.</w:t>
      </w:r>
    </w:p>
    <w:p w14:paraId="1BD50B53" w14:textId="77777777" w:rsidR="002D2B9B" w:rsidRPr="002D2B9B" w:rsidRDefault="002D2B9B" w:rsidP="002D2B9B">
      <w:r w:rsidRPr="002D2B9B">
        <w:t xml:space="preserve">Haslam DM, Lawrence DM, </w:t>
      </w:r>
      <w:bookmarkStart w:id="100" w:name="_Hlk161141849"/>
      <w:r w:rsidRPr="002D2B9B">
        <w:t xml:space="preserve">Mathews B, Higgins DJ, Hunt A, Scott JG, Dunne MP, Erskine HE, Thomas HJ, </w:t>
      </w:r>
      <w:proofErr w:type="spellStart"/>
      <w:r w:rsidRPr="002D2B9B">
        <w:t>Finkelhor</w:t>
      </w:r>
      <w:proofErr w:type="spellEnd"/>
      <w:r w:rsidRPr="002D2B9B">
        <w:t xml:space="preserve"> D, Pacella R, </w:t>
      </w:r>
      <w:proofErr w:type="spellStart"/>
      <w:r w:rsidRPr="002D2B9B">
        <w:t>Meinck</w:t>
      </w:r>
      <w:proofErr w:type="spellEnd"/>
      <w:r w:rsidRPr="002D2B9B">
        <w:t xml:space="preserve"> F and </w:t>
      </w:r>
      <w:proofErr w:type="spellStart"/>
      <w:r w:rsidRPr="002D2B9B">
        <w:t>Malacova</w:t>
      </w:r>
      <w:proofErr w:type="spellEnd"/>
      <w:r w:rsidRPr="002D2B9B">
        <w:t xml:space="preserve"> E</w:t>
      </w:r>
      <w:bookmarkEnd w:id="100"/>
      <w:r w:rsidRPr="002D2B9B">
        <w:t>,  ‘</w:t>
      </w:r>
      <w:hyperlink r:id="rId45" w:history="1">
        <w:r w:rsidRPr="002D2B9B">
          <w:rPr>
            <w:rStyle w:val="Hyperlink"/>
            <w:rFonts w:asciiTheme="minorHAnsi" w:hAnsiTheme="minorHAnsi"/>
            <w:i/>
            <w:iCs/>
            <w:sz w:val="21"/>
          </w:rPr>
          <w:t>The Australian Child Maltreatment Study (ACMS), a national survey of the prevalence of child maltreatment and its correlates: methodology</w:t>
        </w:r>
      </w:hyperlink>
      <w:r w:rsidRPr="002D2B9B">
        <w:t xml:space="preserve">’, </w:t>
      </w:r>
      <w:r w:rsidRPr="002D2B9B">
        <w:rPr>
          <w:i/>
          <w:iCs/>
        </w:rPr>
        <w:t>The Medical Journal of Australia</w:t>
      </w:r>
      <w:r w:rsidRPr="002D2B9B">
        <w:t>, 218(S6):S5–S12, April 2023, doi:10.5694/mja2.51873, accessed 2 February 2024.</w:t>
      </w:r>
    </w:p>
    <w:p w14:paraId="5720331C" w14:textId="77777777" w:rsidR="002D2B9B" w:rsidRPr="002D2B9B" w:rsidRDefault="00756241" w:rsidP="002D2B9B">
      <w:hyperlink r:id="rId46" w:history="1">
        <w:r w:rsidR="002D2B9B" w:rsidRPr="002D2B9B">
          <w:rPr>
            <w:rStyle w:val="Hyperlink"/>
            <w:rFonts w:asciiTheme="minorHAnsi" w:hAnsiTheme="minorHAnsi"/>
            <w:sz w:val="21"/>
          </w:rPr>
          <w:t>Heckman: The economics of human potential</w:t>
        </w:r>
      </w:hyperlink>
      <w:r w:rsidR="002D2B9B" w:rsidRPr="002D2B9B">
        <w:t xml:space="preserve"> [website], 2023.</w:t>
      </w:r>
    </w:p>
    <w:p w14:paraId="0955AFB6" w14:textId="77777777" w:rsidR="002D2B9B" w:rsidRPr="002D2B9B" w:rsidRDefault="002D2B9B" w:rsidP="002D2B9B">
      <w:r w:rsidRPr="002D2B9B">
        <w:t xml:space="preserve">Higgins D and Dean A, </w:t>
      </w:r>
      <w:hyperlink r:id="rId47" w:history="1">
        <w:r w:rsidRPr="002D2B9B">
          <w:rPr>
            <w:rStyle w:val="Hyperlink"/>
            <w:rFonts w:asciiTheme="minorHAnsi" w:hAnsiTheme="minorHAnsi"/>
            <w:i/>
            <w:iCs/>
            <w:sz w:val="21"/>
          </w:rPr>
          <w:t>A population approach to early intervention and prevention</w:t>
        </w:r>
      </w:hyperlink>
      <w:r w:rsidRPr="002D2B9B">
        <w:t>, Australian Institute of Family Studies website, 2020, accessed 24 October 2023.</w:t>
      </w:r>
    </w:p>
    <w:p w14:paraId="37429A3B" w14:textId="77777777" w:rsidR="002D2B9B" w:rsidRPr="002D2B9B" w:rsidRDefault="002D2B9B" w:rsidP="002D2B9B">
      <w:r w:rsidRPr="002D2B9B">
        <w:t xml:space="preserve">Hutchinson Dr R and Vo-Phuoc J, </w:t>
      </w:r>
      <w:hyperlink r:id="rId48" w:history="1">
        <w:r w:rsidRPr="002D2B9B">
          <w:rPr>
            <w:rStyle w:val="Hyperlink"/>
            <w:rFonts w:asciiTheme="minorHAnsi" w:hAnsiTheme="minorHAnsi"/>
            <w:i/>
            <w:iCs/>
            <w:sz w:val="21"/>
          </w:rPr>
          <w:t>It’s not as simple as ‘nature or nurture’: the impact of socioeconomic influences on children</w:t>
        </w:r>
      </w:hyperlink>
      <w:r w:rsidRPr="002D2B9B">
        <w:t>, PWC Australia, n.d., accessed 24 October 2023.</w:t>
      </w:r>
    </w:p>
    <w:p w14:paraId="11239D5B" w14:textId="77777777" w:rsidR="002D2B9B" w:rsidRPr="002D2B9B" w:rsidRDefault="002D2B9B" w:rsidP="002D2B9B">
      <w:r w:rsidRPr="002D2B9B">
        <w:t xml:space="preserve">Monks H, </w:t>
      </w:r>
      <w:proofErr w:type="spellStart"/>
      <w:r w:rsidRPr="002D2B9B">
        <w:t>Mandzufas</w:t>
      </w:r>
      <w:proofErr w:type="spellEnd"/>
      <w:r w:rsidRPr="002D2B9B">
        <w:t xml:space="preserve"> J and Cross D, </w:t>
      </w:r>
      <w:hyperlink r:id="rId49" w:history="1">
        <w:r w:rsidRPr="002D2B9B">
          <w:rPr>
            <w:rStyle w:val="Hyperlink"/>
            <w:rFonts w:asciiTheme="minorHAnsi" w:hAnsiTheme="minorHAnsi"/>
            <w:i/>
            <w:iCs/>
            <w:sz w:val="21"/>
          </w:rPr>
          <w:t>The Impact of Poverty on the Developing Child: A Narrative View</w:t>
        </w:r>
      </w:hyperlink>
      <w:r w:rsidRPr="002D2B9B">
        <w:t>, Life Course Centre Working Paper Series, 2022-06, Institute for Social Science Research, The University of Queensland, 2022.</w:t>
      </w:r>
    </w:p>
    <w:p w14:paraId="1E587052" w14:textId="77777777" w:rsidR="002D2B9B" w:rsidRPr="002D2B9B" w:rsidRDefault="002D2B9B" w:rsidP="002D2B9B">
      <w:r w:rsidRPr="002D2B9B">
        <w:t xml:space="preserve">National Disability Insurance Scheme, </w:t>
      </w:r>
      <w:hyperlink r:id="rId50" w:history="1">
        <w:r w:rsidRPr="002D2B9B">
          <w:rPr>
            <w:rStyle w:val="Hyperlink"/>
            <w:rFonts w:asciiTheme="minorHAnsi" w:hAnsiTheme="minorHAnsi"/>
            <w:i/>
            <w:iCs/>
            <w:sz w:val="21"/>
          </w:rPr>
          <w:t>Quarterly report to disability ministers</w:t>
        </w:r>
      </w:hyperlink>
      <w:r w:rsidRPr="002D2B9B">
        <w:rPr>
          <w:rStyle w:val="Hyperlink"/>
          <w:rFonts w:asciiTheme="minorHAnsi" w:hAnsiTheme="minorHAnsi"/>
          <w:i/>
          <w:iCs/>
          <w:sz w:val="21"/>
        </w:rPr>
        <w:t xml:space="preserve"> for Q1 of Y11</w:t>
      </w:r>
      <w:r w:rsidRPr="002D2B9B">
        <w:t>, NDIS, 2023, accessed 2 February 2024.</w:t>
      </w:r>
    </w:p>
    <w:p w14:paraId="41D9BF79" w14:textId="77777777" w:rsidR="002D2B9B" w:rsidRPr="002D2B9B" w:rsidRDefault="002D2B9B" w:rsidP="002D2B9B">
      <w:r w:rsidRPr="002D2B9B">
        <w:t xml:space="preserve">National Indigenous Australians Agency, </w:t>
      </w:r>
      <w:hyperlink r:id="rId51" w:history="1">
        <w:r w:rsidRPr="002D2B9B">
          <w:rPr>
            <w:rStyle w:val="Hyperlink"/>
            <w:rFonts w:asciiTheme="minorHAnsi" w:hAnsiTheme="minorHAnsi"/>
            <w:i/>
            <w:iCs/>
            <w:sz w:val="21"/>
          </w:rPr>
          <w:t>National Aboriginal and Torres Strait Islander Early Childhood Strategy</w:t>
        </w:r>
      </w:hyperlink>
      <w:r w:rsidRPr="002D2B9B">
        <w:t>, NIAA, 2021.</w:t>
      </w:r>
    </w:p>
    <w:p w14:paraId="59935BF3" w14:textId="77777777" w:rsidR="002D2B9B" w:rsidRPr="002D2B9B" w:rsidRDefault="002D2B9B" w:rsidP="002D2B9B">
      <w:r w:rsidRPr="002D2B9B">
        <w:t xml:space="preserve">National Scientific Council on the Developing Child, </w:t>
      </w:r>
      <w:hyperlink r:id="rId52" w:history="1">
        <w:r w:rsidRPr="002D2B9B">
          <w:rPr>
            <w:rStyle w:val="Hyperlink"/>
            <w:rFonts w:asciiTheme="minorHAnsi" w:hAnsiTheme="minorHAnsi"/>
            <w:i/>
            <w:iCs/>
            <w:sz w:val="21"/>
          </w:rPr>
          <w:t>Young children develop in an environment of relationships</w:t>
        </w:r>
      </w:hyperlink>
      <w:r w:rsidRPr="002D2B9B">
        <w:t xml:space="preserve">, Working Paper No. 1, </w:t>
      </w:r>
      <w:proofErr w:type="spellStart"/>
      <w:r w:rsidRPr="002D2B9B">
        <w:t>Center</w:t>
      </w:r>
      <w:proofErr w:type="spellEnd"/>
      <w:r w:rsidRPr="002D2B9B">
        <w:t xml:space="preserve"> on the Developing Child, Harvard University, 2004.</w:t>
      </w:r>
    </w:p>
    <w:p w14:paraId="053B4EB3" w14:textId="77777777" w:rsidR="002D2B9B" w:rsidRPr="002D2B9B" w:rsidRDefault="002D2B9B" w:rsidP="002D2B9B">
      <w:r w:rsidRPr="002D2B9B">
        <w:t>——</w:t>
      </w:r>
      <w:hyperlink r:id="rId53" w:history="1">
        <w:r w:rsidRPr="002D2B9B">
          <w:rPr>
            <w:rStyle w:val="Hyperlink"/>
            <w:rFonts w:asciiTheme="minorHAnsi" w:hAnsiTheme="minorHAnsi"/>
            <w:i/>
            <w:iCs/>
            <w:sz w:val="21"/>
          </w:rPr>
          <w:t>Excessive Stress Disrupts the Architecture of the Developing Brain</w:t>
        </w:r>
      </w:hyperlink>
      <w:r w:rsidRPr="002D2B9B">
        <w:t xml:space="preserve">, Working Paper No. 3 [Updated Edition], </w:t>
      </w:r>
      <w:proofErr w:type="spellStart"/>
      <w:r w:rsidRPr="002D2B9B">
        <w:t>Center</w:t>
      </w:r>
      <w:proofErr w:type="spellEnd"/>
      <w:r w:rsidRPr="002D2B9B">
        <w:t xml:space="preserve"> on the Developing Child, Harvard University, 2005/2014.</w:t>
      </w:r>
    </w:p>
    <w:p w14:paraId="4F46DF33" w14:textId="77777777" w:rsidR="002D2B9B" w:rsidRPr="002D2B9B" w:rsidRDefault="002D2B9B" w:rsidP="002D2B9B">
      <w:r w:rsidRPr="002D2B9B">
        <w:t>——</w:t>
      </w:r>
      <w:hyperlink r:id="rId54" w:history="1">
        <w:r w:rsidRPr="002D2B9B">
          <w:rPr>
            <w:rStyle w:val="Hyperlink"/>
            <w:rFonts w:asciiTheme="minorHAnsi" w:hAnsiTheme="minorHAnsi"/>
            <w:i/>
            <w:iCs/>
            <w:sz w:val="21"/>
          </w:rPr>
          <w:t>The Timing and Quality of Early Experiences Combine to Shape Brain Architecture</w:t>
        </w:r>
      </w:hyperlink>
      <w:r w:rsidRPr="002D2B9B">
        <w:t xml:space="preserve">, Working Paper No. 5, </w:t>
      </w:r>
      <w:proofErr w:type="spellStart"/>
      <w:r w:rsidRPr="002D2B9B">
        <w:t>Center</w:t>
      </w:r>
      <w:proofErr w:type="spellEnd"/>
      <w:r w:rsidRPr="002D2B9B">
        <w:t xml:space="preserve"> on the Developing Child, Harvard University, 2007.</w:t>
      </w:r>
    </w:p>
    <w:p w14:paraId="6CED8DE1" w14:textId="77777777" w:rsidR="002D2B9B" w:rsidRPr="002D2B9B" w:rsidRDefault="002D2B9B" w:rsidP="002D2B9B">
      <w:r w:rsidRPr="002D2B9B">
        <w:lastRenderedPageBreak/>
        <w:t>——</w:t>
      </w:r>
      <w:hyperlink r:id="rId55" w:history="1">
        <w:r w:rsidRPr="002D2B9B">
          <w:rPr>
            <w:rStyle w:val="Hyperlink"/>
            <w:rFonts w:asciiTheme="minorHAnsi" w:hAnsiTheme="minorHAnsi"/>
            <w:i/>
            <w:iCs/>
            <w:sz w:val="21"/>
          </w:rPr>
          <w:t>Establishing a Level Foundation for Life: Mental Health Begins in Early Childhood</w:t>
        </w:r>
      </w:hyperlink>
      <w:r w:rsidRPr="002D2B9B">
        <w:t xml:space="preserve">, Working Paper 6 [Updated Edition], </w:t>
      </w:r>
      <w:proofErr w:type="spellStart"/>
      <w:r w:rsidRPr="002D2B9B">
        <w:t>Center</w:t>
      </w:r>
      <w:proofErr w:type="spellEnd"/>
      <w:r w:rsidRPr="002D2B9B">
        <w:t xml:space="preserve"> on the Developing Child, Harvard University, 2008/2012.</w:t>
      </w:r>
    </w:p>
    <w:p w14:paraId="7068CF38" w14:textId="77777777" w:rsidR="002D2B9B" w:rsidRPr="002D2B9B" w:rsidRDefault="002D2B9B" w:rsidP="002D2B9B">
      <w:r w:rsidRPr="002D2B9B">
        <w:t>——</w:t>
      </w:r>
      <w:hyperlink r:id="rId56" w:anchor=":~:text=In%20fact%2C%20scientists%20have%20discovered%20that%20early%20ex-periences,up%20to%20be%20healthy%2C%20productive%20members%20of%20society." w:history="1">
        <w:r w:rsidRPr="002D2B9B">
          <w:rPr>
            <w:rStyle w:val="Hyperlink"/>
            <w:rFonts w:asciiTheme="minorHAnsi" w:hAnsiTheme="minorHAnsi"/>
            <w:i/>
            <w:iCs/>
            <w:sz w:val="21"/>
          </w:rPr>
          <w:t>Early Experiences Can Alter Gene Expression and Affect Long-Term Development</w:t>
        </w:r>
      </w:hyperlink>
      <w:r w:rsidRPr="002D2B9B">
        <w:rPr>
          <w:rStyle w:val="Hyperlink"/>
          <w:rFonts w:asciiTheme="minorHAnsi" w:hAnsiTheme="minorHAnsi"/>
          <w:i/>
          <w:iCs/>
          <w:sz w:val="21"/>
        </w:rPr>
        <w:t>,</w:t>
      </w:r>
      <w:r w:rsidRPr="002D2B9B">
        <w:t xml:space="preserve"> Working Paper No. 10, </w:t>
      </w:r>
      <w:proofErr w:type="spellStart"/>
      <w:r w:rsidRPr="002D2B9B">
        <w:t>Center</w:t>
      </w:r>
      <w:proofErr w:type="spellEnd"/>
      <w:r w:rsidRPr="002D2B9B">
        <w:t xml:space="preserve"> on the Developing Child, Harvard University, 2010.</w:t>
      </w:r>
    </w:p>
    <w:p w14:paraId="7FE2997E" w14:textId="77777777" w:rsidR="002D2B9B" w:rsidRPr="002D2B9B" w:rsidRDefault="002D2B9B" w:rsidP="002D2B9B">
      <w:r w:rsidRPr="002D2B9B">
        <w:t>——</w:t>
      </w:r>
      <w:hyperlink r:id="rId57" w:history="1">
        <w:r w:rsidRPr="002D2B9B">
          <w:rPr>
            <w:rStyle w:val="Hyperlink"/>
            <w:rFonts w:asciiTheme="minorHAnsi" w:hAnsiTheme="minorHAnsi"/>
            <w:i/>
            <w:iCs/>
            <w:sz w:val="21"/>
          </w:rPr>
          <w:t>Connecting the Brain to the Rest of the Body: Early Childhood Development and Lifelong Health Are Deeply Intertwined</w:t>
        </w:r>
      </w:hyperlink>
      <w:r w:rsidRPr="002D2B9B">
        <w:t xml:space="preserve">, Working Paper No. 15, 2020. </w:t>
      </w:r>
    </w:p>
    <w:p w14:paraId="3327643F" w14:textId="77777777" w:rsidR="002D2B9B" w:rsidRPr="002D2B9B" w:rsidRDefault="002D2B9B" w:rsidP="002D2B9B">
      <w:bookmarkStart w:id="101" w:name="_Hlk161152169"/>
      <w:r w:rsidRPr="002D2B9B">
        <w:t>——</w:t>
      </w:r>
      <w:hyperlink r:id="rId58" w:history="1">
        <w:r w:rsidRPr="002D2B9B">
          <w:rPr>
            <w:rStyle w:val="Hyperlink"/>
            <w:rFonts w:asciiTheme="minorHAnsi" w:hAnsiTheme="minorHAnsi"/>
            <w:i/>
            <w:iCs/>
            <w:sz w:val="21"/>
          </w:rPr>
          <w:t>Place Matters: The Environment We Create Shapes the Foundations of Healthy Development</w:t>
        </w:r>
        <w:bookmarkEnd w:id="101"/>
      </w:hyperlink>
      <w:r w:rsidRPr="002D2B9B">
        <w:t xml:space="preserve">, Working Paper No. 16, </w:t>
      </w:r>
      <w:proofErr w:type="spellStart"/>
      <w:r w:rsidRPr="002D2B9B">
        <w:t>Center</w:t>
      </w:r>
      <w:proofErr w:type="spellEnd"/>
      <w:r w:rsidRPr="002D2B9B">
        <w:t xml:space="preserve"> on the Developing Child, Harvard University, 2023.</w:t>
      </w:r>
    </w:p>
    <w:p w14:paraId="093D86E7" w14:textId="77777777" w:rsidR="002D2B9B" w:rsidRPr="002D2B9B" w:rsidRDefault="002D2B9B" w:rsidP="002D2B9B">
      <w:proofErr w:type="spellStart"/>
      <w:r w:rsidRPr="002D2B9B">
        <w:t>Nomaguchi</w:t>
      </w:r>
      <w:proofErr w:type="spellEnd"/>
      <w:r w:rsidRPr="002D2B9B">
        <w:t xml:space="preserve"> K and Milkie </w:t>
      </w:r>
      <w:proofErr w:type="gramStart"/>
      <w:r w:rsidRPr="002D2B9B">
        <w:t>MA ,</w:t>
      </w:r>
      <w:proofErr w:type="gramEnd"/>
      <w:r w:rsidRPr="002D2B9B">
        <w:t> ‘Parenthood and well-being: A decade in review’, </w:t>
      </w:r>
      <w:r w:rsidRPr="002D2B9B">
        <w:rPr>
          <w:i/>
          <w:iCs/>
        </w:rPr>
        <w:t>Journal of Marriage and Family</w:t>
      </w:r>
      <w:r w:rsidRPr="002D2B9B">
        <w:t>, 2020, 82(1), 198–223.</w:t>
      </w:r>
    </w:p>
    <w:p w14:paraId="186D005F" w14:textId="77777777" w:rsidR="002D2B9B" w:rsidRPr="002D2B9B" w:rsidRDefault="002D2B9B" w:rsidP="002D2B9B">
      <w:r w:rsidRPr="002D2B9B">
        <w:t>OECD, </w:t>
      </w:r>
      <w:hyperlink r:id="rId59" w:history="1">
        <w:r w:rsidRPr="002D2B9B">
          <w:rPr>
            <w:rStyle w:val="Hyperlink"/>
            <w:rFonts w:asciiTheme="minorHAnsi" w:hAnsiTheme="minorHAnsi"/>
            <w:i/>
            <w:iCs/>
            <w:sz w:val="21"/>
          </w:rPr>
          <w:t>Starting Strong 2017: Key OECD Indicators on Early Childhood Education and Care</w:t>
        </w:r>
      </w:hyperlink>
      <w:r w:rsidRPr="002D2B9B">
        <w:t xml:space="preserve">, Starting Strong, OECD Publishing, Paris, 2017. </w:t>
      </w:r>
    </w:p>
    <w:p w14:paraId="28B3F5AF" w14:textId="77777777" w:rsidR="002D2B9B" w:rsidRPr="002D2B9B" w:rsidRDefault="002D2B9B" w:rsidP="002D2B9B">
      <w:r w:rsidRPr="002D2B9B">
        <w:t xml:space="preserve">Perales F, Higginson A, Baxter J, Western M, Zubrick S and Mitrou F, </w:t>
      </w:r>
      <w:hyperlink r:id="rId60" w:history="1">
        <w:r w:rsidRPr="002D2B9B">
          <w:rPr>
            <w:rStyle w:val="Hyperlink"/>
            <w:rFonts w:asciiTheme="minorHAnsi" w:hAnsiTheme="minorHAnsi"/>
            <w:i/>
            <w:iCs/>
            <w:sz w:val="21"/>
          </w:rPr>
          <w:t>Intergenerational Welfare Dependency in Australia: A Review of the Literature</w:t>
        </w:r>
      </w:hyperlink>
      <w:r w:rsidRPr="002D2B9B">
        <w:t xml:space="preserve">, Life Course Centre Working Paper Series, 2014-09, Institute for Social Science Research, The University of Queensland, 2014. </w:t>
      </w:r>
    </w:p>
    <w:p w14:paraId="1AE504C1" w14:textId="77777777" w:rsidR="002D2B9B" w:rsidRPr="002D2B9B" w:rsidRDefault="002D2B9B" w:rsidP="002D2B9B">
      <w:r w:rsidRPr="002D2B9B">
        <w:t xml:space="preserve">Phillips D, et al., </w:t>
      </w:r>
      <w:hyperlink r:id="rId61" w:history="1">
        <w:r w:rsidRPr="002D2B9B">
          <w:rPr>
            <w:rStyle w:val="Hyperlink"/>
            <w:rFonts w:asciiTheme="minorHAnsi" w:hAnsiTheme="minorHAnsi"/>
            <w:i/>
            <w:iCs/>
            <w:sz w:val="21"/>
          </w:rPr>
          <w:t>Puzzling it out: The current state of scientific knowledge on pre-kindergarten effects – A consensus statement</w:t>
        </w:r>
      </w:hyperlink>
      <w:r w:rsidRPr="002D2B9B">
        <w:t>, Brookings Institution, Washington DC, 2017, accessed 3 February 2024.</w:t>
      </w:r>
    </w:p>
    <w:p w14:paraId="5EF43335" w14:textId="77777777" w:rsidR="002D2B9B" w:rsidRPr="002D2B9B" w:rsidRDefault="002D2B9B" w:rsidP="002D2B9B">
      <w:r w:rsidRPr="002D2B9B">
        <w:t xml:space="preserve">Productivity Commission, </w:t>
      </w:r>
      <w:hyperlink r:id="rId62" w:history="1">
        <w:r w:rsidRPr="002D2B9B">
          <w:rPr>
            <w:rStyle w:val="Hyperlink"/>
            <w:rFonts w:asciiTheme="minorHAnsi" w:hAnsiTheme="minorHAnsi"/>
            <w:i/>
            <w:iCs/>
            <w:sz w:val="21"/>
          </w:rPr>
          <w:t>Closing the Gap Socioeconomic Outcome Area 4 Aboriginal and Torres Strait Islander children thrive in their early years</w:t>
        </w:r>
      </w:hyperlink>
      <w:r w:rsidRPr="002D2B9B">
        <w:t xml:space="preserve"> [Dashboard], Productivity Commission, Australian Government, accessed 25 October 2023.</w:t>
      </w:r>
    </w:p>
    <w:p w14:paraId="595D62F3" w14:textId="77777777" w:rsidR="002D2B9B" w:rsidRPr="002D2B9B" w:rsidRDefault="002D2B9B" w:rsidP="002D2B9B">
      <w:r w:rsidRPr="002D2B9B">
        <w:t xml:space="preserve">PWC, </w:t>
      </w:r>
      <w:hyperlink r:id="rId63" w:history="1">
        <w:r w:rsidRPr="002D2B9B">
          <w:rPr>
            <w:rStyle w:val="Hyperlink"/>
            <w:rFonts w:asciiTheme="minorHAnsi" w:hAnsiTheme="minorHAnsi"/>
            <w:i/>
            <w:iCs/>
            <w:sz w:val="21"/>
          </w:rPr>
          <w:t>A Smart Investment for a Smarter Australia: Economic analysis of universal early childhood education in the year before school in Australia</w:t>
        </w:r>
      </w:hyperlink>
      <w:r w:rsidRPr="002D2B9B">
        <w:t>, The Front Project, PwC, 2019.</w:t>
      </w:r>
    </w:p>
    <w:p w14:paraId="6EA9F74A" w14:textId="77777777" w:rsidR="002D2B9B" w:rsidRPr="002D2B9B" w:rsidRDefault="002D2B9B" w:rsidP="002D2B9B">
      <w:r w:rsidRPr="002D2B9B">
        <w:t xml:space="preserve">Radford K, Gould R, Vecchio N and Fitzgerald A, ‘Unpacking intergenerational (IG) programs for policy implications: A systematic review of the literature’, </w:t>
      </w:r>
      <w:r w:rsidRPr="002D2B9B">
        <w:rPr>
          <w:i/>
          <w:iCs/>
        </w:rPr>
        <w:t>Journal of Intergenerational Relationships</w:t>
      </w:r>
      <w:r w:rsidRPr="002D2B9B">
        <w:t>, 2018, 16:302–329, doi:10.1080/15350770.2018.1477650.</w:t>
      </w:r>
    </w:p>
    <w:p w14:paraId="0980CB1F" w14:textId="77777777" w:rsidR="002D2B9B" w:rsidRPr="002D2B9B" w:rsidRDefault="002D2B9B" w:rsidP="002D2B9B">
      <w:r w:rsidRPr="002D2B9B">
        <w:t xml:space="preserve">Raising Children Network, </w:t>
      </w:r>
      <w:hyperlink r:id="rId64" w:history="1">
        <w:r w:rsidRPr="002D2B9B">
          <w:rPr>
            <w:rStyle w:val="Hyperlink"/>
            <w:rFonts w:asciiTheme="minorHAnsi" w:hAnsiTheme="minorHAnsi"/>
            <w:sz w:val="21"/>
          </w:rPr>
          <w:t>Relationships and child development</w:t>
        </w:r>
        <w:r w:rsidRPr="002D2B9B">
          <w:t>,</w:t>
        </w:r>
      </w:hyperlink>
      <w:r w:rsidRPr="002D2B9B">
        <w:t xml:space="preserve"> [web page], 2023.</w:t>
      </w:r>
    </w:p>
    <w:p w14:paraId="2CFD13D8" w14:textId="77777777" w:rsidR="002D2B9B" w:rsidRPr="002D2B9B" w:rsidRDefault="002D2B9B" w:rsidP="002D2B9B">
      <w:r w:rsidRPr="002D2B9B">
        <w:t xml:space="preserve">Reupert AE, </w:t>
      </w:r>
      <w:proofErr w:type="spellStart"/>
      <w:r w:rsidRPr="002D2B9B">
        <w:t>Maybery</w:t>
      </w:r>
      <w:proofErr w:type="spellEnd"/>
      <w:r w:rsidRPr="002D2B9B">
        <w:t xml:space="preserve"> DJ and Kowalenko NM, ‘</w:t>
      </w:r>
      <w:hyperlink r:id="rId65" w:history="1">
        <w:r w:rsidRPr="002D2B9B">
          <w:rPr>
            <w:rStyle w:val="Hyperlink"/>
            <w:rFonts w:asciiTheme="minorHAnsi" w:hAnsiTheme="minorHAnsi"/>
            <w:sz w:val="21"/>
          </w:rPr>
          <w:t>Children whose parents have a mental illness: prevalence, need and treatment</w:t>
        </w:r>
      </w:hyperlink>
      <w:r w:rsidRPr="002D2B9B">
        <w:t xml:space="preserve">’, </w:t>
      </w:r>
      <w:r w:rsidRPr="002D2B9B">
        <w:rPr>
          <w:i/>
          <w:iCs/>
        </w:rPr>
        <w:t>The Medical Journal of Australia</w:t>
      </w:r>
      <w:r w:rsidRPr="002D2B9B">
        <w:t>, MJA Open 2013, 1 Suppl 1:7–9.</w:t>
      </w:r>
    </w:p>
    <w:p w14:paraId="03EF0610" w14:textId="77777777" w:rsidR="002D2B9B" w:rsidRPr="002D2B9B" w:rsidRDefault="002D2B9B" w:rsidP="002D2B9B">
      <w:r w:rsidRPr="002D2B9B">
        <w:t xml:space="preserve">Royal Australasian College of Physicians, </w:t>
      </w:r>
      <w:hyperlink r:id="rId66" w:history="1">
        <w:r w:rsidRPr="002D2B9B">
          <w:rPr>
            <w:rStyle w:val="Hyperlink"/>
            <w:rFonts w:asciiTheme="minorHAnsi" w:hAnsiTheme="minorHAnsi"/>
            <w:i/>
            <w:iCs/>
            <w:sz w:val="21"/>
          </w:rPr>
          <w:t xml:space="preserve">The Health and Wellbeing of Incarcerated Adolescents </w:t>
        </w:r>
        <w:r w:rsidRPr="002D2B9B">
          <w:t>[PDF]</w:t>
        </w:r>
      </w:hyperlink>
      <w:r w:rsidRPr="002D2B9B">
        <w:t>, Sydney, 2011.</w:t>
      </w:r>
    </w:p>
    <w:p w14:paraId="03C836F5" w14:textId="2FB08D65" w:rsidR="002D2B9B" w:rsidRPr="002D2B9B" w:rsidRDefault="002D2B9B" w:rsidP="002D2B9B">
      <w:r w:rsidRPr="002D2B9B">
        <w:t>Smart D,</w:t>
      </w:r>
      <w:r w:rsidR="00286DD0">
        <w:t xml:space="preserve"> </w:t>
      </w:r>
      <w:r w:rsidRPr="002D2B9B">
        <w:t xml:space="preserve">Muir S and </w:t>
      </w:r>
      <w:proofErr w:type="spellStart"/>
      <w:r w:rsidRPr="002D2B9B">
        <w:t>Daraganova</w:t>
      </w:r>
      <w:proofErr w:type="spellEnd"/>
      <w:r w:rsidRPr="002D2B9B">
        <w:t xml:space="preserve"> G,</w:t>
      </w:r>
      <w:r w:rsidR="00286DD0">
        <w:t xml:space="preserve"> </w:t>
      </w:r>
      <w:hyperlink r:id="rId67" w:history="1">
        <w:r w:rsidRPr="002D2B9B">
          <w:rPr>
            <w:rStyle w:val="Hyperlink"/>
            <w:rFonts w:asciiTheme="minorHAnsi" w:hAnsiTheme="minorHAnsi"/>
            <w:i/>
            <w:iCs/>
            <w:sz w:val="21"/>
          </w:rPr>
          <w:t>Transition</w:t>
        </w:r>
        <w:r w:rsidR="00286DD0">
          <w:rPr>
            <w:rStyle w:val="Hyperlink"/>
            <w:rFonts w:asciiTheme="minorHAnsi" w:hAnsiTheme="minorHAnsi"/>
            <w:i/>
            <w:iCs/>
            <w:sz w:val="21"/>
          </w:rPr>
          <w:t xml:space="preserve"> </w:t>
        </w:r>
        <w:r w:rsidRPr="002D2B9B">
          <w:rPr>
            <w:rStyle w:val="Hyperlink"/>
            <w:rFonts w:asciiTheme="minorHAnsi" w:hAnsiTheme="minorHAnsi"/>
            <w:i/>
            <w:iCs/>
            <w:sz w:val="21"/>
          </w:rPr>
          <w:t>and</w:t>
        </w:r>
        <w:r w:rsidR="00286DD0">
          <w:rPr>
            <w:rStyle w:val="Hyperlink"/>
            <w:rFonts w:asciiTheme="minorHAnsi" w:hAnsiTheme="minorHAnsi"/>
            <w:i/>
            <w:iCs/>
            <w:sz w:val="21"/>
          </w:rPr>
          <w:t xml:space="preserve"> </w:t>
        </w:r>
        <w:r w:rsidRPr="002D2B9B">
          <w:rPr>
            <w:rStyle w:val="Hyperlink"/>
            <w:rFonts w:asciiTheme="minorHAnsi" w:hAnsiTheme="minorHAnsi"/>
            <w:i/>
            <w:iCs/>
            <w:sz w:val="21"/>
          </w:rPr>
          <w:t>Wellbeing</w:t>
        </w:r>
        <w:r w:rsidR="00286DD0">
          <w:rPr>
            <w:rStyle w:val="Hyperlink"/>
            <w:rFonts w:asciiTheme="minorHAnsi" w:hAnsiTheme="minorHAnsi"/>
            <w:i/>
            <w:iCs/>
            <w:sz w:val="21"/>
          </w:rPr>
          <w:t xml:space="preserve"> </w:t>
        </w:r>
        <w:r w:rsidRPr="002D2B9B">
          <w:rPr>
            <w:rStyle w:val="Hyperlink"/>
            <w:rFonts w:asciiTheme="minorHAnsi" w:hAnsiTheme="minorHAnsi"/>
            <w:i/>
            <w:iCs/>
            <w:sz w:val="21"/>
          </w:rPr>
          <w:t>Research</w:t>
        </w:r>
        <w:r w:rsidR="00286DD0">
          <w:rPr>
            <w:rStyle w:val="Hyperlink"/>
            <w:rFonts w:asciiTheme="minorHAnsi" w:hAnsiTheme="minorHAnsi"/>
            <w:i/>
            <w:iCs/>
            <w:sz w:val="21"/>
          </w:rPr>
          <w:t xml:space="preserve"> </w:t>
        </w:r>
        <w:r w:rsidRPr="002D2B9B">
          <w:rPr>
            <w:rStyle w:val="Hyperlink"/>
            <w:rFonts w:asciiTheme="minorHAnsi" w:hAnsiTheme="minorHAnsi"/>
            <w:i/>
            <w:iCs/>
            <w:sz w:val="21"/>
          </w:rPr>
          <w:t>Program:</w:t>
        </w:r>
        <w:r w:rsidR="00286DD0">
          <w:rPr>
            <w:rStyle w:val="Hyperlink"/>
            <w:rFonts w:asciiTheme="minorHAnsi" w:hAnsiTheme="minorHAnsi"/>
            <w:i/>
            <w:iCs/>
            <w:sz w:val="21"/>
          </w:rPr>
          <w:t xml:space="preserve"> </w:t>
        </w:r>
        <w:r w:rsidRPr="002D2B9B">
          <w:rPr>
            <w:rStyle w:val="Hyperlink"/>
            <w:rFonts w:asciiTheme="minorHAnsi" w:hAnsiTheme="minorHAnsi"/>
            <w:i/>
            <w:iCs/>
            <w:sz w:val="21"/>
          </w:rPr>
          <w:t>Family</w:t>
        </w:r>
        <w:r w:rsidR="00286DD0">
          <w:rPr>
            <w:rStyle w:val="Hyperlink"/>
            <w:rFonts w:asciiTheme="minorHAnsi" w:hAnsiTheme="minorHAnsi"/>
            <w:i/>
            <w:iCs/>
            <w:sz w:val="21"/>
          </w:rPr>
          <w:t xml:space="preserve"> </w:t>
        </w:r>
        <w:r w:rsidRPr="002D2B9B">
          <w:rPr>
            <w:rStyle w:val="Hyperlink"/>
            <w:rFonts w:asciiTheme="minorHAnsi" w:hAnsiTheme="minorHAnsi"/>
            <w:i/>
            <w:iCs/>
            <w:sz w:val="21"/>
          </w:rPr>
          <w:t>Wellbeing Study, Summary Report</w:t>
        </w:r>
      </w:hyperlink>
      <w:r w:rsidRPr="002D2B9B">
        <w:t>,</w:t>
      </w:r>
      <w:r w:rsidR="00286DD0">
        <w:t xml:space="preserve"> </w:t>
      </w:r>
      <w:r w:rsidRPr="002D2B9B">
        <w:t>Department</w:t>
      </w:r>
      <w:r w:rsidR="00286DD0">
        <w:t xml:space="preserve"> </w:t>
      </w:r>
      <w:r w:rsidRPr="002D2B9B">
        <w:t>of</w:t>
      </w:r>
      <w:r w:rsidR="00286DD0">
        <w:t xml:space="preserve"> </w:t>
      </w:r>
      <w:r w:rsidRPr="002D2B9B">
        <w:t>Defence</w:t>
      </w:r>
      <w:r w:rsidR="00286DD0">
        <w:t xml:space="preserve"> </w:t>
      </w:r>
      <w:r w:rsidRPr="002D2B9B">
        <w:t>and</w:t>
      </w:r>
      <w:r w:rsidR="00286DD0">
        <w:t xml:space="preserve"> </w:t>
      </w:r>
      <w:r w:rsidRPr="002D2B9B">
        <w:t>Department</w:t>
      </w:r>
      <w:r w:rsidR="00286DD0">
        <w:t xml:space="preserve"> </w:t>
      </w:r>
      <w:r w:rsidRPr="002D2B9B">
        <w:t>of</w:t>
      </w:r>
      <w:r w:rsidR="00286DD0">
        <w:t xml:space="preserve"> </w:t>
      </w:r>
      <w:r w:rsidRPr="002D2B9B">
        <w:t>Veterans’</w:t>
      </w:r>
      <w:r w:rsidR="00286DD0">
        <w:t xml:space="preserve"> </w:t>
      </w:r>
      <w:r w:rsidRPr="002D2B9B">
        <w:t xml:space="preserve">Affairs, Canberra, 2018. </w:t>
      </w:r>
    </w:p>
    <w:p w14:paraId="32F10FC0" w14:textId="77777777" w:rsidR="002D2B9B" w:rsidRPr="002D2B9B" w:rsidRDefault="002D2B9B" w:rsidP="002D2B9B">
      <w:r w:rsidRPr="002D2B9B">
        <w:lastRenderedPageBreak/>
        <w:t>Sylva K, Melhuish E, Sammons P, Siraj-Blatchford I and Taggart B, ‘</w:t>
      </w:r>
      <w:hyperlink r:id="rId68" w:history="1">
        <w:r w:rsidRPr="002D2B9B">
          <w:rPr>
            <w:rStyle w:val="Hyperlink"/>
            <w:rFonts w:asciiTheme="minorHAnsi" w:hAnsiTheme="minorHAnsi"/>
            <w:sz w:val="21"/>
          </w:rPr>
          <w:t>The Effective Provision of Pre-School Education (EPPE) Project: Findings from Pre-school to end of Key Stage 1</w:t>
        </w:r>
      </w:hyperlink>
      <w:r w:rsidRPr="002D2B9B">
        <w:t xml:space="preserve">’, </w:t>
      </w:r>
      <w:r w:rsidRPr="002D2B9B">
        <w:rPr>
          <w:i/>
          <w:iCs/>
        </w:rPr>
        <w:t>SureStart</w:t>
      </w:r>
      <w:r w:rsidRPr="002D2B9B">
        <w:t>, 2004.</w:t>
      </w:r>
    </w:p>
    <w:p w14:paraId="64F5FBCF" w14:textId="77777777" w:rsidR="002D2B9B" w:rsidRPr="002D2B9B" w:rsidRDefault="002D2B9B" w:rsidP="002D2B9B">
      <w:r w:rsidRPr="002D2B9B">
        <w:t xml:space="preserve">Tan C, </w:t>
      </w:r>
      <w:hyperlink r:id="rId69" w:history="1">
        <w:r w:rsidRPr="002D2B9B">
          <w:rPr>
            <w:rStyle w:val="Hyperlink"/>
            <w:rFonts w:asciiTheme="minorHAnsi" w:hAnsiTheme="minorHAnsi"/>
            <w:i/>
            <w:iCs/>
            <w:sz w:val="21"/>
          </w:rPr>
          <w:t>Australian Defence Force Families research 2019</w:t>
        </w:r>
      </w:hyperlink>
      <w:r w:rsidRPr="002D2B9B">
        <w:t>, Directorate of People Intelligence &amp; Research, 2020. </w:t>
      </w:r>
    </w:p>
    <w:p w14:paraId="4BCA23D8" w14:textId="77777777" w:rsidR="002D2B9B" w:rsidRPr="002D2B9B" w:rsidRDefault="002D2B9B" w:rsidP="002D2B9B">
      <w:r w:rsidRPr="002D2B9B">
        <w:t xml:space="preserve">The Fathering Project, </w:t>
      </w:r>
      <w:hyperlink r:id="rId70" w:history="1">
        <w:r w:rsidRPr="002D2B9B">
          <w:rPr>
            <w:rStyle w:val="Hyperlink"/>
            <w:rFonts w:asciiTheme="minorHAnsi" w:hAnsiTheme="minorHAnsi"/>
            <w:i/>
            <w:iCs/>
            <w:sz w:val="21"/>
          </w:rPr>
          <w:t>Submission to the Early Years Strategy discussion paper by the Fathering Project</w:t>
        </w:r>
      </w:hyperlink>
      <w:r w:rsidRPr="002D2B9B">
        <w:t>, 2023.</w:t>
      </w:r>
    </w:p>
    <w:p w14:paraId="24CDE1AC" w14:textId="77777777" w:rsidR="002D2B9B" w:rsidRPr="002D2B9B" w:rsidRDefault="002D2B9B" w:rsidP="002D2B9B">
      <w:r w:rsidRPr="002D2B9B">
        <w:t xml:space="preserve">The Front Project, </w:t>
      </w:r>
      <w:hyperlink r:id="rId71" w:history="1">
        <w:r w:rsidRPr="002D2B9B">
          <w:rPr>
            <w:rStyle w:val="Hyperlink"/>
            <w:rFonts w:asciiTheme="minorHAnsi" w:hAnsiTheme="minorHAnsi"/>
            <w:i/>
            <w:iCs/>
            <w:sz w:val="21"/>
          </w:rPr>
          <w:t>Supporting all children to thrive: The importance of equity in early childhood education</w:t>
        </w:r>
      </w:hyperlink>
      <w:r w:rsidRPr="002D2B9B">
        <w:t>, 2022.</w:t>
      </w:r>
    </w:p>
    <w:p w14:paraId="095752E9" w14:textId="77777777" w:rsidR="002D2B9B" w:rsidRPr="002D2B9B" w:rsidRDefault="002D2B9B" w:rsidP="002D2B9B">
      <w:r w:rsidRPr="002D2B9B">
        <w:t xml:space="preserve">The Royal Children’s Hospital National Child Health Poll, </w:t>
      </w:r>
      <w:hyperlink r:id="rId72" w:history="1">
        <w:r w:rsidRPr="002D2B9B">
          <w:rPr>
            <w:rStyle w:val="Hyperlink"/>
            <w:rFonts w:asciiTheme="minorHAnsi" w:hAnsiTheme="minorHAnsi"/>
            <w:i/>
            <w:iCs/>
            <w:sz w:val="21"/>
          </w:rPr>
          <w:t>Australian families: How we play</w:t>
        </w:r>
        <w:r w:rsidRPr="002D2B9B">
          <w:t>, Poll Number 28</w:t>
        </w:r>
      </w:hyperlink>
      <w:r w:rsidRPr="002D2B9B">
        <w:t>, The Royal Children’s Hospital Melbourne, Parkville, Victoria, 2022.</w:t>
      </w:r>
    </w:p>
    <w:p w14:paraId="76147CCC" w14:textId="77777777" w:rsidR="002D2B9B" w:rsidRPr="002D2B9B" w:rsidRDefault="002D2B9B" w:rsidP="002D2B9B">
      <w:r w:rsidRPr="002D2B9B">
        <w:t xml:space="preserve">Warren D, Australian Institute of Family Studies, Social Policy Research Paper No. 47, </w:t>
      </w:r>
      <w:hyperlink r:id="rId73" w:history="1">
        <w:r w:rsidRPr="002D2B9B">
          <w:rPr>
            <w:rStyle w:val="Hyperlink"/>
            <w:rFonts w:asciiTheme="minorHAnsi" w:hAnsiTheme="minorHAnsi"/>
            <w:i/>
            <w:iCs/>
            <w:sz w:val="21"/>
          </w:rPr>
          <w:t>Low Income and Poverty Dynamics Implications for Child Outcomes</w:t>
        </w:r>
      </w:hyperlink>
      <w:r w:rsidRPr="002D2B9B">
        <w:t>, Commonwealth of Australia, DSS, 2017.</w:t>
      </w:r>
    </w:p>
    <w:p w14:paraId="0B049B3E" w14:textId="77777777" w:rsidR="002D2B9B" w:rsidRPr="002D2B9B" w:rsidRDefault="002D2B9B" w:rsidP="002D2B9B">
      <w:r w:rsidRPr="002D2B9B">
        <w:t xml:space="preserve">World Health Assembly, 65, </w:t>
      </w:r>
      <w:hyperlink r:id="rId74" w:history="1">
        <w:r w:rsidRPr="002D2B9B">
          <w:rPr>
            <w:rStyle w:val="Hyperlink"/>
            <w:rFonts w:asciiTheme="minorHAnsi" w:hAnsiTheme="minorHAnsi"/>
            <w:i/>
            <w:iCs/>
            <w:sz w:val="21"/>
          </w:rPr>
          <w:t>Global burden of mental disorders and the need for a comprehensive, coordinated response from health and social sectors at the country level: report by the Secretariat</w:t>
        </w:r>
      </w:hyperlink>
      <w:r w:rsidRPr="002D2B9B">
        <w:t>, World Health Organization, 2012, accessed 20 October 2023.</w:t>
      </w:r>
    </w:p>
    <w:p w14:paraId="4AC45A30" w14:textId="77777777" w:rsidR="002D2B9B" w:rsidRPr="002D2B9B" w:rsidRDefault="002D2B9B" w:rsidP="002D2B9B">
      <w:r w:rsidRPr="002D2B9B">
        <w:t xml:space="preserve">World Health Organization, </w:t>
      </w:r>
      <w:hyperlink r:id="rId75" w:history="1">
        <w:r w:rsidRPr="002D2B9B">
          <w:rPr>
            <w:rStyle w:val="Hyperlink"/>
            <w:rFonts w:asciiTheme="minorHAnsi" w:hAnsiTheme="minorHAnsi"/>
            <w:i/>
            <w:iCs/>
            <w:sz w:val="21"/>
          </w:rPr>
          <w:t>World mental health report: transforming mental health for all</w:t>
        </w:r>
      </w:hyperlink>
      <w:r w:rsidRPr="002D2B9B">
        <w:t>, World Health Organization, Geneva, 2022.</w:t>
      </w:r>
    </w:p>
    <w:p w14:paraId="69C4B3E9" w14:textId="77777777" w:rsidR="002D2B9B" w:rsidRPr="002D2B9B" w:rsidRDefault="002D2B9B" w:rsidP="002D2B9B">
      <w:proofErr w:type="spellStart"/>
      <w:r w:rsidRPr="002D2B9B">
        <w:t>Zosh</w:t>
      </w:r>
      <w:proofErr w:type="spellEnd"/>
      <w:r w:rsidRPr="002D2B9B">
        <w:t xml:space="preserve"> JM et al., </w:t>
      </w:r>
      <w:hyperlink r:id="rId76" w:history="1">
        <w:r w:rsidRPr="002D2B9B">
          <w:rPr>
            <w:rStyle w:val="Hyperlink"/>
            <w:rFonts w:asciiTheme="minorHAnsi" w:hAnsiTheme="minorHAnsi"/>
            <w:i/>
            <w:iCs/>
            <w:sz w:val="21"/>
          </w:rPr>
          <w:t>Learning through play: a review of the evidence (white paper)</w:t>
        </w:r>
        <w:r w:rsidRPr="002D2B9B">
          <w:t>,</w:t>
        </w:r>
      </w:hyperlink>
      <w:r w:rsidRPr="002D2B9B">
        <w:t xml:space="preserve"> The LEGO Foundation, DK, page 16, 2017.</w:t>
      </w:r>
    </w:p>
    <w:p w14:paraId="4C21ED92" w14:textId="77777777" w:rsidR="00CA01CD" w:rsidRPr="00264561" w:rsidRDefault="00CA01CD" w:rsidP="00580627">
      <w:pPr>
        <w:spacing w:line="259" w:lineRule="auto"/>
      </w:pPr>
    </w:p>
    <w:sectPr w:rsidR="00CA01CD" w:rsidRPr="00264561" w:rsidSect="001778D7">
      <w:footerReference w:type="default" r:id="rId77"/>
      <w:headerReference w:type="first" r:id="rId78"/>
      <w:pgSz w:w="11906" w:h="16838"/>
      <w:pgMar w:top="1440" w:right="1440" w:bottom="1440" w:left="1440" w:header="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296E" w14:textId="77777777" w:rsidR="001778D7" w:rsidRDefault="001778D7">
      <w:pPr>
        <w:spacing w:after="0" w:line="240" w:lineRule="auto"/>
      </w:pPr>
      <w:r>
        <w:separator/>
      </w:r>
    </w:p>
  </w:endnote>
  <w:endnote w:type="continuationSeparator" w:id="0">
    <w:p w14:paraId="4E837F40" w14:textId="77777777" w:rsidR="001778D7" w:rsidRDefault="0017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65081"/>
      <w:docPartObj>
        <w:docPartGallery w:val="Page Numbers (Bottom of Page)"/>
        <w:docPartUnique/>
      </w:docPartObj>
    </w:sdtPr>
    <w:sdtEndPr>
      <w:rPr>
        <w:noProof/>
      </w:rPr>
    </w:sdtEndPr>
    <w:sdtContent>
      <w:p w14:paraId="26877FA1" w14:textId="5610FFA8" w:rsidR="00483565" w:rsidRDefault="004835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83A35" w14:textId="6D6DC0BA" w:rsidR="00DE25AB" w:rsidRPr="0089416B" w:rsidRDefault="00DE25AB" w:rsidP="0089416B">
    <w:pPr>
      <w:jc w:val="center"/>
      <w:rPr>
        <w:rFonts w:ascii="Calibri" w:hAnsi="Calibri" w:cs="Calibri"/>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2F27" w14:textId="77777777" w:rsidR="001778D7" w:rsidRDefault="001778D7" w:rsidP="00C33BE8">
      <w:pPr>
        <w:spacing w:after="0" w:line="240" w:lineRule="auto"/>
      </w:pPr>
      <w:r>
        <w:separator/>
      </w:r>
    </w:p>
  </w:footnote>
  <w:footnote w:type="continuationSeparator" w:id="0">
    <w:p w14:paraId="1E97552A" w14:textId="77777777" w:rsidR="001778D7" w:rsidRDefault="001778D7" w:rsidP="00C33BE8">
      <w:pPr>
        <w:spacing w:after="0" w:line="240" w:lineRule="auto"/>
      </w:pPr>
      <w:r>
        <w:continuationSeparator/>
      </w:r>
    </w:p>
  </w:footnote>
  <w:footnote w:id="1">
    <w:p w14:paraId="18F7901F" w14:textId="6114C256" w:rsidR="00DE25AB" w:rsidRPr="001716F9" w:rsidRDefault="003A6359" w:rsidP="001716F9">
      <w:pPr>
        <w:pStyle w:val="pf0"/>
        <w:spacing w:after="0" w:afterAutospacing="0"/>
        <w:rPr>
          <w:rFonts w:ascii="Arial" w:hAnsi="Arial" w:cs="Arial"/>
          <w:sz w:val="20"/>
          <w:szCs w:val="20"/>
        </w:rPr>
      </w:pPr>
      <w:r w:rsidRPr="00BB0719">
        <w:rPr>
          <w:rStyle w:val="FootnoteReference"/>
          <w:rFonts w:ascii="Calibri" w:hAnsi="Calibri" w:cs="Calibri"/>
          <w:sz w:val="18"/>
          <w:szCs w:val="18"/>
        </w:rPr>
        <w:footnoteRef/>
      </w:r>
      <w:r>
        <w:t xml:space="preserve"> </w:t>
      </w:r>
      <w:r w:rsidRPr="00BB0719">
        <w:rPr>
          <w:rStyle w:val="cf01"/>
          <w:rFonts w:ascii="Calibri" w:hAnsi="Calibri" w:cs="Calibri"/>
        </w:rPr>
        <w:t xml:space="preserve">National Scientific Council on the Developing Child, </w:t>
      </w:r>
      <w:hyperlink r:id="rId1" w:history="1">
        <w:r w:rsidRPr="00DD6979">
          <w:rPr>
            <w:rStyle w:val="Hyperlink"/>
            <w:rFonts w:ascii="Calibri" w:hAnsi="Calibri" w:cs="Calibri"/>
            <w:i/>
            <w:iCs/>
            <w:sz w:val="18"/>
            <w:szCs w:val="18"/>
          </w:rPr>
          <w:t>Connecting the Brain to the Rest of the Body: Early Childhood Development and Lifelong Health Are Deeply Intertwined</w:t>
        </w:r>
      </w:hyperlink>
      <w:r w:rsidRPr="00BB0719">
        <w:rPr>
          <w:rStyle w:val="cf01"/>
          <w:rFonts w:ascii="Calibri" w:hAnsi="Calibri" w:cs="Calibri"/>
          <w:i/>
          <w:iCs/>
        </w:rPr>
        <w:t>,</w:t>
      </w:r>
      <w:r w:rsidRPr="00BB0719">
        <w:rPr>
          <w:rStyle w:val="cf01"/>
          <w:rFonts w:ascii="Calibri" w:hAnsi="Calibri" w:cs="Calibri"/>
        </w:rPr>
        <w:t xml:space="preserve"> Working Paper No. 15</w:t>
      </w:r>
      <w:r>
        <w:rPr>
          <w:rStyle w:val="cf01"/>
          <w:rFonts w:ascii="Calibri" w:hAnsi="Calibri" w:cs="Calibri"/>
        </w:rPr>
        <w:t>, 2020</w:t>
      </w:r>
      <w:r w:rsidRPr="00BB0719">
        <w:rPr>
          <w:rStyle w:val="cf01"/>
          <w:rFonts w:ascii="Calibri" w:hAnsi="Calibri" w:cs="Calibri"/>
        </w:rPr>
        <w:t>.</w:t>
      </w:r>
      <w:r>
        <w:rPr>
          <w:rStyle w:val="cf01"/>
        </w:rPr>
        <w:t xml:space="preserve"> </w:t>
      </w:r>
    </w:p>
  </w:footnote>
  <w:footnote w:id="2">
    <w:p w14:paraId="6C60A2F7" w14:textId="77777777" w:rsidR="00DE25AB" w:rsidRPr="00A13E49" w:rsidRDefault="003A6359" w:rsidP="00161BFC">
      <w:pPr>
        <w:pStyle w:val="FootnoteText"/>
        <w:rPr>
          <w:lang w:val="en-US"/>
        </w:rPr>
      </w:pPr>
      <w:r w:rsidRPr="00580627">
        <w:rPr>
          <w:rStyle w:val="FootnoteReference"/>
          <w:rFonts w:ascii="Calibri" w:hAnsi="Calibri" w:cs="Calibri"/>
          <w:sz w:val="18"/>
          <w:szCs w:val="18"/>
        </w:rPr>
        <w:footnoteRef/>
      </w:r>
      <w:r>
        <w:t xml:space="preserve"> </w:t>
      </w:r>
      <w:r w:rsidRPr="00551396">
        <w:rPr>
          <w:rFonts w:ascii="Calibri" w:hAnsi="Calibri" w:cs="Calibri"/>
          <w:sz w:val="18"/>
          <w:szCs w:val="18"/>
        </w:rPr>
        <w:t xml:space="preserve">Center on the Developing Child, </w:t>
      </w:r>
      <w:hyperlink r:id="rId2" w:history="1">
        <w:r w:rsidRPr="0085167F">
          <w:rPr>
            <w:rStyle w:val="Hyperlink"/>
            <w:rFonts w:ascii="Calibri" w:hAnsi="Calibri" w:cs="Calibri"/>
            <w:i/>
            <w:iCs/>
            <w:sz w:val="18"/>
            <w:szCs w:val="18"/>
          </w:rPr>
          <w:t xml:space="preserve">Inbrief: </w:t>
        </w:r>
        <w:r w:rsidRPr="0085167F">
          <w:rPr>
            <w:rStyle w:val="Hyperlink"/>
            <w:rFonts w:ascii="Calibri" w:eastAsiaTheme="majorEastAsia" w:hAnsi="Calibri" w:cs="Calibri"/>
            <w:i/>
            <w:iCs/>
            <w:sz w:val="18"/>
            <w:szCs w:val="18"/>
          </w:rPr>
          <w:t>The Science of Early Childhood Development</w:t>
        </w:r>
      </w:hyperlink>
      <w:r>
        <w:rPr>
          <w:rFonts w:ascii="Calibri" w:eastAsiaTheme="majorEastAsia" w:hAnsi="Calibri" w:cs="Calibri"/>
          <w:sz w:val="18"/>
          <w:szCs w:val="18"/>
        </w:rPr>
        <w:t>, Harvard University, 2007.</w:t>
      </w:r>
    </w:p>
  </w:footnote>
  <w:footnote w:id="3">
    <w:p w14:paraId="5258D64A" w14:textId="77777777" w:rsidR="00DE25AB" w:rsidRPr="00BB0719" w:rsidRDefault="003A6359" w:rsidP="00770BAE">
      <w:pPr>
        <w:spacing w:after="120" w:line="240" w:lineRule="auto"/>
        <w:rPr>
          <w:rStyle w:val="cf01"/>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D62FD8">
        <w:rPr>
          <w:rFonts w:ascii="Calibri" w:hAnsi="Calibri" w:cs="Calibri"/>
          <w:sz w:val="18"/>
          <w:szCs w:val="18"/>
        </w:rPr>
        <w:t>Cente</w:t>
      </w:r>
      <w:r>
        <w:rPr>
          <w:rFonts w:ascii="Calibri" w:hAnsi="Calibri" w:cs="Calibri"/>
          <w:sz w:val="18"/>
          <w:szCs w:val="18"/>
        </w:rPr>
        <w:t>r</w:t>
      </w:r>
      <w:r w:rsidRPr="00D62FD8">
        <w:rPr>
          <w:rFonts w:ascii="Calibri" w:hAnsi="Calibri" w:cs="Calibri"/>
          <w:sz w:val="18"/>
          <w:szCs w:val="18"/>
        </w:rPr>
        <w:t xml:space="preserve"> on</w:t>
      </w:r>
      <w:r>
        <w:rPr>
          <w:rFonts w:ascii="Calibri" w:hAnsi="Calibri" w:cs="Calibri"/>
          <w:sz w:val="18"/>
          <w:szCs w:val="18"/>
        </w:rPr>
        <w:t xml:space="preserve"> the Developing Child, </w:t>
      </w:r>
      <w:r w:rsidRPr="00D62FD8">
        <w:rPr>
          <w:rFonts w:ascii="Calibri" w:hAnsi="Calibri" w:cs="Calibri"/>
          <w:i/>
          <w:iCs/>
          <w:sz w:val="18"/>
          <w:szCs w:val="18"/>
        </w:rPr>
        <w:t>Inbrief: The Science of Early Childhood Development</w:t>
      </w:r>
      <w:r>
        <w:rPr>
          <w:rFonts w:ascii="Calibri" w:hAnsi="Calibri" w:cs="Calibri"/>
          <w:sz w:val="18"/>
          <w:szCs w:val="18"/>
        </w:rPr>
        <w:t>.</w:t>
      </w:r>
    </w:p>
  </w:footnote>
  <w:footnote w:id="4">
    <w:p w14:paraId="3521B8C3" w14:textId="77777777" w:rsidR="00DE25AB" w:rsidRPr="00BB0719" w:rsidRDefault="003A6359" w:rsidP="00580627">
      <w:pPr>
        <w:pStyle w:val="FootnoteText"/>
        <w:rPr>
          <w:rFonts w:ascii="Calibri" w:hAnsi="Calibri" w:cs="Calibri"/>
          <w:sz w:val="18"/>
          <w:szCs w:val="18"/>
        </w:rPr>
      </w:pPr>
      <w:r w:rsidRPr="00BB0719">
        <w:rPr>
          <w:rStyle w:val="FootnoteReference"/>
          <w:rFonts w:ascii="Calibri" w:hAnsi="Calibri" w:cs="Calibri"/>
          <w:sz w:val="18"/>
          <w:szCs w:val="18"/>
        </w:rPr>
        <w:footnoteRef/>
      </w:r>
      <w:r w:rsidRPr="00BB0719">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w:t>
      </w:r>
      <w:r w:rsidRPr="00481217">
        <w:rPr>
          <w:rFonts w:ascii="Calibri" w:hAnsi="Calibri" w:cs="Calibri"/>
          <w:sz w:val="18"/>
          <w:szCs w:val="18"/>
        </w:rPr>
        <w:t xml:space="preserve"> </w:t>
      </w:r>
      <w:hyperlink r:id="rId3" w:anchor=":~:text=In%20fact%2C%20scientists%20have%20discovered%20that%20early%20ex-periences,up%20to%20be%20healthy%2C%20productive%20members%20of%20society." w:history="1">
        <w:r w:rsidRPr="00481217">
          <w:rPr>
            <w:rStyle w:val="Hyperlink"/>
            <w:rFonts w:ascii="Calibri" w:hAnsi="Calibri" w:cs="Calibri"/>
            <w:i/>
            <w:iCs/>
            <w:sz w:val="18"/>
            <w:szCs w:val="18"/>
          </w:rPr>
          <w:t>Early Experiences Can Alter Gene Expression and Affect Long-Term Development</w:t>
        </w:r>
      </w:hyperlink>
      <w:r>
        <w:rPr>
          <w:rFonts w:ascii="Calibri" w:hAnsi="Calibri" w:cs="Calibri"/>
          <w:sz w:val="18"/>
          <w:szCs w:val="18"/>
        </w:rPr>
        <w:t>,</w:t>
      </w:r>
      <w:r w:rsidRPr="00481217">
        <w:rPr>
          <w:rFonts w:ascii="Calibri" w:hAnsi="Calibri" w:cs="Calibri"/>
          <w:sz w:val="18"/>
          <w:szCs w:val="18"/>
        </w:rPr>
        <w:t xml:space="preserve"> Working Paper No. 10</w:t>
      </w:r>
      <w:r>
        <w:rPr>
          <w:rFonts w:ascii="Calibri" w:hAnsi="Calibri" w:cs="Calibri"/>
          <w:sz w:val="18"/>
          <w:szCs w:val="18"/>
        </w:rPr>
        <w:t>,</w:t>
      </w:r>
      <w:r w:rsidRPr="00481217">
        <w:rPr>
          <w:rFonts w:ascii="Calibri" w:hAnsi="Calibri" w:cs="Calibri"/>
          <w:sz w:val="18"/>
          <w:szCs w:val="18"/>
        </w:rPr>
        <w:t xml:space="preserve"> </w:t>
      </w:r>
      <w:r w:rsidRPr="00BB0719">
        <w:rPr>
          <w:rFonts w:ascii="Calibri" w:hAnsi="Calibri" w:cs="Calibri"/>
          <w:sz w:val="18"/>
          <w:szCs w:val="18"/>
        </w:rPr>
        <w:t>Center on the Developing Child</w:t>
      </w:r>
      <w:r>
        <w:rPr>
          <w:rFonts w:ascii="Calibri" w:hAnsi="Calibri" w:cs="Calibri"/>
          <w:sz w:val="18"/>
          <w:szCs w:val="18"/>
        </w:rPr>
        <w:t>, Harvard University, 2010.</w:t>
      </w:r>
    </w:p>
  </w:footnote>
  <w:footnote w:id="5">
    <w:p w14:paraId="69B9EF8C" w14:textId="77777777" w:rsidR="00DE25AB" w:rsidRPr="00BB0719" w:rsidRDefault="003A6359" w:rsidP="00580627">
      <w:pPr>
        <w:pStyle w:val="FootnoteText"/>
        <w:rPr>
          <w:rFonts w:ascii="Calibri" w:hAnsi="Calibri" w:cs="Calibri"/>
          <w:sz w:val="18"/>
          <w:szCs w:val="18"/>
        </w:rPr>
      </w:pPr>
      <w:r w:rsidRPr="00BB0719">
        <w:rPr>
          <w:rStyle w:val="FootnoteReference"/>
          <w:rFonts w:ascii="Calibri" w:hAnsi="Calibri" w:cs="Calibri"/>
          <w:sz w:val="18"/>
          <w:szCs w:val="18"/>
        </w:rPr>
        <w:footnoteRef/>
      </w:r>
      <w:r>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w:t>
      </w:r>
      <w:r w:rsidRPr="00BB0719">
        <w:rPr>
          <w:rFonts w:ascii="Calibri" w:hAnsi="Calibri" w:cs="Calibri"/>
          <w:sz w:val="18"/>
          <w:szCs w:val="18"/>
        </w:rPr>
        <w:t xml:space="preserve"> </w:t>
      </w:r>
      <w:hyperlink r:id="rId4" w:history="1">
        <w:r w:rsidRPr="00481217">
          <w:rPr>
            <w:rStyle w:val="Hyperlink"/>
            <w:rFonts w:ascii="Calibri" w:hAnsi="Calibri" w:cs="Calibri"/>
            <w:i/>
            <w:iCs/>
            <w:sz w:val="18"/>
            <w:szCs w:val="18"/>
          </w:rPr>
          <w:t>The Timing and Quality of Early Experiences Combine to Shape Brain Architecture</w:t>
        </w:r>
      </w:hyperlink>
      <w:r>
        <w:rPr>
          <w:rFonts w:ascii="Calibri" w:hAnsi="Calibri" w:cs="Calibri"/>
          <w:sz w:val="18"/>
          <w:szCs w:val="18"/>
        </w:rPr>
        <w:t>,</w:t>
      </w:r>
      <w:r w:rsidRPr="00481217">
        <w:rPr>
          <w:rFonts w:ascii="Calibri" w:hAnsi="Calibri" w:cs="Calibri"/>
          <w:sz w:val="18"/>
          <w:szCs w:val="18"/>
        </w:rPr>
        <w:t xml:space="preserve"> Working Paper No. 5</w:t>
      </w:r>
      <w:r>
        <w:rPr>
          <w:rFonts w:ascii="Calibri" w:hAnsi="Calibri" w:cs="Calibri"/>
          <w:sz w:val="18"/>
          <w:szCs w:val="18"/>
        </w:rPr>
        <w:t>,</w:t>
      </w:r>
      <w:r w:rsidRPr="00481217">
        <w:rPr>
          <w:rFonts w:ascii="Calibri" w:hAnsi="Calibri" w:cs="Calibri"/>
          <w:sz w:val="18"/>
          <w:szCs w:val="18"/>
        </w:rPr>
        <w:t xml:space="preserve"> </w:t>
      </w:r>
      <w:r w:rsidRPr="00BB0719">
        <w:rPr>
          <w:rFonts w:ascii="Calibri" w:hAnsi="Calibri" w:cs="Calibri"/>
          <w:sz w:val="18"/>
          <w:szCs w:val="18"/>
        </w:rPr>
        <w:t>Center on the Developing Child</w:t>
      </w:r>
      <w:r>
        <w:rPr>
          <w:rFonts w:ascii="Calibri" w:hAnsi="Calibri" w:cs="Calibri"/>
          <w:sz w:val="18"/>
          <w:szCs w:val="18"/>
        </w:rPr>
        <w:t>, Harvard University, 2007.</w:t>
      </w:r>
    </w:p>
  </w:footnote>
  <w:footnote w:id="6">
    <w:p w14:paraId="1D27BE7B" w14:textId="77777777" w:rsidR="00DE25AB" w:rsidRPr="00D62FD8" w:rsidRDefault="003A6359" w:rsidP="00161BFC">
      <w:pPr>
        <w:pStyle w:val="FootnoteText"/>
        <w:rPr>
          <w:lang w:val="en-US"/>
        </w:rPr>
      </w:pPr>
      <w:r w:rsidRPr="00580627">
        <w:rPr>
          <w:rStyle w:val="FootnoteReference"/>
          <w:rFonts w:ascii="Calibri" w:hAnsi="Calibri" w:cs="Calibri"/>
          <w:sz w:val="18"/>
        </w:rPr>
        <w:footnoteRef/>
      </w:r>
      <w:r>
        <w:t xml:space="preserve"> </w:t>
      </w:r>
      <w:r w:rsidRPr="00D62FD8">
        <w:rPr>
          <w:rFonts w:ascii="Calibri" w:hAnsi="Calibri" w:cs="Calibri"/>
          <w:sz w:val="18"/>
          <w:szCs w:val="18"/>
        </w:rPr>
        <w:t>Cente</w:t>
      </w:r>
      <w:r>
        <w:rPr>
          <w:rFonts w:ascii="Calibri" w:hAnsi="Calibri" w:cs="Calibri"/>
          <w:sz w:val="18"/>
          <w:szCs w:val="18"/>
        </w:rPr>
        <w:t>r</w:t>
      </w:r>
      <w:r w:rsidRPr="00D62FD8">
        <w:rPr>
          <w:rFonts w:ascii="Calibri" w:hAnsi="Calibri" w:cs="Calibri"/>
          <w:sz w:val="18"/>
          <w:szCs w:val="18"/>
        </w:rPr>
        <w:t xml:space="preserve"> on</w:t>
      </w:r>
      <w:r>
        <w:rPr>
          <w:rFonts w:ascii="Calibri" w:hAnsi="Calibri" w:cs="Calibri"/>
          <w:sz w:val="18"/>
          <w:szCs w:val="18"/>
        </w:rPr>
        <w:t xml:space="preserve"> the Developing Child, </w:t>
      </w:r>
      <w:r w:rsidRPr="00D62FD8">
        <w:rPr>
          <w:rFonts w:ascii="Calibri" w:hAnsi="Calibri" w:cs="Calibri"/>
          <w:i/>
          <w:iCs/>
          <w:sz w:val="18"/>
          <w:szCs w:val="18"/>
        </w:rPr>
        <w:t>Inbrief: The Science of Early Childhood Development</w:t>
      </w:r>
      <w:r>
        <w:rPr>
          <w:rFonts w:ascii="Calibri" w:hAnsi="Calibri" w:cs="Calibri"/>
          <w:sz w:val="18"/>
          <w:szCs w:val="18"/>
        </w:rPr>
        <w:t>.</w:t>
      </w:r>
    </w:p>
  </w:footnote>
  <w:footnote w:id="7">
    <w:p w14:paraId="18C32863" w14:textId="7AFD0A7C" w:rsidR="00DE25AB" w:rsidRPr="00BB0719" w:rsidRDefault="003A6359" w:rsidP="00580627">
      <w:pPr>
        <w:pStyle w:val="FootnoteText"/>
        <w:rPr>
          <w:rFonts w:ascii="Calibri" w:hAnsi="Calibri" w:cs="Calibri"/>
          <w:sz w:val="18"/>
          <w:szCs w:val="18"/>
        </w:rPr>
      </w:pPr>
      <w:r w:rsidRPr="00BB0719">
        <w:rPr>
          <w:rStyle w:val="FootnoteReference"/>
          <w:rFonts w:ascii="Calibri" w:hAnsi="Calibri" w:cs="Calibri"/>
          <w:sz w:val="18"/>
          <w:szCs w:val="18"/>
        </w:rPr>
        <w:footnoteRef/>
      </w:r>
      <w:r w:rsidRPr="00BB0719">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DD6979" w:rsidRPr="00DD6979">
        <w:rPr>
          <w:rFonts w:ascii="Calibri" w:hAnsi="Calibri" w:cs="Calibri"/>
          <w:i/>
          <w:iCs/>
          <w:sz w:val="18"/>
          <w:szCs w:val="18"/>
        </w:rPr>
        <w:t>The Timing and Quality of Early Experiences Combine to Shape Brain Architecture</w:t>
      </w:r>
      <w:r>
        <w:rPr>
          <w:rFonts w:ascii="Calibri" w:hAnsi="Calibri" w:cs="Calibri"/>
          <w:sz w:val="18"/>
          <w:szCs w:val="18"/>
        </w:rPr>
        <w:t>.</w:t>
      </w:r>
    </w:p>
  </w:footnote>
  <w:footnote w:id="8">
    <w:p w14:paraId="11F11E2E" w14:textId="77777777" w:rsidR="00DE25AB" w:rsidRPr="00BB0719" w:rsidRDefault="003A6359" w:rsidP="00DE25AB">
      <w:pPr>
        <w:pStyle w:val="FootnoteText"/>
        <w:rPr>
          <w:rFonts w:ascii="Calibri" w:hAnsi="Calibri" w:cs="Calibri"/>
          <w:sz w:val="18"/>
          <w:szCs w:val="18"/>
        </w:rPr>
      </w:pPr>
      <w:r w:rsidRPr="00BB0719">
        <w:rPr>
          <w:rStyle w:val="FootnoteReference"/>
          <w:rFonts w:ascii="Calibri" w:hAnsi="Calibri" w:cs="Calibri"/>
          <w:sz w:val="18"/>
          <w:szCs w:val="18"/>
        </w:rPr>
        <w:footnoteRef/>
      </w:r>
      <w:r w:rsidRPr="00BB0719">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w:t>
      </w:r>
      <w:r w:rsidRPr="00481217">
        <w:rPr>
          <w:rFonts w:ascii="Calibri" w:hAnsi="Calibri" w:cs="Calibri"/>
          <w:sz w:val="18"/>
          <w:szCs w:val="18"/>
        </w:rPr>
        <w:t xml:space="preserve"> </w:t>
      </w:r>
      <w:hyperlink r:id="rId5" w:history="1">
        <w:r w:rsidRPr="00481217">
          <w:rPr>
            <w:rStyle w:val="Hyperlink"/>
            <w:rFonts w:ascii="Calibri" w:hAnsi="Calibri" w:cs="Calibri"/>
            <w:i/>
            <w:iCs/>
            <w:sz w:val="18"/>
            <w:szCs w:val="18"/>
          </w:rPr>
          <w:t>Young children develop in an environment of relationships</w:t>
        </w:r>
      </w:hyperlink>
      <w:r>
        <w:rPr>
          <w:rFonts w:ascii="Calibri" w:hAnsi="Calibri" w:cs="Calibri"/>
          <w:sz w:val="18"/>
          <w:szCs w:val="18"/>
        </w:rPr>
        <w:t>,</w:t>
      </w:r>
      <w:r w:rsidRPr="00481217">
        <w:rPr>
          <w:rFonts w:ascii="Calibri" w:hAnsi="Calibri" w:cs="Calibri"/>
          <w:sz w:val="18"/>
          <w:szCs w:val="18"/>
        </w:rPr>
        <w:t xml:space="preserve"> Working Paper No. 1</w:t>
      </w:r>
      <w:r>
        <w:rPr>
          <w:rFonts w:ascii="Calibri" w:hAnsi="Calibri" w:cs="Calibri"/>
          <w:sz w:val="18"/>
          <w:szCs w:val="18"/>
        </w:rPr>
        <w:t>,</w:t>
      </w:r>
      <w:r w:rsidRPr="00481217">
        <w:rPr>
          <w:rFonts w:ascii="Calibri" w:hAnsi="Calibri" w:cs="Calibri"/>
          <w:sz w:val="18"/>
          <w:szCs w:val="18"/>
        </w:rPr>
        <w:t xml:space="preserve"> </w:t>
      </w:r>
      <w:r w:rsidRPr="00BB0719">
        <w:rPr>
          <w:rFonts w:ascii="Calibri" w:hAnsi="Calibri" w:cs="Calibri"/>
          <w:sz w:val="18"/>
          <w:szCs w:val="18"/>
        </w:rPr>
        <w:t>Center on the Developing Child</w:t>
      </w:r>
      <w:r>
        <w:rPr>
          <w:rFonts w:ascii="Calibri" w:hAnsi="Calibri" w:cs="Calibri"/>
          <w:sz w:val="18"/>
          <w:szCs w:val="18"/>
        </w:rPr>
        <w:t>, Harvard University, 2004.</w:t>
      </w:r>
    </w:p>
  </w:footnote>
  <w:footnote w:id="9">
    <w:p w14:paraId="6A1F97BC" w14:textId="77777777" w:rsidR="00DE25AB" w:rsidRPr="00551396" w:rsidRDefault="003A6359" w:rsidP="006B3853">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Center on the Developing Child, </w:t>
      </w:r>
      <w:r w:rsidRPr="0067544A">
        <w:rPr>
          <w:rFonts w:ascii="Calibri" w:hAnsi="Calibri" w:cs="Calibri"/>
          <w:i/>
          <w:iCs/>
          <w:sz w:val="18"/>
          <w:szCs w:val="18"/>
        </w:rPr>
        <w:t xml:space="preserve">Inbrief: </w:t>
      </w:r>
      <w:r w:rsidRPr="0067544A">
        <w:rPr>
          <w:rFonts w:ascii="Calibri" w:eastAsiaTheme="majorEastAsia" w:hAnsi="Calibri" w:cs="Calibri"/>
          <w:i/>
          <w:iCs/>
          <w:sz w:val="18"/>
          <w:szCs w:val="18"/>
        </w:rPr>
        <w:t>The Science of Early Childhood Development</w:t>
      </w:r>
      <w:r>
        <w:rPr>
          <w:rFonts w:ascii="Calibri" w:eastAsiaTheme="majorEastAsia" w:hAnsi="Calibri" w:cs="Calibri"/>
          <w:i/>
          <w:iCs/>
          <w:sz w:val="18"/>
          <w:szCs w:val="18"/>
        </w:rPr>
        <w:t>.</w:t>
      </w:r>
    </w:p>
  </w:footnote>
  <w:footnote w:id="10">
    <w:p w14:paraId="590CFD02" w14:textId="65A14959" w:rsidR="00DE25AB" w:rsidRPr="00551396" w:rsidRDefault="003A6359" w:rsidP="00580627">
      <w:pPr>
        <w:spacing w:after="0" w:line="240" w:lineRule="auto"/>
        <w:rPr>
          <w:rFonts w:ascii="Calibri" w:hAnsi="Calibri" w:cs="Calibri"/>
          <w:sz w:val="18"/>
          <w:szCs w:val="18"/>
        </w:rPr>
      </w:pPr>
      <w:r w:rsidRPr="00555FB7">
        <w:rPr>
          <w:rFonts w:ascii="Calibri" w:hAnsi="Calibri" w:cs="Calibri"/>
          <w:sz w:val="18"/>
          <w:szCs w:val="18"/>
          <w:vertAlign w:val="superscript"/>
        </w:rPr>
        <w:footnoteRef/>
      </w:r>
      <w:r w:rsidRPr="00551396">
        <w:rPr>
          <w:rFonts w:ascii="Calibri" w:hAnsi="Calibri" w:cs="Calibri"/>
          <w:sz w:val="18"/>
          <w:szCs w:val="18"/>
        </w:rPr>
        <w:t xml:space="preserve"> </w:t>
      </w:r>
      <w:r w:rsidRPr="00BB0719">
        <w:rPr>
          <w:rStyle w:val="cf01"/>
          <w:rFonts w:ascii="Calibri" w:hAnsi="Calibri" w:cs="Calibri"/>
        </w:rPr>
        <w:t xml:space="preserve">National Scientific Council on the Developing Child, </w:t>
      </w:r>
      <w:r w:rsidR="00DD6979" w:rsidRPr="00BB0719">
        <w:rPr>
          <w:rStyle w:val="cf01"/>
          <w:rFonts w:ascii="Calibri" w:hAnsi="Calibri" w:cs="Calibri"/>
          <w:i/>
          <w:iCs/>
        </w:rPr>
        <w:t>Connecting the Brain to the Rest of the Body: Early Childhood Development and Lifelong Health Are Deeply Intertwined</w:t>
      </w:r>
      <w:r>
        <w:rPr>
          <w:rFonts w:ascii="Calibri" w:hAnsi="Calibri" w:cs="Calibri"/>
          <w:sz w:val="18"/>
          <w:szCs w:val="18"/>
        </w:rPr>
        <w:t>.</w:t>
      </w:r>
    </w:p>
  </w:footnote>
  <w:footnote w:id="11">
    <w:p w14:paraId="62531D47" w14:textId="28705E8B" w:rsidR="00DE25AB" w:rsidRPr="00BB0719" w:rsidRDefault="003A6359" w:rsidP="00580627">
      <w:pPr>
        <w:pStyle w:val="FootnoteText"/>
        <w:rPr>
          <w:rFonts w:ascii="Calibri" w:hAnsi="Calibri" w:cs="Calibri"/>
          <w:sz w:val="18"/>
          <w:szCs w:val="18"/>
        </w:rPr>
      </w:pPr>
      <w:r w:rsidRPr="00BB0719">
        <w:rPr>
          <w:rStyle w:val="FootnoteReference"/>
          <w:rFonts w:ascii="Calibri" w:hAnsi="Calibri" w:cs="Calibri"/>
          <w:sz w:val="18"/>
          <w:szCs w:val="18"/>
        </w:rPr>
        <w:footnoteRef/>
      </w:r>
      <w:r>
        <w:rPr>
          <w:rFonts w:ascii="Calibri" w:eastAsiaTheme="majorEastAsia" w:hAnsi="Calibri" w:cs="Calibri"/>
          <w:sz w:val="18"/>
          <w:szCs w:val="18"/>
        </w:rPr>
        <w:t xml:space="preserve"> </w:t>
      </w:r>
      <w:r w:rsidR="008F0AD5">
        <w:rPr>
          <w:rFonts w:ascii="Calibri" w:eastAsiaTheme="majorEastAsia" w:hAnsi="Calibri" w:cs="Calibri"/>
          <w:sz w:val="18"/>
          <w:szCs w:val="18"/>
        </w:rPr>
        <w:t xml:space="preserve">K </w:t>
      </w:r>
      <w:r w:rsidRPr="00BB0719">
        <w:rPr>
          <w:rFonts w:ascii="Calibri" w:eastAsiaTheme="majorEastAsia" w:hAnsi="Calibri" w:cs="Calibri"/>
          <w:sz w:val="18"/>
          <w:szCs w:val="18"/>
        </w:rPr>
        <w:t xml:space="preserve">Radford, </w:t>
      </w:r>
      <w:r w:rsidR="008F0AD5">
        <w:rPr>
          <w:rFonts w:ascii="Calibri" w:eastAsiaTheme="majorEastAsia" w:hAnsi="Calibri" w:cs="Calibri"/>
          <w:sz w:val="18"/>
          <w:szCs w:val="18"/>
        </w:rPr>
        <w:t>R</w:t>
      </w:r>
      <w:r w:rsidRPr="00BB0719">
        <w:rPr>
          <w:rFonts w:ascii="Calibri" w:eastAsiaTheme="majorEastAsia" w:hAnsi="Calibri" w:cs="Calibri"/>
          <w:sz w:val="18"/>
          <w:szCs w:val="18"/>
        </w:rPr>
        <w:t xml:space="preserve"> Gould, </w:t>
      </w:r>
      <w:r w:rsidR="008F0AD5">
        <w:rPr>
          <w:rFonts w:ascii="Calibri" w:eastAsiaTheme="majorEastAsia" w:hAnsi="Calibri" w:cs="Calibri"/>
          <w:sz w:val="18"/>
          <w:szCs w:val="18"/>
        </w:rPr>
        <w:t>N</w:t>
      </w:r>
      <w:r w:rsidRPr="00BB0719">
        <w:rPr>
          <w:rFonts w:ascii="Calibri" w:eastAsiaTheme="majorEastAsia" w:hAnsi="Calibri" w:cs="Calibri"/>
          <w:sz w:val="18"/>
          <w:szCs w:val="18"/>
        </w:rPr>
        <w:t xml:space="preserve"> Vecchio </w:t>
      </w:r>
      <w:r>
        <w:rPr>
          <w:rFonts w:ascii="Calibri" w:eastAsiaTheme="majorEastAsia" w:hAnsi="Calibri" w:cs="Calibri"/>
          <w:sz w:val="18"/>
          <w:szCs w:val="18"/>
        </w:rPr>
        <w:t>and</w:t>
      </w:r>
      <w:r w:rsidRPr="00BB0719">
        <w:rPr>
          <w:rFonts w:ascii="Calibri" w:eastAsiaTheme="majorEastAsia" w:hAnsi="Calibri" w:cs="Calibri"/>
          <w:sz w:val="18"/>
          <w:szCs w:val="18"/>
        </w:rPr>
        <w:t xml:space="preserve"> </w:t>
      </w:r>
      <w:r w:rsidR="008F0AD5">
        <w:rPr>
          <w:rFonts w:ascii="Calibri" w:eastAsiaTheme="majorEastAsia" w:hAnsi="Calibri" w:cs="Calibri"/>
          <w:sz w:val="18"/>
          <w:szCs w:val="18"/>
        </w:rPr>
        <w:t xml:space="preserve">A </w:t>
      </w:r>
      <w:r w:rsidRPr="00BB0719">
        <w:rPr>
          <w:rFonts w:ascii="Calibri" w:eastAsiaTheme="majorEastAsia" w:hAnsi="Calibri" w:cs="Calibri"/>
          <w:sz w:val="18"/>
          <w:szCs w:val="18"/>
        </w:rPr>
        <w:t>Fitzgerald</w:t>
      </w:r>
      <w:r w:rsidR="008F0AD5">
        <w:rPr>
          <w:rFonts w:ascii="Calibri" w:eastAsiaTheme="majorEastAsia" w:hAnsi="Calibri" w:cs="Calibri"/>
          <w:sz w:val="18"/>
          <w:szCs w:val="18"/>
        </w:rPr>
        <w:t>,</w:t>
      </w:r>
      <w:r w:rsidRPr="00BB0719">
        <w:rPr>
          <w:rFonts w:ascii="Calibri" w:eastAsiaTheme="majorEastAsia" w:hAnsi="Calibri" w:cs="Calibri"/>
          <w:sz w:val="18"/>
          <w:szCs w:val="18"/>
        </w:rPr>
        <w:t xml:space="preserve"> ‘Unpacking intergenerational (IG) programs for policy implications: A systematic review of the literature’</w:t>
      </w:r>
      <w:r>
        <w:rPr>
          <w:rFonts w:ascii="Calibri" w:eastAsiaTheme="majorEastAsia" w:hAnsi="Calibri" w:cs="Calibri"/>
          <w:sz w:val="18"/>
          <w:szCs w:val="18"/>
        </w:rPr>
        <w:t>,</w:t>
      </w:r>
      <w:r w:rsidRPr="00BB0719">
        <w:rPr>
          <w:rFonts w:ascii="Calibri" w:eastAsiaTheme="majorEastAsia" w:hAnsi="Calibri" w:cs="Calibri"/>
          <w:sz w:val="18"/>
          <w:szCs w:val="18"/>
        </w:rPr>
        <w:t xml:space="preserve"> </w:t>
      </w:r>
      <w:r w:rsidRPr="00BB0719">
        <w:rPr>
          <w:rFonts w:ascii="Calibri" w:eastAsiaTheme="majorEastAsia" w:hAnsi="Calibri" w:cs="Calibri"/>
          <w:i/>
          <w:iCs/>
          <w:sz w:val="18"/>
          <w:szCs w:val="18"/>
        </w:rPr>
        <w:t>Journal of Intergenerational Relationships</w:t>
      </w:r>
      <w:r>
        <w:rPr>
          <w:rFonts w:ascii="Calibri" w:eastAsiaTheme="majorEastAsia" w:hAnsi="Calibri" w:cs="Calibri"/>
          <w:sz w:val="18"/>
          <w:szCs w:val="18"/>
        </w:rPr>
        <w:t>,</w:t>
      </w:r>
      <w:r w:rsidRPr="00BB0719">
        <w:rPr>
          <w:rFonts w:ascii="Calibri" w:eastAsiaTheme="majorEastAsia" w:hAnsi="Calibri" w:cs="Calibri"/>
          <w:sz w:val="18"/>
          <w:szCs w:val="18"/>
        </w:rPr>
        <w:t xml:space="preserve"> </w:t>
      </w:r>
      <w:r>
        <w:rPr>
          <w:rFonts w:ascii="Calibri" w:eastAsiaTheme="majorEastAsia" w:hAnsi="Calibri" w:cs="Calibri"/>
          <w:sz w:val="18"/>
          <w:szCs w:val="18"/>
        </w:rPr>
        <w:t xml:space="preserve">2018, </w:t>
      </w:r>
      <w:r w:rsidRPr="00BB0719">
        <w:rPr>
          <w:rFonts w:ascii="Calibri" w:eastAsiaTheme="majorEastAsia" w:hAnsi="Calibri" w:cs="Calibri"/>
          <w:sz w:val="18"/>
          <w:szCs w:val="18"/>
        </w:rPr>
        <w:t>16</w:t>
      </w:r>
      <w:r>
        <w:rPr>
          <w:rFonts w:ascii="Calibri" w:eastAsiaTheme="majorEastAsia" w:hAnsi="Calibri" w:cs="Calibri"/>
          <w:sz w:val="18"/>
          <w:szCs w:val="18"/>
        </w:rPr>
        <w:t>:</w:t>
      </w:r>
      <w:r w:rsidRPr="00BB0719">
        <w:rPr>
          <w:rFonts w:ascii="Calibri" w:eastAsiaTheme="majorEastAsia" w:hAnsi="Calibri" w:cs="Calibri"/>
          <w:sz w:val="18"/>
          <w:szCs w:val="18"/>
        </w:rPr>
        <w:t>302</w:t>
      </w:r>
      <w:r>
        <w:rPr>
          <w:rFonts w:ascii="Calibri" w:eastAsiaTheme="majorEastAsia" w:hAnsi="Calibri" w:cs="Calibri"/>
          <w:sz w:val="18"/>
          <w:szCs w:val="18"/>
        </w:rPr>
        <w:t>–</w:t>
      </w:r>
      <w:r w:rsidRPr="00BB0719">
        <w:rPr>
          <w:rFonts w:ascii="Calibri" w:eastAsiaTheme="majorEastAsia" w:hAnsi="Calibri" w:cs="Calibri"/>
          <w:sz w:val="18"/>
          <w:szCs w:val="18"/>
        </w:rPr>
        <w:t>329</w:t>
      </w:r>
      <w:r>
        <w:rPr>
          <w:rFonts w:ascii="Calibri" w:eastAsiaTheme="majorEastAsia" w:hAnsi="Calibri" w:cs="Calibri"/>
          <w:sz w:val="18"/>
          <w:szCs w:val="18"/>
        </w:rPr>
        <w:t>,</w:t>
      </w:r>
      <w:r w:rsidRPr="00BB0719">
        <w:rPr>
          <w:rFonts w:ascii="Calibri" w:eastAsiaTheme="majorEastAsia" w:hAnsi="Calibri" w:cs="Calibri"/>
          <w:sz w:val="18"/>
          <w:szCs w:val="18"/>
        </w:rPr>
        <w:t xml:space="preserve"> </w:t>
      </w:r>
      <w:r>
        <w:rPr>
          <w:rFonts w:ascii="Calibri" w:eastAsiaTheme="majorEastAsia" w:hAnsi="Calibri" w:cs="Calibri"/>
          <w:sz w:val="18"/>
          <w:szCs w:val="18"/>
        </w:rPr>
        <w:t>doi:</w:t>
      </w:r>
      <w:r w:rsidRPr="00BB0719">
        <w:rPr>
          <w:rFonts w:ascii="Calibri" w:eastAsiaTheme="majorEastAsia" w:hAnsi="Calibri" w:cs="Calibri"/>
          <w:sz w:val="18"/>
          <w:szCs w:val="18"/>
        </w:rPr>
        <w:t>10.1080/15350770.2018.1477650.</w:t>
      </w:r>
    </w:p>
  </w:footnote>
  <w:footnote w:id="12">
    <w:p w14:paraId="299707AF" w14:textId="77777777" w:rsidR="00DE25AB" w:rsidRPr="00BB0719" w:rsidRDefault="003A6359" w:rsidP="00580627">
      <w:pPr>
        <w:pStyle w:val="FootnoteText"/>
        <w:rPr>
          <w:rFonts w:ascii="Calibri" w:hAnsi="Calibri" w:cs="Calibri"/>
          <w:sz w:val="18"/>
          <w:szCs w:val="18"/>
        </w:rPr>
      </w:pPr>
      <w:r w:rsidRPr="00BB0719">
        <w:rPr>
          <w:rStyle w:val="FootnoteReference"/>
          <w:rFonts w:ascii="Calibri" w:hAnsi="Calibri" w:cs="Calibri"/>
          <w:sz w:val="18"/>
          <w:szCs w:val="18"/>
        </w:rPr>
        <w:footnoteRef/>
      </w:r>
      <w:r w:rsidRPr="00BB0719">
        <w:rPr>
          <w:rFonts w:ascii="Calibri" w:hAnsi="Calibri" w:cs="Calibri"/>
          <w:sz w:val="18"/>
          <w:szCs w:val="18"/>
        </w:rPr>
        <w:t xml:space="preserve"> </w:t>
      </w:r>
      <w:bookmarkStart w:id="11" w:name="_Hlk161136524"/>
      <w:r w:rsidRPr="008F0AD5">
        <w:rPr>
          <w:rFonts w:ascii="Calibri" w:eastAsiaTheme="majorEastAsia" w:hAnsi="Calibri" w:cs="Calibri"/>
          <w:sz w:val="18"/>
          <w:szCs w:val="18"/>
        </w:rPr>
        <w:t>K Nomaguchi and MA Milkie, ‘Parenthood and well-being: A decade in review’, Journal of Marriage and Family, 2020, 82(1), 198–223.</w:t>
      </w:r>
      <w:bookmarkEnd w:id="11"/>
    </w:p>
  </w:footnote>
  <w:footnote w:id="13">
    <w:p w14:paraId="220E84B7" w14:textId="77777777" w:rsidR="00DE25AB" w:rsidRPr="00551396" w:rsidRDefault="003A6359" w:rsidP="00580627">
      <w:pPr>
        <w:pStyle w:val="FootnoteText"/>
        <w:spacing w:after="120"/>
        <w:rPr>
          <w:rFonts w:ascii="Calibri" w:hAnsi="Calibri" w:cs="Calibri"/>
          <w:sz w:val="18"/>
          <w:szCs w:val="18"/>
        </w:rPr>
      </w:pPr>
      <w:r w:rsidRPr="00BB0719">
        <w:rPr>
          <w:rStyle w:val="FootnoteReference"/>
          <w:rFonts w:ascii="Calibri" w:hAnsi="Calibri" w:cs="Calibri"/>
          <w:sz w:val="18"/>
          <w:szCs w:val="18"/>
        </w:rPr>
        <w:footnoteRef/>
      </w:r>
      <w:r w:rsidRPr="00BB0719">
        <w:rPr>
          <w:rFonts w:ascii="Calibri" w:hAnsi="Calibri" w:cs="Calibri"/>
          <w:sz w:val="18"/>
          <w:szCs w:val="18"/>
        </w:rPr>
        <w:t xml:space="preserve"> </w:t>
      </w:r>
      <w:r w:rsidRPr="008F0AD5">
        <w:rPr>
          <w:rFonts w:ascii="Calibri" w:eastAsiaTheme="majorEastAsia" w:hAnsi="Calibri" w:cs="Calibri"/>
          <w:sz w:val="18"/>
          <w:szCs w:val="18"/>
        </w:rPr>
        <w:t>Nomaguchi and Milkie, ‘Parenthood and well-being’.</w:t>
      </w:r>
    </w:p>
  </w:footnote>
  <w:footnote w:id="14">
    <w:p w14:paraId="2206268A" w14:textId="75E3D2EA" w:rsidR="00DE25AB" w:rsidRPr="00551396" w:rsidRDefault="003A6359" w:rsidP="00580627">
      <w:pPr>
        <w:pStyle w:val="FootnoteText"/>
      </w:pPr>
      <w:r w:rsidRPr="00580627">
        <w:rPr>
          <w:rStyle w:val="FootnoteReference"/>
          <w:rFonts w:ascii="Calibri" w:hAnsi="Calibri" w:cs="Calibri"/>
          <w:sz w:val="18"/>
        </w:rPr>
        <w:footnoteRef/>
      </w:r>
      <w:r w:rsidRPr="00580627">
        <w:rPr>
          <w:rFonts w:ascii="Calibri" w:hAnsi="Calibri" w:cs="Calibri"/>
          <w:sz w:val="18"/>
        </w:rPr>
        <w:t xml:space="preserve"> </w:t>
      </w:r>
      <w:r w:rsidRPr="00F74F7A">
        <w:rPr>
          <w:rFonts w:ascii="Calibri" w:hAnsi="Calibri" w:cs="Calibri"/>
          <w:sz w:val="18"/>
          <w:szCs w:val="18"/>
        </w:rPr>
        <w:t>A</w:t>
      </w:r>
      <w:r>
        <w:rPr>
          <w:rFonts w:ascii="Calibri" w:hAnsi="Calibri" w:cs="Calibri"/>
          <w:sz w:val="18"/>
          <w:szCs w:val="18"/>
        </w:rPr>
        <w:t xml:space="preserve">ustralian Institute of Health and Welfare, </w:t>
      </w:r>
      <w:hyperlink r:id="rId6" w:anchor=":~:text=The%20National%20Perinatal%20Data%20Collection%20%28NPDC%29%20is%20a,collection%20in%20each%20state%20and%20territory%20in%20Australia." w:history="1">
        <w:r w:rsidRPr="0012737C">
          <w:rPr>
            <w:rStyle w:val="Hyperlink"/>
            <w:rFonts w:ascii="Calibri" w:hAnsi="Calibri" w:cs="Calibri"/>
            <w:i/>
            <w:iCs/>
            <w:sz w:val="18"/>
            <w:szCs w:val="18"/>
          </w:rPr>
          <w:t>National Perinatal Data Collection</w:t>
        </w:r>
      </w:hyperlink>
      <w:r w:rsidRPr="0067544A">
        <w:rPr>
          <w:rFonts w:ascii="Calibri" w:hAnsi="Calibri" w:cs="Calibri"/>
          <w:sz w:val="18"/>
          <w:szCs w:val="18"/>
        </w:rPr>
        <w:t xml:space="preserve"> annual</w:t>
      </w:r>
      <w:r w:rsidRPr="00F74F7A">
        <w:rPr>
          <w:rFonts w:ascii="Calibri" w:hAnsi="Calibri" w:cs="Calibri"/>
          <w:sz w:val="18"/>
          <w:szCs w:val="18"/>
        </w:rPr>
        <w:t xml:space="preserve"> update 2021 data visualisations </w:t>
      </w:r>
      <w:r w:rsidR="000B49F4">
        <w:rPr>
          <w:rFonts w:ascii="Calibri" w:hAnsi="Calibri" w:cs="Calibri"/>
          <w:sz w:val="18"/>
          <w:szCs w:val="18"/>
        </w:rPr>
        <w:t>[</w:t>
      </w:r>
      <w:r w:rsidRPr="00F74F7A">
        <w:rPr>
          <w:rFonts w:ascii="Calibri" w:hAnsi="Calibri" w:cs="Calibri"/>
          <w:sz w:val="18"/>
          <w:szCs w:val="18"/>
        </w:rPr>
        <w:t>Table 4.2</w:t>
      </w:r>
      <w:r w:rsidR="000B49F4">
        <w:rPr>
          <w:rFonts w:ascii="Calibri" w:hAnsi="Calibri" w:cs="Calibri"/>
          <w:sz w:val="18"/>
          <w:szCs w:val="18"/>
        </w:rPr>
        <w:t>]</w:t>
      </w:r>
      <w:r>
        <w:rPr>
          <w:rFonts w:ascii="Calibri" w:hAnsi="Calibri" w:cs="Calibri"/>
          <w:sz w:val="18"/>
          <w:szCs w:val="18"/>
        </w:rPr>
        <w:t>, AIHW,</w:t>
      </w:r>
      <w:r w:rsidRPr="00F74F7A">
        <w:rPr>
          <w:rFonts w:ascii="Calibri" w:hAnsi="Calibri" w:cs="Calibri"/>
          <w:sz w:val="18"/>
          <w:szCs w:val="18"/>
        </w:rPr>
        <w:t xml:space="preserve"> Canberra</w:t>
      </w:r>
      <w:r>
        <w:rPr>
          <w:rFonts w:ascii="Calibri" w:hAnsi="Calibri" w:cs="Calibri"/>
          <w:sz w:val="18"/>
          <w:szCs w:val="18"/>
        </w:rPr>
        <w:t xml:space="preserve">, 2021 </w:t>
      </w:r>
      <w:r w:rsidRPr="0067544A">
        <w:rPr>
          <w:rFonts w:ascii="Calibri" w:hAnsi="Calibri" w:cs="Calibri"/>
          <w:b/>
          <w:bCs/>
          <w:sz w:val="18"/>
          <w:szCs w:val="18"/>
        </w:rPr>
        <w:t>and</w:t>
      </w:r>
      <w:r>
        <w:rPr>
          <w:rFonts w:ascii="Calibri" w:hAnsi="Calibri" w:cs="Calibri"/>
          <w:sz w:val="18"/>
          <w:szCs w:val="18"/>
        </w:rPr>
        <w:t xml:space="preserve"> </w:t>
      </w:r>
      <w:r w:rsidRPr="00BC60DF">
        <w:rPr>
          <w:rFonts w:ascii="Calibri" w:hAnsi="Calibri" w:cs="Calibri"/>
          <w:sz w:val="18"/>
          <w:szCs w:val="18"/>
        </w:rPr>
        <w:t>Department of Health and Aged Care</w:t>
      </w:r>
      <w:r>
        <w:rPr>
          <w:rFonts w:ascii="Calibri" w:hAnsi="Calibri" w:cs="Calibri"/>
          <w:sz w:val="18"/>
          <w:szCs w:val="18"/>
        </w:rPr>
        <w:t>,</w:t>
      </w:r>
      <w:r w:rsidRPr="00BC60DF">
        <w:rPr>
          <w:rFonts w:ascii="Calibri" w:hAnsi="Calibri" w:cs="Calibri"/>
          <w:sz w:val="18"/>
          <w:szCs w:val="18"/>
        </w:rPr>
        <w:t xml:space="preserve"> </w:t>
      </w:r>
      <w:r w:rsidRPr="00BC60DF">
        <w:rPr>
          <w:rFonts w:ascii="Calibri" w:hAnsi="Calibri" w:cs="Calibri"/>
          <w:i/>
          <w:sz w:val="18"/>
          <w:szCs w:val="18"/>
        </w:rPr>
        <w:t>Immunisation Data: Historical coverage</w:t>
      </w:r>
      <w:r w:rsidRPr="00BC60DF">
        <w:rPr>
          <w:rFonts w:ascii="Calibri" w:hAnsi="Calibri" w:cs="Calibri"/>
          <w:sz w:val="18"/>
          <w:szCs w:val="18"/>
        </w:rPr>
        <w:t xml:space="preserve"> </w:t>
      </w:r>
      <w:r>
        <w:rPr>
          <w:rFonts w:ascii="Calibri" w:hAnsi="Calibri" w:cs="Calibri"/>
          <w:sz w:val="18"/>
          <w:szCs w:val="18"/>
        </w:rPr>
        <w:t>[</w:t>
      </w:r>
      <w:r w:rsidRPr="00BC60DF">
        <w:rPr>
          <w:rFonts w:ascii="Calibri" w:hAnsi="Calibri" w:cs="Calibri"/>
          <w:sz w:val="18"/>
          <w:szCs w:val="18"/>
        </w:rPr>
        <w:t>data tables for all children</w:t>
      </w:r>
      <w:r>
        <w:rPr>
          <w:rFonts w:ascii="Calibri" w:hAnsi="Calibri" w:cs="Calibri"/>
          <w:sz w:val="18"/>
          <w:szCs w:val="18"/>
        </w:rPr>
        <w:t>]</w:t>
      </w:r>
      <w:r w:rsidRPr="00BC60DF">
        <w:rPr>
          <w:rFonts w:ascii="Calibri" w:hAnsi="Calibri" w:cs="Calibri"/>
          <w:sz w:val="18"/>
          <w:szCs w:val="18"/>
        </w:rPr>
        <w:t>, Canberra</w:t>
      </w:r>
      <w:r>
        <w:rPr>
          <w:rFonts w:ascii="Calibri" w:hAnsi="Calibri" w:cs="Calibri"/>
          <w:sz w:val="18"/>
          <w:szCs w:val="18"/>
        </w:rPr>
        <w:t xml:space="preserve">, 2023 </w:t>
      </w:r>
      <w:r w:rsidRPr="0067544A">
        <w:rPr>
          <w:rFonts w:ascii="Calibri" w:hAnsi="Calibri" w:cs="Calibri"/>
          <w:b/>
          <w:bCs/>
          <w:sz w:val="18"/>
          <w:szCs w:val="18"/>
        </w:rPr>
        <w:t>and</w:t>
      </w:r>
      <w:r>
        <w:rPr>
          <w:rFonts w:ascii="Calibri" w:hAnsi="Calibri" w:cs="Calibri"/>
          <w:sz w:val="18"/>
          <w:szCs w:val="18"/>
        </w:rPr>
        <w:t xml:space="preserve"> </w:t>
      </w:r>
      <w:r w:rsidRPr="00F76C6A">
        <w:rPr>
          <w:rFonts w:ascii="Calibri" w:hAnsi="Calibri" w:cs="Calibri"/>
          <w:sz w:val="18"/>
          <w:szCs w:val="18"/>
        </w:rPr>
        <w:t>Australian Bureau of Statistics</w:t>
      </w:r>
      <w:r>
        <w:rPr>
          <w:rFonts w:ascii="Calibri" w:hAnsi="Calibri" w:cs="Calibri"/>
          <w:sz w:val="18"/>
          <w:szCs w:val="18"/>
        </w:rPr>
        <w:t>,</w:t>
      </w:r>
      <w:r w:rsidRPr="00F74F7A">
        <w:rPr>
          <w:rFonts w:ascii="Calibri" w:hAnsi="Calibri" w:cs="Calibri"/>
          <w:color w:val="000000"/>
          <w:sz w:val="18"/>
          <w:szCs w:val="18"/>
        </w:rPr>
        <w:t xml:space="preserve"> </w:t>
      </w:r>
      <w:r w:rsidRPr="00F76C6A">
        <w:rPr>
          <w:rFonts w:ascii="Calibri" w:hAnsi="Calibri" w:cs="Calibri"/>
          <w:i/>
          <w:color w:val="000000"/>
          <w:sz w:val="18"/>
          <w:szCs w:val="18"/>
        </w:rPr>
        <w:t>Preschool Education</w:t>
      </w:r>
      <w:r w:rsidRPr="00F74F7A">
        <w:rPr>
          <w:rFonts w:ascii="Calibri" w:hAnsi="Calibri" w:cs="Calibri"/>
          <w:color w:val="000000"/>
          <w:sz w:val="18"/>
          <w:szCs w:val="18"/>
        </w:rPr>
        <w:t xml:space="preserve"> </w:t>
      </w:r>
      <w:r w:rsidRPr="00802A9D">
        <w:rPr>
          <w:rFonts w:ascii="Calibri" w:hAnsi="Calibri" w:cs="Calibri"/>
          <w:i/>
          <w:color w:val="000000"/>
          <w:sz w:val="18"/>
          <w:szCs w:val="18"/>
        </w:rPr>
        <w:t>2022</w:t>
      </w:r>
      <w:r w:rsidRPr="00F74F7A">
        <w:rPr>
          <w:rFonts w:ascii="Calibri" w:hAnsi="Calibri" w:cs="Calibri"/>
          <w:color w:val="000000"/>
          <w:sz w:val="18"/>
          <w:szCs w:val="18"/>
        </w:rPr>
        <w:t xml:space="preserve">, ABS </w:t>
      </w:r>
      <w:r>
        <w:rPr>
          <w:rFonts w:ascii="Calibri" w:hAnsi="Calibri" w:cs="Calibri"/>
          <w:color w:val="000000"/>
          <w:sz w:val="18"/>
          <w:szCs w:val="18"/>
        </w:rPr>
        <w:t>w</w:t>
      </w:r>
      <w:r w:rsidRPr="00F74F7A">
        <w:rPr>
          <w:rFonts w:ascii="Calibri" w:hAnsi="Calibri" w:cs="Calibri"/>
          <w:color w:val="000000"/>
          <w:sz w:val="18"/>
          <w:szCs w:val="18"/>
        </w:rPr>
        <w:t xml:space="preserve">ebsite, </w:t>
      </w:r>
      <w:r>
        <w:rPr>
          <w:rFonts w:ascii="Calibri" w:hAnsi="Calibri" w:cs="Calibri"/>
          <w:color w:val="000000"/>
          <w:sz w:val="18"/>
          <w:szCs w:val="18"/>
        </w:rPr>
        <w:t xml:space="preserve">2023, </w:t>
      </w:r>
      <w:r w:rsidRPr="00F74F7A">
        <w:rPr>
          <w:rFonts w:ascii="Calibri" w:hAnsi="Calibri" w:cs="Calibri"/>
          <w:color w:val="000000"/>
          <w:sz w:val="18"/>
          <w:szCs w:val="18"/>
        </w:rPr>
        <w:t>accessed 31 August 2023</w:t>
      </w:r>
      <w:r>
        <w:rPr>
          <w:rFonts w:ascii="Calibri" w:hAnsi="Calibri" w:cs="Calibri"/>
          <w:color w:val="000000"/>
          <w:sz w:val="18"/>
          <w:szCs w:val="18"/>
        </w:rPr>
        <w:t>.</w:t>
      </w:r>
    </w:p>
  </w:footnote>
  <w:footnote w:id="15">
    <w:p w14:paraId="61014F9A"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Pr>
          <w:rFonts w:ascii="Calibri" w:hAnsi="Calibri" w:cs="Calibri"/>
          <w:sz w:val="18"/>
          <w:szCs w:val="18"/>
        </w:rPr>
        <w:t>Australian Early Development Census,</w:t>
      </w:r>
      <w:r w:rsidRPr="00F74F7A">
        <w:rPr>
          <w:rFonts w:ascii="Calibri" w:hAnsi="Calibri" w:cs="Calibri"/>
          <w:sz w:val="18"/>
          <w:szCs w:val="18"/>
        </w:rPr>
        <w:t xml:space="preserve"> </w:t>
      </w:r>
      <w:hyperlink r:id="rId7" w:history="1">
        <w:r w:rsidRPr="00354395">
          <w:rPr>
            <w:rStyle w:val="Hyperlink"/>
            <w:rFonts w:ascii="Calibri" w:hAnsi="Calibri" w:cs="Calibri"/>
            <w:i/>
            <w:iCs/>
            <w:sz w:val="18"/>
            <w:szCs w:val="18"/>
          </w:rPr>
          <w:t>Australian Early Development Census National Report 2021</w:t>
        </w:r>
      </w:hyperlink>
      <w:r w:rsidRPr="00F74F7A">
        <w:rPr>
          <w:rFonts w:ascii="Calibri" w:hAnsi="Calibri" w:cs="Calibri"/>
          <w:sz w:val="18"/>
          <w:szCs w:val="18"/>
        </w:rPr>
        <w:t xml:space="preserve">, </w:t>
      </w:r>
      <w:r>
        <w:rPr>
          <w:rFonts w:ascii="Calibri" w:hAnsi="Calibri" w:cs="Calibri"/>
          <w:sz w:val="18"/>
          <w:szCs w:val="18"/>
        </w:rPr>
        <w:t>AEDC, 2022, accessed 14 September 2023.</w:t>
      </w:r>
    </w:p>
  </w:footnote>
  <w:footnote w:id="16">
    <w:p w14:paraId="0A57AE20" w14:textId="3C7AC038"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AEDC</w:t>
      </w:r>
      <w:r>
        <w:rPr>
          <w:rFonts w:ascii="Calibri" w:hAnsi="Calibri" w:cs="Calibri"/>
          <w:sz w:val="18"/>
          <w:szCs w:val="18"/>
        </w:rPr>
        <w:t>,</w:t>
      </w:r>
      <w:r w:rsidRPr="00F74F7A">
        <w:rPr>
          <w:rFonts w:ascii="Calibri" w:hAnsi="Calibri" w:cs="Calibri"/>
          <w:sz w:val="18"/>
          <w:szCs w:val="18"/>
        </w:rPr>
        <w:t xml:space="preserve"> </w:t>
      </w:r>
      <w:r w:rsidRPr="00354395">
        <w:rPr>
          <w:rFonts w:ascii="Calibri" w:hAnsi="Calibri" w:cs="Calibri"/>
          <w:i/>
          <w:iCs/>
          <w:sz w:val="18"/>
          <w:szCs w:val="18"/>
        </w:rPr>
        <w:t>Australian Early Development Census National Report 2021</w:t>
      </w:r>
      <w:r>
        <w:rPr>
          <w:rFonts w:ascii="Calibri" w:hAnsi="Calibri" w:cs="Calibri"/>
          <w:sz w:val="18"/>
          <w:szCs w:val="18"/>
        </w:rPr>
        <w:t>.</w:t>
      </w:r>
    </w:p>
  </w:footnote>
  <w:footnote w:id="17">
    <w:p w14:paraId="60BFB9AB" w14:textId="4D4DDD5A"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AEDC</w:t>
      </w:r>
      <w:r>
        <w:rPr>
          <w:rFonts w:ascii="Calibri" w:hAnsi="Calibri" w:cs="Calibri"/>
          <w:sz w:val="18"/>
          <w:szCs w:val="18"/>
        </w:rPr>
        <w:t>,</w:t>
      </w:r>
      <w:r w:rsidRPr="00F74F7A">
        <w:rPr>
          <w:rFonts w:ascii="Calibri" w:hAnsi="Calibri" w:cs="Calibri"/>
          <w:sz w:val="18"/>
          <w:szCs w:val="18"/>
        </w:rPr>
        <w:t xml:space="preserve"> </w:t>
      </w:r>
      <w:r w:rsidRPr="00354395">
        <w:rPr>
          <w:rFonts w:ascii="Calibri" w:hAnsi="Calibri" w:cs="Calibri"/>
          <w:i/>
          <w:iCs/>
          <w:sz w:val="18"/>
          <w:szCs w:val="18"/>
        </w:rPr>
        <w:t>Australian Early Development Census National Report 2021</w:t>
      </w:r>
      <w:r>
        <w:rPr>
          <w:rFonts w:ascii="Calibri" w:hAnsi="Calibri" w:cs="Calibri"/>
          <w:sz w:val="18"/>
          <w:szCs w:val="18"/>
        </w:rPr>
        <w:t>.</w:t>
      </w:r>
    </w:p>
  </w:footnote>
  <w:footnote w:id="18">
    <w:p w14:paraId="3642D03B" w14:textId="4899D8F3" w:rsidR="006452FE" w:rsidRDefault="003A6359">
      <w:pPr>
        <w:pStyle w:val="FootnoteText"/>
      </w:pPr>
      <w:r w:rsidRPr="00E26B32">
        <w:rPr>
          <w:rStyle w:val="FootnoteReference"/>
          <w:rFonts w:ascii="Calibri" w:hAnsi="Calibri" w:cs="Calibri"/>
          <w:sz w:val="18"/>
        </w:rPr>
        <w:footnoteRef/>
      </w:r>
      <w:r>
        <w:t xml:space="preserve"> </w:t>
      </w:r>
      <w:r w:rsidR="00697161">
        <w:rPr>
          <w:rFonts w:ascii="Calibri" w:hAnsi="Calibri" w:cs="Calibri"/>
          <w:sz w:val="18"/>
          <w:szCs w:val="18"/>
        </w:rPr>
        <w:t>AEDC</w:t>
      </w:r>
      <w:r>
        <w:rPr>
          <w:rFonts w:ascii="Calibri" w:hAnsi="Calibri" w:cs="Calibri"/>
          <w:sz w:val="18"/>
          <w:szCs w:val="18"/>
        </w:rPr>
        <w:t>,</w:t>
      </w:r>
      <w:r w:rsidRPr="00F74F7A">
        <w:rPr>
          <w:rFonts w:ascii="Calibri" w:hAnsi="Calibri" w:cs="Calibri"/>
          <w:sz w:val="18"/>
          <w:szCs w:val="18"/>
        </w:rPr>
        <w:t xml:space="preserve"> </w:t>
      </w:r>
      <w:r w:rsidRPr="00354395">
        <w:rPr>
          <w:rFonts w:ascii="Calibri" w:hAnsi="Calibri" w:cs="Calibri"/>
          <w:i/>
          <w:iCs/>
          <w:sz w:val="18"/>
          <w:szCs w:val="18"/>
        </w:rPr>
        <w:t>Australian Early Development Census National Report 2021</w:t>
      </w:r>
      <w:r>
        <w:rPr>
          <w:rFonts w:ascii="Calibri" w:hAnsi="Calibri" w:cs="Calibri"/>
          <w:sz w:val="18"/>
          <w:szCs w:val="18"/>
        </w:rPr>
        <w:t>.</w:t>
      </w:r>
    </w:p>
  </w:footnote>
  <w:footnote w:id="19">
    <w:p w14:paraId="3C3B2B9E" w14:textId="77777777" w:rsidR="00DE25AB" w:rsidRPr="00551396" w:rsidRDefault="003A6359" w:rsidP="00580627">
      <w:pPr>
        <w:pStyle w:val="FootnoteText"/>
        <w:spacing w:after="120"/>
        <w:rPr>
          <w:rFonts w:ascii="Calibri" w:hAnsi="Calibri" w:cs="Calibri"/>
          <w:sz w:val="18"/>
          <w:szCs w:val="18"/>
        </w:rPr>
      </w:pPr>
      <w:r w:rsidRPr="00580627">
        <w:rPr>
          <w:rStyle w:val="FootnoteReference"/>
          <w:rFonts w:ascii="Calibri" w:hAnsi="Calibri" w:cs="Calibri"/>
          <w:sz w:val="18"/>
        </w:rPr>
        <w:footnoteRef/>
      </w:r>
      <w:r w:rsidRPr="00551396">
        <w:t xml:space="preserve"> </w:t>
      </w:r>
      <w:r w:rsidRPr="00F74F7A">
        <w:rPr>
          <w:rFonts w:ascii="Calibri" w:hAnsi="Calibri" w:cs="Calibri"/>
          <w:sz w:val="18"/>
          <w:szCs w:val="18"/>
        </w:rPr>
        <w:t>A</w:t>
      </w:r>
      <w:r>
        <w:rPr>
          <w:rFonts w:ascii="Calibri" w:hAnsi="Calibri" w:cs="Calibri"/>
          <w:sz w:val="18"/>
          <w:szCs w:val="18"/>
        </w:rPr>
        <w:t>ustralian Institute of Health and Welfare,</w:t>
      </w:r>
      <w:r w:rsidRPr="00F74F7A">
        <w:rPr>
          <w:rFonts w:ascii="Calibri" w:hAnsi="Calibri" w:cs="Calibri"/>
          <w:sz w:val="18"/>
          <w:szCs w:val="18"/>
        </w:rPr>
        <w:t xml:space="preserve"> </w:t>
      </w:r>
      <w:hyperlink r:id="rId8" w:history="1">
        <w:r w:rsidRPr="00354395">
          <w:rPr>
            <w:rStyle w:val="Hyperlink"/>
            <w:rFonts w:ascii="Calibri" w:hAnsi="Calibri" w:cs="Calibri"/>
            <w:i/>
            <w:iCs/>
            <w:sz w:val="18"/>
            <w:szCs w:val="18"/>
          </w:rPr>
          <w:t>Child Protection Australia 2021</w:t>
        </w:r>
        <w:r>
          <w:rPr>
            <w:rStyle w:val="Hyperlink"/>
            <w:rFonts w:ascii="Calibri" w:hAnsi="Calibri" w:cs="Calibri"/>
            <w:i/>
            <w:iCs/>
            <w:sz w:val="18"/>
            <w:szCs w:val="18"/>
          </w:rPr>
          <w:t>–</w:t>
        </w:r>
        <w:r w:rsidRPr="00354395">
          <w:rPr>
            <w:rStyle w:val="Hyperlink"/>
            <w:rFonts w:ascii="Calibri" w:hAnsi="Calibri" w:cs="Calibri"/>
            <w:i/>
            <w:iCs/>
            <w:sz w:val="18"/>
            <w:szCs w:val="18"/>
          </w:rPr>
          <w:t>22</w:t>
        </w:r>
      </w:hyperlink>
      <w:r>
        <w:rPr>
          <w:rFonts w:ascii="Calibri" w:hAnsi="Calibri" w:cs="Calibri"/>
          <w:sz w:val="18"/>
          <w:szCs w:val="18"/>
        </w:rPr>
        <w:t xml:space="preserve"> [web report], AIHW, 19 September 2023, accessed 26 September 2023.</w:t>
      </w:r>
    </w:p>
  </w:footnote>
  <w:footnote w:id="20">
    <w:p w14:paraId="4505317A" w14:textId="77777777"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Pr>
          <w:rFonts w:ascii="Calibri" w:hAnsi="Calibri" w:cs="Calibri"/>
          <w:sz w:val="18"/>
          <w:szCs w:val="18"/>
        </w:rPr>
        <w:t xml:space="preserve">M </w:t>
      </w:r>
      <w:r w:rsidRPr="00A12D1B">
        <w:rPr>
          <w:rFonts w:ascii="Calibri" w:hAnsi="Calibri" w:cs="Calibri"/>
          <w:color w:val="332C28"/>
          <w:sz w:val="18"/>
          <w:szCs w:val="18"/>
          <w:shd w:val="clear" w:color="auto" w:fill="FFFFFF"/>
        </w:rPr>
        <w:t>Campo</w:t>
      </w:r>
      <w:r>
        <w:rPr>
          <w:rFonts w:ascii="Calibri" w:hAnsi="Calibri" w:cs="Calibri"/>
          <w:color w:val="332C28"/>
          <w:sz w:val="18"/>
          <w:szCs w:val="18"/>
          <w:shd w:val="clear" w:color="auto" w:fill="FFFFFF"/>
        </w:rPr>
        <w:t>,</w:t>
      </w:r>
      <w:r w:rsidRPr="00A12D1B">
        <w:rPr>
          <w:rFonts w:ascii="Calibri" w:hAnsi="Calibri" w:cs="Calibri"/>
          <w:color w:val="332C28"/>
          <w:sz w:val="18"/>
          <w:szCs w:val="18"/>
          <w:shd w:val="clear" w:color="auto" w:fill="FFFFFF"/>
        </w:rPr>
        <w:t> </w:t>
      </w:r>
      <w:hyperlink r:id="rId9" w:history="1">
        <w:r w:rsidRPr="00896037">
          <w:rPr>
            <w:rStyle w:val="Hyperlink"/>
            <w:rFonts w:ascii="Calibri" w:hAnsi="Calibri" w:cs="Calibri"/>
            <w:i/>
            <w:sz w:val="18"/>
            <w:szCs w:val="18"/>
            <w:bdr w:val="none" w:sz="0" w:space="0" w:color="auto" w:frame="1"/>
            <w:shd w:val="clear" w:color="auto" w:fill="FFFFFF"/>
          </w:rPr>
          <w:t>Children's exposure to domestic and family violence: Key issues and responses</w:t>
        </w:r>
      </w:hyperlink>
      <w:r w:rsidRPr="00896037">
        <w:rPr>
          <w:rFonts w:ascii="Calibri" w:hAnsi="Calibri" w:cs="Calibri"/>
          <w:i/>
          <w:color w:val="332C28"/>
          <w:sz w:val="18"/>
          <w:szCs w:val="18"/>
          <w:shd w:val="clear" w:color="auto" w:fill="FFFFFF"/>
        </w:rPr>
        <w:t> </w:t>
      </w:r>
      <w:r w:rsidRPr="00A12D1B">
        <w:rPr>
          <w:rFonts w:ascii="Calibri" w:hAnsi="Calibri" w:cs="Calibri"/>
          <w:color w:val="332C28"/>
          <w:sz w:val="18"/>
          <w:szCs w:val="18"/>
          <w:shd w:val="clear" w:color="auto" w:fill="FFFFFF"/>
        </w:rPr>
        <w:t>(CFCA Paper No. 36)</w:t>
      </w:r>
      <w:r>
        <w:rPr>
          <w:rFonts w:ascii="Calibri" w:hAnsi="Calibri" w:cs="Calibri"/>
          <w:color w:val="332C28"/>
          <w:sz w:val="18"/>
          <w:szCs w:val="18"/>
          <w:shd w:val="clear" w:color="auto" w:fill="FFFFFF"/>
        </w:rPr>
        <w:t>,</w:t>
      </w:r>
      <w:r w:rsidRPr="00A12D1B">
        <w:rPr>
          <w:rFonts w:ascii="Calibri" w:hAnsi="Calibri" w:cs="Calibri"/>
          <w:color w:val="332C28"/>
          <w:sz w:val="18"/>
          <w:szCs w:val="18"/>
          <w:shd w:val="clear" w:color="auto" w:fill="FFFFFF"/>
        </w:rPr>
        <w:t xml:space="preserve"> Child Family Community Australia information exchange, Austral</w:t>
      </w:r>
      <w:r>
        <w:rPr>
          <w:rFonts w:ascii="Calibri" w:hAnsi="Calibri" w:cs="Calibri"/>
          <w:color w:val="332C28"/>
          <w:sz w:val="18"/>
          <w:szCs w:val="18"/>
          <w:shd w:val="clear" w:color="auto" w:fill="FFFFFF"/>
        </w:rPr>
        <w:t>ian Institute of Family Studies, Melbourne, 2015.</w:t>
      </w:r>
    </w:p>
  </w:footnote>
  <w:footnote w:id="21">
    <w:p w14:paraId="7347F06E"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F74F7A">
        <w:rPr>
          <w:rFonts w:ascii="Calibri" w:hAnsi="Calibri" w:cs="Calibri"/>
          <w:sz w:val="18"/>
          <w:szCs w:val="18"/>
        </w:rPr>
        <w:t xml:space="preserve">LJ Conway, F Cook, P Cahir, S Brown, S Reilly, D </w:t>
      </w:r>
      <w:r>
        <w:rPr>
          <w:rFonts w:ascii="Calibri" w:hAnsi="Calibri" w:cs="Calibri"/>
          <w:sz w:val="18"/>
          <w:szCs w:val="18"/>
        </w:rPr>
        <w:t>Gartland, F Mensah and R Giallo,</w:t>
      </w:r>
      <w:r w:rsidRPr="00896037">
        <w:rPr>
          <w:rFonts w:ascii="Calibri" w:hAnsi="Calibri" w:cs="Calibri"/>
          <w:sz w:val="18"/>
          <w:szCs w:val="18"/>
        </w:rPr>
        <w:t xml:space="preserve"> ‘Children’s language abilities at age 10 and exposure to intimate partner violence in early childhood: results of an Australian prospective pregnancy cohort study’, </w:t>
      </w:r>
      <w:r w:rsidRPr="00896037">
        <w:rPr>
          <w:rFonts w:ascii="Calibri" w:hAnsi="Calibri" w:cs="Calibri"/>
          <w:i/>
          <w:iCs/>
          <w:sz w:val="18"/>
          <w:szCs w:val="18"/>
        </w:rPr>
        <w:t>Child Abuse &amp; Neglect</w:t>
      </w:r>
      <w:r>
        <w:rPr>
          <w:rFonts w:ascii="Calibri" w:hAnsi="Calibri" w:cs="Calibri"/>
          <w:sz w:val="18"/>
          <w:szCs w:val="18"/>
        </w:rPr>
        <w:t>,</w:t>
      </w:r>
      <w:r w:rsidRPr="00F74F7A">
        <w:rPr>
          <w:rFonts w:ascii="Calibri" w:hAnsi="Calibri" w:cs="Calibri"/>
          <w:sz w:val="18"/>
          <w:szCs w:val="18"/>
        </w:rPr>
        <w:t xml:space="preserve"> </w:t>
      </w:r>
      <w:r>
        <w:rPr>
          <w:rFonts w:ascii="Calibri" w:hAnsi="Calibri" w:cs="Calibri"/>
          <w:sz w:val="18"/>
          <w:szCs w:val="18"/>
        </w:rPr>
        <w:t xml:space="preserve">2021, </w:t>
      </w:r>
      <w:r w:rsidRPr="00F74F7A">
        <w:rPr>
          <w:rFonts w:ascii="Calibri" w:hAnsi="Calibri" w:cs="Calibri"/>
          <w:sz w:val="18"/>
          <w:szCs w:val="18"/>
        </w:rPr>
        <w:t>111:104794, d</w:t>
      </w:r>
      <w:r>
        <w:rPr>
          <w:rFonts w:ascii="Calibri" w:hAnsi="Calibri" w:cs="Calibri"/>
          <w:sz w:val="18"/>
          <w:szCs w:val="18"/>
        </w:rPr>
        <w:t>oi:10.1016/j.chiabu.2020.104794.</w:t>
      </w:r>
    </w:p>
  </w:footnote>
  <w:footnote w:id="22">
    <w:p w14:paraId="29DFA75F" w14:textId="6F2CC146" w:rsidR="00DE25AB" w:rsidRPr="00F51319" w:rsidRDefault="003A6359" w:rsidP="00F51319">
      <w:pPr>
        <w:pStyle w:val="FootnoteText"/>
      </w:pPr>
      <w:r w:rsidRPr="00580627">
        <w:rPr>
          <w:rStyle w:val="FootnoteReference"/>
          <w:rFonts w:ascii="Calibri" w:hAnsi="Calibri" w:cs="Calibri"/>
          <w:sz w:val="18"/>
        </w:rPr>
        <w:footnoteRef/>
      </w:r>
      <w:r w:rsidRPr="00580627">
        <w:rPr>
          <w:rFonts w:ascii="Calibri" w:hAnsi="Calibri" w:cs="Calibri"/>
          <w:sz w:val="18"/>
        </w:rPr>
        <w:t xml:space="preserve"> </w:t>
      </w:r>
      <w:bookmarkStart w:id="15" w:name="_Hlk161141357"/>
      <w:r w:rsidR="00F51319">
        <w:rPr>
          <w:rFonts w:ascii="Calibri" w:hAnsi="Calibri" w:cs="Calibri"/>
          <w:sz w:val="18"/>
          <w:szCs w:val="18"/>
        </w:rPr>
        <w:t xml:space="preserve">DM Haslam, DM Lawrence, B </w:t>
      </w:r>
      <w:r w:rsidR="00F51319" w:rsidRPr="00F51319">
        <w:rPr>
          <w:rFonts w:ascii="Calibri" w:hAnsi="Calibri" w:cs="Calibri"/>
          <w:sz w:val="18"/>
          <w:szCs w:val="18"/>
        </w:rPr>
        <w:t xml:space="preserve">Mathews, </w:t>
      </w:r>
      <w:r w:rsidR="00F51319">
        <w:rPr>
          <w:rFonts w:ascii="Calibri" w:hAnsi="Calibri" w:cs="Calibri"/>
          <w:sz w:val="18"/>
          <w:szCs w:val="18"/>
        </w:rPr>
        <w:t xml:space="preserve">DJ </w:t>
      </w:r>
      <w:r w:rsidR="00F51319" w:rsidRPr="00F51319">
        <w:rPr>
          <w:rFonts w:ascii="Calibri" w:hAnsi="Calibri" w:cs="Calibri"/>
          <w:sz w:val="18"/>
          <w:szCs w:val="18"/>
        </w:rPr>
        <w:t xml:space="preserve">Higgins, </w:t>
      </w:r>
      <w:r w:rsidR="00F51319">
        <w:rPr>
          <w:rFonts w:ascii="Calibri" w:hAnsi="Calibri" w:cs="Calibri"/>
          <w:sz w:val="18"/>
          <w:szCs w:val="18"/>
        </w:rPr>
        <w:t xml:space="preserve">A </w:t>
      </w:r>
      <w:r w:rsidR="00F51319" w:rsidRPr="00F51319">
        <w:rPr>
          <w:rFonts w:ascii="Calibri" w:hAnsi="Calibri" w:cs="Calibri"/>
          <w:sz w:val="18"/>
          <w:szCs w:val="18"/>
        </w:rPr>
        <w:t xml:space="preserve">Hunt, </w:t>
      </w:r>
      <w:r w:rsidR="00F51319">
        <w:rPr>
          <w:rFonts w:ascii="Calibri" w:hAnsi="Calibri" w:cs="Calibri"/>
          <w:sz w:val="18"/>
          <w:szCs w:val="18"/>
        </w:rPr>
        <w:t xml:space="preserve">JG </w:t>
      </w:r>
      <w:r w:rsidR="00F51319" w:rsidRPr="00F51319">
        <w:rPr>
          <w:rFonts w:ascii="Calibri" w:hAnsi="Calibri" w:cs="Calibri"/>
          <w:sz w:val="18"/>
          <w:szCs w:val="18"/>
        </w:rPr>
        <w:t xml:space="preserve">Scott, </w:t>
      </w:r>
      <w:r w:rsidR="00F51319">
        <w:rPr>
          <w:rFonts w:ascii="Calibri" w:hAnsi="Calibri" w:cs="Calibri"/>
          <w:sz w:val="18"/>
          <w:szCs w:val="18"/>
        </w:rPr>
        <w:t xml:space="preserve">MP </w:t>
      </w:r>
      <w:r w:rsidR="00F51319" w:rsidRPr="00F51319">
        <w:rPr>
          <w:rFonts w:ascii="Calibri" w:hAnsi="Calibri" w:cs="Calibri"/>
          <w:sz w:val="18"/>
          <w:szCs w:val="18"/>
        </w:rPr>
        <w:t xml:space="preserve">Dunne, </w:t>
      </w:r>
      <w:r w:rsidR="00F51319">
        <w:rPr>
          <w:rFonts w:ascii="Calibri" w:hAnsi="Calibri" w:cs="Calibri"/>
          <w:sz w:val="18"/>
          <w:szCs w:val="18"/>
        </w:rPr>
        <w:t xml:space="preserve">HE </w:t>
      </w:r>
      <w:r w:rsidR="00F51319" w:rsidRPr="00F51319">
        <w:rPr>
          <w:rFonts w:ascii="Calibri" w:hAnsi="Calibri" w:cs="Calibri"/>
          <w:sz w:val="18"/>
          <w:szCs w:val="18"/>
        </w:rPr>
        <w:t xml:space="preserve">Erskine, </w:t>
      </w:r>
      <w:r w:rsidR="00F51319">
        <w:rPr>
          <w:rFonts w:ascii="Calibri" w:hAnsi="Calibri" w:cs="Calibri"/>
          <w:sz w:val="18"/>
          <w:szCs w:val="18"/>
        </w:rPr>
        <w:t xml:space="preserve">HJ </w:t>
      </w:r>
      <w:r w:rsidR="00F51319" w:rsidRPr="00F51319">
        <w:rPr>
          <w:rFonts w:ascii="Calibri" w:hAnsi="Calibri" w:cs="Calibri"/>
          <w:sz w:val="18"/>
          <w:szCs w:val="18"/>
        </w:rPr>
        <w:t xml:space="preserve">Thomas, </w:t>
      </w:r>
      <w:r w:rsidR="00F51319">
        <w:rPr>
          <w:rFonts w:ascii="Calibri" w:hAnsi="Calibri" w:cs="Calibri"/>
          <w:sz w:val="18"/>
          <w:szCs w:val="18"/>
        </w:rPr>
        <w:t xml:space="preserve">D </w:t>
      </w:r>
      <w:r w:rsidR="00F51319" w:rsidRPr="00F51319">
        <w:rPr>
          <w:rFonts w:ascii="Calibri" w:hAnsi="Calibri" w:cs="Calibri"/>
          <w:sz w:val="18"/>
          <w:szCs w:val="18"/>
        </w:rPr>
        <w:t xml:space="preserve">Finkelhor, </w:t>
      </w:r>
      <w:r w:rsidR="00F51319">
        <w:rPr>
          <w:rFonts w:ascii="Calibri" w:hAnsi="Calibri" w:cs="Calibri"/>
          <w:sz w:val="18"/>
          <w:szCs w:val="18"/>
        </w:rPr>
        <w:t xml:space="preserve">R </w:t>
      </w:r>
      <w:r w:rsidR="00F51319" w:rsidRPr="00F51319">
        <w:rPr>
          <w:rFonts w:ascii="Calibri" w:hAnsi="Calibri" w:cs="Calibri"/>
          <w:sz w:val="18"/>
          <w:szCs w:val="18"/>
        </w:rPr>
        <w:t xml:space="preserve">Pacella, </w:t>
      </w:r>
      <w:r w:rsidR="00F51319">
        <w:rPr>
          <w:rFonts w:ascii="Calibri" w:hAnsi="Calibri" w:cs="Calibri"/>
          <w:sz w:val="18"/>
          <w:szCs w:val="18"/>
        </w:rPr>
        <w:t xml:space="preserve">F </w:t>
      </w:r>
      <w:r w:rsidR="00F51319" w:rsidRPr="00F51319">
        <w:rPr>
          <w:rFonts w:ascii="Calibri" w:hAnsi="Calibri" w:cs="Calibri"/>
          <w:sz w:val="18"/>
          <w:szCs w:val="18"/>
        </w:rPr>
        <w:t xml:space="preserve">Meinck and </w:t>
      </w:r>
      <w:r w:rsidR="00F51319">
        <w:rPr>
          <w:rFonts w:ascii="Calibri" w:hAnsi="Calibri" w:cs="Calibri"/>
          <w:sz w:val="18"/>
          <w:szCs w:val="18"/>
        </w:rPr>
        <w:t xml:space="preserve">E </w:t>
      </w:r>
      <w:r w:rsidR="00F51319" w:rsidRPr="00F51319">
        <w:rPr>
          <w:rFonts w:ascii="Calibri" w:hAnsi="Calibri" w:cs="Calibri"/>
          <w:sz w:val="18"/>
          <w:szCs w:val="18"/>
        </w:rPr>
        <w:t>Malacova</w:t>
      </w:r>
      <w:r w:rsidR="00F51319">
        <w:rPr>
          <w:rFonts w:ascii="Calibri" w:hAnsi="Calibri" w:cs="Calibri"/>
          <w:sz w:val="18"/>
          <w:szCs w:val="18"/>
        </w:rPr>
        <w:t>, ‘</w:t>
      </w:r>
      <w:hyperlink r:id="rId10" w:history="1">
        <w:r w:rsidR="00F51319" w:rsidRPr="00F51319">
          <w:rPr>
            <w:rStyle w:val="Hyperlink"/>
            <w:rFonts w:ascii="Calibri" w:hAnsi="Calibri" w:cs="Calibri"/>
            <w:sz w:val="18"/>
            <w:szCs w:val="18"/>
          </w:rPr>
          <w:t>The Australian Child Maltreatment Study (ACMS), a national survey of the prevalence of child maltreatment and its correlates: methodology</w:t>
        </w:r>
      </w:hyperlink>
      <w:r w:rsidR="00F51319">
        <w:rPr>
          <w:rFonts w:ascii="Calibri" w:hAnsi="Calibri" w:cs="Calibri"/>
          <w:color w:val="262626" w:themeColor="text1" w:themeTint="D9"/>
          <w:sz w:val="18"/>
          <w:szCs w:val="18"/>
        </w:rPr>
        <w:t>’,</w:t>
      </w:r>
      <w:r w:rsidRPr="00580627">
        <w:rPr>
          <w:rFonts w:ascii="Calibri" w:hAnsi="Calibri" w:cs="Calibri"/>
          <w:sz w:val="18"/>
          <w:szCs w:val="18"/>
        </w:rPr>
        <w:t xml:space="preserve"> </w:t>
      </w:r>
      <w:r w:rsidRPr="00F51319">
        <w:rPr>
          <w:rFonts w:ascii="Calibri" w:hAnsi="Calibri" w:cs="Calibri"/>
          <w:i/>
          <w:iCs/>
          <w:sz w:val="18"/>
          <w:szCs w:val="18"/>
        </w:rPr>
        <w:t>The Medical Journal of Australia</w:t>
      </w:r>
      <w:r w:rsidRPr="00580627">
        <w:rPr>
          <w:rFonts w:ascii="Calibri" w:hAnsi="Calibri" w:cs="Calibri"/>
          <w:sz w:val="18"/>
          <w:szCs w:val="18"/>
        </w:rPr>
        <w:t xml:space="preserve">, </w:t>
      </w:r>
      <w:r w:rsidR="00F51319">
        <w:rPr>
          <w:rFonts w:ascii="Calibri" w:hAnsi="Calibri" w:cs="Calibri"/>
          <w:sz w:val="18"/>
          <w:szCs w:val="18"/>
        </w:rPr>
        <w:t xml:space="preserve">218(S6):S5–S12, April 2023, </w:t>
      </w:r>
      <w:bookmarkStart w:id="16" w:name="_Hlk161141927"/>
      <w:r w:rsidR="00F51319">
        <w:rPr>
          <w:rFonts w:ascii="Calibri" w:hAnsi="Calibri" w:cs="Calibri"/>
          <w:color w:val="000000"/>
          <w:sz w:val="18"/>
          <w:szCs w:val="18"/>
        </w:rPr>
        <w:t>doi:10.5694/mja2.51873</w:t>
      </w:r>
      <w:bookmarkEnd w:id="16"/>
      <w:r w:rsidR="00F51319">
        <w:rPr>
          <w:rFonts w:ascii="Calibri" w:hAnsi="Calibri" w:cs="Calibri"/>
          <w:color w:val="000000"/>
          <w:sz w:val="18"/>
          <w:szCs w:val="18"/>
        </w:rPr>
        <w:t>,</w:t>
      </w:r>
      <w:r w:rsidR="00F51319" w:rsidRPr="00F51319">
        <w:rPr>
          <w:rFonts w:ascii="Calibri" w:hAnsi="Calibri" w:cs="Calibri"/>
          <w:sz w:val="18"/>
          <w:szCs w:val="18"/>
        </w:rPr>
        <w:t xml:space="preserve"> </w:t>
      </w:r>
      <w:r w:rsidR="00F51319" w:rsidRPr="00580627">
        <w:rPr>
          <w:rFonts w:ascii="Calibri" w:hAnsi="Calibri" w:cs="Calibri"/>
          <w:sz w:val="18"/>
          <w:szCs w:val="18"/>
        </w:rPr>
        <w:t>accessed 2</w:t>
      </w:r>
      <w:r w:rsidR="00F51319">
        <w:rPr>
          <w:rFonts w:ascii="Calibri" w:hAnsi="Calibri" w:cs="Calibri"/>
          <w:sz w:val="18"/>
          <w:szCs w:val="18"/>
        </w:rPr>
        <w:t> </w:t>
      </w:r>
      <w:r w:rsidR="00F51319" w:rsidRPr="00580627">
        <w:rPr>
          <w:rFonts w:ascii="Calibri" w:hAnsi="Calibri" w:cs="Calibri"/>
          <w:sz w:val="18"/>
          <w:szCs w:val="18"/>
        </w:rPr>
        <w:t>February 2024</w:t>
      </w:r>
      <w:r w:rsidRPr="00580627">
        <w:rPr>
          <w:rFonts w:ascii="Calibri" w:hAnsi="Calibri" w:cs="Calibri"/>
          <w:sz w:val="18"/>
          <w:szCs w:val="18"/>
        </w:rPr>
        <w:t>.</w:t>
      </w:r>
      <w:bookmarkEnd w:id="15"/>
    </w:p>
  </w:footnote>
  <w:footnote w:id="23">
    <w:p w14:paraId="0424A149" w14:textId="77777777" w:rsidR="00DE25AB" w:rsidRPr="00551396" w:rsidRDefault="003A6359" w:rsidP="00580627">
      <w:pPr>
        <w:pStyle w:val="CommentText"/>
        <w:spacing w:after="0"/>
      </w:pPr>
      <w:r w:rsidRPr="00580627">
        <w:rPr>
          <w:rStyle w:val="FootnoteReference"/>
          <w:rFonts w:ascii="Calibri" w:hAnsi="Calibri" w:cs="Calibri"/>
          <w:sz w:val="18"/>
        </w:rPr>
        <w:footnoteRef/>
      </w:r>
      <w:r>
        <w:t xml:space="preserve"> </w:t>
      </w:r>
      <w:r>
        <w:rPr>
          <w:rFonts w:ascii="Calibri" w:hAnsi="Calibri" w:cs="Calibri"/>
          <w:sz w:val="18"/>
          <w:szCs w:val="18"/>
        </w:rPr>
        <w:t>World Health Organization,</w:t>
      </w:r>
      <w:r>
        <w:rPr>
          <w:sz w:val="24"/>
          <w:szCs w:val="24"/>
        </w:rPr>
        <w:t xml:space="preserve"> </w:t>
      </w:r>
      <w:hyperlink r:id="rId11" w:history="1">
        <w:r w:rsidRPr="00896037">
          <w:rPr>
            <w:rStyle w:val="Hyperlink"/>
            <w:rFonts w:ascii="Calibri" w:hAnsi="Calibri" w:cs="Calibri"/>
            <w:i/>
            <w:iCs/>
            <w:sz w:val="18"/>
            <w:szCs w:val="18"/>
          </w:rPr>
          <w:t>World mental health report: transforming mental health for all</w:t>
        </w:r>
      </w:hyperlink>
      <w:r>
        <w:rPr>
          <w:rFonts w:ascii="Calibri" w:hAnsi="Calibri" w:cs="Calibri"/>
          <w:sz w:val="18"/>
          <w:szCs w:val="18"/>
        </w:rPr>
        <w:t xml:space="preserve">, </w:t>
      </w:r>
      <w:r w:rsidRPr="00432A0D">
        <w:rPr>
          <w:rFonts w:ascii="Calibri" w:hAnsi="Calibri" w:cs="Calibri"/>
          <w:sz w:val="18"/>
          <w:szCs w:val="18"/>
        </w:rPr>
        <w:t>World Health Organization</w:t>
      </w:r>
      <w:r>
        <w:rPr>
          <w:rFonts w:ascii="Calibri" w:hAnsi="Calibri" w:cs="Calibri"/>
          <w:sz w:val="18"/>
          <w:szCs w:val="18"/>
        </w:rPr>
        <w:t xml:space="preserve">, </w:t>
      </w:r>
      <w:r w:rsidRPr="00432A0D">
        <w:rPr>
          <w:rFonts w:ascii="Calibri" w:hAnsi="Calibri" w:cs="Calibri"/>
          <w:sz w:val="18"/>
          <w:szCs w:val="18"/>
        </w:rPr>
        <w:t>Geneva</w:t>
      </w:r>
      <w:r>
        <w:rPr>
          <w:rFonts w:ascii="Calibri" w:hAnsi="Calibri" w:cs="Calibri"/>
          <w:sz w:val="18"/>
          <w:szCs w:val="18"/>
        </w:rPr>
        <w:t>, 2022.</w:t>
      </w:r>
    </w:p>
  </w:footnote>
  <w:footnote w:id="24">
    <w:p w14:paraId="0C4C22B9" w14:textId="43ECFA90" w:rsidR="00DE25AB" w:rsidRPr="00551396" w:rsidRDefault="003A6359" w:rsidP="00580627">
      <w:pPr>
        <w:pStyle w:val="FootnoteText"/>
        <w:rPr>
          <w:rFonts w:ascii="Calibri" w:hAnsi="Calibri" w:cs="Calibri"/>
          <w:sz w:val="18"/>
          <w:szCs w:val="18"/>
        </w:rPr>
      </w:pPr>
      <w:r w:rsidRPr="00580627">
        <w:rPr>
          <w:rStyle w:val="FootnoteReference"/>
          <w:rFonts w:ascii="Calibri" w:hAnsi="Calibri" w:cs="Calibri"/>
          <w:sz w:val="18"/>
        </w:rPr>
        <w:footnoteRef/>
      </w:r>
      <w:r w:rsidRPr="00580627">
        <w:rPr>
          <w:rFonts w:ascii="Calibri" w:hAnsi="Calibri" w:cs="Calibri"/>
          <w:sz w:val="18"/>
        </w:rPr>
        <w:t xml:space="preserve"> </w:t>
      </w:r>
      <w:r w:rsidR="00697161">
        <w:rPr>
          <w:rFonts w:ascii="Calibri" w:hAnsi="Calibri" w:cs="Calibri"/>
          <w:sz w:val="18"/>
          <w:szCs w:val="18"/>
        </w:rPr>
        <w:t>AIHW</w:t>
      </w:r>
      <w:r>
        <w:rPr>
          <w:rFonts w:ascii="Calibri" w:hAnsi="Calibri" w:cs="Calibri"/>
          <w:sz w:val="18"/>
          <w:szCs w:val="18"/>
        </w:rPr>
        <w:t>,</w:t>
      </w:r>
      <w:r w:rsidRPr="00551396">
        <w:rPr>
          <w:rFonts w:ascii="Calibri" w:hAnsi="Calibri" w:cs="Calibri"/>
          <w:sz w:val="18"/>
          <w:szCs w:val="18"/>
        </w:rPr>
        <w:t xml:space="preserve"> </w:t>
      </w:r>
      <w:hyperlink r:id="rId12" w:history="1">
        <w:r w:rsidRPr="00025737">
          <w:rPr>
            <w:rStyle w:val="Hyperlink"/>
            <w:rFonts w:ascii="Calibri" w:hAnsi="Calibri" w:cs="Calibri"/>
            <w:i/>
            <w:iCs/>
            <w:sz w:val="18"/>
            <w:szCs w:val="18"/>
          </w:rPr>
          <w:t>Australia’s children</w:t>
        </w:r>
      </w:hyperlink>
      <w:r>
        <w:rPr>
          <w:rFonts w:ascii="Calibri" w:hAnsi="Calibri" w:cs="Calibri"/>
          <w:sz w:val="18"/>
          <w:szCs w:val="18"/>
        </w:rPr>
        <w:t>,</w:t>
      </w:r>
      <w:r w:rsidRPr="00551396">
        <w:rPr>
          <w:rFonts w:ascii="Calibri" w:hAnsi="Calibri" w:cs="Calibri"/>
          <w:sz w:val="18"/>
          <w:szCs w:val="18"/>
        </w:rPr>
        <w:t xml:space="preserve"> Cat. no. CWS 69</w:t>
      </w:r>
      <w:r>
        <w:rPr>
          <w:rFonts w:ascii="Calibri" w:hAnsi="Calibri" w:cs="Calibri"/>
          <w:sz w:val="18"/>
          <w:szCs w:val="18"/>
        </w:rPr>
        <w:t>,</w:t>
      </w:r>
      <w:r w:rsidRPr="00551396">
        <w:rPr>
          <w:rFonts w:ascii="Calibri" w:hAnsi="Calibri" w:cs="Calibri"/>
          <w:sz w:val="18"/>
          <w:szCs w:val="18"/>
        </w:rPr>
        <w:t xml:space="preserve"> AIHW</w:t>
      </w:r>
      <w:r>
        <w:rPr>
          <w:rFonts w:ascii="Calibri" w:hAnsi="Calibri" w:cs="Calibri"/>
          <w:sz w:val="18"/>
          <w:szCs w:val="18"/>
        </w:rPr>
        <w:t>,</w:t>
      </w:r>
      <w:r w:rsidRPr="00551396">
        <w:rPr>
          <w:rFonts w:ascii="Calibri" w:hAnsi="Calibri" w:cs="Calibri"/>
          <w:sz w:val="18"/>
          <w:szCs w:val="18"/>
        </w:rPr>
        <w:t xml:space="preserve"> Canberra,</w:t>
      </w:r>
      <w:r>
        <w:rPr>
          <w:rFonts w:ascii="Calibri" w:hAnsi="Calibri" w:cs="Calibri"/>
          <w:sz w:val="18"/>
          <w:szCs w:val="18"/>
        </w:rPr>
        <w:t xml:space="preserve"> 2020, </w:t>
      </w:r>
      <w:r w:rsidRPr="007D0426">
        <w:rPr>
          <w:rFonts w:ascii="Calibri" w:hAnsi="Calibri" w:cs="Calibri"/>
          <w:sz w:val="18"/>
          <w:szCs w:val="18"/>
        </w:rPr>
        <w:t>accessed 25 October 2023</w:t>
      </w:r>
      <w:r>
        <w:rPr>
          <w:rFonts w:ascii="Calibri" w:hAnsi="Calibri" w:cs="Calibri"/>
          <w:sz w:val="18"/>
          <w:szCs w:val="18"/>
        </w:rPr>
        <w:t>.</w:t>
      </w:r>
    </w:p>
  </w:footnote>
  <w:footnote w:id="25">
    <w:p w14:paraId="5FDCC555" w14:textId="2E961887" w:rsidR="00DE25AB" w:rsidRPr="00551396" w:rsidRDefault="003A6359" w:rsidP="00E17EAF">
      <w:pPr>
        <w:spacing w:after="120" w:line="240" w:lineRule="auto"/>
        <w:rPr>
          <w:rFonts w:ascii="Calibri" w:hAnsi="Calibri" w:cs="Calibri"/>
          <w:sz w:val="18"/>
          <w:szCs w:val="18"/>
        </w:rPr>
      </w:pPr>
      <w:r w:rsidRPr="00CD5500">
        <w:rPr>
          <w:rStyle w:val="FootnoteReference"/>
          <w:rFonts w:ascii="Calibri" w:hAnsi="Calibri" w:cs="Calibri"/>
          <w:sz w:val="18"/>
          <w:szCs w:val="18"/>
        </w:rPr>
        <w:footnoteRef/>
      </w:r>
      <w:r w:rsidRPr="00CD5500">
        <w:rPr>
          <w:rFonts w:ascii="Calibri" w:hAnsi="Calibri" w:cs="Calibri"/>
          <w:sz w:val="18"/>
          <w:szCs w:val="18"/>
        </w:rPr>
        <w:t xml:space="preserve"> </w:t>
      </w:r>
      <w:r w:rsidR="00697161">
        <w:rPr>
          <w:rFonts w:ascii="Calibri" w:hAnsi="Calibri" w:cs="Calibri"/>
          <w:color w:val="000000"/>
          <w:sz w:val="18"/>
          <w:szCs w:val="18"/>
        </w:rPr>
        <w:t>ABS</w:t>
      </w:r>
      <w:r w:rsidRPr="00CD5500">
        <w:rPr>
          <w:rFonts w:ascii="Calibri" w:hAnsi="Calibri" w:cs="Calibri"/>
          <w:color w:val="000000"/>
          <w:sz w:val="18"/>
          <w:szCs w:val="18"/>
        </w:rPr>
        <w:t xml:space="preserve">, </w:t>
      </w:r>
      <w:hyperlink r:id="rId13" w:history="1">
        <w:r w:rsidRPr="00580627">
          <w:rPr>
            <w:rStyle w:val="Hyperlink"/>
            <w:rFonts w:ascii="Calibri" w:hAnsi="Calibri" w:cs="Calibri"/>
            <w:sz w:val="18"/>
            <w:szCs w:val="18"/>
          </w:rPr>
          <w:t>National, state and territory population, June 2023</w:t>
        </w:r>
      </w:hyperlink>
      <w:r w:rsidRPr="00CD5500">
        <w:rPr>
          <w:rFonts w:ascii="Calibri" w:hAnsi="Calibri" w:cs="Calibri"/>
          <w:color w:val="000000"/>
          <w:sz w:val="18"/>
          <w:szCs w:val="18"/>
        </w:rPr>
        <w:t xml:space="preserve"> [key statistics], ABS website, </w:t>
      </w:r>
      <w:r w:rsidRPr="00580627">
        <w:rPr>
          <w:rFonts w:ascii="Calibri" w:hAnsi="Calibri" w:cs="Calibri"/>
          <w:color w:val="000000"/>
          <w:sz w:val="18"/>
          <w:szCs w:val="18"/>
        </w:rPr>
        <w:t>2023</w:t>
      </w:r>
      <w:r w:rsidRPr="00CD5500">
        <w:rPr>
          <w:rFonts w:ascii="Calibri" w:hAnsi="Calibri" w:cs="Calibri"/>
          <w:color w:val="000000"/>
          <w:sz w:val="18"/>
          <w:szCs w:val="18"/>
        </w:rPr>
        <w:t xml:space="preserve">, accessed </w:t>
      </w:r>
      <w:r w:rsidRPr="00580627">
        <w:rPr>
          <w:rFonts w:ascii="Calibri" w:hAnsi="Calibri" w:cs="Calibri"/>
          <w:color w:val="000000"/>
          <w:sz w:val="18"/>
          <w:szCs w:val="18"/>
        </w:rPr>
        <w:t>2 February 2024</w:t>
      </w:r>
      <w:r w:rsidRPr="00CD5500">
        <w:rPr>
          <w:rFonts w:ascii="Calibri" w:hAnsi="Calibri" w:cs="Calibri"/>
          <w:color w:val="000000"/>
          <w:sz w:val="18"/>
          <w:szCs w:val="18"/>
        </w:rPr>
        <w:t>.</w:t>
      </w:r>
    </w:p>
  </w:footnote>
  <w:footnote w:id="26">
    <w:p w14:paraId="338B3B93" w14:textId="02788F45" w:rsidR="00DE25AB" w:rsidRPr="00551396" w:rsidRDefault="003A6359" w:rsidP="00580627">
      <w:pPr>
        <w:spacing w:after="0" w:line="240" w:lineRule="auto"/>
        <w:rPr>
          <w:rFonts w:ascii="Calibri" w:hAnsi="Calibri" w:cs="Calibri"/>
          <w:sz w:val="18"/>
          <w:szCs w:val="18"/>
        </w:rPr>
      </w:pPr>
      <w:r w:rsidRPr="00AF5CE4">
        <w:rPr>
          <w:rStyle w:val="FootnoteReference"/>
          <w:rFonts w:ascii="Calibri" w:hAnsi="Calibri" w:cs="Calibri"/>
          <w:sz w:val="18"/>
          <w:szCs w:val="18"/>
        </w:rPr>
        <w:footnoteRef/>
      </w:r>
      <w:r w:rsidRPr="00AF5CE4">
        <w:rPr>
          <w:rFonts w:ascii="Calibri" w:hAnsi="Calibri" w:cs="Calibri"/>
          <w:sz w:val="18"/>
          <w:szCs w:val="18"/>
        </w:rPr>
        <w:t xml:space="preserve"> </w:t>
      </w:r>
      <w:r w:rsidR="00697161">
        <w:rPr>
          <w:rFonts w:ascii="Calibri" w:hAnsi="Calibri" w:cs="Calibri"/>
          <w:color w:val="000000"/>
          <w:sz w:val="18"/>
          <w:szCs w:val="18"/>
        </w:rPr>
        <w:t>ABS</w:t>
      </w:r>
      <w:r w:rsidRPr="00AF5CE4">
        <w:rPr>
          <w:rFonts w:ascii="Calibri" w:hAnsi="Calibri" w:cs="Calibri"/>
          <w:color w:val="000000"/>
          <w:sz w:val="18"/>
          <w:szCs w:val="18"/>
        </w:rPr>
        <w:t xml:space="preserve">, </w:t>
      </w:r>
      <w:r w:rsidR="00F51319" w:rsidRPr="00F51319">
        <w:rPr>
          <w:rFonts w:ascii="Calibri" w:hAnsi="Calibri" w:cs="Calibri"/>
          <w:sz w:val="18"/>
          <w:szCs w:val="18"/>
        </w:rPr>
        <w:t>National, state and territory population, June 2023</w:t>
      </w:r>
      <w:r w:rsidR="00F51319" w:rsidRPr="00CD5500">
        <w:rPr>
          <w:rFonts w:ascii="Calibri" w:hAnsi="Calibri" w:cs="Calibri"/>
          <w:color w:val="000000"/>
          <w:sz w:val="18"/>
          <w:szCs w:val="18"/>
        </w:rPr>
        <w:t xml:space="preserve"> [key statistics]</w:t>
      </w:r>
      <w:r w:rsidR="00F51319">
        <w:rPr>
          <w:rFonts w:ascii="Calibri" w:hAnsi="Calibri" w:cs="Calibri"/>
          <w:color w:val="000000"/>
          <w:sz w:val="18"/>
          <w:szCs w:val="18"/>
        </w:rPr>
        <w:t>.</w:t>
      </w:r>
    </w:p>
  </w:footnote>
  <w:footnote w:id="27">
    <w:p w14:paraId="7F794D3E" w14:textId="51C19D8C"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r w:rsidRPr="007D0426">
        <w:rPr>
          <w:rFonts w:ascii="Calibri" w:hAnsi="Calibri" w:cs="Calibri"/>
          <w:i/>
          <w:color w:val="000000"/>
          <w:sz w:val="18"/>
          <w:szCs w:val="18"/>
        </w:rPr>
        <w:t>Regional population by age and sex</w:t>
      </w:r>
      <w:r w:rsidRPr="007D0426">
        <w:rPr>
          <w:rFonts w:ascii="Calibri" w:hAnsi="Calibri" w:cs="Calibri"/>
          <w:color w:val="000000"/>
          <w:sz w:val="18"/>
          <w:szCs w:val="18"/>
        </w:rPr>
        <w:t>,</w:t>
      </w:r>
      <w:r>
        <w:rPr>
          <w:rFonts w:ascii="Calibri" w:hAnsi="Calibri" w:cs="Calibri"/>
          <w:color w:val="000000"/>
          <w:sz w:val="18"/>
          <w:szCs w:val="18"/>
        </w:rPr>
        <w:t xml:space="preserve"> 2022,</w:t>
      </w:r>
      <w:r w:rsidRPr="007D0426">
        <w:rPr>
          <w:rFonts w:ascii="Calibri" w:hAnsi="Calibri" w:cs="Calibri"/>
          <w:color w:val="000000"/>
          <w:sz w:val="18"/>
          <w:szCs w:val="18"/>
        </w:rPr>
        <w:t xml:space="preserve"> obtained by data request on 9 September 2022</w:t>
      </w:r>
      <w:r>
        <w:rPr>
          <w:rFonts w:ascii="Calibri" w:hAnsi="Calibri" w:cs="Calibri"/>
          <w:color w:val="000000"/>
          <w:sz w:val="18"/>
          <w:szCs w:val="18"/>
        </w:rPr>
        <w:t>.</w:t>
      </w:r>
    </w:p>
  </w:footnote>
  <w:footnote w:id="28">
    <w:p w14:paraId="6B95315E" w14:textId="48B3F035" w:rsidR="00DE25AB" w:rsidRPr="004D5D5E" w:rsidRDefault="003A6359" w:rsidP="00580627">
      <w:pPr>
        <w:spacing w:after="0" w:line="240" w:lineRule="auto"/>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00697161">
        <w:rPr>
          <w:rFonts w:ascii="Calibri" w:hAnsi="Calibri" w:cs="Calibri"/>
          <w:color w:val="000000"/>
          <w:sz w:val="18"/>
          <w:szCs w:val="18"/>
        </w:rPr>
        <w:t>ABS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sidRPr="00FC7C0C">
        <w:rPr>
          <w:rFonts w:ascii="Calibri" w:hAnsi="Calibri" w:cs="Calibri"/>
          <w:color w:val="000000"/>
          <w:sz w:val="18"/>
          <w:szCs w:val="18"/>
        </w:rPr>
        <w:t>, [Tablebuilder], 2021, produced by AIHW on request.</w:t>
      </w:r>
      <w:r>
        <w:rPr>
          <w:rFonts w:ascii="Calibri" w:hAnsi="Calibri" w:cs="Calibri"/>
          <w:color w:val="000000"/>
          <w:sz w:val="18"/>
          <w:szCs w:val="18"/>
        </w:rPr>
        <w:t xml:space="preserve"> </w:t>
      </w:r>
    </w:p>
  </w:footnote>
  <w:footnote w:id="29">
    <w:p w14:paraId="5593C813" w14:textId="1F889F04" w:rsidR="00DE25AB" w:rsidRPr="00551396" w:rsidRDefault="003A6359" w:rsidP="00580627">
      <w:pPr>
        <w:spacing w:after="0" w:line="240" w:lineRule="auto"/>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00697161">
        <w:rPr>
          <w:rFonts w:ascii="Calibri" w:hAnsi="Calibri" w:cs="Calibri"/>
          <w:color w:val="000000"/>
          <w:sz w:val="18"/>
          <w:szCs w:val="18"/>
        </w:rPr>
        <w:t>ABS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Pr>
          <w:rFonts w:ascii="Calibri" w:hAnsi="Calibri" w:cs="Calibri"/>
          <w:sz w:val="18"/>
          <w:szCs w:val="18"/>
        </w:rPr>
        <w:t>. Approximately 7% (125,000) were not stated or not classifiable.</w:t>
      </w:r>
    </w:p>
  </w:footnote>
  <w:footnote w:id="30">
    <w:p w14:paraId="216F7485" w14:textId="77777777" w:rsidR="00DE25AB" w:rsidRPr="00551396" w:rsidRDefault="003A6359" w:rsidP="00E17EAF">
      <w:pPr>
        <w:spacing w:after="12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7D0426">
        <w:rPr>
          <w:rFonts w:ascii="Calibri" w:hAnsi="Calibri" w:cs="Calibri"/>
          <w:color w:val="000000"/>
          <w:sz w:val="18"/>
          <w:szCs w:val="18"/>
        </w:rPr>
        <w:t>Department of Home Affairs</w:t>
      </w:r>
      <w:r>
        <w:rPr>
          <w:rFonts w:ascii="Calibri" w:hAnsi="Calibri" w:cs="Calibri"/>
          <w:color w:val="000000"/>
          <w:sz w:val="18"/>
          <w:szCs w:val="18"/>
        </w:rPr>
        <w:t>,</w:t>
      </w:r>
      <w:r w:rsidRPr="007D0426">
        <w:rPr>
          <w:rFonts w:ascii="Calibri" w:hAnsi="Calibri" w:cs="Calibri"/>
          <w:color w:val="000000"/>
          <w:sz w:val="18"/>
          <w:szCs w:val="18"/>
        </w:rPr>
        <w:t xml:space="preserve"> </w:t>
      </w:r>
      <w:hyperlink r:id="rId14" w:history="1">
        <w:r w:rsidRPr="005B7527">
          <w:rPr>
            <w:rStyle w:val="Hyperlink"/>
            <w:rFonts w:ascii="Calibri" w:hAnsi="Calibri" w:cs="Calibri"/>
            <w:i/>
            <w:iCs/>
            <w:sz w:val="18"/>
            <w:szCs w:val="18"/>
          </w:rPr>
          <w:t>Settlement reports</w:t>
        </w:r>
      </w:hyperlink>
      <w:r w:rsidRPr="007D0426">
        <w:rPr>
          <w:rFonts w:ascii="Calibri" w:hAnsi="Calibri" w:cs="Calibri"/>
          <w:color w:val="000000"/>
          <w:sz w:val="18"/>
          <w:szCs w:val="18"/>
        </w:rPr>
        <w:t xml:space="preserve">, </w:t>
      </w:r>
      <w:r>
        <w:rPr>
          <w:rFonts w:ascii="Calibri" w:hAnsi="Calibri" w:cs="Calibri"/>
          <w:color w:val="000000"/>
          <w:sz w:val="18"/>
          <w:szCs w:val="18"/>
        </w:rPr>
        <w:t xml:space="preserve">2023, </w:t>
      </w:r>
      <w:r w:rsidRPr="007D0426">
        <w:rPr>
          <w:rFonts w:ascii="Calibri" w:hAnsi="Calibri" w:cs="Calibri"/>
          <w:color w:val="000000"/>
          <w:sz w:val="18"/>
          <w:szCs w:val="18"/>
        </w:rPr>
        <w:t>accessed 25 August 2023</w:t>
      </w:r>
      <w:r>
        <w:rPr>
          <w:rFonts w:ascii="Calibri" w:hAnsi="Calibri" w:cs="Calibri"/>
          <w:color w:val="000000"/>
          <w:sz w:val="18"/>
          <w:szCs w:val="18"/>
        </w:rPr>
        <w:t>.</w:t>
      </w:r>
    </w:p>
  </w:footnote>
  <w:footnote w:id="31">
    <w:p w14:paraId="4BD5D035" w14:textId="133D4925" w:rsidR="00DE25AB" w:rsidRPr="00D358B4" w:rsidRDefault="003A6359" w:rsidP="00580627">
      <w:pPr>
        <w:spacing w:after="0" w:line="240" w:lineRule="auto"/>
        <w:rPr>
          <w:lang w:val="en-US"/>
        </w:rPr>
      </w:pPr>
      <w:r w:rsidRPr="00580627">
        <w:rPr>
          <w:rStyle w:val="FootnoteReference"/>
          <w:rFonts w:ascii="Calibri" w:hAnsi="Calibri" w:cs="Calibri"/>
          <w:sz w:val="18"/>
          <w:szCs w:val="18"/>
        </w:rPr>
        <w:footnoteRef/>
      </w:r>
      <w:r>
        <w:t xml:space="preserve"> </w:t>
      </w:r>
      <w:r>
        <w:rPr>
          <w:rFonts w:ascii="Calibri" w:hAnsi="Calibri" w:cs="Calibri"/>
          <w:color w:val="000000"/>
          <w:sz w:val="18"/>
          <w:szCs w:val="18"/>
        </w:rPr>
        <w:t xml:space="preserve">B Mathews, R Pacella, </w:t>
      </w:r>
      <w:r w:rsidR="00F51319">
        <w:rPr>
          <w:rFonts w:ascii="Calibri" w:hAnsi="Calibri" w:cs="Calibri"/>
          <w:color w:val="000000"/>
          <w:sz w:val="18"/>
          <w:szCs w:val="18"/>
        </w:rPr>
        <w:t>et al.</w:t>
      </w:r>
      <w:r>
        <w:rPr>
          <w:rFonts w:ascii="Calibri" w:hAnsi="Calibri" w:cs="Calibri"/>
          <w:color w:val="000000"/>
          <w:sz w:val="18"/>
          <w:szCs w:val="18"/>
        </w:rPr>
        <w:t>, ‘The prevalence of child maltreatment in Australia: findings from a national survey’</w:t>
      </w:r>
      <w:r w:rsidR="00F51319">
        <w:rPr>
          <w:rFonts w:ascii="Calibri" w:hAnsi="Calibri" w:cs="Calibri"/>
          <w:color w:val="000000"/>
          <w:sz w:val="18"/>
          <w:szCs w:val="18"/>
        </w:rPr>
        <w:t>.</w:t>
      </w:r>
    </w:p>
  </w:footnote>
  <w:footnote w:id="32">
    <w:p w14:paraId="64A15C71" w14:textId="3F691F7F"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AIHW</w:t>
      </w:r>
      <w:r>
        <w:rPr>
          <w:rFonts w:ascii="Calibri" w:hAnsi="Calibri" w:cs="Calibri"/>
          <w:sz w:val="18"/>
          <w:szCs w:val="18"/>
        </w:rPr>
        <w:t xml:space="preserve">, </w:t>
      </w:r>
      <w:r w:rsidRPr="005B7527">
        <w:rPr>
          <w:rFonts w:ascii="Calibri" w:hAnsi="Calibri" w:cs="Calibri"/>
          <w:i/>
          <w:iCs/>
          <w:color w:val="000000"/>
          <w:sz w:val="18"/>
          <w:szCs w:val="18"/>
        </w:rPr>
        <w:t>analysis (2019–20 to 2021–22) Child Protection Australia</w:t>
      </w:r>
      <w:r w:rsidRPr="007D0426">
        <w:rPr>
          <w:rFonts w:ascii="Calibri" w:hAnsi="Calibri" w:cs="Calibri"/>
          <w:color w:val="000000"/>
          <w:sz w:val="18"/>
          <w:szCs w:val="18"/>
        </w:rPr>
        <w:t>, [Table S3.6 &amp; P2], produced by AIHW on request</w:t>
      </w:r>
      <w:r>
        <w:rPr>
          <w:rFonts w:ascii="Calibri" w:hAnsi="Calibri" w:cs="Calibri"/>
          <w:color w:val="000000"/>
          <w:sz w:val="18"/>
          <w:szCs w:val="18"/>
        </w:rPr>
        <w:t>.</w:t>
      </w:r>
    </w:p>
  </w:footnote>
  <w:footnote w:id="33">
    <w:p w14:paraId="1D643711" w14:textId="0E033836"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AIHW</w:t>
      </w:r>
      <w:r>
        <w:rPr>
          <w:rFonts w:ascii="Calibri" w:hAnsi="Calibri" w:cs="Calibri"/>
          <w:sz w:val="18"/>
          <w:szCs w:val="18"/>
        </w:rPr>
        <w:t xml:space="preserve">, </w:t>
      </w:r>
      <w:r w:rsidRPr="005B7527">
        <w:rPr>
          <w:rFonts w:ascii="Calibri" w:hAnsi="Calibri" w:cs="Calibri"/>
          <w:i/>
          <w:iCs/>
          <w:color w:val="000000"/>
          <w:sz w:val="18"/>
          <w:szCs w:val="18"/>
        </w:rPr>
        <w:t>analysis (2019–20 to 2021–22) Child Protection Australia</w:t>
      </w:r>
      <w:r w:rsidRPr="007D0426">
        <w:rPr>
          <w:rFonts w:ascii="Calibri" w:hAnsi="Calibri" w:cs="Calibri"/>
          <w:color w:val="000000"/>
          <w:sz w:val="18"/>
          <w:szCs w:val="18"/>
        </w:rPr>
        <w:t>, [Table S5.5 &amp; P4], produced by AIHW on request</w:t>
      </w:r>
      <w:r>
        <w:rPr>
          <w:rFonts w:ascii="Calibri" w:hAnsi="Calibri" w:cs="Calibri"/>
          <w:color w:val="000000"/>
          <w:sz w:val="18"/>
          <w:szCs w:val="18"/>
        </w:rPr>
        <w:t>.</w:t>
      </w:r>
    </w:p>
  </w:footnote>
  <w:footnote w:id="34">
    <w:p w14:paraId="28A13CC0" w14:textId="6BA25BB2"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hyperlink r:id="rId15" w:history="1">
        <w:r w:rsidRPr="005B7527">
          <w:rPr>
            <w:rStyle w:val="Hyperlink"/>
            <w:rFonts w:ascii="Calibri" w:hAnsi="Calibri" w:cs="Calibri"/>
            <w:i/>
            <w:iCs/>
            <w:sz w:val="18"/>
            <w:szCs w:val="18"/>
          </w:rPr>
          <w:t>Personal Safety Australia</w:t>
        </w:r>
      </w:hyperlink>
      <w:r w:rsidRPr="007D0426">
        <w:rPr>
          <w:rFonts w:ascii="Calibri" w:hAnsi="Calibri" w:cs="Calibri"/>
          <w:color w:val="000000"/>
          <w:sz w:val="18"/>
          <w:szCs w:val="18"/>
        </w:rPr>
        <w:t xml:space="preserve">, ABS </w:t>
      </w:r>
      <w:r>
        <w:rPr>
          <w:rFonts w:ascii="Calibri" w:hAnsi="Calibri" w:cs="Calibri"/>
          <w:color w:val="000000"/>
          <w:sz w:val="18"/>
          <w:szCs w:val="18"/>
        </w:rPr>
        <w:t>w</w:t>
      </w:r>
      <w:r w:rsidRPr="007D0426">
        <w:rPr>
          <w:rFonts w:ascii="Calibri" w:hAnsi="Calibri" w:cs="Calibri"/>
          <w:color w:val="000000"/>
          <w:sz w:val="18"/>
          <w:szCs w:val="18"/>
        </w:rPr>
        <w:t xml:space="preserve">ebsite, </w:t>
      </w:r>
      <w:r>
        <w:rPr>
          <w:rFonts w:ascii="Calibri" w:hAnsi="Calibri" w:cs="Calibri"/>
          <w:color w:val="000000"/>
          <w:sz w:val="18"/>
          <w:szCs w:val="18"/>
        </w:rPr>
        <w:t xml:space="preserve">2021–22, </w:t>
      </w:r>
      <w:r w:rsidRPr="007D0426">
        <w:rPr>
          <w:rFonts w:ascii="Calibri" w:hAnsi="Calibri" w:cs="Calibri"/>
          <w:color w:val="000000"/>
          <w:sz w:val="18"/>
          <w:szCs w:val="18"/>
        </w:rPr>
        <w:t xml:space="preserve">accessed </w:t>
      </w:r>
      <w:r>
        <w:rPr>
          <w:rFonts w:ascii="Calibri" w:hAnsi="Calibri" w:cs="Calibri"/>
          <w:color w:val="000000"/>
          <w:sz w:val="18"/>
          <w:szCs w:val="18"/>
        </w:rPr>
        <w:t>5 September</w:t>
      </w:r>
      <w:r w:rsidRPr="007D0426">
        <w:rPr>
          <w:rFonts w:ascii="Calibri" w:hAnsi="Calibri" w:cs="Calibri"/>
          <w:color w:val="000000"/>
          <w:sz w:val="18"/>
          <w:szCs w:val="18"/>
        </w:rPr>
        <w:t xml:space="preserve"> 2023</w:t>
      </w:r>
      <w:r>
        <w:rPr>
          <w:rFonts w:ascii="Calibri" w:hAnsi="Calibri" w:cs="Calibri"/>
          <w:color w:val="000000"/>
          <w:sz w:val="18"/>
          <w:szCs w:val="18"/>
        </w:rPr>
        <w:t>.</w:t>
      </w:r>
    </w:p>
  </w:footnote>
  <w:footnote w:id="35">
    <w:p w14:paraId="4CA466B8" w14:textId="59E343F5" w:rsidR="00DE25AB" w:rsidRPr="00551396" w:rsidRDefault="003A6359" w:rsidP="00580627">
      <w:pPr>
        <w:pStyle w:val="FootnoteText"/>
        <w:spacing w:before="120"/>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sz w:val="18"/>
          <w:szCs w:val="18"/>
        </w:rPr>
        <w:t xml:space="preserve"> </w:t>
      </w:r>
      <w:hyperlink r:id="rId16" w:anchor=":~:text=A%20family%20is%20defined%20by%20the%20ABS%20as,who%20are%20usually%20resident%20in%20the%20same%20household." w:history="1">
        <w:r w:rsidRPr="005B7527">
          <w:rPr>
            <w:rStyle w:val="Hyperlink"/>
            <w:rFonts w:ascii="Calibri" w:eastAsiaTheme="majorEastAsia" w:hAnsi="Calibri" w:cs="Calibri"/>
            <w:i/>
            <w:iCs/>
            <w:sz w:val="18"/>
            <w:szCs w:val="18"/>
          </w:rPr>
          <w:t>2901.0 - Census Dictionary</w:t>
        </w:r>
        <w:r w:rsidRPr="005B7527">
          <w:rPr>
            <w:color w:val="000000"/>
          </w:rPr>
          <w:t xml:space="preserve">, </w:t>
        </w:r>
        <w:r w:rsidRPr="007D0426">
          <w:rPr>
            <w:rFonts w:ascii="Calibri" w:hAnsi="Calibri" w:cs="Calibri"/>
            <w:color w:val="000000"/>
            <w:sz w:val="18"/>
            <w:szCs w:val="18"/>
          </w:rPr>
          <w:t xml:space="preserve">ABS </w:t>
        </w:r>
        <w:r>
          <w:rPr>
            <w:rFonts w:ascii="Calibri" w:hAnsi="Calibri" w:cs="Calibri"/>
            <w:color w:val="000000"/>
            <w:sz w:val="18"/>
            <w:szCs w:val="18"/>
          </w:rPr>
          <w:t>w</w:t>
        </w:r>
        <w:r w:rsidRPr="007D0426">
          <w:rPr>
            <w:rFonts w:ascii="Calibri" w:hAnsi="Calibri" w:cs="Calibri"/>
            <w:color w:val="000000"/>
            <w:sz w:val="18"/>
            <w:szCs w:val="18"/>
          </w:rPr>
          <w:t xml:space="preserve">ebsite, </w:t>
        </w:r>
        <w:r>
          <w:rPr>
            <w:rFonts w:ascii="Calibri" w:hAnsi="Calibri" w:cs="Calibri"/>
            <w:color w:val="000000"/>
            <w:sz w:val="18"/>
            <w:szCs w:val="18"/>
          </w:rPr>
          <w:t xml:space="preserve">2011, </w:t>
        </w:r>
        <w:r w:rsidRPr="007D0426">
          <w:rPr>
            <w:rFonts w:ascii="Calibri" w:hAnsi="Calibri" w:cs="Calibri"/>
            <w:color w:val="000000"/>
            <w:sz w:val="18"/>
            <w:szCs w:val="18"/>
          </w:rPr>
          <w:t>accessed 16 June 2023</w:t>
        </w:r>
        <w:r>
          <w:rPr>
            <w:rFonts w:ascii="Calibri" w:hAnsi="Calibri" w:cs="Calibri"/>
            <w:color w:val="000000"/>
            <w:sz w:val="18"/>
            <w:szCs w:val="18"/>
          </w:rPr>
          <w:t>.</w:t>
        </w:r>
        <w:r w:rsidRPr="007D0426">
          <w:rPr>
            <w:rFonts w:ascii="Calibri" w:hAnsi="Calibri" w:cs="Calibri"/>
            <w:color w:val="000000"/>
            <w:sz w:val="18"/>
            <w:szCs w:val="18"/>
          </w:rPr>
          <w:t xml:space="preserve"> </w:t>
        </w:r>
        <w:r w:rsidRPr="007D0426">
          <w:rPr>
            <w:rStyle w:val="Hyperlink"/>
            <w:rFonts w:ascii="Calibri" w:eastAsiaTheme="majorEastAsia" w:hAnsi="Calibri" w:cs="Calibri"/>
            <w:sz w:val="18"/>
            <w:szCs w:val="18"/>
          </w:rPr>
          <w:t xml:space="preserve"> </w:t>
        </w:r>
      </w:hyperlink>
    </w:p>
  </w:footnote>
  <w:footnote w:id="36">
    <w:p w14:paraId="5A0579EF" w14:textId="04519C7D" w:rsidR="00DE25AB" w:rsidRPr="00FC7C0C" w:rsidRDefault="003A6359" w:rsidP="00580627">
      <w:pPr>
        <w:spacing w:after="0" w:line="240" w:lineRule="auto"/>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Pr="00FC7C0C">
        <w:rPr>
          <w:rFonts w:ascii="Calibri" w:hAnsi="Calibri" w:cs="Calibri"/>
          <w:color w:val="000000"/>
          <w:sz w:val="18"/>
          <w:szCs w:val="18"/>
        </w:rPr>
        <w:t>A</w:t>
      </w:r>
      <w:r w:rsidR="00697161">
        <w:rPr>
          <w:rFonts w:ascii="Calibri" w:hAnsi="Calibri" w:cs="Calibri"/>
          <w:color w:val="000000"/>
          <w:sz w:val="18"/>
          <w:szCs w:val="18"/>
        </w:rPr>
        <w:t>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sidRPr="00FC7C0C">
        <w:rPr>
          <w:rFonts w:ascii="Calibri" w:hAnsi="Calibri" w:cs="Calibri"/>
          <w:color w:val="000000"/>
          <w:sz w:val="18"/>
          <w:szCs w:val="18"/>
        </w:rPr>
        <w:t>, [Tablebuilder], 2011, produced by AIHW on request.</w:t>
      </w:r>
    </w:p>
  </w:footnote>
  <w:footnote w:id="37">
    <w:p w14:paraId="1F239E8B" w14:textId="080C5391" w:rsidR="00DE25AB" w:rsidRPr="00FC7C0C" w:rsidRDefault="003A6359" w:rsidP="00580627">
      <w:pPr>
        <w:pStyle w:val="FootnoteText"/>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Pr="00FC7C0C">
        <w:rPr>
          <w:rFonts w:ascii="Calibri" w:hAnsi="Calibri" w:cs="Calibri"/>
          <w:color w:val="000000"/>
          <w:sz w:val="18"/>
          <w:szCs w:val="18"/>
        </w:rPr>
        <w:t>A</w:t>
      </w:r>
      <w:r w:rsidR="00697161">
        <w:rPr>
          <w:rFonts w:ascii="Calibri" w:hAnsi="Calibri" w:cs="Calibri"/>
          <w:color w:val="000000"/>
          <w:sz w:val="18"/>
          <w:szCs w:val="18"/>
        </w:rPr>
        <w:t>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sidRPr="00FC7C0C">
        <w:rPr>
          <w:rFonts w:ascii="Calibri" w:hAnsi="Calibri" w:cs="Calibri"/>
          <w:color w:val="000000"/>
          <w:sz w:val="18"/>
          <w:szCs w:val="18"/>
        </w:rPr>
        <w:t>.</w:t>
      </w:r>
    </w:p>
  </w:footnote>
  <w:footnote w:id="38">
    <w:p w14:paraId="3485F05F" w14:textId="00EC83F9" w:rsidR="00DE25AB" w:rsidRPr="00FC7C0C" w:rsidRDefault="003A6359" w:rsidP="00580627">
      <w:pPr>
        <w:pStyle w:val="FootnoteText"/>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Pr="00FC7C0C">
        <w:rPr>
          <w:rFonts w:ascii="Calibri" w:hAnsi="Calibri" w:cs="Calibri"/>
          <w:color w:val="000000"/>
          <w:sz w:val="18"/>
          <w:szCs w:val="18"/>
        </w:rPr>
        <w:t>A</w:t>
      </w:r>
      <w:r w:rsidR="00697161">
        <w:rPr>
          <w:rFonts w:ascii="Calibri" w:hAnsi="Calibri" w:cs="Calibri"/>
          <w:color w:val="000000"/>
          <w:sz w:val="18"/>
          <w:szCs w:val="18"/>
        </w:rPr>
        <w:t>B</w:t>
      </w:r>
      <w:r w:rsidRPr="00FC7C0C">
        <w:rPr>
          <w:rFonts w:ascii="Calibri" w:hAnsi="Calibri" w:cs="Calibri"/>
          <w:color w:val="000000"/>
          <w:sz w:val="18"/>
          <w:szCs w:val="18"/>
        </w:rPr>
        <w:t xml:space="preserve">S, </w:t>
      </w:r>
      <w:r w:rsidRPr="00FC7C0C">
        <w:rPr>
          <w:rFonts w:ascii="Calibri" w:hAnsi="Calibri" w:cs="Calibri"/>
          <w:i/>
          <w:color w:val="000000"/>
          <w:sz w:val="18"/>
          <w:szCs w:val="18"/>
        </w:rPr>
        <w:t>Census of Population and Housing</w:t>
      </w:r>
      <w:r w:rsidRPr="00FC7C0C">
        <w:rPr>
          <w:rFonts w:ascii="Calibri" w:hAnsi="Calibri" w:cs="Calibri"/>
          <w:color w:val="000000"/>
          <w:sz w:val="18"/>
          <w:szCs w:val="18"/>
        </w:rPr>
        <w:t>.</w:t>
      </w:r>
    </w:p>
  </w:footnote>
  <w:footnote w:id="39">
    <w:p w14:paraId="116336FE" w14:textId="6D811F3A" w:rsidR="00DE25AB" w:rsidRDefault="003A6359" w:rsidP="00611C9C">
      <w:pPr>
        <w:pStyle w:val="FootnoteText"/>
      </w:pPr>
      <w:r w:rsidRPr="0054303A">
        <w:rPr>
          <w:rStyle w:val="FootnoteReference"/>
          <w:rFonts w:ascii="Calibri" w:hAnsi="Calibri" w:cs="Calibri"/>
          <w:sz w:val="18"/>
        </w:rPr>
        <w:footnoteRef/>
      </w:r>
      <w:r w:rsidRPr="0054303A">
        <w:rPr>
          <w:rFonts w:ascii="Calibri" w:hAnsi="Calibri" w:cs="Calibri"/>
          <w:sz w:val="18"/>
        </w:rPr>
        <w:t xml:space="preserve"> </w:t>
      </w:r>
      <w:r w:rsidRPr="0054303A">
        <w:rPr>
          <w:rFonts w:ascii="Calibri" w:hAnsi="Calibri" w:cs="Calibri"/>
          <w:color w:val="000000"/>
          <w:sz w:val="18"/>
          <w:szCs w:val="18"/>
        </w:rPr>
        <w:t xml:space="preserve">Productivity Commission, </w:t>
      </w:r>
      <w:hyperlink r:id="rId17" w:history="1">
        <w:r w:rsidRPr="008D355E">
          <w:rPr>
            <w:rStyle w:val="Hyperlink"/>
            <w:rFonts w:ascii="Calibri" w:hAnsi="Calibri"/>
            <w:i/>
            <w:iCs/>
            <w:sz w:val="18"/>
          </w:rPr>
          <w:t xml:space="preserve">Closing the Gap Socioeconomic Outcome Area 4 </w:t>
        </w:r>
        <w:r w:rsidRPr="008D355E">
          <w:rPr>
            <w:rStyle w:val="Hyperlink"/>
            <w:rFonts w:ascii="Calibri" w:hAnsi="Calibri" w:cs="Calibri"/>
            <w:i/>
            <w:iCs/>
            <w:sz w:val="18"/>
            <w:szCs w:val="18"/>
          </w:rPr>
          <w:t>Aboriginal and Torres Strait Islander children thrive in their early years</w:t>
        </w:r>
      </w:hyperlink>
      <w:r w:rsidRPr="0054303A">
        <w:rPr>
          <w:rFonts w:ascii="Calibri" w:hAnsi="Calibri" w:cs="Calibri"/>
          <w:color w:val="000000"/>
          <w:sz w:val="18"/>
          <w:szCs w:val="18"/>
        </w:rPr>
        <w:t xml:space="preserve"> </w:t>
      </w:r>
      <w:r w:rsidR="008D355E">
        <w:rPr>
          <w:rFonts w:ascii="Calibri" w:hAnsi="Calibri" w:cs="Calibri"/>
          <w:color w:val="000000"/>
          <w:sz w:val="18"/>
          <w:szCs w:val="18"/>
        </w:rPr>
        <w:t>[</w:t>
      </w:r>
      <w:r w:rsidRPr="00F832FF">
        <w:rPr>
          <w:rFonts w:ascii="Calibri" w:hAnsi="Calibri" w:cs="Calibri"/>
          <w:color w:val="000000"/>
          <w:sz w:val="18"/>
          <w:szCs w:val="18"/>
        </w:rPr>
        <w:t>Dashboard</w:t>
      </w:r>
      <w:r w:rsidR="008D355E">
        <w:rPr>
          <w:rFonts w:ascii="Calibri" w:hAnsi="Calibri" w:cs="Calibri"/>
          <w:color w:val="000000"/>
          <w:sz w:val="18"/>
          <w:szCs w:val="18"/>
        </w:rPr>
        <w:t>]</w:t>
      </w:r>
      <w:r w:rsidRPr="00F832FF">
        <w:rPr>
          <w:rFonts w:ascii="Calibri" w:hAnsi="Calibri" w:cs="Calibri"/>
          <w:color w:val="000000"/>
          <w:sz w:val="18"/>
          <w:szCs w:val="18"/>
        </w:rPr>
        <w:t>, Productivity Commission, Australian Government, accessed 25 October 2023.</w:t>
      </w:r>
    </w:p>
  </w:footnote>
  <w:footnote w:id="40">
    <w:p w14:paraId="264176E1" w14:textId="18E674DA" w:rsidR="00DE25AB" w:rsidRPr="00FC7C0C" w:rsidRDefault="003A6359" w:rsidP="00580627">
      <w:pPr>
        <w:spacing w:after="0" w:line="240" w:lineRule="auto"/>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00697161">
        <w:rPr>
          <w:rFonts w:ascii="Calibri" w:hAnsi="Calibri" w:cs="Calibri"/>
          <w:color w:val="000000"/>
          <w:sz w:val="18"/>
          <w:szCs w:val="18"/>
        </w:rPr>
        <w:t>ABS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sidRPr="00FC7C0C">
        <w:rPr>
          <w:rFonts w:ascii="Calibri" w:hAnsi="Calibri" w:cs="Calibri"/>
          <w:color w:val="000000"/>
          <w:sz w:val="18"/>
          <w:szCs w:val="18"/>
        </w:rPr>
        <w:t>.</w:t>
      </w:r>
    </w:p>
  </w:footnote>
  <w:footnote w:id="41">
    <w:p w14:paraId="387A6FF4" w14:textId="2F022360" w:rsidR="00DE25AB" w:rsidRPr="00551396" w:rsidRDefault="003A6359" w:rsidP="00580627">
      <w:pPr>
        <w:spacing w:after="0" w:line="240" w:lineRule="auto"/>
        <w:rPr>
          <w:rFonts w:ascii="Calibri" w:hAnsi="Calibri" w:cs="Calibri"/>
          <w:sz w:val="18"/>
          <w:szCs w:val="18"/>
        </w:rPr>
      </w:pPr>
      <w:r w:rsidRPr="00FC7C0C">
        <w:rPr>
          <w:rStyle w:val="FootnoteReference"/>
          <w:rFonts w:ascii="Calibri" w:hAnsi="Calibri" w:cs="Calibri"/>
          <w:sz w:val="18"/>
          <w:szCs w:val="18"/>
        </w:rPr>
        <w:footnoteRef/>
      </w:r>
      <w:r w:rsidRPr="00FC7C0C">
        <w:rPr>
          <w:rFonts w:ascii="Calibri" w:hAnsi="Calibri" w:cs="Calibri"/>
          <w:sz w:val="18"/>
          <w:szCs w:val="18"/>
        </w:rPr>
        <w:t xml:space="preserve"> </w:t>
      </w:r>
      <w:r w:rsidR="00697161">
        <w:rPr>
          <w:rFonts w:ascii="Calibri" w:hAnsi="Calibri" w:cs="Calibri"/>
          <w:color w:val="000000"/>
          <w:sz w:val="18"/>
          <w:szCs w:val="18"/>
        </w:rPr>
        <w:t>ABS</w:t>
      </w:r>
      <w:r w:rsidRPr="00FC7C0C">
        <w:rPr>
          <w:rFonts w:ascii="Calibri" w:hAnsi="Calibri" w:cs="Calibri"/>
          <w:color w:val="000000"/>
          <w:sz w:val="18"/>
          <w:szCs w:val="18"/>
        </w:rPr>
        <w:t xml:space="preserve">, </w:t>
      </w:r>
      <w:r w:rsidRPr="00FC7C0C">
        <w:rPr>
          <w:rFonts w:ascii="Calibri" w:hAnsi="Calibri" w:cs="Calibri"/>
          <w:i/>
          <w:color w:val="000000"/>
          <w:sz w:val="18"/>
          <w:szCs w:val="18"/>
        </w:rPr>
        <w:t>Census of Population and Housing</w:t>
      </w:r>
      <w:r w:rsidRPr="00FC7C0C">
        <w:rPr>
          <w:rFonts w:ascii="Calibri" w:hAnsi="Calibri" w:cs="Calibri"/>
          <w:sz w:val="18"/>
          <w:szCs w:val="18"/>
        </w:rPr>
        <w:t>.</w:t>
      </w:r>
    </w:p>
  </w:footnote>
  <w:footnote w:id="42">
    <w:p w14:paraId="4C25B1CA" w14:textId="182628E8"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bookmarkStart w:id="40" w:name="_Hlk161142411"/>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r w:rsidRPr="00AD0CB6">
        <w:rPr>
          <w:rFonts w:ascii="Calibri" w:hAnsi="Calibri" w:cs="Calibri"/>
          <w:i/>
          <w:iCs/>
          <w:color w:val="000000"/>
          <w:sz w:val="18"/>
          <w:szCs w:val="18"/>
        </w:rPr>
        <w:t>Labour Force Status of Families</w:t>
      </w:r>
      <w:r w:rsidRPr="007D0426">
        <w:rPr>
          <w:rFonts w:ascii="Calibri" w:hAnsi="Calibri" w:cs="Calibri"/>
          <w:color w:val="000000"/>
          <w:sz w:val="18"/>
          <w:szCs w:val="18"/>
        </w:rPr>
        <w:t xml:space="preserve">, [Tablebuilder], </w:t>
      </w:r>
      <w:r>
        <w:rPr>
          <w:rFonts w:ascii="Calibri" w:hAnsi="Calibri" w:cs="Calibri"/>
          <w:color w:val="000000"/>
          <w:sz w:val="18"/>
          <w:szCs w:val="18"/>
        </w:rPr>
        <w:t xml:space="preserve">2022, </w:t>
      </w:r>
      <w:r w:rsidRPr="007D0426">
        <w:rPr>
          <w:rFonts w:ascii="Calibri" w:hAnsi="Calibri" w:cs="Calibri"/>
          <w:color w:val="000000"/>
          <w:sz w:val="18"/>
          <w:szCs w:val="18"/>
        </w:rPr>
        <w:t>produced by AIHW on request</w:t>
      </w:r>
      <w:r>
        <w:rPr>
          <w:rFonts w:ascii="Calibri" w:hAnsi="Calibri" w:cs="Calibri"/>
          <w:color w:val="000000"/>
          <w:sz w:val="18"/>
          <w:szCs w:val="18"/>
        </w:rPr>
        <w:t>.</w:t>
      </w:r>
      <w:bookmarkEnd w:id="40"/>
    </w:p>
  </w:footnote>
  <w:footnote w:id="43">
    <w:p w14:paraId="5D227D87" w14:textId="77777777" w:rsidR="00DE25AB" w:rsidRPr="00551396" w:rsidRDefault="003A6359" w:rsidP="00580627">
      <w:pPr>
        <w:pStyle w:val="FootnoteText"/>
        <w:spacing w:before="120"/>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7D0426">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Australia’s children</w:t>
      </w:r>
      <w:r>
        <w:rPr>
          <w:rFonts w:ascii="Calibri" w:hAnsi="Calibri" w:cs="Calibri"/>
          <w:sz w:val="18"/>
          <w:szCs w:val="18"/>
        </w:rPr>
        <w:t>.</w:t>
      </w:r>
    </w:p>
  </w:footnote>
  <w:footnote w:id="44">
    <w:p w14:paraId="0F369A82" w14:textId="5D97E51C"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bookmarkStart w:id="43" w:name="_Hlk161142460"/>
      <w:r w:rsidR="00697161">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National Perinatal Data Collection annual update 2021</w:t>
      </w:r>
      <w:r w:rsidRPr="00AD0CB6">
        <w:rPr>
          <w:rFonts w:ascii="Calibri" w:hAnsi="Calibri" w:cs="Calibri"/>
          <w:sz w:val="18"/>
          <w:szCs w:val="18"/>
        </w:rPr>
        <w:t xml:space="preserve">, [Data sets], AIHW website, </w:t>
      </w:r>
      <w:r>
        <w:rPr>
          <w:rFonts w:ascii="Calibri" w:hAnsi="Calibri" w:cs="Calibri"/>
          <w:sz w:val="18"/>
          <w:szCs w:val="18"/>
        </w:rPr>
        <w:t xml:space="preserve">2021, </w:t>
      </w:r>
      <w:r w:rsidRPr="00AD0CB6">
        <w:rPr>
          <w:rFonts w:ascii="Calibri" w:hAnsi="Calibri" w:cs="Calibri"/>
          <w:sz w:val="18"/>
          <w:szCs w:val="18"/>
        </w:rPr>
        <w:t>accessed 16 August 2023</w:t>
      </w:r>
      <w:r>
        <w:rPr>
          <w:rFonts w:ascii="Calibri" w:hAnsi="Calibri" w:cs="Calibri"/>
          <w:sz w:val="18"/>
          <w:szCs w:val="18"/>
        </w:rPr>
        <w:t>.</w:t>
      </w:r>
      <w:bookmarkEnd w:id="43"/>
    </w:p>
  </w:footnote>
  <w:footnote w:id="45">
    <w:p w14:paraId="3CD2275F" w14:textId="33731172"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National Perinatal Data Collection annual update 2021</w:t>
      </w:r>
      <w:r>
        <w:rPr>
          <w:rFonts w:ascii="Calibri" w:hAnsi="Calibri" w:cs="Calibri"/>
          <w:sz w:val="18"/>
          <w:szCs w:val="18"/>
        </w:rPr>
        <w:t>.</w:t>
      </w:r>
    </w:p>
  </w:footnote>
  <w:footnote w:id="46">
    <w:p w14:paraId="653D3F8D" w14:textId="6CB20E2A"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697161">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National Perinatal Data Collection annual update 2021</w:t>
      </w:r>
      <w:r>
        <w:rPr>
          <w:rFonts w:ascii="Calibri" w:hAnsi="Calibri" w:cs="Calibri"/>
          <w:sz w:val="18"/>
          <w:szCs w:val="18"/>
        </w:rPr>
        <w:t>.</w:t>
      </w:r>
    </w:p>
  </w:footnote>
  <w:footnote w:id="47">
    <w:p w14:paraId="79BBEE78" w14:textId="0A82D358" w:rsidR="00DE25AB" w:rsidRPr="00551396" w:rsidRDefault="003A6359" w:rsidP="00580627">
      <w:pPr>
        <w:pStyle w:val="FootnoteText"/>
        <w:spacing w:after="120"/>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bookmarkStart w:id="46" w:name="_Hlk161142542"/>
      <w:r w:rsidR="00697161">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National Perinatal Data Collection annual update 2021</w:t>
      </w:r>
      <w:r>
        <w:rPr>
          <w:rFonts w:ascii="Calibri" w:hAnsi="Calibri" w:cs="Calibri"/>
          <w:sz w:val="18"/>
          <w:szCs w:val="18"/>
        </w:rPr>
        <w:t xml:space="preserve">, </w:t>
      </w:r>
      <w:r w:rsidRPr="00AD0CB6">
        <w:rPr>
          <w:rFonts w:ascii="Calibri" w:hAnsi="Calibri" w:cs="Calibri"/>
          <w:sz w:val="18"/>
          <w:szCs w:val="18"/>
        </w:rPr>
        <w:t>[Table 2.1], AIHW website, 2021, accessed 16 August 2023.</w:t>
      </w:r>
      <w:bookmarkEnd w:id="46"/>
    </w:p>
  </w:footnote>
  <w:footnote w:id="48">
    <w:p w14:paraId="39B8612A" w14:textId="6E02C103" w:rsidR="00DE25AB" w:rsidRDefault="003A6359" w:rsidP="00580627">
      <w:pPr>
        <w:pStyle w:val="FootnoteText"/>
      </w:pPr>
      <w:r w:rsidRPr="00887A52">
        <w:rPr>
          <w:rStyle w:val="FootnoteReference"/>
          <w:rFonts w:ascii="Calibri" w:hAnsi="Calibri" w:cs="Calibri"/>
          <w:sz w:val="18"/>
          <w:szCs w:val="18"/>
        </w:rPr>
        <w:footnoteRef/>
      </w:r>
      <w:r w:rsidRPr="00887A52">
        <w:rPr>
          <w:rFonts w:ascii="Calibri" w:hAnsi="Calibri" w:cs="Calibri"/>
          <w:sz w:val="18"/>
          <w:szCs w:val="18"/>
        </w:rP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hyperlink r:id="rId18" w:history="1">
        <w:r w:rsidRPr="00AD0CB6">
          <w:rPr>
            <w:rStyle w:val="Hyperlink"/>
            <w:rFonts w:ascii="Calibri" w:hAnsi="Calibri" w:cs="Calibri"/>
            <w:i/>
            <w:iCs/>
            <w:sz w:val="18"/>
            <w:szCs w:val="18"/>
          </w:rPr>
          <w:t>Births, Australia</w:t>
        </w:r>
      </w:hyperlink>
      <w:r w:rsidRPr="007D0426">
        <w:rPr>
          <w:rFonts w:ascii="Calibri" w:hAnsi="Calibri" w:cs="Calibri"/>
          <w:color w:val="000000"/>
          <w:sz w:val="18"/>
          <w:szCs w:val="18"/>
        </w:rPr>
        <w:t xml:space="preserve"> [key statistics], ABS </w:t>
      </w:r>
      <w:r>
        <w:rPr>
          <w:rFonts w:ascii="Calibri" w:hAnsi="Calibri" w:cs="Calibri"/>
          <w:color w:val="000000"/>
          <w:sz w:val="18"/>
          <w:szCs w:val="18"/>
        </w:rPr>
        <w:t>w</w:t>
      </w:r>
      <w:r w:rsidRPr="007D0426">
        <w:rPr>
          <w:rFonts w:ascii="Calibri" w:hAnsi="Calibri" w:cs="Calibri"/>
          <w:color w:val="000000"/>
          <w:sz w:val="18"/>
          <w:szCs w:val="18"/>
        </w:rPr>
        <w:t>ebsite,</w:t>
      </w:r>
      <w:r>
        <w:rPr>
          <w:rFonts w:ascii="Calibri" w:hAnsi="Calibri" w:cs="Calibri"/>
          <w:color w:val="000000"/>
          <w:sz w:val="18"/>
          <w:szCs w:val="18"/>
        </w:rPr>
        <w:t xml:space="preserve"> 2022,</w:t>
      </w:r>
      <w:r w:rsidRPr="007D0426">
        <w:rPr>
          <w:rFonts w:ascii="Calibri" w:hAnsi="Calibri" w:cs="Calibri"/>
          <w:color w:val="000000"/>
          <w:sz w:val="18"/>
          <w:szCs w:val="18"/>
        </w:rPr>
        <w:t xml:space="preserve"> accessed </w:t>
      </w:r>
      <w:r>
        <w:rPr>
          <w:rFonts w:ascii="Calibri" w:hAnsi="Calibri" w:cs="Calibri"/>
          <w:color w:val="000000"/>
          <w:sz w:val="18"/>
          <w:szCs w:val="18"/>
        </w:rPr>
        <w:t xml:space="preserve">3 February </w:t>
      </w:r>
      <w:r w:rsidRPr="007D0426">
        <w:rPr>
          <w:rFonts w:ascii="Calibri" w:hAnsi="Calibri" w:cs="Calibri"/>
          <w:color w:val="000000"/>
          <w:sz w:val="18"/>
          <w:szCs w:val="18"/>
        </w:rPr>
        <w:t>202</w:t>
      </w:r>
      <w:r>
        <w:rPr>
          <w:rFonts w:ascii="Calibri" w:hAnsi="Calibri" w:cs="Calibri"/>
          <w:color w:val="000000"/>
          <w:sz w:val="18"/>
          <w:szCs w:val="18"/>
        </w:rPr>
        <w:t>4.</w:t>
      </w:r>
    </w:p>
  </w:footnote>
  <w:footnote w:id="49">
    <w:p w14:paraId="71744D90" w14:textId="79F3FE8D" w:rsidR="00DE25AB" w:rsidRDefault="003A6359" w:rsidP="00580627">
      <w:pPr>
        <w:pStyle w:val="FootnoteText"/>
      </w:pPr>
      <w:r w:rsidRPr="00887A52">
        <w:rPr>
          <w:rStyle w:val="FootnoteReference"/>
          <w:rFonts w:ascii="Calibri" w:hAnsi="Calibri" w:cs="Calibri"/>
          <w:sz w:val="18"/>
          <w:szCs w:val="18"/>
        </w:rPr>
        <w:footnoteRef/>
      </w:r>
      <w:r w:rsidRPr="00887A52">
        <w:rPr>
          <w:rFonts w:ascii="Calibri" w:hAnsi="Calibri" w:cs="Calibri"/>
          <w:sz w:val="18"/>
          <w:szCs w:val="18"/>
        </w:rP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r w:rsidRPr="00AD0CB6">
        <w:rPr>
          <w:rFonts w:ascii="Calibri" w:hAnsi="Calibri" w:cs="Calibri"/>
          <w:i/>
          <w:iCs/>
          <w:sz w:val="18"/>
          <w:szCs w:val="18"/>
        </w:rPr>
        <w:t>Births, Australia</w:t>
      </w:r>
      <w:r>
        <w:rPr>
          <w:rFonts w:ascii="Calibri" w:hAnsi="Calibri" w:cs="Calibri"/>
          <w:sz w:val="18"/>
          <w:szCs w:val="18"/>
        </w:rPr>
        <w:t>.</w:t>
      </w:r>
    </w:p>
  </w:footnote>
  <w:footnote w:id="50">
    <w:p w14:paraId="15D08E31" w14:textId="4CE78501" w:rsidR="00DE25AB" w:rsidRDefault="003A6359" w:rsidP="00580627">
      <w:pPr>
        <w:pStyle w:val="FootnoteText"/>
      </w:pPr>
      <w:r w:rsidRPr="00887A52">
        <w:rPr>
          <w:rStyle w:val="FootnoteReference"/>
          <w:rFonts w:ascii="Calibri" w:hAnsi="Calibri" w:cs="Calibri"/>
          <w:sz w:val="18"/>
          <w:szCs w:val="18"/>
        </w:rPr>
        <w:footnoteRef/>
      </w:r>
      <w:r>
        <w:t xml:space="preserve"> </w:t>
      </w:r>
      <w:r w:rsidR="00697161">
        <w:rPr>
          <w:rFonts w:ascii="Calibri" w:hAnsi="Calibri" w:cs="Calibri"/>
          <w:color w:val="000000"/>
          <w:sz w:val="18"/>
          <w:szCs w:val="18"/>
        </w:rPr>
        <w:t>ABS</w:t>
      </w:r>
      <w:r>
        <w:rPr>
          <w:rFonts w:ascii="Calibri" w:hAnsi="Calibri" w:cs="Calibri"/>
          <w:color w:val="000000"/>
          <w:sz w:val="18"/>
          <w:szCs w:val="18"/>
        </w:rPr>
        <w:t>,</w:t>
      </w:r>
      <w:r w:rsidRPr="007D0426">
        <w:rPr>
          <w:rFonts w:ascii="Calibri" w:hAnsi="Calibri" w:cs="Calibri"/>
          <w:color w:val="000000"/>
          <w:sz w:val="18"/>
          <w:szCs w:val="18"/>
        </w:rPr>
        <w:t xml:space="preserve"> </w:t>
      </w:r>
      <w:r w:rsidRPr="00AD0CB6">
        <w:rPr>
          <w:rFonts w:ascii="Calibri" w:hAnsi="Calibri" w:cs="Calibri"/>
          <w:i/>
          <w:iCs/>
          <w:sz w:val="18"/>
          <w:szCs w:val="18"/>
        </w:rPr>
        <w:t>Births, Australia</w:t>
      </w:r>
      <w:r>
        <w:rPr>
          <w:rFonts w:ascii="Calibri" w:hAnsi="Calibri" w:cs="Calibri"/>
          <w:sz w:val="18"/>
          <w:szCs w:val="18"/>
        </w:rPr>
        <w:t>.</w:t>
      </w:r>
    </w:p>
  </w:footnote>
  <w:footnote w:id="51">
    <w:p w14:paraId="7CEBB175" w14:textId="6C1FC655" w:rsidR="00DE25AB" w:rsidRPr="00580627" w:rsidRDefault="003A6359">
      <w:pPr>
        <w:pStyle w:val="FootnoteText"/>
        <w:rPr>
          <w:rFonts w:ascii="Calibri" w:hAnsi="Calibri" w:cs="Calibri"/>
          <w:sz w:val="18"/>
        </w:rPr>
      </w:pPr>
      <w:r w:rsidRPr="0053666F">
        <w:rPr>
          <w:rStyle w:val="FootnoteReference"/>
          <w:rFonts w:ascii="Calibri" w:hAnsi="Calibri" w:cs="Calibri"/>
          <w:sz w:val="18"/>
          <w:szCs w:val="18"/>
        </w:rPr>
        <w:footnoteRef/>
      </w:r>
      <w:r>
        <w:t xml:space="preserve"> </w:t>
      </w:r>
      <w:r w:rsidR="00697161">
        <w:rPr>
          <w:rFonts w:ascii="Calibri" w:hAnsi="Calibri" w:cs="Calibri"/>
          <w:sz w:val="18"/>
          <w:szCs w:val="18"/>
        </w:rPr>
        <w:t>AIHW</w:t>
      </w:r>
      <w:r>
        <w:rPr>
          <w:rFonts w:ascii="Calibri" w:hAnsi="Calibri" w:cs="Calibri"/>
          <w:sz w:val="18"/>
        </w:rPr>
        <w:t xml:space="preserve">, </w:t>
      </w:r>
      <w:hyperlink r:id="rId19" w:history="1">
        <w:r w:rsidRPr="00697161">
          <w:rPr>
            <w:rStyle w:val="Hyperlink"/>
            <w:rFonts w:ascii="Calibri" w:hAnsi="Calibri" w:cs="Calibri"/>
            <w:i/>
            <w:sz w:val="18"/>
          </w:rPr>
          <w:t>Australia’s mothers and babies: Maternal age</w:t>
        </w:r>
      </w:hyperlink>
      <w:r>
        <w:rPr>
          <w:rFonts w:ascii="Calibri" w:hAnsi="Calibri" w:cs="Calibri"/>
          <w:i/>
          <w:sz w:val="18"/>
        </w:rPr>
        <w:t>, AIHW website, 2023</w:t>
      </w:r>
      <w:r w:rsidRPr="00580627">
        <w:rPr>
          <w:rFonts w:ascii="Calibri" w:hAnsi="Calibri" w:cs="Calibri"/>
          <w:sz w:val="18"/>
        </w:rPr>
        <w:t>, accessed 3 February 2024.</w:t>
      </w:r>
    </w:p>
  </w:footnote>
  <w:footnote w:id="52">
    <w:p w14:paraId="7903D687" w14:textId="0FF51ABC" w:rsidR="00DE25AB" w:rsidRDefault="003A6359">
      <w:pPr>
        <w:pStyle w:val="FootnoteText"/>
      </w:pPr>
      <w:r w:rsidRPr="00580627">
        <w:rPr>
          <w:rStyle w:val="FootnoteReference"/>
          <w:rFonts w:ascii="Calibri" w:hAnsi="Calibri" w:cs="Calibri"/>
          <w:sz w:val="18"/>
        </w:rPr>
        <w:footnoteRef/>
      </w:r>
      <w:r w:rsidRPr="00580627">
        <w:rPr>
          <w:rFonts w:ascii="Calibri" w:hAnsi="Calibri" w:cs="Calibri"/>
          <w:sz w:val="18"/>
        </w:rPr>
        <w:t xml:space="preserve"> </w:t>
      </w:r>
      <w:r w:rsidR="00697161">
        <w:rPr>
          <w:rFonts w:ascii="Calibri" w:hAnsi="Calibri" w:cs="Calibri"/>
          <w:sz w:val="18"/>
          <w:szCs w:val="18"/>
        </w:rPr>
        <w:t>AIHW</w:t>
      </w:r>
      <w:r w:rsidRPr="00A67109">
        <w:rPr>
          <w:rFonts w:ascii="Calibri" w:hAnsi="Calibri" w:cs="Calibri"/>
          <w:sz w:val="18"/>
        </w:rPr>
        <w:t xml:space="preserve">, </w:t>
      </w:r>
      <w:hyperlink r:id="rId20" w:history="1">
        <w:r w:rsidRPr="00A67109">
          <w:rPr>
            <w:rStyle w:val="Hyperlink"/>
            <w:rFonts w:ascii="Calibri" w:hAnsi="Calibri" w:cs="Calibri"/>
            <w:i/>
            <w:sz w:val="18"/>
          </w:rPr>
          <w:t>Australia’s mothers and babies: Focus population groups</w:t>
        </w:r>
      </w:hyperlink>
      <w:r>
        <w:rPr>
          <w:rFonts w:ascii="Calibri" w:hAnsi="Calibri" w:cs="Calibri"/>
          <w:i/>
          <w:sz w:val="18"/>
        </w:rPr>
        <w:t xml:space="preserve">, AIHW website, 2023, accessed 16 January 2024. </w:t>
      </w:r>
    </w:p>
  </w:footnote>
  <w:footnote w:id="53">
    <w:p w14:paraId="2349F128"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Pr>
          <w:rFonts w:ascii="Calibri" w:hAnsi="Calibri" w:cs="Calibri"/>
          <w:sz w:val="18"/>
          <w:szCs w:val="18"/>
        </w:rPr>
        <w:t xml:space="preserve"> </w:t>
      </w:r>
      <w:r w:rsidRPr="007D0426">
        <w:rPr>
          <w:rFonts w:ascii="Calibri" w:hAnsi="Calibri" w:cs="Calibri"/>
          <w:sz w:val="18"/>
          <w:szCs w:val="18"/>
        </w:rPr>
        <w:t>AIHW</w:t>
      </w:r>
      <w:r>
        <w:rPr>
          <w:rFonts w:ascii="Calibri" w:hAnsi="Calibri" w:cs="Calibri"/>
          <w:sz w:val="18"/>
          <w:szCs w:val="18"/>
        </w:rPr>
        <w:t>,</w:t>
      </w:r>
      <w:r w:rsidRPr="007D0426">
        <w:rPr>
          <w:rFonts w:ascii="Calibri" w:hAnsi="Calibri" w:cs="Calibri"/>
          <w:sz w:val="18"/>
          <w:szCs w:val="18"/>
        </w:rPr>
        <w:t xml:space="preserve"> </w:t>
      </w:r>
      <w:r w:rsidRPr="00AD0CB6">
        <w:rPr>
          <w:rFonts w:ascii="Calibri" w:hAnsi="Calibri" w:cs="Calibri"/>
          <w:i/>
          <w:iCs/>
          <w:sz w:val="18"/>
          <w:szCs w:val="18"/>
        </w:rPr>
        <w:t>Australia’s children</w:t>
      </w:r>
      <w:r>
        <w:rPr>
          <w:rFonts w:ascii="Calibri" w:hAnsi="Calibri" w:cs="Calibri"/>
          <w:sz w:val="18"/>
          <w:szCs w:val="18"/>
        </w:rPr>
        <w:t>.</w:t>
      </w:r>
    </w:p>
  </w:footnote>
  <w:footnote w:id="54">
    <w:p w14:paraId="66B54599" w14:textId="68FAAF81" w:rsidR="00DE25AB" w:rsidRPr="00BA2942" w:rsidRDefault="003A6359" w:rsidP="00580627">
      <w:pPr>
        <w:pStyle w:val="FootnoteText"/>
        <w:rPr>
          <w:rFonts w:ascii="Calibri" w:hAnsi="Calibri" w:cs="Calibri"/>
          <w:color w:val="000000"/>
          <w:sz w:val="18"/>
          <w:szCs w:val="18"/>
        </w:rPr>
      </w:pPr>
      <w:r w:rsidRPr="00BA2942">
        <w:rPr>
          <w:rFonts w:ascii="Calibri" w:hAnsi="Calibri" w:cs="Calibri"/>
          <w:color w:val="000000"/>
          <w:sz w:val="18"/>
          <w:szCs w:val="18"/>
          <w:vertAlign w:val="superscript"/>
        </w:rPr>
        <w:footnoteRef/>
      </w:r>
      <w:r w:rsidRPr="00BA2942">
        <w:rPr>
          <w:rFonts w:ascii="Calibri" w:hAnsi="Calibri" w:cs="Calibri"/>
          <w:color w:val="000000"/>
          <w:sz w:val="18"/>
          <w:szCs w:val="18"/>
        </w:rPr>
        <w:t xml:space="preserve"> </w:t>
      </w:r>
      <w:r w:rsidRPr="007D0426">
        <w:rPr>
          <w:rFonts w:ascii="Calibri" w:hAnsi="Calibri" w:cs="Calibri"/>
          <w:sz w:val="18"/>
          <w:szCs w:val="18"/>
        </w:rPr>
        <w:t>A</w:t>
      </w:r>
      <w:r w:rsidR="00697161">
        <w:rPr>
          <w:rFonts w:ascii="Calibri" w:hAnsi="Calibri" w:cs="Calibri"/>
          <w:sz w:val="18"/>
          <w:szCs w:val="18"/>
        </w:rPr>
        <w:t>IHW</w:t>
      </w:r>
      <w:r>
        <w:rPr>
          <w:rFonts w:ascii="Calibri" w:hAnsi="Calibri" w:cs="Calibri"/>
          <w:sz w:val="18"/>
          <w:szCs w:val="18"/>
        </w:rPr>
        <w:t>,</w:t>
      </w:r>
      <w:r w:rsidRPr="007D0426">
        <w:rPr>
          <w:rFonts w:ascii="Calibri" w:hAnsi="Calibri" w:cs="Calibri"/>
          <w:color w:val="000000"/>
          <w:sz w:val="18"/>
          <w:szCs w:val="18"/>
        </w:rPr>
        <w:t xml:space="preserve"> </w:t>
      </w:r>
      <w:hyperlink r:id="rId21" w:history="1">
        <w:r w:rsidRPr="00697161">
          <w:rPr>
            <w:rStyle w:val="Hyperlink"/>
            <w:rFonts w:ascii="Calibri" w:hAnsi="Calibri" w:cs="Calibri"/>
            <w:i/>
            <w:iCs/>
            <w:sz w:val="18"/>
            <w:szCs w:val="18"/>
          </w:rPr>
          <w:t>National Perinatal Data Collection</w:t>
        </w:r>
      </w:hyperlink>
      <w:r w:rsidRPr="00697161">
        <w:rPr>
          <w:rFonts w:ascii="Calibri" w:hAnsi="Calibri" w:cs="Calibri"/>
          <w:i/>
          <w:iCs/>
          <w:sz w:val="18"/>
          <w:szCs w:val="18"/>
        </w:rPr>
        <w:t xml:space="preserve"> </w:t>
      </w:r>
      <w:r w:rsidRPr="00697161">
        <w:rPr>
          <w:rFonts w:ascii="Calibri" w:hAnsi="Calibri" w:cs="Calibri"/>
          <w:sz w:val="18"/>
          <w:szCs w:val="18"/>
        </w:rPr>
        <w:t>annual update 2021</w:t>
      </w:r>
      <w:r w:rsidRPr="000051ED">
        <w:rPr>
          <w:rFonts w:ascii="Calibri" w:hAnsi="Calibri" w:cs="Calibri"/>
          <w:sz w:val="18"/>
          <w:szCs w:val="18"/>
        </w:rPr>
        <w:t xml:space="preserve">, [Table 4.2], AIHW </w:t>
      </w:r>
      <w:r>
        <w:rPr>
          <w:rFonts w:ascii="Calibri" w:hAnsi="Calibri" w:cs="Calibri"/>
          <w:sz w:val="18"/>
          <w:szCs w:val="18"/>
        </w:rPr>
        <w:t>w</w:t>
      </w:r>
      <w:r w:rsidRPr="000051ED">
        <w:rPr>
          <w:rFonts w:ascii="Calibri" w:hAnsi="Calibri" w:cs="Calibri"/>
          <w:sz w:val="18"/>
          <w:szCs w:val="18"/>
        </w:rPr>
        <w:t xml:space="preserve">ebsite, 2021, accessed </w:t>
      </w:r>
      <w:r>
        <w:rPr>
          <w:rFonts w:ascii="Calibri" w:hAnsi="Calibri" w:cs="Calibri"/>
          <w:color w:val="000000"/>
          <w:sz w:val="18"/>
          <w:szCs w:val="18"/>
        </w:rPr>
        <w:t xml:space="preserve">3 February </w:t>
      </w:r>
      <w:r w:rsidRPr="007D0426">
        <w:rPr>
          <w:rFonts w:ascii="Calibri" w:hAnsi="Calibri" w:cs="Calibri"/>
          <w:color w:val="000000"/>
          <w:sz w:val="18"/>
          <w:szCs w:val="18"/>
        </w:rPr>
        <w:t>202</w:t>
      </w:r>
      <w:r>
        <w:rPr>
          <w:rFonts w:ascii="Calibri" w:hAnsi="Calibri" w:cs="Calibri"/>
          <w:color w:val="000000"/>
          <w:sz w:val="18"/>
          <w:szCs w:val="18"/>
        </w:rPr>
        <w:t>4</w:t>
      </w:r>
      <w:r w:rsidRPr="000051ED">
        <w:rPr>
          <w:rFonts w:ascii="Calibri" w:hAnsi="Calibri" w:cs="Calibri"/>
          <w:sz w:val="18"/>
          <w:szCs w:val="18"/>
        </w:rPr>
        <w:t>.</w:t>
      </w:r>
    </w:p>
  </w:footnote>
  <w:footnote w:id="55">
    <w:p w14:paraId="533BF604" w14:textId="5A10CAA5"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53666F">
        <w:rPr>
          <w:rFonts w:ascii="Calibri" w:hAnsi="Calibri" w:cs="Calibri"/>
          <w:sz w:val="18"/>
          <w:szCs w:val="18"/>
        </w:rPr>
        <w:t>AIHW</w:t>
      </w:r>
      <w:r>
        <w:rPr>
          <w:rFonts w:ascii="Calibri" w:hAnsi="Calibri" w:cs="Calibri"/>
          <w:color w:val="000000"/>
          <w:sz w:val="18"/>
          <w:szCs w:val="18"/>
        </w:rPr>
        <w:t>,</w:t>
      </w:r>
      <w:r w:rsidRPr="007D0426">
        <w:rPr>
          <w:rFonts w:ascii="Calibri" w:hAnsi="Calibri" w:cs="Calibri"/>
          <w:color w:val="000000"/>
          <w:sz w:val="18"/>
          <w:szCs w:val="18"/>
        </w:rPr>
        <w:t xml:space="preserve"> </w:t>
      </w:r>
      <w:hyperlink r:id="rId22" w:history="1">
        <w:r w:rsidRPr="000051ED">
          <w:rPr>
            <w:rStyle w:val="Hyperlink"/>
            <w:rFonts w:ascii="Calibri" w:hAnsi="Calibri" w:cs="Calibri"/>
            <w:i/>
            <w:iCs/>
            <w:sz w:val="18"/>
            <w:szCs w:val="18"/>
          </w:rPr>
          <w:t>Australia's mothers and babies: Breastfeeding</w:t>
        </w:r>
      </w:hyperlink>
      <w:r w:rsidRPr="000051ED">
        <w:rPr>
          <w:rStyle w:val="Hyperlink"/>
          <w:rFonts w:ascii="Calibri" w:hAnsi="Calibri" w:cs="Calibri"/>
          <w:i/>
          <w:iCs/>
          <w:sz w:val="18"/>
          <w:szCs w:val="18"/>
        </w:rPr>
        <w:t>,</w:t>
      </w:r>
      <w:r w:rsidRPr="007D0426">
        <w:rPr>
          <w:rFonts w:ascii="Calibri" w:hAnsi="Calibri" w:cs="Calibri"/>
          <w:color w:val="000000"/>
          <w:sz w:val="18"/>
          <w:szCs w:val="18"/>
        </w:rPr>
        <w:t xml:space="preserve"> [Figure 1], AIHW </w:t>
      </w:r>
      <w:r>
        <w:rPr>
          <w:rFonts w:ascii="Calibri" w:hAnsi="Calibri" w:cs="Calibri"/>
          <w:color w:val="000000"/>
          <w:sz w:val="18"/>
          <w:szCs w:val="18"/>
        </w:rPr>
        <w:t>w</w:t>
      </w:r>
      <w:r w:rsidRPr="007D0426">
        <w:rPr>
          <w:rFonts w:ascii="Calibri" w:hAnsi="Calibri" w:cs="Calibri"/>
          <w:color w:val="000000"/>
          <w:sz w:val="18"/>
          <w:szCs w:val="18"/>
        </w:rPr>
        <w:t>ebsite,</w:t>
      </w:r>
      <w:r>
        <w:rPr>
          <w:rFonts w:ascii="Calibri" w:hAnsi="Calibri" w:cs="Calibri"/>
          <w:color w:val="000000"/>
          <w:sz w:val="18"/>
          <w:szCs w:val="18"/>
        </w:rPr>
        <w:t xml:space="preserve"> 2023,</w:t>
      </w:r>
      <w:r w:rsidRPr="007D0426">
        <w:rPr>
          <w:rFonts w:ascii="Calibri" w:hAnsi="Calibri" w:cs="Calibri"/>
          <w:color w:val="000000"/>
          <w:sz w:val="18"/>
          <w:szCs w:val="18"/>
        </w:rPr>
        <w:t xml:space="preserve"> accessed </w:t>
      </w:r>
      <w:r>
        <w:rPr>
          <w:rFonts w:ascii="Calibri" w:hAnsi="Calibri" w:cs="Calibri"/>
          <w:color w:val="000000"/>
          <w:sz w:val="18"/>
          <w:szCs w:val="18"/>
        </w:rPr>
        <w:t xml:space="preserve">3 February </w:t>
      </w:r>
      <w:r w:rsidRPr="007D0426">
        <w:rPr>
          <w:rFonts w:ascii="Calibri" w:hAnsi="Calibri" w:cs="Calibri"/>
          <w:color w:val="000000"/>
          <w:sz w:val="18"/>
          <w:szCs w:val="18"/>
        </w:rPr>
        <w:t>202</w:t>
      </w:r>
      <w:r>
        <w:rPr>
          <w:rFonts w:ascii="Calibri" w:hAnsi="Calibri" w:cs="Calibri"/>
          <w:color w:val="000000"/>
          <w:sz w:val="18"/>
          <w:szCs w:val="18"/>
        </w:rPr>
        <w:t>4.</w:t>
      </w:r>
    </w:p>
  </w:footnote>
  <w:footnote w:id="56">
    <w:p w14:paraId="3E59E5D3" w14:textId="084BE652"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53666F">
        <w:rPr>
          <w:rFonts w:ascii="Calibri" w:hAnsi="Calibri" w:cs="Calibri"/>
          <w:sz w:val="18"/>
          <w:szCs w:val="18"/>
        </w:rPr>
        <w:t>AIHW</w:t>
      </w:r>
      <w:r>
        <w:rPr>
          <w:rFonts w:ascii="Calibri" w:hAnsi="Calibri" w:cs="Calibri"/>
          <w:color w:val="000000"/>
          <w:sz w:val="18"/>
          <w:szCs w:val="18"/>
        </w:rPr>
        <w:t>,</w:t>
      </w:r>
      <w:r w:rsidRPr="007D0426">
        <w:rPr>
          <w:rFonts w:ascii="Calibri" w:hAnsi="Calibri" w:cs="Calibri"/>
          <w:color w:val="000000"/>
          <w:sz w:val="18"/>
          <w:szCs w:val="18"/>
        </w:rPr>
        <w:t xml:space="preserve"> </w:t>
      </w:r>
      <w:hyperlink r:id="rId23" w:history="1">
        <w:r w:rsidRPr="000051ED">
          <w:rPr>
            <w:rStyle w:val="Hyperlink"/>
            <w:rFonts w:ascii="Calibri" w:hAnsi="Calibri" w:cs="Calibri"/>
            <w:i/>
            <w:iCs/>
            <w:sz w:val="18"/>
            <w:szCs w:val="18"/>
          </w:rPr>
          <w:t>Australia's mothers and babies: Breastfeeding</w:t>
        </w:r>
      </w:hyperlink>
      <w:r w:rsidRPr="000051ED">
        <w:rPr>
          <w:rStyle w:val="Hyperlink"/>
          <w:rFonts w:ascii="Calibri" w:hAnsi="Calibri" w:cs="Calibri"/>
          <w:i/>
          <w:iCs/>
          <w:sz w:val="18"/>
          <w:szCs w:val="18"/>
        </w:rPr>
        <w:t>,</w:t>
      </w:r>
      <w:r w:rsidRPr="007D0426">
        <w:rPr>
          <w:rFonts w:ascii="Calibri" w:hAnsi="Calibri" w:cs="Calibri"/>
          <w:color w:val="000000"/>
          <w:sz w:val="18"/>
          <w:szCs w:val="18"/>
        </w:rPr>
        <w:t xml:space="preserve"> [Figure 2], AIHW </w:t>
      </w:r>
      <w:r>
        <w:rPr>
          <w:rFonts w:ascii="Calibri" w:hAnsi="Calibri" w:cs="Calibri"/>
          <w:color w:val="000000"/>
          <w:sz w:val="18"/>
          <w:szCs w:val="18"/>
        </w:rPr>
        <w:t>w</w:t>
      </w:r>
      <w:r w:rsidRPr="007D0426">
        <w:rPr>
          <w:rFonts w:ascii="Calibri" w:hAnsi="Calibri" w:cs="Calibri"/>
          <w:color w:val="000000"/>
          <w:sz w:val="18"/>
          <w:szCs w:val="18"/>
        </w:rPr>
        <w:t xml:space="preserve">ebsite, </w:t>
      </w:r>
      <w:r>
        <w:rPr>
          <w:rFonts w:ascii="Calibri" w:hAnsi="Calibri" w:cs="Calibri"/>
          <w:color w:val="000000"/>
          <w:sz w:val="18"/>
          <w:szCs w:val="18"/>
        </w:rPr>
        <w:t xml:space="preserve">2023, </w:t>
      </w:r>
      <w:r w:rsidRPr="007D0426">
        <w:rPr>
          <w:rFonts w:ascii="Calibri" w:hAnsi="Calibri" w:cs="Calibri"/>
          <w:color w:val="000000"/>
          <w:sz w:val="18"/>
          <w:szCs w:val="18"/>
        </w:rPr>
        <w:t xml:space="preserve">accessed </w:t>
      </w:r>
      <w:r>
        <w:rPr>
          <w:rFonts w:ascii="Calibri" w:hAnsi="Calibri" w:cs="Calibri"/>
          <w:color w:val="000000"/>
          <w:sz w:val="18"/>
          <w:szCs w:val="18"/>
        </w:rPr>
        <w:t xml:space="preserve">3 February </w:t>
      </w:r>
      <w:r w:rsidRPr="007D0426">
        <w:rPr>
          <w:rFonts w:ascii="Calibri" w:hAnsi="Calibri" w:cs="Calibri"/>
          <w:color w:val="000000"/>
          <w:sz w:val="18"/>
          <w:szCs w:val="18"/>
        </w:rPr>
        <w:t>202</w:t>
      </w:r>
      <w:r>
        <w:rPr>
          <w:rFonts w:ascii="Calibri" w:hAnsi="Calibri" w:cs="Calibri"/>
          <w:color w:val="000000"/>
          <w:sz w:val="18"/>
          <w:szCs w:val="18"/>
        </w:rPr>
        <w:t>4.</w:t>
      </w:r>
    </w:p>
  </w:footnote>
  <w:footnote w:id="57">
    <w:p w14:paraId="19D2987C" w14:textId="5B515567" w:rsidR="00DE25AB" w:rsidRPr="00551396" w:rsidRDefault="003A6359" w:rsidP="00580627">
      <w:pPr>
        <w:pStyle w:val="FootnoteText"/>
        <w:rPr>
          <w:rFonts w:ascii="Calibri" w:hAnsi="Calibri" w:cs="Calibri"/>
          <w:sz w:val="18"/>
          <w:szCs w:val="18"/>
        </w:rPr>
      </w:pPr>
      <w:r w:rsidRPr="00164623">
        <w:rPr>
          <w:rStyle w:val="FootnoteReference"/>
          <w:rFonts w:ascii="Calibri" w:hAnsi="Calibri" w:cs="Calibri"/>
          <w:sz w:val="18"/>
          <w:szCs w:val="18"/>
        </w:rPr>
        <w:footnoteRef/>
      </w:r>
      <w:r w:rsidRPr="00164623">
        <w:rPr>
          <w:rFonts w:ascii="Calibri" w:hAnsi="Calibri" w:cs="Calibri"/>
          <w:sz w:val="18"/>
          <w:szCs w:val="18"/>
        </w:rPr>
        <w:t xml:space="preserve"> </w:t>
      </w:r>
      <w:r w:rsidR="0053666F">
        <w:rPr>
          <w:rFonts w:ascii="Calibri" w:hAnsi="Calibri" w:cs="Calibri"/>
          <w:color w:val="000000"/>
          <w:sz w:val="18"/>
          <w:szCs w:val="18"/>
        </w:rPr>
        <w:t>ABS</w:t>
      </w:r>
      <w:r w:rsidRPr="00164623">
        <w:rPr>
          <w:rFonts w:ascii="Calibri" w:hAnsi="Calibri" w:cs="Calibri"/>
          <w:color w:val="000000"/>
          <w:sz w:val="18"/>
          <w:szCs w:val="18"/>
        </w:rPr>
        <w:t xml:space="preserve">, </w:t>
      </w:r>
      <w:hyperlink r:id="rId24" w:history="1">
        <w:r w:rsidRPr="0053666F">
          <w:rPr>
            <w:rStyle w:val="Hyperlink"/>
            <w:rFonts w:ascii="Calibri" w:hAnsi="Calibri" w:cs="Calibri"/>
            <w:i/>
            <w:iCs/>
            <w:sz w:val="18"/>
            <w:szCs w:val="18"/>
          </w:rPr>
          <w:t>Deaths, Australia</w:t>
        </w:r>
      </w:hyperlink>
      <w:r w:rsidRPr="0053666F">
        <w:rPr>
          <w:rFonts w:ascii="Calibri" w:hAnsi="Calibri" w:cs="Calibri"/>
          <w:sz w:val="18"/>
          <w:szCs w:val="18"/>
        </w:rPr>
        <w:t>, 2022</w:t>
      </w:r>
      <w:r w:rsidRPr="00164623">
        <w:rPr>
          <w:rFonts w:ascii="Calibri" w:hAnsi="Calibri" w:cs="Calibri"/>
          <w:color w:val="000000"/>
          <w:sz w:val="18"/>
          <w:szCs w:val="18"/>
        </w:rPr>
        <w:t xml:space="preserve">, ABS website, 2021, accessed </w:t>
      </w:r>
      <w:r>
        <w:rPr>
          <w:rFonts w:ascii="Calibri" w:hAnsi="Calibri" w:cs="Calibri"/>
          <w:color w:val="000000"/>
          <w:sz w:val="18"/>
          <w:szCs w:val="18"/>
        </w:rPr>
        <w:t xml:space="preserve">3 February </w:t>
      </w:r>
      <w:r w:rsidRPr="007D0426">
        <w:rPr>
          <w:rFonts w:ascii="Calibri" w:hAnsi="Calibri" w:cs="Calibri"/>
          <w:color w:val="000000"/>
          <w:sz w:val="18"/>
          <w:szCs w:val="18"/>
        </w:rPr>
        <w:t>202</w:t>
      </w:r>
      <w:r>
        <w:rPr>
          <w:rFonts w:ascii="Calibri" w:hAnsi="Calibri" w:cs="Calibri"/>
          <w:color w:val="000000"/>
          <w:sz w:val="18"/>
          <w:szCs w:val="18"/>
        </w:rPr>
        <w:t>4</w:t>
      </w:r>
      <w:r w:rsidRPr="00164623">
        <w:rPr>
          <w:rFonts w:ascii="Calibri" w:hAnsi="Calibri" w:cs="Calibri"/>
          <w:color w:val="000000"/>
          <w:sz w:val="18"/>
          <w:szCs w:val="18"/>
        </w:rPr>
        <w:t>.</w:t>
      </w:r>
    </w:p>
  </w:footnote>
  <w:footnote w:id="58">
    <w:p w14:paraId="3F3095CD" w14:textId="0027A7C7" w:rsidR="00DE25AB" w:rsidRDefault="003A6359" w:rsidP="00D0203C">
      <w:pPr>
        <w:pStyle w:val="FootnoteText"/>
      </w:pPr>
      <w:r w:rsidRPr="0053666F">
        <w:rPr>
          <w:rStyle w:val="FootnoteReference"/>
          <w:rFonts w:ascii="Calibri" w:hAnsi="Calibri" w:cs="Calibri"/>
          <w:sz w:val="18"/>
          <w:szCs w:val="18"/>
        </w:rPr>
        <w:footnoteRef/>
      </w:r>
      <w:r>
        <w:t xml:space="preserve"> </w:t>
      </w:r>
      <w:r w:rsidR="0053666F">
        <w:rPr>
          <w:rFonts w:ascii="Calibri" w:hAnsi="Calibri" w:cs="Calibri"/>
          <w:sz w:val="18"/>
        </w:rPr>
        <w:t>AIHW</w:t>
      </w:r>
      <w:r w:rsidRPr="00A67109">
        <w:rPr>
          <w:rFonts w:ascii="Calibri" w:hAnsi="Calibri" w:cs="Calibri"/>
          <w:sz w:val="18"/>
        </w:rPr>
        <w:t xml:space="preserve">, </w:t>
      </w:r>
      <w:hyperlink r:id="rId25" w:history="1">
        <w:r w:rsidRPr="00A67109">
          <w:rPr>
            <w:rStyle w:val="Hyperlink"/>
            <w:rFonts w:ascii="Calibri" w:hAnsi="Calibri" w:cs="Calibri"/>
            <w:i/>
            <w:sz w:val="18"/>
          </w:rPr>
          <w:t xml:space="preserve">Australia’s mothers and babies: </w:t>
        </w:r>
        <w:r>
          <w:rPr>
            <w:rStyle w:val="Hyperlink"/>
            <w:rFonts w:ascii="Calibri" w:hAnsi="Calibri" w:cs="Calibri"/>
            <w:i/>
            <w:sz w:val="18"/>
          </w:rPr>
          <w:t>Gestational</w:t>
        </w:r>
      </w:hyperlink>
      <w:r>
        <w:rPr>
          <w:rStyle w:val="Hyperlink"/>
          <w:rFonts w:ascii="Calibri" w:hAnsi="Calibri" w:cs="Calibri"/>
          <w:i/>
          <w:sz w:val="18"/>
        </w:rPr>
        <w:t xml:space="preserve"> age</w:t>
      </w:r>
      <w:r>
        <w:rPr>
          <w:rFonts w:ascii="Calibri" w:hAnsi="Calibri" w:cs="Calibri"/>
          <w:i/>
          <w:sz w:val="18"/>
        </w:rPr>
        <w:t xml:space="preserve">, </w:t>
      </w:r>
      <w:r w:rsidRPr="00580627">
        <w:rPr>
          <w:rFonts w:ascii="Calibri" w:hAnsi="Calibri" w:cs="Calibri"/>
          <w:sz w:val="18"/>
        </w:rPr>
        <w:t>AIHW website, 2023, accessed 3 February 2024.</w:t>
      </w:r>
    </w:p>
  </w:footnote>
  <w:footnote w:id="59">
    <w:p w14:paraId="45EFC19F" w14:textId="6653305F" w:rsidR="00DE25AB" w:rsidRPr="00F74D3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Pr>
          <w:rFonts w:ascii="Calibri" w:hAnsi="Calibri" w:cs="Calibri"/>
          <w:sz w:val="18"/>
          <w:szCs w:val="18"/>
        </w:rPr>
        <w:t xml:space="preserve"> </w:t>
      </w:r>
      <w:r w:rsidR="0053666F">
        <w:rPr>
          <w:rFonts w:ascii="Calibri" w:hAnsi="Calibri" w:cs="Calibri"/>
          <w:sz w:val="18"/>
        </w:rPr>
        <w:t>AIHW</w:t>
      </w:r>
      <w:r>
        <w:rPr>
          <w:rFonts w:ascii="Calibri" w:hAnsi="Calibri" w:cs="Calibri"/>
          <w:sz w:val="18"/>
          <w:szCs w:val="18"/>
        </w:rPr>
        <w:t>,</w:t>
      </w:r>
      <w:r w:rsidRPr="007D0426">
        <w:rPr>
          <w:rFonts w:ascii="Calibri" w:hAnsi="Calibri" w:cs="Calibri"/>
          <w:sz w:val="18"/>
          <w:szCs w:val="18"/>
        </w:rPr>
        <w:t xml:space="preserve"> </w:t>
      </w:r>
      <w:hyperlink r:id="rId26" w:history="1">
        <w:r w:rsidRPr="00DE25AB">
          <w:rPr>
            <w:rStyle w:val="Hyperlink"/>
            <w:rFonts w:ascii="Calibri" w:hAnsi="Calibri" w:cs="Calibri"/>
            <w:i/>
            <w:iCs/>
            <w:sz w:val="18"/>
            <w:szCs w:val="18"/>
          </w:rPr>
          <w:t>Australia’s children: Immunisation</w:t>
        </w:r>
      </w:hyperlink>
      <w:r>
        <w:rPr>
          <w:rFonts w:ascii="Calibri" w:hAnsi="Calibri" w:cs="Calibri"/>
          <w:sz w:val="18"/>
          <w:szCs w:val="18"/>
        </w:rPr>
        <w:t xml:space="preserve">, AIHW website, 2023, accessed 3 February 2024. </w:t>
      </w:r>
    </w:p>
  </w:footnote>
  <w:footnote w:id="60">
    <w:p w14:paraId="19E3DD09" w14:textId="7FBDD2F6" w:rsidR="00DE25AB" w:rsidRDefault="003A6359" w:rsidP="00580627">
      <w:pPr>
        <w:pStyle w:val="FootnoteText"/>
      </w:pPr>
      <w:r w:rsidRPr="00EC1021">
        <w:rPr>
          <w:rStyle w:val="FootnoteReference"/>
          <w:rFonts w:ascii="Calibri" w:hAnsi="Calibri" w:cs="Calibri"/>
          <w:sz w:val="18"/>
          <w:szCs w:val="18"/>
        </w:rPr>
        <w:footnoteRef/>
      </w:r>
      <w:r>
        <w:t xml:space="preserve"> </w:t>
      </w:r>
      <w:r w:rsidRPr="007D0426">
        <w:rPr>
          <w:rFonts w:ascii="Calibri" w:hAnsi="Calibri" w:cs="Calibri"/>
          <w:color w:val="000000"/>
          <w:sz w:val="18"/>
          <w:szCs w:val="18"/>
        </w:rPr>
        <w:t>Department of Health and Aged Care</w:t>
      </w:r>
      <w:r>
        <w:rPr>
          <w:rFonts w:ascii="Calibri" w:hAnsi="Calibri" w:cs="Calibri"/>
          <w:color w:val="000000"/>
          <w:sz w:val="18"/>
          <w:szCs w:val="18"/>
        </w:rPr>
        <w:t>,</w:t>
      </w:r>
      <w:r w:rsidRPr="007D0426">
        <w:rPr>
          <w:rFonts w:ascii="Calibri" w:hAnsi="Calibri" w:cs="Calibri"/>
          <w:color w:val="000000"/>
          <w:sz w:val="18"/>
          <w:szCs w:val="18"/>
        </w:rPr>
        <w:t xml:space="preserve"> </w:t>
      </w:r>
      <w:r w:rsidRPr="002B55D7">
        <w:rPr>
          <w:rFonts w:ascii="Calibri" w:hAnsi="Calibri" w:cs="Calibri"/>
          <w:i/>
          <w:iCs/>
          <w:sz w:val="18"/>
          <w:szCs w:val="18"/>
        </w:rPr>
        <w:t>Immunisation Data: Historical coverage</w:t>
      </w:r>
      <w:r w:rsidR="002B55D7">
        <w:rPr>
          <w:rFonts w:ascii="Calibri" w:hAnsi="Calibri" w:cs="Calibri"/>
          <w:i/>
          <w:iCs/>
          <w:sz w:val="18"/>
          <w:szCs w:val="18"/>
        </w:rPr>
        <w:t>.</w:t>
      </w:r>
    </w:p>
  </w:footnote>
  <w:footnote w:id="61">
    <w:p w14:paraId="55A367CD" w14:textId="7EA90C9C" w:rsidR="00DE25AB" w:rsidRDefault="003A6359" w:rsidP="00DE25AB">
      <w:pPr>
        <w:pStyle w:val="FootnoteText"/>
        <w:spacing w:after="1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w:t>
      </w:r>
      <w:r w:rsidR="0053666F">
        <w:rPr>
          <w:rFonts w:ascii="Calibri" w:hAnsi="Calibri" w:cs="Calibri"/>
          <w:sz w:val="18"/>
        </w:rPr>
        <w:t>AIHW</w:t>
      </w:r>
      <w:r>
        <w:rPr>
          <w:rFonts w:ascii="Calibri" w:hAnsi="Calibri" w:cs="Calibri"/>
          <w:sz w:val="18"/>
          <w:szCs w:val="18"/>
        </w:rPr>
        <w:t xml:space="preserve">, </w:t>
      </w:r>
      <w:r>
        <w:rPr>
          <w:rFonts w:ascii="Calibri" w:hAnsi="Calibri" w:cs="Calibri"/>
          <w:i/>
          <w:iCs/>
          <w:color w:val="000000"/>
          <w:sz w:val="18"/>
          <w:szCs w:val="18"/>
        </w:rPr>
        <w:t>Microdata: Disability, Ageing and Carers, Australia</w:t>
      </w:r>
      <w:r>
        <w:rPr>
          <w:rFonts w:ascii="Calibri" w:hAnsi="Calibri" w:cs="Calibri"/>
          <w:color w:val="000000"/>
          <w:sz w:val="18"/>
          <w:szCs w:val="18"/>
        </w:rPr>
        <w:t>, [Table</w:t>
      </w:r>
      <w:r w:rsidR="0053666F">
        <w:rPr>
          <w:rFonts w:ascii="Calibri" w:hAnsi="Calibri" w:cs="Calibri"/>
          <w:color w:val="000000"/>
          <w:sz w:val="18"/>
          <w:szCs w:val="18"/>
        </w:rPr>
        <w:t>b</w:t>
      </w:r>
      <w:r>
        <w:rPr>
          <w:rFonts w:ascii="Calibri" w:hAnsi="Calibri" w:cs="Calibri"/>
          <w:color w:val="000000"/>
          <w:sz w:val="18"/>
          <w:szCs w:val="18"/>
        </w:rPr>
        <w:t>uilder], 2018, by AIHW on request.</w:t>
      </w:r>
    </w:p>
  </w:footnote>
  <w:footnote w:id="62">
    <w:p w14:paraId="78D212E3" w14:textId="77777777" w:rsidR="00DE25AB" w:rsidRDefault="003A6359" w:rsidP="00580627">
      <w:pPr>
        <w:pStyle w:val="FootnoteText"/>
        <w:rPr>
          <w:rFonts w:ascii="Calibri" w:hAnsi="Calibri" w:cs="Calibri"/>
          <w:color w:val="000000"/>
          <w:sz w:val="18"/>
          <w:szCs w:val="18"/>
        </w:rPr>
      </w:pPr>
      <w:r>
        <w:rPr>
          <w:rStyle w:val="FootnoteReference"/>
          <w:rFonts w:ascii="Calibri" w:hAnsi="Calibri" w:cs="Calibri"/>
          <w:sz w:val="18"/>
          <w:szCs w:val="18"/>
        </w:rPr>
        <w:footnoteRef/>
      </w:r>
      <w:r>
        <w:rPr>
          <w:rFonts w:ascii="Calibri" w:hAnsi="Calibri" w:cs="Calibri"/>
          <w:sz w:val="18"/>
          <w:szCs w:val="18"/>
        </w:rPr>
        <w:t xml:space="preserve"> National Disability Insurance Scheme, </w:t>
      </w:r>
      <w:hyperlink r:id="rId27" w:history="1">
        <w:r w:rsidRPr="00AF105B">
          <w:rPr>
            <w:rStyle w:val="Hyperlink"/>
            <w:rFonts w:ascii="Calibri" w:hAnsi="Calibri" w:cs="Calibri"/>
            <w:i/>
            <w:iCs/>
            <w:sz w:val="18"/>
            <w:szCs w:val="18"/>
          </w:rPr>
          <w:t>Quarterly report to disability ministers</w:t>
        </w:r>
      </w:hyperlink>
      <w:r w:rsidRPr="00D446F8">
        <w:rPr>
          <w:rFonts w:ascii="Calibri" w:hAnsi="Calibri" w:cs="Calibri"/>
          <w:i/>
          <w:iCs/>
          <w:sz w:val="18"/>
          <w:szCs w:val="18"/>
        </w:rPr>
        <w:t xml:space="preserve"> for Q1</w:t>
      </w:r>
      <w:r>
        <w:rPr>
          <w:rFonts w:ascii="Calibri" w:hAnsi="Calibri" w:cs="Calibri"/>
          <w:i/>
          <w:iCs/>
          <w:sz w:val="18"/>
          <w:szCs w:val="18"/>
        </w:rPr>
        <w:t xml:space="preserve"> of Y11</w:t>
      </w:r>
      <w:r>
        <w:rPr>
          <w:rFonts w:ascii="Calibri" w:hAnsi="Calibri" w:cs="Calibri"/>
          <w:sz w:val="18"/>
          <w:szCs w:val="18"/>
        </w:rPr>
        <w:t>, NDIS, 2023, accessed 2 February 2024.</w:t>
      </w:r>
    </w:p>
  </w:footnote>
  <w:footnote w:id="63">
    <w:p w14:paraId="2E2B927D" w14:textId="6F0D910A"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00E669E5">
        <w:rPr>
          <w:rFonts w:ascii="Calibri" w:hAnsi="Calibri" w:cs="Calibri"/>
          <w:color w:val="000000"/>
          <w:sz w:val="18"/>
          <w:szCs w:val="18"/>
        </w:rPr>
        <w:t>ABS</w:t>
      </w:r>
      <w:r>
        <w:rPr>
          <w:rFonts w:ascii="Calibri" w:hAnsi="Calibri" w:cs="Calibri"/>
          <w:color w:val="000000"/>
          <w:sz w:val="18"/>
          <w:szCs w:val="18"/>
        </w:rPr>
        <w:t xml:space="preserve">, </w:t>
      </w:r>
      <w:r w:rsidRPr="007D0426">
        <w:rPr>
          <w:rFonts w:ascii="Calibri" w:hAnsi="Calibri" w:cs="Calibri"/>
          <w:i/>
          <w:sz w:val="18"/>
          <w:szCs w:val="18"/>
        </w:rPr>
        <w:t>Deaths, Australia</w:t>
      </w:r>
      <w:r>
        <w:rPr>
          <w:rFonts w:ascii="Calibri" w:hAnsi="Calibri" w:cs="Calibri"/>
          <w:i/>
          <w:sz w:val="18"/>
          <w:szCs w:val="18"/>
        </w:rPr>
        <w:t>,</w:t>
      </w:r>
      <w:r w:rsidRPr="007D0426">
        <w:rPr>
          <w:rFonts w:ascii="Calibri" w:hAnsi="Calibri" w:cs="Calibri"/>
          <w:i/>
          <w:sz w:val="18"/>
          <w:szCs w:val="18"/>
        </w:rPr>
        <w:t xml:space="preserve"> Data explorer dataset (Deaths, Year of registration, Age at death, Age-specific death rates, Sex, States, Territories and Australia)</w:t>
      </w:r>
      <w:r w:rsidRPr="007D0426">
        <w:rPr>
          <w:rFonts w:ascii="Calibri" w:hAnsi="Calibri" w:cs="Calibri"/>
          <w:color w:val="000000"/>
          <w:sz w:val="18"/>
          <w:szCs w:val="18"/>
        </w:rPr>
        <w:t xml:space="preserve">, [Tablebuilder], </w:t>
      </w:r>
      <w:r>
        <w:rPr>
          <w:rFonts w:ascii="Calibri" w:hAnsi="Calibri" w:cs="Calibri"/>
          <w:color w:val="000000"/>
          <w:sz w:val="18"/>
          <w:szCs w:val="18"/>
        </w:rPr>
        <w:t xml:space="preserve">2023, </w:t>
      </w:r>
      <w:r w:rsidRPr="007D0426">
        <w:rPr>
          <w:rFonts w:ascii="Calibri" w:hAnsi="Calibri" w:cs="Calibri"/>
          <w:color w:val="000000"/>
          <w:sz w:val="18"/>
          <w:szCs w:val="18"/>
        </w:rPr>
        <w:t>produced by AIHW on request</w:t>
      </w:r>
      <w:r>
        <w:rPr>
          <w:rFonts w:ascii="Calibri" w:hAnsi="Calibri" w:cs="Calibri"/>
          <w:color w:val="000000"/>
          <w:sz w:val="18"/>
          <w:szCs w:val="18"/>
        </w:rPr>
        <w:t>.</w:t>
      </w:r>
    </w:p>
  </w:footnote>
  <w:footnote w:id="64">
    <w:p w14:paraId="589FA159" w14:textId="77777777" w:rsidR="00DE25AB" w:rsidRPr="00A84189" w:rsidRDefault="003A6359" w:rsidP="00611C9C">
      <w:pPr>
        <w:pStyle w:val="FootnoteText"/>
        <w:rPr>
          <w:rFonts w:ascii="Calibri" w:hAnsi="Calibri" w:cs="Calibri"/>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National Scientific Council on the Developing Child</w:t>
      </w:r>
      <w:r>
        <w:rPr>
          <w:rFonts w:ascii="Calibri" w:hAnsi="Calibri" w:cs="Calibri"/>
          <w:sz w:val="18"/>
          <w:szCs w:val="18"/>
        </w:rPr>
        <w:t>,</w:t>
      </w:r>
      <w:r w:rsidRPr="00A84189">
        <w:rPr>
          <w:rFonts w:ascii="Calibri" w:hAnsi="Calibri" w:cs="Calibri"/>
          <w:sz w:val="18"/>
          <w:szCs w:val="18"/>
        </w:rPr>
        <w:t xml:space="preserve"> </w:t>
      </w:r>
      <w:hyperlink r:id="rId28" w:history="1">
        <w:r w:rsidRPr="00A84189">
          <w:rPr>
            <w:rStyle w:val="Hyperlink"/>
            <w:rFonts w:ascii="Calibri" w:hAnsi="Calibri" w:cs="Calibri"/>
            <w:i/>
            <w:iCs/>
            <w:sz w:val="18"/>
            <w:szCs w:val="18"/>
          </w:rPr>
          <w:t>Establishing a Level Foundation for Life: Mental Health Begins in Early Childhood</w:t>
        </w:r>
      </w:hyperlink>
      <w:r w:rsidRPr="00A84189">
        <w:rPr>
          <w:rFonts w:ascii="Calibri" w:hAnsi="Calibri" w:cs="Calibri"/>
          <w:sz w:val="18"/>
          <w:szCs w:val="18"/>
        </w:rPr>
        <w:t>, Working Paper 6 [Updated Edition]</w:t>
      </w:r>
      <w:r>
        <w:rPr>
          <w:rFonts w:ascii="Calibri" w:hAnsi="Calibri" w:cs="Calibri"/>
          <w:sz w:val="18"/>
          <w:szCs w:val="18"/>
        </w:rPr>
        <w:t xml:space="preserve">, </w:t>
      </w:r>
      <w:r w:rsidRPr="00A84189">
        <w:rPr>
          <w:rFonts w:ascii="Calibri" w:hAnsi="Calibri" w:cs="Calibri"/>
          <w:sz w:val="18"/>
          <w:szCs w:val="18"/>
        </w:rPr>
        <w:t>Center on the Developing Child, Harvard University</w:t>
      </w:r>
      <w:r>
        <w:rPr>
          <w:rFonts w:ascii="Calibri" w:hAnsi="Calibri" w:cs="Calibri"/>
          <w:sz w:val="18"/>
          <w:szCs w:val="18"/>
        </w:rPr>
        <w:t>, 2008/2012</w:t>
      </w:r>
      <w:r w:rsidRPr="00A84189">
        <w:rPr>
          <w:rFonts w:ascii="Calibri" w:hAnsi="Calibri" w:cs="Calibri"/>
          <w:sz w:val="18"/>
          <w:szCs w:val="18"/>
        </w:rPr>
        <w:t>.</w:t>
      </w:r>
    </w:p>
  </w:footnote>
  <w:footnote w:id="65">
    <w:p w14:paraId="7EFDA84C" w14:textId="39DFD33E" w:rsidR="00DE25AB" w:rsidRPr="00A84189" w:rsidRDefault="003A6359" w:rsidP="00611C9C">
      <w:pPr>
        <w:pStyle w:val="FootnoteText"/>
        <w:rPr>
          <w:rFonts w:ascii="Calibri" w:hAnsi="Calibri" w:cs="Calibri"/>
          <w:color w:val="000000"/>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AE Reupert, DJ Maybery and NM Kowalenko</w:t>
      </w:r>
      <w:r>
        <w:rPr>
          <w:rFonts w:ascii="Calibri" w:hAnsi="Calibri" w:cs="Calibri"/>
          <w:sz w:val="18"/>
          <w:szCs w:val="18"/>
        </w:rPr>
        <w:t>,</w:t>
      </w:r>
      <w:r w:rsidRPr="00A84189">
        <w:rPr>
          <w:rFonts w:ascii="Calibri" w:hAnsi="Calibri" w:cs="Calibri"/>
          <w:sz w:val="18"/>
          <w:szCs w:val="18"/>
        </w:rPr>
        <w:t xml:space="preserve"> </w:t>
      </w:r>
      <w:r>
        <w:rPr>
          <w:rFonts w:ascii="Calibri" w:hAnsi="Calibri" w:cs="Calibri"/>
          <w:sz w:val="18"/>
          <w:szCs w:val="18"/>
        </w:rPr>
        <w:t>‘</w:t>
      </w:r>
      <w:hyperlink r:id="rId29" w:history="1">
        <w:r w:rsidRPr="00A84189">
          <w:rPr>
            <w:rStyle w:val="Hyperlink"/>
            <w:rFonts w:ascii="Calibri" w:hAnsi="Calibri" w:cs="Calibri"/>
            <w:sz w:val="18"/>
            <w:szCs w:val="18"/>
          </w:rPr>
          <w:t>Children whose parents have a mental illness: prevalence, need and treatment</w:t>
        </w:r>
      </w:hyperlink>
      <w:r>
        <w:rPr>
          <w:rStyle w:val="Hyperlink"/>
          <w:rFonts w:ascii="Calibri" w:hAnsi="Calibri" w:cs="Calibri"/>
          <w:sz w:val="18"/>
          <w:szCs w:val="18"/>
        </w:rPr>
        <w:t>’</w:t>
      </w:r>
      <w:r w:rsidRPr="00A84189">
        <w:rPr>
          <w:rFonts w:ascii="Calibri" w:hAnsi="Calibri" w:cs="Calibri"/>
          <w:sz w:val="18"/>
          <w:szCs w:val="18"/>
        </w:rPr>
        <w:t xml:space="preserve">, </w:t>
      </w:r>
      <w:r w:rsidRPr="00A84189">
        <w:rPr>
          <w:rFonts w:ascii="Calibri" w:hAnsi="Calibri" w:cs="Calibri"/>
          <w:i/>
          <w:iCs/>
          <w:sz w:val="18"/>
          <w:szCs w:val="18"/>
        </w:rPr>
        <w:t>The Medical Journal of Australia</w:t>
      </w:r>
      <w:r w:rsidRPr="00A84189">
        <w:rPr>
          <w:rFonts w:ascii="Calibri" w:hAnsi="Calibri" w:cs="Calibri"/>
          <w:sz w:val="18"/>
          <w:szCs w:val="18"/>
        </w:rPr>
        <w:t>, MJA Open 201</w:t>
      </w:r>
      <w:r>
        <w:rPr>
          <w:rFonts w:ascii="Calibri" w:hAnsi="Calibri" w:cs="Calibri"/>
          <w:sz w:val="18"/>
          <w:szCs w:val="18"/>
        </w:rPr>
        <w:t>3,</w:t>
      </w:r>
      <w:r w:rsidRPr="00A84189">
        <w:rPr>
          <w:rFonts w:ascii="Calibri" w:hAnsi="Calibri" w:cs="Calibri"/>
          <w:sz w:val="18"/>
          <w:szCs w:val="18"/>
        </w:rPr>
        <w:t xml:space="preserve"> 1 Suppl 1:7–9</w:t>
      </w:r>
      <w:r>
        <w:rPr>
          <w:rFonts w:ascii="Calibri" w:hAnsi="Calibri" w:cs="Calibri"/>
          <w:sz w:val="18"/>
          <w:szCs w:val="18"/>
        </w:rPr>
        <w:t>.</w:t>
      </w:r>
    </w:p>
  </w:footnote>
  <w:footnote w:id="66">
    <w:p w14:paraId="642E6B0F" w14:textId="77777777" w:rsidR="00DE25AB" w:rsidRPr="00A84189" w:rsidRDefault="003A6359" w:rsidP="00611C9C">
      <w:pPr>
        <w:pStyle w:val="FootnoteText"/>
        <w:rPr>
          <w:rFonts w:ascii="Calibri" w:hAnsi="Calibri" w:cs="Calibri"/>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AIHW, </w:t>
      </w:r>
      <w:r w:rsidRPr="00A84189">
        <w:rPr>
          <w:rFonts w:ascii="Calibri" w:hAnsi="Calibri" w:cs="Calibri"/>
          <w:i/>
          <w:iCs/>
          <w:sz w:val="18"/>
          <w:szCs w:val="18"/>
        </w:rPr>
        <w:t>Australia’s children</w:t>
      </w:r>
      <w:r w:rsidRPr="00A84189">
        <w:rPr>
          <w:rFonts w:ascii="Calibri" w:hAnsi="Calibri" w:cs="Calibri"/>
          <w:sz w:val="18"/>
          <w:szCs w:val="18"/>
        </w:rPr>
        <w:t>.</w:t>
      </w:r>
    </w:p>
  </w:footnote>
  <w:footnote w:id="67">
    <w:p w14:paraId="63CE1D9A" w14:textId="77777777" w:rsidR="00DE25AB" w:rsidRPr="00551396" w:rsidRDefault="003A6359" w:rsidP="00580627">
      <w:pPr>
        <w:pStyle w:val="FootnoteText"/>
        <w:rPr>
          <w:rFonts w:ascii="Calibri" w:hAnsi="Calibri" w:cs="Calibri"/>
          <w:color w:val="000000"/>
          <w:sz w:val="18"/>
          <w:szCs w:val="18"/>
        </w:rPr>
      </w:pPr>
      <w:r w:rsidRPr="00551396">
        <w:rPr>
          <w:rStyle w:val="FootnoteReference"/>
          <w:rFonts w:ascii="Calibri" w:hAnsi="Calibri" w:cs="Calibri"/>
          <w:sz w:val="18"/>
          <w:szCs w:val="18"/>
        </w:rPr>
        <w:footnoteRef/>
      </w:r>
      <w:r w:rsidRPr="00551396">
        <w:rPr>
          <w:rFonts w:ascii="Calibri" w:hAnsi="Calibri" w:cs="Calibri"/>
          <w:color w:val="000000"/>
          <w:sz w:val="18"/>
          <w:szCs w:val="18"/>
        </w:rPr>
        <w:t xml:space="preserve"> </w:t>
      </w:r>
      <w:r w:rsidRPr="00E1274D">
        <w:rPr>
          <w:rFonts w:ascii="Calibri" w:hAnsi="Calibri" w:cs="Calibri"/>
          <w:sz w:val="18"/>
          <w:szCs w:val="18"/>
        </w:rPr>
        <w:t>World</w:t>
      </w:r>
      <w:r w:rsidRPr="007D0426">
        <w:rPr>
          <w:rFonts w:ascii="Calibri" w:hAnsi="Calibri" w:cs="Calibri"/>
          <w:color w:val="333333"/>
          <w:sz w:val="18"/>
          <w:szCs w:val="18"/>
        </w:rPr>
        <w:t xml:space="preserve"> Health Assembly, 65</w:t>
      </w:r>
      <w:r>
        <w:rPr>
          <w:rFonts w:ascii="Calibri" w:hAnsi="Calibri" w:cs="Calibri"/>
          <w:color w:val="333333"/>
          <w:sz w:val="18"/>
          <w:szCs w:val="18"/>
        </w:rPr>
        <w:t>,</w:t>
      </w:r>
      <w:r w:rsidRPr="007D0426">
        <w:rPr>
          <w:rFonts w:ascii="Calibri" w:hAnsi="Calibri" w:cs="Calibri"/>
          <w:color w:val="333333"/>
          <w:sz w:val="18"/>
          <w:szCs w:val="18"/>
        </w:rPr>
        <w:t xml:space="preserve"> </w:t>
      </w:r>
      <w:hyperlink r:id="rId30" w:history="1">
        <w:r w:rsidRPr="00491BE8">
          <w:rPr>
            <w:rStyle w:val="Hyperlink"/>
            <w:rFonts w:ascii="Calibri" w:hAnsi="Calibri" w:cs="Calibri"/>
            <w:i/>
            <w:iCs/>
            <w:sz w:val="18"/>
            <w:szCs w:val="18"/>
          </w:rPr>
          <w:t>Global burden of mental disorders and the need for a comprehensive, coordinated response from health and social sectors at the country level: report by the Secretariat</w:t>
        </w:r>
      </w:hyperlink>
      <w:r w:rsidRPr="007D0426">
        <w:rPr>
          <w:rFonts w:ascii="Calibri" w:hAnsi="Calibri" w:cs="Calibri"/>
          <w:color w:val="333333"/>
          <w:sz w:val="18"/>
          <w:szCs w:val="18"/>
        </w:rPr>
        <w:t xml:space="preserve">, World Health Organization, </w:t>
      </w:r>
      <w:r>
        <w:rPr>
          <w:rFonts w:ascii="Calibri" w:hAnsi="Calibri" w:cs="Calibri"/>
          <w:color w:val="333333"/>
          <w:sz w:val="18"/>
          <w:szCs w:val="18"/>
        </w:rPr>
        <w:t xml:space="preserve">2012, </w:t>
      </w:r>
      <w:r w:rsidRPr="007D0426">
        <w:rPr>
          <w:rFonts w:ascii="Calibri" w:hAnsi="Calibri" w:cs="Calibri"/>
          <w:color w:val="333333"/>
          <w:sz w:val="18"/>
          <w:szCs w:val="18"/>
        </w:rPr>
        <w:t>accessed 2</w:t>
      </w:r>
      <w:r>
        <w:rPr>
          <w:rFonts w:ascii="Calibri" w:hAnsi="Calibri" w:cs="Calibri"/>
          <w:color w:val="333333"/>
          <w:sz w:val="18"/>
          <w:szCs w:val="18"/>
        </w:rPr>
        <w:t>0</w:t>
      </w:r>
      <w:r w:rsidRPr="007D0426">
        <w:rPr>
          <w:rFonts w:ascii="Calibri" w:hAnsi="Calibri" w:cs="Calibri"/>
          <w:color w:val="333333"/>
          <w:sz w:val="18"/>
          <w:szCs w:val="18"/>
        </w:rPr>
        <w:t xml:space="preserve"> October 2023</w:t>
      </w:r>
      <w:r>
        <w:rPr>
          <w:rFonts w:ascii="Calibri" w:hAnsi="Calibri" w:cs="Calibri"/>
          <w:color w:val="333333"/>
          <w:sz w:val="18"/>
          <w:szCs w:val="18"/>
        </w:rPr>
        <w:t>.</w:t>
      </w:r>
    </w:p>
  </w:footnote>
  <w:footnote w:id="68">
    <w:p w14:paraId="75528026" w14:textId="01043E5E" w:rsidR="00DE25AB" w:rsidRPr="00CA5F42" w:rsidRDefault="003A6359" w:rsidP="004B4BE8">
      <w:pPr>
        <w:pStyle w:val="FootnoteText"/>
        <w:rPr>
          <w:rFonts w:ascii="Calibri" w:hAnsi="Calibri" w:cs="Calibri"/>
          <w:sz w:val="18"/>
          <w:szCs w:val="18"/>
        </w:rPr>
      </w:pPr>
      <w:r w:rsidRPr="003D51DD">
        <w:rPr>
          <w:rStyle w:val="FootnoteReference"/>
          <w:rFonts w:ascii="Calibri" w:hAnsi="Calibri" w:cs="Calibri"/>
          <w:sz w:val="18"/>
          <w:szCs w:val="18"/>
        </w:rPr>
        <w:footnoteRef/>
      </w:r>
      <w:r w:rsidRPr="003D51DD">
        <w:rPr>
          <w:rFonts w:ascii="Calibri" w:hAnsi="Calibri" w:cs="Calibri"/>
          <w:sz w:val="18"/>
          <w:szCs w:val="18"/>
        </w:rPr>
        <w:t xml:space="preserve"> </w:t>
      </w:r>
      <w:r w:rsidR="00E669E5">
        <w:rPr>
          <w:rFonts w:ascii="Calibri" w:hAnsi="Calibri" w:cs="Calibri"/>
          <w:color w:val="000000"/>
          <w:sz w:val="18"/>
          <w:szCs w:val="18"/>
        </w:rPr>
        <w:t>ABS</w:t>
      </w:r>
      <w:r w:rsidRPr="003D51DD">
        <w:rPr>
          <w:rFonts w:ascii="Calibri" w:hAnsi="Calibri" w:cs="Calibri"/>
          <w:color w:val="000000"/>
          <w:sz w:val="18"/>
          <w:szCs w:val="18"/>
        </w:rPr>
        <w:t xml:space="preserve">, </w:t>
      </w:r>
      <w:r w:rsidRPr="003D51DD">
        <w:rPr>
          <w:rFonts w:ascii="Calibri" w:hAnsi="Calibri" w:cs="Calibri"/>
          <w:i/>
          <w:sz w:val="18"/>
          <w:szCs w:val="18"/>
        </w:rPr>
        <w:t>National Health Survey 2020–2021, Australia</w:t>
      </w:r>
      <w:r w:rsidRPr="003D51DD">
        <w:rPr>
          <w:rFonts w:ascii="Calibri" w:hAnsi="Calibri" w:cs="Calibri"/>
          <w:sz w:val="18"/>
          <w:szCs w:val="18"/>
        </w:rPr>
        <w:t xml:space="preserve">, [Table 10.1, 10.3], 2022, </w:t>
      </w:r>
      <w:r w:rsidRPr="003D51DD">
        <w:rPr>
          <w:rFonts w:ascii="Calibri" w:hAnsi="Calibri" w:cs="Calibri"/>
          <w:color w:val="000000"/>
          <w:sz w:val="18"/>
          <w:szCs w:val="18"/>
        </w:rPr>
        <w:t>produced by AIHW on request.</w:t>
      </w:r>
    </w:p>
  </w:footnote>
  <w:footnote w:id="69">
    <w:p w14:paraId="790B1E86" w14:textId="10000363" w:rsidR="00DE25AB" w:rsidRPr="00551396" w:rsidRDefault="003A6359" w:rsidP="004B4BE8">
      <w:pPr>
        <w:pStyle w:val="FootnoteText"/>
        <w:rPr>
          <w:rFonts w:ascii="Calibri" w:hAnsi="Calibri" w:cs="Calibri"/>
          <w:sz w:val="18"/>
          <w:szCs w:val="18"/>
        </w:rPr>
      </w:pPr>
      <w:r w:rsidRPr="003D51DD">
        <w:rPr>
          <w:rStyle w:val="FootnoteReference"/>
          <w:rFonts w:ascii="Calibri" w:hAnsi="Calibri" w:cs="Calibri"/>
          <w:sz w:val="18"/>
          <w:szCs w:val="18"/>
        </w:rPr>
        <w:footnoteRef/>
      </w:r>
      <w:r w:rsidRPr="003D51DD">
        <w:rPr>
          <w:rFonts w:ascii="Calibri" w:hAnsi="Calibri" w:cs="Calibri"/>
          <w:sz w:val="18"/>
          <w:szCs w:val="18"/>
        </w:rPr>
        <w:t xml:space="preserve"> </w:t>
      </w:r>
      <w:r w:rsidR="00E669E5">
        <w:rPr>
          <w:rFonts w:ascii="Calibri" w:hAnsi="Calibri" w:cs="Calibri"/>
          <w:color w:val="000000"/>
          <w:sz w:val="18"/>
          <w:szCs w:val="18"/>
        </w:rPr>
        <w:t>ABS</w:t>
      </w:r>
      <w:r w:rsidRPr="003D51DD">
        <w:rPr>
          <w:rFonts w:ascii="Calibri" w:hAnsi="Calibri" w:cs="Calibri"/>
          <w:color w:val="000000"/>
          <w:sz w:val="18"/>
          <w:szCs w:val="18"/>
        </w:rPr>
        <w:t xml:space="preserve">, </w:t>
      </w:r>
      <w:r w:rsidRPr="003D51DD">
        <w:rPr>
          <w:rFonts w:ascii="Calibri" w:hAnsi="Calibri" w:cs="Calibri"/>
          <w:i/>
          <w:sz w:val="18"/>
          <w:szCs w:val="18"/>
        </w:rPr>
        <w:t>National Health Survey 2020–2021, Australia</w:t>
      </w:r>
      <w:r w:rsidRPr="003D51DD">
        <w:rPr>
          <w:rFonts w:ascii="Calibri" w:hAnsi="Calibri" w:cs="Calibri"/>
          <w:sz w:val="18"/>
          <w:szCs w:val="18"/>
        </w:rPr>
        <w:t>.</w:t>
      </w:r>
    </w:p>
  </w:footnote>
  <w:footnote w:id="70">
    <w:p w14:paraId="3A9EEA19" w14:textId="56719C54" w:rsidR="00DE25AB" w:rsidRPr="00A84189" w:rsidRDefault="003A6359" w:rsidP="00F832FF">
      <w:pPr>
        <w:pStyle w:val="FootnoteText"/>
        <w:rPr>
          <w:rFonts w:ascii="Calibri" w:hAnsi="Calibri" w:cs="Calibri"/>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w:t>
      </w:r>
      <w:r w:rsidRPr="00A84189">
        <w:rPr>
          <w:rFonts w:ascii="Calibri" w:hAnsi="Calibri" w:cs="Calibri"/>
          <w:color w:val="000000"/>
          <w:sz w:val="18"/>
          <w:szCs w:val="18"/>
        </w:rPr>
        <w:t>The Royal Children's Hospital National Child Health Poll</w:t>
      </w:r>
      <w:r>
        <w:rPr>
          <w:rFonts w:ascii="Calibri" w:hAnsi="Calibri" w:cs="Calibri"/>
          <w:color w:val="000000"/>
          <w:sz w:val="18"/>
          <w:szCs w:val="18"/>
        </w:rPr>
        <w:t>,</w:t>
      </w:r>
      <w:r w:rsidRPr="00A84189">
        <w:rPr>
          <w:rFonts w:ascii="Calibri" w:hAnsi="Calibri" w:cs="Calibri"/>
          <w:color w:val="000000"/>
          <w:sz w:val="18"/>
          <w:szCs w:val="18"/>
        </w:rPr>
        <w:t xml:space="preserve"> </w:t>
      </w:r>
      <w:hyperlink r:id="rId31" w:history="1">
        <w:r w:rsidRPr="00A84189">
          <w:rPr>
            <w:rStyle w:val="Hyperlink"/>
            <w:rFonts w:ascii="Calibri" w:hAnsi="Calibri" w:cs="Calibri"/>
            <w:i/>
            <w:iCs/>
            <w:sz w:val="18"/>
            <w:szCs w:val="18"/>
          </w:rPr>
          <w:t>Australian families: How we play, Poll Number 28</w:t>
        </w:r>
      </w:hyperlink>
      <w:r w:rsidRPr="00A84189">
        <w:rPr>
          <w:rFonts w:ascii="Calibri" w:hAnsi="Calibri" w:cs="Calibri"/>
          <w:color w:val="000000"/>
          <w:sz w:val="18"/>
          <w:szCs w:val="18"/>
        </w:rPr>
        <w:t>, The Royal Children</w:t>
      </w:r>
      <w:r w:rsidR="00E669E5">
        <w:rPr>
          <w:rFonts w:ascii="Calibri" w:hAnsi="Calibri" w:cs="Calibri"/>
          <w:color w:val="000000"/>
          <w:sz w:val="18"/>
          <w:szCs w:val="18"/>
        </w:rPr>
        <w:t>’</w:t>
      </w:r>
      <w:r w:rsidRPr="00A84189">
        <w:rPr>
          <w:rFonts w:ascii="Calibri" w:hAnsi="Calibri" w:cs="Calibri"/>
          <w:color w:val="000000"/>
          <w:sz w:val="18"/>
          <w:szCs w:val="18"/>
        </w:rPr>
        <w:t>s Hospital Melbourne, Parkville, Victoria</w:t>
      </w:r>
      <w:r>
        <w:rPr>
          <w:rFonts w:ascii="Calibri" w:hAnsi="Calibri" w:cs="Calibri"/>
          <w:color w:val="000000"/>
          <w:sz w:val="18"/>
          <w:szCs w:val="18"/>
        </w:rPr>
        <w:t>, 2022.</w:t>
      </w:r>
    </w:p>
  </w:footnote>
  <w:footnote w:id="71">
    <w:p w14:paraId="7D879ED0" w14:textId="428C1B39" w:rsidR="00DE25AB" w:rsidRPr="00A84189" w:rsidRDefault="003A6359" w:rsidP="00F832FF">
      <w:pPr>
        <w:pStyle w:val="FootnoteText"/>
        <w:rPr>
          <w:rFonts w:ascii="Calibri" w:hAnsi="Calibri" w:cs="Calibri"/>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w:t>
      </w:r>
      <w:r w:rsidR="00E669E5">
        <w:rPr>
          <w:rFonts w:ascii="Calibri" w:hAnsi="Calibri" w:cs="Calibri"/>
          <w:color w:val="000000"/>
          <w:sz w:val="18"/>
          <w:szCs w:val="18"/>
        </w:rPr>
        <w:t>ABS</w:t>
      </w:r>
      <w:r w:rsidRPr="00E669E5">
        <w:rPr>
          <w:rFonts w:cs="Calibri"/>
          <w:color w:val="000000"/>
          <w:szCs w:val="18"/>
        </w:rPr>
        <w:t xml:space="preserve">, </w:t>
      </w:r>
      <w:hyperlink r:id="rId32" w:history="1">
        <w:r w:rsidRPr="00E669E5">
          <w:rPr>
            <w:rStyle w:val="Hyperlink"/>
            <w:rFonts w:ascii="Calibri" w:hAnsi="Calibri" w:cs="Calibri"/>
            <w:i/>
            <w:iCs/>
            <w:sz w:val="18"/>
            <w:szCs w:val="18"/>
          </w:rPr>
          <w:t>How Australians Use Their Time</w:t>
        </w:r>
      </w:hyperlink>
      <w:r w:rsidRPr="00E669E5">
        <w:rPr>
          <w:rFonts w:ascii="Calibri" w:hAnsi="Calibri" w:cs="Calibri"/>
          <w:i/>
          <w:iCs/>
          <w:sz w:val="18"/>
          <w:szCs w:val="18"/>
        </w:rPr>
        <w:t>,</w:t>
      </w:r>
      <w:r w:rsidRPr="00611C9C">
        <w:rPr>
          <w:rFonts w:ascii="Calibri" w:hAnsi="Calibri" w:cs="Calibri"/>
          <w:color w:val="000000"/>
          <w:sz w:val="18"/>
          <w:szCs w:val="18"/>
        </w:rPr>
        <w:t xml:space="preserve"> ABS</w:t>
      </w:r>
      <w:r w:rsidRPr="00A84189">
        <w:rPr>
          <w:rFonts w:ascii="Calibri" w:hAnsi="Calibri" w:cs="Calibri"/>
          <w:color w:val="000000"/>
          <w:sz w:val="18"/>
          <w:szCs w:val="18"/>
        </w:rPr>
        <w:t xml:space="preserve"> </w:t>
      </w:r>
      <w:r>
        <w:rPr>
          <w:rFonts w:ascii="Calibri" w:hAnsi="Calibri" w:cs="Calibri"/>
          <w:color w:val="000000"/>
          <w:sz w:val="18"/>
          <w:szCs w:val="18"/>
        </w:rPr>
        <w:t>w</w:t>
      </w:r>
      <w:r w:rsidRPr="00A84189">
        <w:rPr>
          <w:rFonts w:ascii="Calibri" w:hAnsi="Calibri" w:cs="Calibri"/>
          <w:color w:val="000000"/>
          <w:sz w:val="18"/>
          <w:szCs w:val="18"/>
        </w:rPr>
        <w:t xml:space="preserve">ebsite, </w:t>
      </w:r>
      <w:r>
        <w:rPr>
          <w:rFonts w:ascii="Calibri" w:hAnsi="Calibri" w:cs="Calibri"/>
          <w:color w:val="000000"/>
          <w:sz w:val="18"/>
          <w:szCs w:val="18"/>
        </w:rPr>
        <w:t xml:space="preserve">2020–21, </w:t>
      </w:r>
      <w:r w:rsidRPr="00A84189">
        <w:rPr>
          <w:rFonts w:ascii="Calibri" w:hAnsi="Calibri" w:cs="Calibri"/>
          <w:color w:val="000000"/>
          <w:sz w:val="18"/>
          <w:szCs w:val="18"/>
        </w:rPr>
        <w:t>accessed 13 October 2023</w:t>
      </w:r>
      <w:r>
        <w:rPr>
          <w:rFonts w:ascii="Calibri" w:hAnsi="Calibri" w:cs="Calibri"/>
          <w:color w:val="000000"/>
          <w:sz w:val="18"/>
          <w:szCs w:val="18"/>
        </w:rPr>
        <w:t>.</w:t>
      </w:r>
    </w:p>
  </w:footnote>
  <w:footnote w:id="72">
    <w:p w14:paraId="56E49AAE" w14:textId="77777777" w:rsidR="00DE25AB" w:rsidRPr="00551396" w:rsidRDefault="003A6359" w:rsidP="00580627">
      <w:pPr>
        <w:pStyle w:val="FootnoteText"/>
        <w:rPr>
          <w:rFonts w:ascii="Calibri" w:hAnsi="Calibri" w:cs="Calibri"/>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K Hand, J Baxter, M Carroll </w:t>
      </w:r>
      <w:r>
        <w:rPr>
          <w:rFonts w:ascii="Calibri" w:hAnsi="Calibri" w:cs="Calibri"/>
          <w:sz w:val="18"/>
          <w:szCs w:val="18"/>
        </w:rPr>
        <w:t>and</w:t>
      </w:r>
      <w:r w:rsidRPr="00A84189">
        <w:rPr>
          <w:rFonts w:ascii="Calibri" w:hAnsi="Calibri" w:cs="Calibri"/>
          <w:sz w:val="18"/>
          <w:szCs w:val="18"/>
        </w:rPr>
        <w:t xml:space="preserve"> M Budinski</w:t>
      </w:r>
      <w:r>
        <w:rPr>
          <w:rFonts w:ascii="Calibri" w:hAnsi="Calibri" w:cs="Calibri"/>
          <w:sz w:val="18"/>
          <w:szCs w:val="18"/>
        </w:rPr>
        <w:t>,</w:t>
      </w:r>
      <w:r w:rsidRPr="00A84189">
        <w:rPr>
          <w:rFonts w:ascii="Calibri" w:hAnsi="Calibri" w:cs="Calibri"/>
          <w:sz w:val="18"/>
          <w:szCs w:val="18"/>
        </w:rPr>
        <w:t xml:space="preserve"> </w:t>
      </w:r>
      <w:hyperlink r:id="rId33" w:history="1">
        <w:r w:rsidRPr="00A84189">
          <w:rPr>
            <w:rStyle w:val="Hyperlink"/>
            <w:rFonts w:ascii="Calibri" w:hAnsi="Calibri" w:cs="Calibri"/>
            <w:i/>
            <w:iCs/>
            <w:sz w:val="18"/>
            <w:szCs w:val="18"/>
          </w:rPr>
          <w:t>Life during COVID-19: Early findings</w:t>
        </w:r>
      </w:hyperlink>
      <w:r w:rsidRPr="00A84189">
        <w:rPr>
          <w:rFonts w:ascii="Calibri" w:hAnsi="Calibri" w:cs="Calibri"/>
          <w:sz w:val="18"/>
          <w:szCs w:val="18"/>
        </w:rPr>
        <w:t xml:space="preserve"> (Families in Australia Survey report), Australian Institute of Family Studies, AIFS </w:t>
      </w:r>
      <w:r>
        <w:rPr>
          <w:rFonts w:ascii="Calibri" w:hAnsi="Calibri" w:cs="Calibri"/>
          <w:sz w:val="18"/>
          <w:szCs w:val="18"/>
        </w:rPr>
        <w:t>w</w:t>
      </w:r>
      <w:r w:rsidRPr="00A84189">
        <w:rPr>
          <w:rFonts w:ascii="Calibri" w:hAnsi="Calibri" w:cs="Calibri"/>
          <w:sz w:val="18"/>
          <w:szCs w:val="18"/>
        </w:rPr>
        <w:t xml:space="preserve">ebsite, </w:t>
      </w:r>
      <w:r>
        <w:rPr>
          <w:rFonts w:ascii="Calibri" w:hAnsi="Calibri" w:cs="Calibri"/>
          <w:sz w:val="18"/>
          <w:szCs w:val="18"/>
        </w:rPr>
        <w:t xml:space="preserve">2020, </w:t>
      </w:r>
      <w:r w:rsidRPr="00A84189">
        <w:rPr>
          <w:rFonts w:ascii="Calibri" w:hAnsi="Calibri" w:cs="Calibri"/>
          <w:sz w:val="18"/>
          <w:szCs w:val="18"/>
        </w:rPr>
        <w:t>accessed 22 September 2023</w:t>
      </w:r>
      <w:r>
        <w:rPr>
          <w:rFonts w:ascii="Calibri" w:hAnsi="Calibri" w:cs="Calibri"/>
          <w:sz w:val="18"/>
          <w:szCs w:val="18"/>
        </w:rPr>
        <w:t>.</w:t>
      </w:r>
    </w:p>
  </w:footnote>
  <w:footnote w:id="73">
    <w:p w14:paraId="1B0EEEA3" w14:textId="77777777" w:rsidR="00DE25AB" w:rsidRPr="002D6A0E" w:rsidRDefault="003A6359" w:rsidP="004B4BE8">
      <w:pPr>
        <w:pStyle w:val="FootnoteText"/>
        <w:rPr>
          <w:rFonts w:ascii="Calibri" w:eastAsiaTheme="majorEastAsia" w:hAnsi="Calibri" w:cs="Calibri"/>
          <w:sz w:val="18"/>
          <w:szCs w:val="18"/>
        </w:rPr>
      </w:pPr>
      <w:r w:rsidRPr="00B11189">
        <w:rPr>
          <w:rStyle w:val="FootnoteReference"/>
          <w:rFonts w:ascii="Calibri" w:hAnsi="Calibri" w:cs="Calibri"/>
          <w:sz w:val="18"/>
          <w:szCs w:val="18"/>
        </w:rPr>
        <w:footnoteRef/>
      </w:r>
      <w:r w:rsidRPr="00B11189">
        <w:rPr>
          <w:rFonts w:ascii="Calibri" w:hAnsi="Calibri" w:cs="Calibri"/>
          <w:sz w:val="18"/>
          <w:szCs w:val="18"/>
        </w:rPr>
        <w:t xml:space="preserve"> Australian Children’s Education and Care Quality Authority</w:t>
      </w:r>
      <w:r>
        <w:rPr>
          <w:rFonts w:ascii="Calibri" w:hAnsi="Calibri" w:cs="Calibri"/>
          <w:sz w:val="18"/>
          <w:szCs w:val="18"/>
        </w:rPr>
        <w:t>,</w:t>
      </w:r>
      <w:r w:rsidRPr="00B11189">
        <w:rPr>
          <w:rFonts w:ascii="Calibri" w:hAnsi="Calibri" w:cs="Calibri"/>
          <w:sz w:val="18"/>
          <w:szCs w:val="18"/>
        </w:rPr>
        <w:t xml:space="preserve"> </w:t>
      </w:r>
      <w:hyperlink r:id="rId34" w:history="1">
        <w:r w:rsidRPr="002D6A0E">
          <w:rPr>
            <w:rStyle w:val="Hyperlink"/>
            <w:rFonts w:ascii="Calibri" w:eastAsiaTheme="majorEastAsia" w:hAnsi="Calibri" w:cs="Calibri"/>
            <w:i/>
            <w:iCs/>
            <w:sz w:val="18"/>
            <w:szCs w:val="18"/>
          </w:rPr>
          <w:t>Standard 1.2 Practice – Case study 1</w:t>
        </w:r>
      </w:hyperlink>
      <w:r>
        <w:rPr>
          <w:rFonts w:ascii="Calibri" w:eastAsiaTheme="majorEastAsia" w:hAnsi="Calibri" w:cs="Calibri"/>
          <w:sz w:val="18"/>
          <w:szCs w:val="18"/>
        </w:rPr>
        <w:t>,</w:t>
      </w:r>
      <w:r w:rsidRPr="002D6A0E">
        <w:rPr>
          <w:rFonts w:ascii="Calibri" w:eastAsiaTheme="majorEastAsia" w:hAnsi="Calibri" w:cs="Calibri"/>
          <w:sz w:val="18"/>
          <w:szCs w:val="18"/>
        </w:rPr>
        <w:t xml:space="preserve"> ACECQA</w:t>
      </w:r>
      <w:r>
        <w:rPr>
          <w:rFonts w:ascii="Calibri" w:eastAsiaTheme="majorEastAsia" w:hAnsi="Calibri" w:cs="Calibri"/>
          <w:sz w:val="18"/>
          <w:szCs w:val="18"/>
        </w:rPr>
        <w:t xml:space="preserve"> website, n.d.,</w:t>
      </w:r>
      <w:r w:rsidRPr="002D6A0E">
        <w:rPr>
          <w:rFonts w:ascii="Calibri" w:eastAsiaTheme="majorEastAsia" w:hAnsi="Calibri" w:cs="Calibri"/>
          <w:sz w:val="18"/>
          <w:szCs w:val="18"/>
        </w:rPr>
        <w:t xml:space="preserve"> accessed 24 October 2023</w:t>
      </w:r>
      <w:r>
        <w:rPr>
          <w:rFonts w:ascii="Calibri" w:eastAsiaTheme="majorEastAsia" w:hAnsi="Calibri" w:cs="Calibri"/>
          <w:sz w:val="18"/>
          <w:szCs w:val="18"/>
        </w:rPr>
        <w:t>.</w:t>
      </w:r>
    </w:p>
  </w:footnote>
  <w:footnote w:id="74">
    <w:p w14:paraId="26E5AC7F" w14:textId="3FEFFB6B" w:rsidR="00DE25AB" w:rsidRPr="00901C95" w:rsidRDefault="003A6359" w:rsidP="004B4BE8">
      <w:pPr>
        <w:spacing w:after="0" w:line="240" w:lineRule="auto"/>
        <w:rPr>
          <w:rFonts w:ascii="Calibri" w:hAnsi="Calibri" w:cs="Calibri"/>
          <w:sz w:val="18"/>
          <w:szCs w:val="18"/>
        </w:rPr>
      </w:pPr>
      <w:r w:rsidRPr="00901C95">
        <w:rPr>
          <w:rFonts w:ascii="Calibri" w:hAnsi="Calibri" w:cs="Calibri"/>
          <w:sz w:val="18"/>
          <w:szCs w:val="18"/>
          <w:vertAlign w:val="superscript"/>
        </w:rPr>
        <w:footnoteRef/>
      </w:r>
      <w:r w:rsidRPr="00901C95">
        <w:rPr>
          <w:rFonts w:ascii="Calibri" w:hAnsi="Calibri" w:cs="Calibri"/>
          <w:sz w:val="18"/>
          <w:szCs w:val="18"/>
        </w:rPr>
        <w:t xml:space="preserve"> </w:t>
      </w:r>
      <w:r w:rsidRPr="00901C95">
        <w:rPr>
          <w:rFonts w:ascii="Calibri" w:hAnsi="Calibri" w:cs="Calibri"/>
          <w:sz w:val="18"/>
          <w:szCs w:val="18"/>
          <w:shd w:val="clear" w:color="auto" w:fill="FFFFFF"/>
        </w:rPr>
        <w:t>OECD, </w:t>
      </w:r>
      <w:hyperlink r:id="rId35" w:history="1">
        <w:r w:rsidRPr="006B3853">
          <w:rPr>
            <w:rStyle w:val="Hyperlink"/>
            <w:rFonts w:ascii="Calibri" w:hAnsi="Calibri" w:cs="Calibri"/>
            <w:i/>
            <w:iCs/>
            <w:sz w:val="18"/>
            <w:szCs w:val="18"/>
            <w:shd w:val="clear" w:color="auto" w:fill="FFFFFF"/>
          </w:rPr>
          <w:t>Starting Strong 2017: Key OECD Indicators on Early Childhood Education and Care</w:t>
        </w:r>
      </w:hyperlink>
      <w:r w:rsidRPr="00901C95">
        <w:rPr>
          <w:rFonts w:ascii="Calibri" w:hAnsi="Calibri" w:cs="Calibri"/>
          <w:sz w:val="18"/>
          <w:szCs w:val="18"/>
          <w:shd w:val="clear" w:color="auto" w:fill="FFFFFF"/>
        </w:rPr>
        <w:t>, OECD Publishing, Paris, </w:t>
      </w:r>
      <w:r>
        <w:rPr>
          <w:rFonts w:ascii="Calibri" w:hAnsi="Calibri" w:cs="Calibri"/>
          <w:sz w:val="18"/>
          <w:szCs w:val="18"/>
          <w:shd w:val="clear" w:color="auto" w:fill="FFFFFF"/>
        </w:rPr>
        <w:t>2017.</w:t>
      </w:r>
      <w:r w:rsidRPr="00901C95">
        <w:rPr>
          <w:rFonts w:ascii="Calibri" w:hAnsi="Calibri" w:cs="Calibri"/>
          <w:sz w:val="18"/>
          <w:szCs w:val="18"/>
        </w:rPr>
        <w:t xml:space="preserve"> </w:t>
      </w:r>
    </w:p>
  </w:footnote>
  <w:footnote w:id="75">
    <w:p w14:paraId="54175057" w14:textId="77777777" w:rsidR="00DE25AB" w:rsidRPr="00901C95" w:rsidRDefault="003A6359" w:rsidP="004B4BE8">
      <w:pPr>
        <w:spacing w:after="0" w:line="240" w:lineRule="auto"/>
        <w:rPr>
          <w:rFonts w:ascii="Calibri" w:hAnsi="Calibri" w:cs="Calibri"/>
          <w:sz w:val="18"/>
          <w:szCs w:val="18"/>
        </w:rPr>
      </w:pPr>
      <w:r w:rsidRPr="00901C95">
        <w:rPr>
          <w:rStyle w:val="FootnoteReference"/>
          <w:rFonts w:ascii="Calibri" w:hAnsi="Calibri" w:cs="Calibri"/>
          <w:sz w:val="18"/>
          <w:szCs w:val="18"/>
        </w:rPr>
        <w:footnoteRef/>
      </w:r>
      <w:r w:rsidRPr="00901C95">
        <w:rPr>
          <w:rFonts w:ascii="Calibri" w:hAnsi="Calibri" w:cs="Calibri"/>
          <w:sz w:val="18"/>
          <w:szCs w:val="18"/>
        </w:rPr>
        <w:t xml:space="preserve"> D </w:t>
      </w:r>
      <w:r w:rsidRPr="00901C95">
        <w:rPr>
          <w:rFonts w:ascii="Calibri" w:hAnsi="Calibri" w:cs="Calibri"/>
          <w:color w:val="333333"/>
          <w:sz w:val="18"/>
          <w:szCs w:val="18"/>
          <w:shd w:val="clear" w:color="auto" w:fill="FFFFFF"/>
        </w:rPr>
        <w:t>Phillips</w:t>
      </w:r>
      <w:r w:rsidRPr="00901C95">
        <w:rPr>
          <w:rFonts w:ascii="Calibri" w:hAnsi="Calibri" w:cs="Calibri"/>
          <w:sz w:val="18"/>
          <w:szCs w:val="18"/>
        </w:rPr>
        <w:t>, et al.</w:t>
      </w:r>
      <w:r>
        <w:rPr>
          <w:rFonts w:ascii="Calibri" w:hAnsi="Calibri" w:cs="Calibri"/>
          <w:sz w:val="18"/>
          <w:szCs w:val="18"/>
        </w:rPr>
        <w:t xml:space="preserve">, </w:t>
      </w:r>
      <w:hyperlink r:id="rId36" w:history="1">
        <w:r w:rsidRPr="004C65B4">
          <w:rPr>
            <w:rStyle w:val="Hyperlink"/>
            <w:rFonts w:ascii="Calibri" w:hAnsi="Calibri" w:cs="Calibri"/>
            <w:i/>
            <w:iCs/>
            <w:sz w:val="18"/>
            <w:szCs w:val="18"/>
          </w:rPr>
          <w:t>Puzzling it out: The current state of scientific knowledge on pre-kindergarten effects – A consensus statement</w:t>
        </w:r>
      </w:hyperlink>
      <w:r w:rsidRPr="00901C95">
        <w:rPr>
          <w:rFonts w:ascii="Calibri" w:hAnsi="Calibri" w:cs="Calibri"/>
          <w:sz w:val="18"/>
          <w:szCs w:val="18"/>
        </w:rPr>
        <w:t>, Brookings Institution, Washington DC</w:t>
      </w:r>
      <w:r>
        <w:rPr>
          <w:rFonts w:ascii="Calibri" w:hAnsi="Calibri" w:cs="Calibri"/>
          <w:sz w:val="18"/>
          <w:szCs w:val="18"/>
        </w:rPr>
        <w:t>,</w:t>
      </w:r>
      <w:r w:rsidRPr="00901C95">
        <w:rPr>
          <w:rFonts w:ascii="Calibri" w:hAnsi="Calibri" w:cs="Calibri"/>
          <w:sz w:val="18"/>
          <w:szCs w:val="18"/>
        </w:rPr>
        <w:t xml:space="preserve"> </w:t>
      </w:r>
      <w:r>
        <w:rPr>
          <w:rFonts w:ascii="Calibri" w:hAnsi="Calibri" w:cs="Calibri"/>
          <w:sz w:val="18"/>
          <w:szCs w:val="18"/>
        </w:rPr>
        <w:t xml:space="preserve">2017, </w:t>
      </w:r>
      <w:r w:rsidRPr="00901C95">
        <w:rPr>
          <w:rFonts w:ascii="Calibri" w:hAnsi="Calibri" w:cs="Calibri"/>
          <w:sz w:val="18"/>
          <w:szCs w:val="18"/>
        </w:rPr>
        <w:t xml:space="preserve">accessed </w:t>
      </w:r>
      <w:r>
        <w:rPr>
          <w:rFonts w:ascii="Calibri" w:hAnsi="Calibri" w:cs="Calibri"/>
          <w:sz w:val="18"/>
          <w:szCs w:val="18"/>
        </w:rPr>
        <w:t>3 February 2024.</w:t>
      </w:r>
    </w:p>
  </w:footnote>
  <w:footnote w:id="76">
    <w:p w14:paraId="1D71E908" w14:textId="748D0B90" w:rsidR="00DE25AB" w:rsidRPr="004C65B4" w:rsidRDefault="003A6359" w:rsidP="004C65B4">
      <w:pPr>
        <w:spacing w:after="0"/>
      </w:pPr>
      <w:r w:rsidRPr="00B56EF5">
        <w:rPr>
          <w:rStyle w:val="FootnoteReference"/>
          <w:rFonts w:ascii="Calibri" w:hAnsi="Calibri" w:cs="Calibri"/>
          <w:sz w:val="18"/>
          <w:szCs w:val="18"/>
        </w:rPr>
        <w:footnoteRef/>
      </w:r>
      <w:r w:rsidRPr="00B56EF5">
        <w:rPr>
          <w:rFonts w:ascii="Calibri" w:hAnsi="Calibri" w:cs="Calibri"/>
          <w:sz w:val="18"/>
          <w:szCs w:val="18"/>
        </w:rPr>
        <w:t xml:space="preserve"> </w:t>
      </w:r>
      <w:r w:rsidR="004C65B4">
        <w:rPr>
          <w:rFonts w:ascii="Calibri" w:hAnsi="Calibri" w:cs="Calibri"/>
          <w:sz w:val="18"/>
          <w:szCs w:val="18"/>
        </w:rPr>
        <w:t>Department of Educat</w:t>
      </w:r>
      <w:r w:rsidR="00E669E5">
        <w:rPr>
          <w:rFonts w:ascii="Calibri" w:hAnsi="Calibri" w:cs="Calibri"/>
          <w:sz w:val="18"/>
          <w:szCs w:val="18"/>
        </w:rPr>
        <w:t>i</w:t>
      </w:r>
      <w:r w:rsidR="004C65B4">
        <w:rPr>
          <w:rFonts w:ascii="Calibri" w:hAnsi="Calibri" w:cs="Calibri"/>
          <w:sz w:val="18"/>
          <w:szCs w:val="18"/>
        </w:rPr>
        <w:t xml:space="preserve">on, </w:t>
      </w:r>
      <w:hyperlink r:id="rId37" w:history="1">
        <w:r w:rsidR="004C65B4" w:rsidRPr="004C65B4">
          <w:rPr>
            <w:rStyle w:val="Hyperlink"/>
            <w:rFonts w:ascii="Calibri" w:hAnsi="Calibri" w:cs="Calibri"/>
            <w:sz w:val="18"/>
            <w:szCs w:val="18"/>
          </w:rPr>
          <w:t>Child Care Subsidy, September quarter 2023 data tables</w:t>
        </w:r>
      </w:hyperlink>
      <w:r w:rsidR="004C65B4">
        <w:rPr>
          <w:rFonts w:ascii="Calibri" w:hAnsi="Calibri" w:cs="Calibri"/>
          <w:sz w:val="18"/>
          <w:szCs w:val="18"/>
        </w:rPr>
        <w:t xml:space="preserve">, 2023. </w:t>
      </w:r>
    </w:p>
  </w:footnote>
  <w:footnote w:id="77">
    <w:p w14:paraId="3605A010" w14:textId="6D817B43" w:rsidR="00DE25AB" w:rsidRPr="004C65B4" w:rsidRDefault="003A6359" w:rsidP="004C65B4">
      <w:pPr>
        <w:spacing w:after="0"/>
      </w:pPr>
      <w:r w:rsidRPr="00B56EF5">
        <w:rPr>
          <w:rStyle w:val="FootnoteReference"/>
          <w:rFonts w:ascii="Calibri" w:hAnsi="Calibri" w:cs="Calibri"/>
          <w:sz w:val="18"/>
          <w:szCs w:val="18"/>
        </w:rPr>
        <w:footnoteRef/>
      </w:r>
      <w:r w:rsidRPr="00B56EF5">
        <w:rPr>
          <w:rFonts w:ascii="Calibri" w:hAnsi="Calibri" w:cs="Calibri"/>
          <w:sz w:val="18"/>
          <w:szCs w:val="18"/>
        </w:rPr>
        <w:t xml:space="preserve"> </w:t>
      </w:r>
      <w:r w:rsidR="004C65B4">
        <w:rPr>
          <w:rFonts w:ascii="Calibri" w:hAnsi="Calibri" w:cs="Calibri"/>
          <w:sz w:val="18"/>
          <w:szCs w:val="18"/>
        </w:rPr>
        <w:t>Department of Educat</w:t>
      </w:r>
      <w:r w:rsidR="00E669E5">
        <w:rPr>
          <w:rFonts w:ascii="Calibri" w:hAnsi="Calibri" w:cs="Calibri"/>
          <w:sz w:val="18"/>
          <w:szCs w:val="18"/>
        </w:rPr>
        <w:t>i</w:t>
      </w:r>
      <w:r w:rsidR="004C65B4">
        <w:rPr>
          <w:rFonts w:ascii="Calibri" w:hAnsi="Calibri" w:cs="Calibri"/>
          <w:sz w:val="18"/>
          <w:szCs w:val="18"/>
        </w:rPr>
        <w:t xml:space="preserve">on, </w:t>
      </w:r>
      <w:r w:rsidR="004C65B4" w:rsidRPr="00E669E5">
        <w:rPr>
          <w:rFonts w:ascii="Calibri" w:hAnsi="Calibri" w:cs="Calibri"/>
          <w:sz w:val="18"/>
          <w:szCs w:val="18"/>
        </w:rPr>
        <w:t>Child Care Subsidy, September quarter 2023 data tables</w:t>
      </w:r>
      <w:r w:rsidR="004C65B4">
        <w:rPr>
          <w:rFonts w:ascii="Calibri" w:hAnsi="Calibri" w:cs="Calibri"/>
          <w:sz w:val="18"/>
          <w:szCs w:val="18"/>
        </w:rPr>
        <w:t xml:space="preserve">. </w:t>
      </w:r>
    </w:p>
  </w:footnote>
  <w:footnote w:id="78">
    <w:p w14:paraId="10DA5C95" w14:textId="27298525" w:rsidR="00DE25AB" w:rsidRPr="00A84189" w:rsidRDefault="003A6359" w:rsidP="00580627">
      <w:pPr>
        <w:pStyle w:val="FootnoteText"/>
        <w:rPr>
          <w:rFonts w:ascii="Calibri" w:hAnsi="Calibri" w:cs="Calibri"/>
          <w:sz w:val="18"/>
          <w:szCs w:val="18"/>
        </w:rPr>
      </w:pPr>
      <w:r w:rsidRPr="00164623">
        <w:rPr>
          <w:rStyle w:val="FootnoteReference"/>
          <w:rFonts w:ascii="Calibri" w:hAnsi="Calibri" w:cs="Calibri"/>
          <w:sz w:val="18"/>
          <w:szCs w:val="18"/>
        </w:rPr>
        <w:footnoteRef/>
      </w:r>
      <w:r w:rsidRPr="00164623">
        <w:rPr>
          <w:rFonts w:ascii="Calibri" w:hAnsi="Calibri" w:cs="Calibri"/>
          <w:sz w:val="18"/>
          <w:szCs w:val="18"/>
        </w:rPr>
        <w:t xml:space="preserve"> A</w:t>
      </w:r>
      <w:r w:rsidR="00C74592">
        <w:rPr>
          <w:rFonts w:ascii="Calibri" w:hAnsi="Calibri" w:cs="Calibri"/>
          <w:sz w:val="18"/>
          <w:szCs w:val="18"/>
        </w:rPr>
        <w:t>CECQA</w:t>
      </w:r>
      <w:r w:rsidRPr="00164623">
        <w:rPr>
          <w:rFonts w:ascii="Calibri" w:hAnsi="Calibri" w:cs="Calibri"/>
          <w:sz w:val="18"/>
          <w:szCs w:val="18"/>
        </w:rPr>
        <w:t>,</w:t>
      </w:r>
      <w:r w:rsidRPr="00164623">
        <w:rPr>
          <w:rFonts w:ascii="Calibri" w:hAnsi="Calibri" w:cs="Calibri"/>
          <w:i/>
          <w:iCs/>
          <w:sz w:val="18"/>
          <w:szCs w:val="18"/>
        </w:rPr>
        <w:t xml:space="preserve"> </w:t>
      </w:r>
      <w:hyperlink r:id="rId38" w:history="1">
        <w:r w:rsidRPr="00164623">
          <w:rPr>
            <w:rStyle w:val="Hyperlink"/>
            <w:rFonts w:ascii="Calibri" w:hAnsi="Calibri" w:cs="Calibri"/>
            <w:i/>
            <w:iCs/>
            <w:sz w:val="18"/>
            <w:szCs w:val="18"/>
          </w:rPr>
          <w:t>National Quality Framework Snapshot Quarter 2</w:t>
        </w:r>
      </w:hyperlink>
      <w:r w:rsidRPr="00164623">
        <w:rPr>
          <w:rFonts w:ascii="Calibri" w:hAnsi="Calibri" w:cs="Calibri"/>
          <w:sz w:val="18"/>
          <w:szCs w:val="18"/>
        </w:rPr>
        <w:t xml:space="preserve">, ACECQA, 2023, accessed </w:t>
      </w:r>
      <w:r>
        <w:rPr>
          <w:rFonts w:ascii="Calibri" w:hAnsi="Calibri" w:cs="Calibri"/>
          <w:sz w:val="18"/>
          <w:szCs w:val="18"/>
        </w:rPr>
        <w:t>2 February 2024</w:t>
      </w:r>
      <w:r w:rsidRPr="00164623">
        <w:rPr>
          <w:rFonts w:ascii="Calibri" w:hAnsi="Calibri" w:cs="Calibri"/>
          <w:sz w:val="18"/>
          <w:szCs w:val="18"/>
        </w:rPr>
        <w:t>.</w:t>
      </w:r>
    </w:p>
  </w:footnote>
  <w:footnote w:id="79">
    <w:p w14:paraId="5D442371" w14:textId="643665CE" w:rsidR="00A72800" w:rsidRDefault="00A72800" w:rsidP="00A72800">
      <w:pPr>
        <w:pStyle w:val="FootnoteText"/>
      </w:pPr>
      <w:r w:rsidRPr="00580627">
        <w:rPr>
          <w:rStyle w:val="FootnoteReference"/>
          <w:rFonts w:ascii="Calibri" w:hAnsi="Calibri" w:cs="Calibri"/>
          <w:sz w:val="18"/>
          <w:szCs w:val="18"/>
        </w:rPr>
        <w:footnoteRef/>
      </w:r>
      <w:r>
        <w:t xml:space="preserve"> </w:t>
      </w:r>
      <w:r w:rsidR="00E669E5">
        <w:rPr>
          <w:rFonts w:ascii="Calibri" w:hAnsi="Calibri" w:cs="Calibri"/>
          <w:color w:val="000000"/>
          <w:sz w:val="18"/>
          <w:szCs w:val="18"/>
        </w:rPr>
        <w:t>ABS</w:t>
      </w:r>
      <w:r>
        <w:rPr>
          <w:rFonts w:ascii="Calibri" w:hAnsi="Calibri" w:cs="Calibri"/>
          <w:color w:val="000000"/>
          <w:sz w:val="18"/>
          <w:szCs w:val="18"/>
        </w:rPr>
        <w:t>,</w:t>
      </w:r>
      <w:r>
        <w:rPr>
          <w:rStyle w:val="ui-provider"/>
        </w:rPr>
        <w:t xml:space="preserve"> </w:t>
      </w:r>
      <w:hyperlink r:id="rId39" w:history="1">
        <w:r w:rsidRPr="00E669E5">
          <w:rPr>
            <w:rStyle w:val="Hyperlink"/>
            <w:rFonts w:ascii="Calibri" w:hAnsi="Calibri"/>
            <w:i/>
            <w:iCs/>
            <w:sz w:val="18"/>
            <w:szCs w:val="18"/>
          </w:rPr>
          <w:t>Preschool Education methodology</w:t>
        </w:r>
      </w:hyperlink>
      <w:r w:rsidRPr="00E669E5">
        <w:rPr>
          <w:rFonts w:ascii="Calibri" w:hAnsi="Calibri" w:cs="Calibri"/>
          <w:iCs/>
          <w:sz w:val="18"/>
          <w:szCs w:val="18"/>
        </w:rPr>
        <w:t xml:space="preserve">, </w:t>
      </w:r>
      <w:r w:rsidRPr="00E669E5">
        <w:rPr>
          <w:rFonts w:ascii="Calibri" w:hAnsi="Calibri" w:cs="Calibri"/>
          <w:sz w:val="18"/>
          <w:szCs w:val="18"/>
        </w:rPr>
        <w:t>2022</w:t>
      </w:r>
      <w:r>
        <w:rPr>
          <w:rFonts w:ascii="Calibri" w:hAnsi="Calibri" w:cs="Calibri"/>
          <w:color w:val="000000"/>
          <w:sz w:val="18"/>
          <w:szCs w:val="18"/>
        </w:rPr>
        <w:t>,</w:t>
      </w:r>
      <w:r w:rsidR="00E669E5">
        <w:rPr>
          <w:rFonts w:ascii="Calibri" w:hAnsi="Calibri" w:cs="Calibri"/>
          <w:color w:val="000000"/>
          <w:sz w:val="18"/>
          <w:szCs w:val="18"/>
        </w:rPr>
        <w:t xml:space="preserve"> ABS website,</w:t>
      </w:r>
      <w:r w:rsidRPr="00580627">
        <w:rPr>
          <w:rFonts w:ascii="Calibri" w:hAnsi="Calibri" w:cs="Calibri"/>
          <w:color w:val="000000"/>
          <w:sz w:val="18"/>
          <w:szCs w:val="18"/>
        </w:rPr>
        <w:t xml:space="preserve"> accessed 19 January 2024.</w:t>
      </w:r>
    </w:p>
  </w:footnote>
  <w:footnote w:id="80">
    <w:p w14:paraId="4139FC7A" w14:textId="2B8B0710" w:rsidR="00DE25AB" w:rsidRPr="00A84189" w:rsidRDefault="003A6359" w:rsidP="00580627">
      <w:pPr>
        <w:pStyle w:val="FootnoteText"/>
        <w:rPr>
          <w:rFonts w:ascii="Calibri" w:hAnsi="Calibri" w:cs="Calibri"/>
          <w:color w:val="000000"/>
          <w:sz w:val="18"/>
          <w:szCs w:val="18"/>
        </w:rPr>
      </w:pPr>
      <w:r w:rsidRPr="00A84189">
        <w:rPr>
          <w:rStyle w:val="FootnoteReference"/>
          <w:rFonts w:ascii="Calibri" w:hAnsi="Calibri" w:cs="Calibri"/>
          <w:sz w:val="18"/>
          <w:szCs w:val="18"/>
        </w:rPr>
        <w:footnoteRef/>
      </w:r>
      <w:r w:rsidRPr="00A84189">
        <w:rPr>
          <w:rFonts w:ascii="Calibri" w:hAnsi="Calibri" w:cs="Calibri"/>
          <w:sz w:val="18"/>
          <w:szCs w:val="18"/>
        </w:rPr>
        <w:t xml:space="preserve"> </w:t>
      </w:r>
      <w:r w:rsidR="00C74592">
        <w:rPr>
          <w:rFonts w:ascii="Calibri" w:hAnsi="Calibri" w:cs="Calibri"/>
          <w:color w:val="000000"/>
          <w:sz w:val="18"/>
          <w:szCs w:val="18"/>
        </w:rPr>
        <w:t>ABS</w:t>
      </w:r>
      <w:r>
        <w:rPr>
          <w:rFonts w:ascii="Calibri" w:hAnsi="Calibri" w:cs="Calibri"/>
          <w:color w:val="000000"/>
          <w:sz w:val="18"/>
          <w:szCs w:val="18"/>
        </w:rPr>
        <w:t>,</w:t>
      </w:r>
      <w:r w:rsidRPr="00A84189">
        <w:rPr>
          <w:rFonts w:ascii="Calibri" w:hAnsi="Calibri" w:cs="Calibri"/>
          <w:color w:val="000000"/>
          <w:sz w:val="18"/>
          <w:szCs w:val="18"/>
        </w:rPr>
        <w:t xml:space="preserve"> </w:t>
      </w:r>
      <w:r w:rsidRPr="00C74592">
        <w:rPr>
          <w:rFonts w:ascii="Calibri" w:hAnsi="Calibri" w:cs="Calibri"/>
          <w:i/>
          <w:sz w:val="18"/>
          <w:szCs w:val="18"/>
        </w:rPr>
        <w:t>Preschool Education</w:t>
      </w:r>
      <w:r w:rsidRPr="00C74592">
        <w:rPr>
          <w:rFonts w:ascii="Calibri" w:hAnsi="Calibri" w:cs="Calibri"/>
          <w:sz w:val="18"/>
          <w:szCs w:val="18"/>
        </w:rPr>
        <w:t xml:space="preserve"> </w:t>
      </w:r>
      <w:r w:rsidRPr="00C74592">
        <w:rPr>
          <w:rFonts w:ascii="Calibri" w:hAnsi="Calibri" w:cs="Calibri"/>
          <w:i/>
          <w:sz w:val="18"/>
          <w:szCs w:val="18"/>
        </w:rPr>
        <w:t>2022</w:t>
      </w:r>
      <w:r>
        <w:rPr>
          <w:rFonts w:ascii="Calibri" w:hAnsi="Calibri" w:cs="Calibri"/>
          <w:color w:val="000000"/>
          <w:sz w:val="18"/>
          <w:szCs w:val="18"/>
        </w:rPr>
        <w:t>.</w:t>
      </w:r>
    </w:p>
  </w:footnote>
  <w:footnote w:id="81">
    <w:p w14:paraId="6897B98C" w14:textId="77777777" w:rsidR="00DE25AB" w:rsidRPr="00A84189" w:rsidRDefault="003A6359" w:rsidP="00F832FF">
      <w:pPr>
        <w:spacing w:after="0" w:line="240" w:lineRule="auto"/>
        <w:rPr>
          <w:rFonts w:ascii="Calibri" w:hAnsi="Calibri" w:cs="Calibri"/>
          <w:sz w:val="18"/>
          <w:szCs w:val="18"/>
        </w:rPr>
      </w:pPr>
      <w:r w:rsidRPr="00A84189">
        <w:rPr>
          <w:rFonts w:ascii="Calibri" w:hAnsi="Calibri" w:cs="Calibri"/>
          <w:sz w:val="18"/>
          <w:szCs w:val="18"/>
          <w:vertAlign w:val="superscript"/>
        </w:rPr>
        <w:footnoteRef/>
      </w:r>
      <w:r w:rsidRPr="00A84189">
        <w:rPr>
          <w:rFonts w:ascii="Calibri" w:hAnsi="Calibri" w:cs="Calibri"/>
          <w:sz w:val="18"/>
          <w:szCs w:val="18"/>
        </w:rPr>
        <w:t xml:space="preserve"> </w:t>
      </w:r>
      <w:r>
        <w:rPr>
          <w:rFonts w:ascii="Calibri" w:hAnsi="Calibri" w:cs="Calibri"/>
          <w:sz w:val="18"/>
          <w:szCs w:val="18"/>
        </w:rPr>
        <w:t xml:space="preserve">U </w:t>
      </w:r>
      <w:r w:rsidRPr="00A84189">
        <w:rPr>
          <w:rFonts w:ascii="Calibri" w:hAnsi="Calibri" w:cs="Calibri"/>
          <w:sz w:val="18"/>
          <w:szCs w:val="18"/>
          <w:shd w:val="clear" w:color="auto" w:fill="FFFFFF"/>
        </w:rPr>
        <w:t>Bronfenbrenner</w:t>
      </w:r>
      <w:r>
        <w:rPr>
          <w:rFonts w:ascii="Calibri" w:hAnsi="Calibri" w:cs="Calibri"/>
          <w:sz w:val="18"/>
          <w:szCs w:val="18"/>
          <w:shd w:val="clear" w:color="auto" w:fill="FFFFFF"/>
        </w:rPr>
        <w:t xml:space="preserve"> and PA</w:t>
      </w:r>
      <w:r w:rsidRPr="00A84189">
        <w:rPr>
          <w:rFonts w:ascii="Calibri" w:hAnsi="Calibri" w:cs="Calibri"/>
          <w:sz w:val="18"/>
          <w:szCs w:val="18"/>
          <w:shd w:val="clear" w:color="auto" w:fill="FFFFFF"/>
        </w:rPr>
        <w:t xml:space="preserve"> Morris</w:t>
      </w:r>
      <w:r>
        <w:rPr>
          <w:rFonts w:ascii="Calibri" w:hAnsi="Calibri" w:cs="Calibri"/>
          <w:sz w:val="18"/>
          <w:szCs w:val="18"/>
          <w:shd w:val="clear" w:color="auto" w:fill="FFFFFF"/>
        </w:rPr>
        <w:t>,</w:t>
      </w:r>
      <w:r w:rsidRPr="00A84189">
        <w:rPr>
          <w:rFonts w:ascii="Calibri" w:hAnsi="Calibri" w:cs="Calibri"/>
          <w:sz w:val="18"/>
          <w:szCs w:val="18"/>
          <w:shd w:val="clear" w:color="auto" w:fill="FFFFFF"/>
        </w:rPr>
        <w:t xml:space="preserve"> </w:t>
      </w:r>
      <w:r>
        <w:rPr>
          <w:rFonts w:ascii="Calibri" w:hAnsi="Calibri" w:cs="Calibri"/>
          <w:sz w:val="18"/>
          <w:szCs w:val="18"/>
          <w:shd w:val="clear" w:color="auto" w:fill="FFFFFF"/>
        </w:rPr>
        <w:t>‘</w:t>
      </w:r>
      <w:r w:rsidRPr="00A84189">
        <w:rPr>
          <w:rFonts w:ascii="Calibri" w:hAnsi="Calibri" w:cs="Calibri"/>
          <w:sz w:val="18"/>
          <w:szCs w:val="18"/>
          <w:shd w:val="clear" w:color="auto" w:fill="FFFFFF"/>
        </w:rPr>
        <w:t>The Bioecological Model of Human Development</w:t>
      </w:r>
      <w:r>
        <w:rPr>
          <w:rFonts w:ascii="Calibri" w:hAnsi="Calibri" w:cs="Calibri"/>
          <w:sz w:val="18"/>
          <w:szCs w:val="18"/>
          <w:shd w:val="clear" w:color="auto" w:fill="FFFFFF"/>
        </w:rPr>
        <w:t>’, i</w:t>
      </w:r>
      <w:r w:rsidRPr="00A84189">
        <w:rPr>
          <w:rFonts w:ascii="Calibri" w:hAnsi="Calibri" w:cs="Calibri"/>
          <w:sz w:val="18"/>
          <w:szCs w:val="18"/>
          <w:shd w:val="clear" w:color="auto" w:fill="FFFFFF"/>
        </w:rPr>
        <w:t xml:space="preserve">n RM Lerner </w:t>
      </w:r>
      <w:r>
        <w:rPr>
          <w:rFonts w:ascii="Calibri" w:hAnsi="Calibri" w:cs="Calibri"/>
          <w:sz w:val="18"/>
          <w:szCs w:val="18"/>
          <w:shd w:val="clear" w:color="auto" w:fill="FFFFFF"/>
        </w:rPr>
        <w:t>and</w:t>
      </w:r>
      <w:r w:rsidRPr="00A84189">
        <w:rPr>
          <w:rFonts w:ascii="Calibri" w:hAnsi="Calibri" w:cs="Calibri"/>
          <w:sz w:val="18"/>
          <w:szCs w:val="18"/>
          <w:shd w:val="clear" w:color="auto" w:fill="FFFFFF"/>
        </w:rPr>
        <w:t xml:space="preserve"> W Damon (</w:t>
      </w:r>
      <w:r>
        <w:rPr>
          <w:rFonts w:ascii="Calibri" w:hAnsi="Calibri" w:cs="Calibri"/>
          <w:sz w:val="18"/>
          <w:szCs w:val="18"/>
          <w:shd w:val="clear" w:color="auto" w:fill="FFFFFF"/>
        </w:rPr>
        <w:t>e</w:t>
      </w:r>
      <w:r w:rsidRPr="00A84189">
        <w:rPr>
          <w:rFonts w:ascii="Calibri" w:hAnsi="Calibri" w:cs="Calibri"/>
          <w:sz w:val="18"/>
          <w:szCs w:val="18"/>
          <w:shd w:val="clear" w:color="auto" w:fill="FFFFFF"/>
        </w:rPr>
        <w:t xml:space="preserve">ds.), </w:t>
      </w:r>
      <w:r w:rsidRPr="00A84189">
        <w:rPr>
          <w:rFonts w:ascii="Calibri" w:hAnsi="Calibri" w:cs="Calibri"/>
          <w:i/>
          <w:sz w:val="18"/>
          <w:szCs w:val="18"/>
          <w:shd w:val="clear" w:color="auto" w:fill="FFFFFF"/>
        </w:rPr>
        <w:t>Handbook of child psychology; Vol. 1: Theoretical models of human development</w:t>
      </w:r>
      <w:r w:rsidRPr="00A84189">
        <w:rPr>
          <w:rFonts w:ascii="Calibri" w:hAnsi="Calibri" w:cs="Calibri"/>
          <w:sz w:val="18"/>
          <w:szCs w:val="18"/>
          <w:shd w:val="clear" w:color="auto" w:fill="FFFFFF"/>
        </w:rPr>
        <w:t xml:space="preserve"> (pp.793–828)</w:t>
      </w:r>
      <w:r>
        <w:rPr>
          <w:rFonts w:ascii="Calibri" w:hAnsi="Calibri" w:cs="Calibri"/>
          <w:sz w:val="18"/>
          <w:szCs w:val="18"/>
          <w:shd w:val="clear" w:color="auto" w:fill="FFFFFF"/>
        </w:rPr>
        <w:t>,</w:t>
      </w:r>
      <w:r w:rsidRPr="00A84189">
        <w:rPr>
          <w:rFonts w:ascii="Calibri" w:hAnsi="Calibri" w:cs="Calibri"/>
          <w:sz w:val="18"/>
          <w:szCs w:val="18"/>
          <w:shd w:val="clear" w:color="auto" w:fill="FFFFFF"/>
        </w:rPr>
        <w:t xml:space="preserve"> John Wiley &amp; Sons, Inc</w:t>
      </w:r>
      <w:r>
        <w:rPr>
          <w:rFonts w:ascii="Calibri" w:hAnsi="Calibri" w:cs="Calibri"/>
          <w:sz w:val="18"/>
          <w:szCs w:val="18"/>
          <w:shd w:val="clear" w:color="auto" w:fill="FFFFFF"/>
        </w:rPr>
        <w:t>, New York, 2006</w:t>
      </w:r>
      <w:r w:rsidRPr="00A84189">
        <w:rPr>
          <w:rFonts w:ascii="Calibri" w:hAnsi="Calibri" w:cs="Calibri"/>
          <w:sz w:val="18"/>
          <w:szCs w:val="18"/>
          <w:shd w:val="clear" w:color="auto" w:fill="FFFFFF"/>
        </w:rPr>
        <w:t>.</w:t>
      </w:r>
    </w:p>
  </w:footnote>
  <w:footnote w:id="82">
    <w:p w14:paraId="1FB618E9" w14:textId="52F84B59" w:rsidR="00DE25AB" w:rsidRDefault="003A6359" w:rsidP="00F832FF">
      <w:pPr>
        <w:spacing w:after="0" w:line="240" w:lineRule="auto"/>
      </w:pPr>
      <w:r w:rsidRPr="00580627">
        <w:rPr>
          <w:rStyle w:val="FootnoteReference"/>
          <w:rFonts w:ascii="Calibri" w:hAnsi="Calibri" w:cs="Calibri"/>
          <w:sz w:val="18"/>
          <w:szCs w:val="18"/>
        </w:rPr>
        <w:footnoteRef/>
      </w:r>
      <w:r w:rsidRPr="00580627">
        <w:rPr>
          <w:rFonts w:ascii="Calibri" w:hAnsi="Calibri" w:cs="Calibri"/>
          <w:sz w:val="18"/>
          <w:szCs w:val="18"/>
        </w:rPr>
        <w:t xml:space="preserve"> </w:t>
      </w:r>
      <w:r w:rsidRPr="00F74F7A">
        <w:rPr>
          <w:rFonts w:ascii="Calibri" w:hAnsi="Calibri" w:cs="Calibri"/>
          <w:sz w:val="18"/>
          <w:szCs w:val="18"/>
        </w:rPr>
        <w:t xml:space="preserve">National Scientific Council on the </w:t>
      </w:r>
      <w:r w:rsidRPr="00163332">
        <w:rPr>
          <w:rFonts w:ascii="Calibri" w:hAnsi="Calibri" w:cs="Calibri"/>
          <w:sz w:val="18"/>
          <w:szCs w:val="18"/>
          <w:shd w:val="clear" w:color="auto" w:fill="FFFFFF"/>
        </w:rPr>
        <w:t>Developing</w:t>
      </w:r>
      <w:r w:rsidRPr="00F74F7A">
        <w:rPr>
          <w:rFonts w:ascii="Calibri" w:hAnsi="Calibri" w:cs="Calibri"/>
          <w:sz w:val="18"/>
          <w:szCs w:val="18"/>
        </w:rPr>
        <w:t xml:space="preserve"> Child</w:t>
      </w:r>
      <w:r>
        <w:rPr>
          <w:rFonts w:ascii="Calibri" w:hAnsi="Calibri" w:cs="Calibri"/>
          <w:sz w:val="18"/>
          <w:szCs w:val="18"/>
        </w:rPr>
        <w:t>,</w:t>
      </w:r>
      <w:r w:rsidRPr="00F74F7A">
        <w:rPr>
          <w:rFonts w:ascii="Calibri" w:hAnsi="Calibri" w:cs="Calibri"/>
          <w:sz w:val="18"/>
          <w:szCs w:val="18"/>
        </w:rPr>
        <w:t xml:space="preserve"> </w:t>
      </w:r>
      <w:hyperlink r:id="rId40" w:history="1">
        <w:r w:rsidRPr="008E3453">
          <w:rPr>
            <w:rStyle w:val="Hyperlink"/>
            <w:rFonts w:ascii="Calibri" w:hAnsi="Calibri" w:cs="Calibri"/>
            <w:i/>
            <w:iCs/>
            <w:sz w:val="18"/>
            <w:szCs w:val="18"/>
          </w:rPr>
          <w:t>Excessive Stress Disrupts the Architecture of the Developing Brain</w:t>
        </w:r>
      </w:hyperlink>
      <w:r w:rsidRPr="008E3453">
        <w:rPr>
          <w:rFonts w:ascii="Calibri" w:hAnsi="Calibri" w:cs="Calibri"/>
          <w:sz w:val="18"/>
          <w:szCs w:val="18"/>
        </w:rPr>
        <w:t>, Working Paper No. 3 [Updated Edition]</w:t>
      </w:r>
      <w:r w:rsidR="00C74592">
        <w:rPr>
          <w:rFonts w:ascii="Calibri" w:hAnsi="Calibri" w:cs="Calibri"/>
          <w:sz w:val="18"/>
          <w:szCs w:val="18"/>
        </w:rPr>
        <w:t>,</w:t>
      </w:r>
      <w:r w:rsidRPr="008E3453">
        <w:rPr>
          <w:rFonts w:ascii="Calibri" w:hAnsi="Calibri" w:cs="Calibri"/>
          <w:sz w:val="18"/>
          <w:szCs w:val="18"/>
        </w:rPr>
        <w:t xml:space="preserve"> </w:t>
      </w:r>
      <w:r w:rsidRPr="00F74F7A">
        <w:rPr>
          <w:rFonts w:ascii="Calibri" w:hAnsi="Calibri" w:cs="Calibri"/>
          <w:sz w:val="18"/>
          <w:szCs w:val="18"/>
        </w:rPr>
        <w:t>Center on the Developing Child</w:t>
      </w:r>
      <w:r>
        <w:rPr>
          <w:rFonts w:ascii="Calibri" w:hAnsi="Calibri" w:cs="Calibri"/>
          <w:sz w:val="18"/>
          <w:szCs w:val="18"/>
        </w:rPr>
        <w:t>, Harvard University, 2005/2014.</w:t>
      </w:r>
    </w:p>
  </w:footnote>
  <w:footnote w:id="83">
    <w:p w14:paraId="27E66F73" w14:textId="77777777" w:rsidR="00DE25AB" w:rsidRPr="009D30D3" w:rsidRDefault="003A6359" w:rsidP="000A4333">
      <w:pPr>
        <w:spacing w:after="120" w:line="240" w:lineRule="auto"/>
        <w:rPr>
          <w:rFonts w:ascii="Calibri" w:hAnsi="Calibri" w:cs="Calibri"/>
        </w:rPr>
      </w:pPr>
      <w:r w:rsidRPr="00A84189">
        <w:rPr>
          <w:rStyle w:val="FootnoteReference"/>
          <w:rFonts w:ascii="Calibri" w:hAnsi="Calibri" w:cs="Calibri"/>
          <w:sz w:val="18"/>
          <w:szCs w:val="18"/>
        </w:rPr>
        <w:footnoteRef/>
      </w:r>
      <w:r w:rsidRPr="00A84189">
        <w:rPr>
          <w:rFonts w:ascii="Calibri" w:hAnsi="Calibri" w:cs="Calibri"/>
          <w:sz w:val="18"/>
          <w:szCs w:val="18"/>
        </w:rPr>
        <w:t xml:space="preserve"> Center on the Developing Child</w:t>
      </w:r>
      <w:r>
        <w:rPr>
          <w:rFonts w:ascii="Calibri" w:hAnsi="Calibri" w:cs="Calibri"/>
          <w:sz w:val="18"/>
          <w:szCs w:val="18"/>
        </w:rPr>
        <w:t>,</w:t>
      </w:r>
      <w:r w:rsidRPr="00A84189">
        <w:rPr>
          <w:rFonts w:ascii="Calibri" w:hAnsi="Calibri" w:cs="Calibri"/>
          <w:sz w:val="18"/>
          <w:szCs w:val="18"/>
        </w:rPr>
        <w:t xml:space="preserve"> </w:t>
      </w:r>
      <w:hyperlink r:id="rId41" w:history="1">
        <w:r w:rsidRPr="00A84189">
          <w:rPr>
            <w:rStyle w:val="Hyperlink"/>
            <w:rFonts w:ascii="Calibri" w:hAnsi="Calibri" w:cs="Calibri"/>
            <w:sz w:val="18"/>
            <w:szCs w:val="18"/>
          </w:rPr>
          <w:t>Resilience</w:t>
        </w:r>
      </w:hyperlink>
      <w:r w:rsidRPr="00A84189">
        <w:rPr>
          <w:rFonts w:ascii="Calibri" w:hAnsi="Calibri" w:cs="Calibri"/>
          <w:sz w:val="18"/>
          <w:szCs w:val="18"/>
        </w:rPr>
        <w:t>,</w:t>
      </w:r>
      <w:r>
        <w:rPr>
          <w:rFonts w:ascii="Calibri" w:hAnsi="Calibri" w:cs="Calibri"/>
          <w:sz w:val="18"/>
          <w:szCs w:val="18"/>
        </w:rPr>
        <w:t xml:space="preserve"> [web page], Harvard University, n.d.,</w:t>
      </w:r>
      <w:r w:rsidRPr="00A84189">
        <w:rPr>
          <w:rFonts w:ascii="Calibri" w:hAnsi="Calibri" w:cs="Calibri"/>
          <w:i/>
          <w:sz w:val="18"/>
          <w:szCs w:val="18"/>
        </w:rPr>
        <w:t xml:space="preserve"> </w:t>
      </w:r>
      <w:r w:rsidRPr="00A84189">
        <w:rPr>
          <w:rFonts w:ascii="Calibri" w:hAnsi="Calibri" w:cs="Calibri"/>
          <w:sz w:val="18"/>
          <w:szCs w:val="18"/>
        </w:rPr>
        <w:t>accessed 24 October 2023</w:t>
      </w:r>
      <w:r>
        <w:rPr>
          <w:rFonts w:ascii="Calibri" w:hAnsi="Calibri" w:cs="Calibri"/>
          <w:sz w:val="18"/>
          <w:szCs w:val="18"/>
        </w:rPr>
        <w:t>.</w:t>
      </w:r>
    </w:p>
  </w:footnote>
  <w:footnote w:id="84">
    <w:p w14:paraId="4E4E4939" w14:textId="28398944" w:rsidR="00DE25AB" w:rsidRPr="00551396" w:rsidRDefault="003A6359" w:rsidP="00580627">
      <w:pPr>
        <w:pStyle w:val="FootnoteText"/>
        <w:spacing w:before="120"/>
        <w:rPr>
          <w:rFonts w:ascii="Calibri" w:hAnsi="Calibri" w:cs="Calibri"/>
          <w:sz w:val="18"/>
          <w:szCs w:val="18"/>
        </w:rPr>
      </w:pPr>
      <w:r w:rsidRPr="0092485A">
        <w:rPr>
          <w:rStyle w:val="FootnoteReference"/>
          <w:rFonts w:ascii="Calibri" w:hAnsi="Calibri" w:cs="Calibri"/>
          <w:sz w:val="18"/>
          <w:szCs w:val="18"/>
        </w:rPr>
        <w:footnoteRef/>
      </w:r>
      <w:r w:rsidRPr="00551396">
        <w:t xml:space="preserve"> </w:t>
      </w:r>
      <w:r w:rsidRPr="00BC60DF">
        <w:rPr>
          <w:rFonts w:ascii="Calibri" w:hAnsi="Calibri" w:cs="Calibri"/>
          <w:sz w:val="18"/>
          <w:szCs w:val="18"/>
        </w:rPr>
        <w:t>D Higgins</w:t>
      </w:r>
      <w:r>
        <w:rPr>
          <w:rFonts w:ascii="Calibri" w:hAnsi="Calibri" w:cs="Calibri"/>
          <w:sz w:val="18"/>
          <w:szCs w:val="18"/>
        </w:rPr>
        <w:t xml:space="preserve"> and</w:t>
      </w:r>
      <w:r w:rsidRPr="00BC60DF">
        <w:rPr>
          <w:rFonts w:ascii="Calibri" w:hAnsi="Calibri" w:cs="Calibri"/>
          <w:sz w:val="18"/>
          <w:szCs w:val="18"/>
        </w:rPr>
        <w:t xml:space="preserve"> A Dean</w:t>
      </w:r>
      <w:r>
        <w:rPr>
          <w:rFonts w:ascii="Calibri" w:hAnsi="Calibri" w:cs="Calibri"/>
          <w:sz w:val="18"/>
          <w:szCs w:val="18"/>
        </w:rPr>
        <w:t>,</w:t>
      </w:r>
      <w:r w:rsidRPr="00BC60DF">
        <w:rPr>
          <w:rFonts w:ascii="Calibri" w:hAnsi="Calibri" w:cs="Calibri"/>
          <w:sz w:val="18"/>
          <w:szCs w:val="18"/>
        </w:rPr>
        <w:t xml:space="preserve"> </w:t>
      </w:r>
      <w:hyperlink r:id="rId42" w:history="1">
        <w:r w:rsidRPr="008E3453">
          <w:rPr>
            <w:rStyle w:val="Hyperlink"/>
            <w:rFonts w:ascii="Calibri" w:hAnsi="Calibri" w:cs="Calibri"/>
            <w:i/>
            <w:iCs/>
            <w:sz w:val="18"/>
            <w:szCs w:val="18"/>
          </w:rPr>
          <w:t>A population approach to early intervention and prevention</w:t>
        </w:r>
      </w:hyperlink>
      <w:r>
        <w:rPr>
          <w:rFonts w:ascii="Calibri" w:hAnsi="Calibri" w:cs="Calibri"/>
          <w:sz w:val="18"/>
          <w:szCs w:val="18"/>
        </w:rPr>
        <w:t>,</w:t>
      </w:r>
      <w:r w:rsidRPr="00BC60DF">
        <w:rPr>
          <w:rFonts w:ascii="Calibri" w:eastAsiaTheme="majorEastAsia" w:hAnsi="Calibri" w:cs="Calibri"/>
          <w:sz w:val="18"/>
          <w:szCs w:val="18"/>
        </w:rPr>
        <w:t xml:space="preserve"> Australian Institute of Family Studies website,</w:t>
      </w:r>
      <w:r>
        <w:rPr>
          <w:rFonts w:ascii="Calibri" w:eastAsiaTheme="majorEastAsia" w:hAnsi="Calibri" w:cs="Calibri"/>
          <w:sz w:val="18"/>
          <w:szCs w:val="18"/>
        </w:rPr>
        <w:t xml:space="preserve"> 2020,</w:t>
      </w:r>
      <w:r w:rsidRPr="00BC60DF">
        <w:rPr>
          <w:rFonts w:ascii="Calibri" w:eastAsiaTheme="majorEastAsia" w:hAnsi="Calibri" w:cs="Calibri"/>
          <w:sz w:val="18"/>
          <w:szCs w:val="18"/>
        </w:rPr>
        <w:t xml:space="preserve"> accessed 24 October 2023</w:t>
      </w:r>
      <w:r>
        <w:rPr>
          <w:rFonts w:ascii="Calibri" w:eastAsiaTheme="majorEastAsia" w:hAnsi="Calibri" w:cs="Calibri"/>
          <w:sz w:val="18"/>
          <w:szCs w:val="18"/>
        </w:rPr>
        <w:t>.</w:t>
      </w:r>
    </w:p>
  </w:footnote>
  <w:footnote w:id="85">
    <w:p w14:paraId="2C5BDD42" w14:textId="2943B23D" w:rsidR="00DE25AB" w:rsidRPr="00551396" w:rsidRDefault="003A6359" w:rsidP="00580627">
      <w:pPr>
        <w:spacing w:after="0" w:line="240" w:lineRule="auto"/>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F74F7A">
        <w:rPr>
          <w:rFonts w:ascii="Calibri" w:hAnsi="Calibri" w:cs="Calibri"/>
          <w:sz w:val="18"/>
          <w:szCs w:val="18"/>
        </w:rPr>
        <w:t>National Scientific Council on the Developing Child</w:t>
      </w:r>
      <w:r>
        <w:rPr>
          <w:rFonts w:ascii="Calibri" w:hAnsi="Calibri" w:cs="Calibri"/>
          <w:sz w:val="18"/>
          <w:szCs w:val="18"/>
        </w:rPr>
        <w:t>,</w:t>
      </w:r>
      <w:r w:rsidRPr="00F74F7A">
        <w:rPr>
          <w:rFonts w:ascii="Calibri" w:hAnsi="Calibri" w:cs="Calibri"/>
          <w:sz w:val="18"/>
          <w:szCs w:val="18"/>
        </w:rPr>
        <w:t xml:space="preserve"> </w:t>
      </w:r>
      <w:r w:rsidRPr="004477B4">
        <w:rPr>
          <w:rFonts w:ascii="Calibri" w:hAnsi="Calibri" w:cs="Calibri"/>
          <w:i/>
          <w:iCs/>
          <w:sz w:val="18"/>
          <w:szCs w:val="18"/>
        </w:rPr>
        <w:t>Excessive Stress Disrupts the Architecture of the Developing Brain</w:t>
      </w:r>
      <w:r>
        <w:rPr>
          <w:rFonts w:ascii="Calibri" w:hAnsi="Calibri" w:cs="Calibri"/>
          <w:sz w:val="18"/>
          <w:szCs w:val="18"/>
        </w:rPr>
        <w:t>.</w:t>
      </w:r>
    </w:p>
  </w:footnote>
  <w:footnote w:id="86">
    <w:p w14:paraId="5B4406BD"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Pr>
          <w:rFonts w:ascii="Calibri" w:hAnsi="Calibri" w:cs="Calibri"/>
          <w:sz w:val="18"/>
          <w:szCs w:val="18"/>
        </w:rPr>
        <w:t xml:space="preserve">H </w:t>
      </w:r>
      <w:r w:rsidRPr="00056D79">
        <w:rPr>
          <w:rFonts w:ascii="Calibri" w:hAnsi="Calibri" w:cs="Calibri"/>
          <w:sz w:val="18"/>
          <w:szCs w:val="18"/>
        </w:rPr>
        <w:t>Monks,</w:t>
      </w:r>
      <w:r>
        <w:rPr>
          <w:rFonts w:ascii="Calibri" w:hAnsi="Calibri" w:cs="Calibri"/>
          <w:sz w:val="18"/>
          <w:szCs w:val="18"/>
        </w:rPr>
        <w:t xml:space="preserve"> J</w:t>
      </w:r>
      <w:r w:rsidRPr="00056D79">
        <w:rPr>
          <w:rFonts w:ascii="Calibri" w:hAnsi="Calibri" w:cs="Calibri"/>
          <w:sz w:val="18"/>
          <w:szCs w:val="18"/>
        </w:rPr>
        <w:t xml:space="preserve"> Ma</w:t>
      </w:r>
      <w:r>
        <w:rPr>
          <w:rFonts w:ascii="Calibri" w:hAnsi="Calibri" w:cs="Calibri"/>
          <w:sz w:val="18"/>
          <w:szCs w:val="18"/>
        </w:rPr>
        <w:t>ndzufas and D Cross,</w:t>
      </w:r>
      <w:r w:rsidRPr="00056D79">
        <w:rPr>
          <w:rFonts w:ascii="Calibri" w:hAnsi="Calibri" w:cs="Calibri"/>
          <w:sz w:val="18"/>
          <w:szCs w:val="18"/>
        </w:rPr>
        <w:t xml:space="preserve"> </w:t>
      </w:r>
      <w:hyperlink r:id="rId43" w:history="1">
        <w:r w:rsidRPr="008E3453">
          <w:rPr>
            <w:rStyle w:val="Hyperlink"/>
            <w:rFonts w:ascii="Calibri" w:hAnsi="Calibri" w:cs="Calibri"/>
            <w:i/>
            <w:iCs/>
            <w:sz w:val="18"/>
            <w:szCs w:val="18"/>
          </w:rPr>
          <w:t>The Impact of Poverty on the Developing Child: A Narrative View</w:t>
        </w:r>
      </w:hyperlink>
      <w:r w:rsidRPr="00056D79">
        <w:rPr>
          <w:rFonts w:ascii="Calibri" w:hAnsi="Calibri" w:cs="Calibri"/>
          <w:sz w:val="18"/>
          <w:szCs w:val="18"/>
        </w:rPr>
        <w:t>, Life Course Centre Working Paper Series, 2022-06</w:t>
      </w:r>
      <w:r>
        <w:rPr>
          <w:rFonts w:ascii="Calibri" w:hAnsi="Calibri" w:cs="Calibri"/>
          <w:sz w:val="18"/>
          <w:szCs w:val="18"/>
        </w:rPr>
        <w:t>,</w:t>
      </w:r>
      <w:r w:rsidRPr="00056D79">
        <w:rPr>
          <w:rFonts w:ascii="Calibri" w:hAnsi="Calibri" w:cs="Calibri"/>
          <w:sz w:val="18"/>
          <w:szCs w:val="18"/>
        </w:rPr>
        <w:t xml:space="preserve"> Institute for Social Science Researc</w:t>
      </w:r>
      <w:r>
        <w:rPr>
          <w:rFonts w:ascii="Calibri" w:hAnsi="Calibri" w:cs="Calibri"/>
          <w:sz w:val="18"/>
          <w:szCs w:val="18"/>
        </w:rPr>
        <w:t>h, The University of Queensland, 2022.</w:t>
      </w:r>
    </w:p>
  </w:footnote>
  <w:footnote w:id="87">
    <w:p w14:paraId="5BC371BA" w14:textId="5E6BB887" w:rsidR="00DE25AB" w:rsidRPr="00551396" w:rsidRDefault="003A6359" w:rsidP="00EE3EFE">
      <w:pPr>
        <w:pStyle w:val="CommentText"/>
        <w:spacing w:after="120"/>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F74F7A">
        <w:rPr>
          <w:rFonts w:ascii="Calibri" w:hAnsi="Calibri" w:cs="Calibri"/>
          <w:sz w:val="18"/>
          <w:szCs w:val="18"/>
        </w:rPr>
        <w:t>National Scientific Council on the Developing Child</w:t>
      </w:r>
      <w:r>
        <w:rPr>
          <w:rFonts w:ascii="Calibri" w:hAnsi="Calibri" w:cs="Calibri"/>
          <w:sz w:val="18"/>
          <w:szCs w:val="18"/>
        </w:rPr>
        <w:t>,</w:t>
      </w:r>
      <w:r w:rsidRPr="00A10C4B">
        <w:t xml:space="preserve"> </w:t>
      </w:r>
      <w:r w:rsidRPr="000517C1">
        <w:rPr>
          <w:rFonts w:ascii="Calibri" w:hAnsi="Calibri" w:cs="Calibri"/>
          <w:i/>
          <w:iCs/>
          <w:sz w:val="18"/>
          <w:szCs w:val="18"/>
        </w:rPr>
        <w:t>Connecting the Brain to the Rest of the Body: Early Childhood Development and Lifelong Health Are Deeply Intertwined</w:t>
      </w:r>
      <w:r w:rsidR="000517C1">
        <w:rPr>
          <w:rFonts w:ascii="Calibri" w:hAnsi="Calibri" w:cs="Calibri"/>
          <w:sz w:val="18"/>
          <w:szCs w:val="18"/>
        </w:rPr>
        <w:t>.</w:t>
      </w:r>
    </w:p>
  </w:footnote>
  <w:footnote w:id="88">
    <w:p w14:paraId="73EECA14" w14:textId="162B5990" w:rsidR="00DE25AB" w:rsidRPr="00C476F8" w:rsidRDefault="003A6359" w:rsidP="00580627">
      <w:pPr>
        <w:pStyle w:val="FootnoteText"/>
        <w:spacing w:before="120"/>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National Scientific Council on the Developing Child, </w:t>
      </w:r>
      <w:r w:rsidR="00A9250A" w:rsidRPr="000517C1">
        <w:rPr>
          <w:rFonts w:ascii="Calibri" w:hAnsi="Calibri" w:cs="Calibri"/>
          <w:i/>
          <w:iCs/>
          <w:sz w:val="18"/>
          <w:szCs w:val="18"/>
        </w:rPr>
        <w:t>Connecting the Brain to the Rest of the Body: Early Childhood Development and Lifelong Health Are Deeply Intertwined</w:t>
      </w:r>
      <w:r w:rsidRPr="00C476F8">
        <w:rPr>
          <w:rFonts w:ascii="Calibri" w:hAnsi="Calibri" w:cs="Calibri"/>
          <w:sz w:val="18"/>
          <w:szCs w:val="18"/>
        </w:rPr>
        <w:t>.</w:t>
      </w:r>
    </w:p>
  </w:footnote>
  <w:footnote w:id="89">
    <w:p w14:paraId="2ACB557B" w14:textId="77777777" w:rsidR="00DE25AB" w:rsidRPr="00C476F8" w:rsidRDefault="003A6359" w:rsidP="00580627">
      <w:pPr>
        <w:pStyle w:val="FootnoteText"/>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Royal Australasian College of Physicians</w:t>
      </w:r>
      <w:r>
        <w:rPr>
          <w:rFonts w:ascii="Calibri" w:hAnsi="Calibri" w:cs="Calibri"/>
          <w:sz w:val="18"/>
          <w:szCs w:val="18"/>
        </w:rPr>
        <w:t>,</w:t>
      </w:r>
      <w:r w:rsidRPr="00C476F8">
        <w:rPr>
          <w:rFonts w:ascii="Calibri" w:hAnsi="Calibri" w:cs="Calibri"/>
          <w:sz w:val="18"/>
          <w:szCs w:val="18"/>
        </w:rPr>
        <w:t xml:space="preserve"> </w:t>
      </w:r>
      <w:hyperlink r:id="rId44" w:history="1">
        <w:r w:rsidRPr="00C476F8">
          <w:rPr>
            <w:rStyle w:val="Hyperlink"/>
            <w:rFonts w:ascii="Calibri" w:hAnsi="Calibri" w:cs="Calibri"/>
            <w:i/>
            <w:iCs/>
            <w:sz w:val="18"/>
            <w:szCs w:val="18"/>
          </w:rPr>
          <w:t>The Health and Wellbeing of Incarcerated Adolescents [PDF 227KB]</w:t>
        </w:r>
      </w:hyperlink>
      <w:r w:rsidRPr="00C476F8">
        <w:rPr>
          <w:rFonts w:ascii="Calibri" w:hAnsi="Calibri" w:cs="Calibri"/>
          <w:sz w:val="18"/>
          <w:szCs w:val="18"/>
        </w:rPr>
        <w:t>, Sydney</w:t>
      </w:r>
      <w:r>
        <w:rPr>
          <w:rFonts w:ascii="Calibri" w:hAnsi="Calibri" w:cs="Calibri"/>
          <w:sz w:val="18"/>
          <w:szCs w:val="18"/>
        </w:rPr>
        <w:t>, 2011.</w:t>
      </w:r>
    </w:p>
  </w:footnote>
  <w:footnote w:id="90">
    <w:p w14:paraId="559B1F08" w14:textId="77777777" w:rsidR="00DE25AB" w:rsidRPr="00C476F8" w:rsidRDefault="003A6359" w:rsidP="00580627">
      <w:pPr>
        <w:pStyle w:val="FootnoteText"/>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Center on the Developing Child</w:t>
      </w:r>
      <w:r>
        <w:rPr>
          <w:rFonts w:ascii="Calibri" w:hAnsi="Calibri" w:cs="Calibri"/>
          <w:sz w:val="18"/>
          <w:szCs w:val="18"/>
        </w:rPr>
        <w:t>,</w:t>
      </w:r>
      <w:r w:rsidRPr="00C476F8">
        <w:rPr>
          <w:rFonts w:ascii="Calibri" w:hAnsi="Calibri" w:cs="Calibri"/>
          <w:sz w:val="18"/>
          <w:szCs w:val="18"/>
        </w:rPr>
        <w:t xml:space="preserve"> </w:t>
      </w:r>
      <w:hyperlink r:id="rId45" w:history="1">
        <w:r w:rsidRPr="009C7BED">
          <w:rPr>
            <w:rStyle w:val="Hyperlink"/>
            <w:rFonts w:ascii="Calibri" w:eastAsiaTheme="majorEastAsia" w:hAnsi="Calibri" w:cs="Calibri"/>
            <w:sz w:val="18"/>
            <w:szCs w:val="18"/>
          </w:rPr>
          <w:t>Early Childhood Mental Health</w:t>
        </w:r>
      </w:hyperlink>
      <w:r w:rsidRPr="00C476F8">
        <w:rPr>
          <w:rFonts w:ascii="Calibri" w:hAnsi="Calibri" w:cs="Calibri"/>
          <w:sz w:val="18"/>
          <w:szCs w:val="18"/>
        </w:rPr>
        <w:t xml:space="preserve">, </w:t>
      </w:r>
      <w:r>
        <w:rPr>
          <w:rFonts w:ascii="Calibri" w:hAnsi="Calibri" w:cs="Calibri"/>
          <w:sz w:val="18"/>
          <w:szCs w:val="18"/>
        </w:rPr>
        <w:t xml:space="preserve">[web page], Harvard University, n.d., </w:t>
      </w:r>
      <w:r w:rsidRPr="00C476F8">
        <w:rPr>
          <w:rFonts w:ascii="Calibri" w:hAnsi="Calibri" w:cs="Calibri"/>
          <w:sz w:val="18"/>
          <w:szCs w:val="18"/>
        </w:rPr>
        <w:t>accessed 25 October 2023</w:t>
      </w:r>
      <w:r>
        <w:rPr>
          <w:rFonts w:ascii="Calibri" w:hAnsi="Calibri" w:cs="Calibri"/>
          <w:sz w:val="18"/>
          <w:szCs w:val="18"/>
        </w:rPr>
        <w:t>.</w:t>
      </w:r>
    </w:p>
  </w:footnote>
  <w:footnote w:id="91">
    <w:p w14:paraId="3B025D75" w14:textId="00514C61" w:rsidR="00DE25AB" w:rsidRPr="00C476F8" w:rsidRDefault="003A6359" w:rsidP="00580627">
      <w:pPr>
        <w:pStyle w:val="CommentText"/>
        <w:spacing w:after="0"/>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National Scientific Council on the Developing Child</w:t>
      </w:r>
      <w:r w:rsidRPr="00A9250A">
        <w:rPr>
          <w:rFonts w:ascii="Calibri" w:hAnsi="Calibri" w:cs="Calibri"/>
          <w:i/>
          <w:iCs/>
          <w:sz w:val="18"/>
          <w:szCs w:val="18"/>
        </w:rPr>
        <w:t xml:space="preserve">, </w:t>
      </w:r>
      <w:hyperlink r:id="rId46" w:history="1">
        <w:r w:rsidRPr="00A9250A">
          <w:rPr>
            <w:rStyle w:val="Hyperlink"/>
            <w:rFonts w:ascii="Calibri" w:hAnsi="Calibri" w:cs="Calibri"/>
            <w:i/>
            <w:iCs/>
            <w:sz w:val="18"/>
            <w:szCs w:val="18"/>
          </w:rPr>
          <w:t>Place Matters: The Environment We Create Shapes the Foundations of Healthy Development</w:t>
        </w:r>
      </w:hyperlink>
      <w:r>
        <w:rPr>
          <w:rFonts w:ascii="Calibri" w:hAnsi="Calibri" w:cs="Calibri"/>
          <w:sz w:val="18"/>
          <w:szCs w:val="18"/>
        </w:rPr>
        <w:t>,</w:t>
      </w:r>
      <w:r w:rsidRPr="00C476F8">
        <w:rPr>
          <w:rFonts w:ascii="Calibri" w:hAnsi="Calibri" w:cs="Calibri"/>
          <w:sz w:val="18"/>
          <w:szCs w:val="18"/>
        </w:rPr>
        <w:t xml:space="preserve"> Working Paper No. 16</w:t>
      </w:r>
      <w:r>
        <w:rPr>
          <w:rFonts w:ascii="Calibri" w:hAnsi="Calibri" w:cs="Calibri"/>
          <w:sz w:val="18"/>
          <w:szCs w:val="18"/>
        </w:rPr>
        <w:t>,</w:t>
      </w:r>
      <w:r w:rsidRPr="00C476F8">
        <w:rPr>
          <w:rFonts w:ascii="Calibri" w:hAnsi="Calibri" w:cs="Calibri"/>
          <w:sz w:val="18"/>
          <w:szCs w:val="18"/>
        </w:rPr>
        <w:t xml:space="preserve"> Center on the Developing Child</w:t>
      </w:r>
      <w:r>
        <w:rPr>
          <w:rFonts w:ascii="Calibri" w:hAnsi="Calibri" w:cs="Calibri"/>
          <w:sz w:val="18"/>
          <w:szCs w:val="18"/>
        </w:rPr>
        <w:t>, Harvard University, 2023.</w:t>
      </w:r>
    </w:p>
  </w:footnote>
  <w:footnote w:id="92">
    <w:p w14:paraId="64C82C64" w14:textId="77777777" w:rsidR="00DE25AB" w:rsidRPr="00C476F8" w:rsidRDefault="003A6359" w:rsidP="00580627">
      <w:pPr>
        <w:pStyle w:val="FootnoteText"/>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w:t>
      </w:r>
      <w:r>
        <w:rPr>
          <w:rFonts w:ascii="Calibri" w:hAnsi="Calibri" w:cs="Calibri"/>
          <w:sz w:val="18"/>
          <w:szCs w:val="18"/>
        </w:rPr>
        <w:t xml:space="preserve">H </w:t>
      </w:r>
      <w:r w:rsidRPr="00056D79">
        <w:rPr>
          <w:rFonts w:ascii="Calibri" w:hAnsi="Calibri" w:cs="Calibri"/>
          <w:sz w:val="18"/>
          <w:szCs w:val="18"/>
        </w:rPr>
        <w:t>Monks,</w:t>
      </w:r>
      <w:r>
        <w:rPr>
          <w:rFonts w:ascii="Calibri" w:hAnsi="Calibri" w:cs="Calibri"/>
          <w:sz w:val="18"/>
          <w:szCs w:val="18"/>
        </w:rPr>
        <w:t xml:space="preserve"> J</w:t>
      </w:r>
      <w:r w:rsidRPr="00056D79">
        <w:rPr>
          <w:rFonts w:ascii="Calibri" w:hAnsi="Calibri" w:cs="Calibri"/>
          <w:sz w:val="18"/>
          <w:szCs w:val="18"/>
        </w:rPr>
        <w:t xml:space="preserve"> Ma</w:t>
      </w:r>
      <w:r>
        <w:rPr>
          <w:rFonts w:ascii="Calibri" w:hAnsi="Calibri" w:cs="Calibri"/>
          <w:sz w:val="18"/>
          <w:szCs w:val="18"/>
        </w:rPr>
        <w:t>ndzufas and D Cross,</w:t>
      </w:r>
      <w:r w:rsidRPr="00056D79">
        <w:rPr>
          <w:rFonts w:ascii="Calibri" w:hAnsi="Calibri" w:cs="Calibri"/>
          <w:sz w:val="18"/>
          <w:szCs w:val="18"/>
        </w:rPr>
        <w:t xml:space="preserve"> </w:t>
      </w:r>
      <w:r w:rsidRPr="00C476F8">
        <w:rPr>
          <w:rFonts w:ascii="Calibri" w:hAnsi="Calibri" w:cs="Calibri"/>
          <w:i/>
          <w:iCs/>
          <w:sz w:val="18"/>
          <w:szCs w:val="18"/>
        </w:rPr>
        <w:t>The Impact of Poverty on the Developing Child: A Narrative View</w:t>
      </w:r>
      <w:r>
        <w:rPr>
          <w:rFonts w:ascii="Calibri" w:hAnsi="Calibri" w:cs="Calibri"/>
          <w:i/>
          <w:iCs/>
          <w:sz w:val="18"/>
          <w:szCs w:val="18"/>
        </w:rPr>
        <w:t>.</w:t>
      </w:r>
    </w:p>
  </w:footnote>
  <w:footnote w:id="93">
    <w:p w14:paraId="6E5BDED4" w14:textId="4D050882" w:rsidR="00DE25AB" w:rsidRPr="00C476F8" w:rsidRDefault="003A6359" w:rsidP="00580627">
      <w:pPr>
        <w:pStyle w:val="CommentText"/>
        <w:spacing w:after="0"/>
        <w:rPr>
          <w:rFonts w:ascii="Calibri" w:hAnsi="Calibri" w:cs="Calibri"/>
          <w:sz w:val="18"/>
          <w:szCs w:val="18"/>
        </w:rPr>
      </w:pPr>
      <w:r w:rsidRPr="00C476F8">
        <w:rPr>
          <w:rStyle w:val="FootnoteReference"/>
          <w:rFonts w:ascii="Calibri" w:hAnsi="Calibri" w:cs="Calibri"/>
          <w:sz w:val="18"/>
          <w:szCs w:val="18"/>
        </w:rPr>
        <w:footnoteRef/>
      </w:r>
      <w:r w:rsidRPr="00C476F8">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A9250A" w:rsidRPr="00A9250A">
        <w:rPr>
          <w:rFonts w:ascii="Calibri" w:hAnsi="Calibri" w:cs="Calibri"/>
          <w:i/>
          <w:iCs/>
          <w:sz w:val="18"/>
          <w:szCs w:val="18"/>
        </w:rPr>
        <w:t>The Timing and Quality of Early Experiences Combine to Shape Brain Architecture</w:t>
      </w:r>
      <w:r>
        <w:rPr>
          <w:rFonts w:ascii="Calibri" w:hAnsi="Calibri" w:cs="Calibri"/>
          <w:sz w:val="18"/>
          <w:szCs w:val="18"/>
        </w:rPr>
        <w:t>.</w:t>
      </w:r>
    </w:p>
  </w:footnote>
  <w:footnote w:id="94">
    <w:p w14:paraId="55805770" w14:textId="77777777" w:rsidR="00DE25AB" w:rsidRPr="00551396" w:rsidRDefault="003A6359" w:rsidP="00580627">
      <w:pPr>
        <w:pStyle w:val="smallerpara"/>
        <w:spacing w:before="0"/>
        <w:rPr>
          <w:rStyle w:val="Hyperlink"/>
          <w:rFonts w:cstheme="minorBidi"/>
          <w:b w:val="0"/>
          <w:bCs w:val="0"/>
          <w:i w:val="0"/>
          <w:sz w:val="18"/>
          <w:szCs w:val="18"/>
        </w:rPr>
      </w:pPr>
      <w:r w:rsidRPr="00C476F8">
        <w:rPr>
          <w:b w:val="0"/>
          <w:i w:val="0"/>
          <w:sz w:val="18"/>
          <w:szCs w:val="18"/>
          <w:vertAlign w:val="superscript"/>
        </w:rPr>
        <w:footnoteRef/>
      </w:r>
      <w:r w:rsidRPr="00C476F8">
        <w:rPr>
          <w:b w:val="0"/>
          <w:i w:val="0"/>
          <w:sz w:val="18"/>
          <w:szCs w:val="18"/>
        </w:rPr>
        <w:t xml:space="preserve"> Center on the Developing Child</w:t>
      </w:r>
      <w:r>
        <w:rPr>
          <w:b w:val="0"/>
          <w:i w:val="0"/>
          <w:sz w:val="18"/>
          <w:szCs w:val="18"/>
        </w:rPr>
        <w:t>,</w:t>
      </w:r>
      <w:r w:rsidRPr="00C476F8">
        <w:rPr>
          <w:b w:val="0"/>
          <w:i w:val="0"/>
          <w:sz w:val="18"/>
          <w:szCs w:val="18"/>
        </w:rPr>
        <w:t xml:space="preserve"> </w:t>
      </w:r>
      <w:hyperlink r:id="rId47" w:history="1">
        <w:r w:rsidRPr="00C476F8">
          <w:rPr>
            <w:rStyle w:val="Hyperlink"/>
            <w:rFonts w:ascii="Calibri" w:hAnsi="Calibri"/>
            <w:b w:val="0"/>
            <w:iCs/>
            <w:sz w:val="18"/>
            <w:szCs w:val="18"/>
          </w:rPr>
          <w:t>3 Principles to Improve Outcomes for Children and Families</w:t>
        </w:r>
      </w:hyperlink>
      <w:r>
        <w:rPr>
          <w:b w:val="0"/>
          <w:i w:val="0"/>
          <w:sz w:val="18"/>
          <w:szCs w:val="18"/>
        </w:rPr>
        <w:t>, Harvard University, 2021.</w:t>
      </w:r>
    </w:p>
  </w:footnote>
  <w:footnote w:id="95">
    <w:p w14:paraId="37A7373C" w14:textId="5DEB740B" w:rsidR="00DE25AB" w:rsidRPr="00551396" w:rsidRDefault="003A6359" w:rsidP="000A4333">
      <w:pPr>
        <w:spacing w:after="120" w:line="240" w:lineRule="auto"/>
        <w:rPr>
          <w:rFonts w:ascii="Calibri" w:hAnsi="Calibri" w:cs="Calibri"/>
          <w:sz w:val="18"/>
          <w:szCs w:val="18"/>
        </w:rPr>
      </w:pPr>
      <w:r w:rsidRPr="00551396">
        <w:rPr>
          <w:rFonts w:ascii="Calibri" w:hAnsi="Calibri" w:cs="Calibri"/>
          <w:sz w:val="18"/>
          <w:szCs w:val="18"/>
          <w:vertAlign w:val="superscript"/>
        </w:rPr>
        <w:footnoteRef/>
      </w:r>
      <w:r w:rsidRPr="00551396">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A9250A" w:rsidRPr="00A9250A">
        <w:rPr>
          <w:rFonts w:ascii="Calibri" w:hAnsi="Calibri" w:cs="Calibri"/>
          <w:i/>
          <w:iCs/>
          <w:sz w:val="18"/>
          <w:szCs w:val="18"/>
        </w:rPr>
        <w:t>Early Experiences Can Alter Gene Expression and Affect Long-Term Development</w:t>
      </w:r>
      <w:r>
        <w:rPr>
          <w:rFonts w:ascii="Calibri" w:hAnsi="Calibri" w:cs="Calibri"/>
          <w:sz w:val="18"/>
          <w:szCs w:val="18"/>
        </w:rPr>
        <w:t>.</w:t>
      </w:r>
    </w:p>
  </w:footnote>
  <w:footnote w:id="96">
    <w:p w14:paraId="24FEC095" w14:textId="6CED60AB"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A9250A" w:rsidRPr="00A9250A">
        <w:rPr>
          <w:rFonts w:ascii="Calibri" w:hAnsi="Calibri" w:cs="Calibri"/>
          <w:i/>
          <w:iCs/>
          <w:sz w:val="18"/>
          <w:szCs w:val="18"/>
        </w:rPr>
        <w:t>Young children develop in an environment of relationships</w:t>
      </w:r>
      <w:r>
        <w:rPr>
          <w:rFonts w:ascii="Calibri" w:hAnsi="Calibri" w:cs="Calibri"/>
          <w:sz w:val="18"/>
          <w:szCs w:val="18"/>
        </w:rPr>
        <w:t>.</w:t>
      </w:r>
    </w:p>
  </w:footnote>
  <w:footnote w:id="97">
    <w:p w14:paraId="5C2EC80E"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r w:rsidRPr="00A84189">
        <w:rPr>
          <w:rFonts w:ascii="Calibri" w:hAnsi="Calibri" w:cs="Calibri"/>
          <w:sz w:val="18"/>
          <w:szCs w:val="18"/>
        </w:rPr>
        <w:t>Center on the Developing Child</w:t>
      </w:r>
      <w:r>
        <w:rPr>
          <w:rFonts w:ascii="Calibri" w:hAnsi="Calibri" w:cs="Calibri"/>
          <w:sz w:val="18"/>
          <w:szCs w:val="18"/>
        </w:rPr>
        <w:t>,</w:t>
      </w:r>
      <w:r w:rsidRPr="00A84189">
        <w:rPr>
          <w:rFonts w:ascii="Calibri" w:hAnsi="Calibri" w:cs="Calibri"/>
          <w:sz w:val="18"/>
          <w:szCs w:val="18"/>
        </w:rPr>
        <w:t xml:space="preserve"> </w:t>
      </w:r>
      <w:r w:rsidRPr="00A9250A">
        <w:rPr>
          <w:rFonts w:ascii="Calibri" w:hAnsi="Calibri" w:cs="Calibri"/>
          <w:sz w:val="18"/>
          <w:szCs w:val="18"/>
        </w:rPr>
        <w:t>Resilience</w:t>
      </w:r>
      <w:r w:rsidRPr="00A84189">
        <w:rPr>
          <w:rFonts w:ascii="Calibri" w:hAnsi="Calibri" w:cs="Calibri"/>
          <w:sz w:val="18"/>
          <w:szCs w:val="18"/>
        </w:rPr>
        <w:t>,</w:t>
      </w:r>
      <w:r>
        <w:rPr>
          <w:rFonts w:ascii="Calibri" w:hAnsi="Calibri" w:cs="Calibri"/>
          <w:sz w:val="18"/>
          <w:szCs w:val="18"/>
        </w:rPr>
        <w:t xml:space="preserve"> [web page].</w:t>
      </w:r>
    </w:p>
  </w:footnote>
  <w:footnote w:id="98">
    <w:p w14:paraId="09BD9635" w14:textId="77777777" w:rsidR="00DE25AB" w:rsidRPr="00551396" w:rsidRDefault="003A6359" w:rsidP="00580627">
      <w:pPr>
        <w:pStyle w:val="FootnoteText"/>
        <w:rPr>
          <w:rFonts w:ascii="Calibri" w:hAnsi="Calibri" w:cs="Calibri"/>
          <w:sz w:val="18"/>
          <w:szCs w:val="18"/>
        </w:rPr>
      </w:pPr>
      <w:r w:rsidRPr="00551396">
        <w:rPr>
          <w:rStyle w:val="FootnoteReference"/>
          <w:rFonts w:ascii="Calibri" w:hAnsi="Calibri" w:cs="Calibri"/>
          <w:sz w:val="18"/>
          <w:szCs w:val="18"/>
        </w:rPr>
        <w:footnoteRef/>
      </w:r>
      <w:r w:rsidRPr="00551396">
        <w:rPr>
          <w:rFonts w:ascii="Calibri" w:hAnsi="Calibri" w:cs="Calibri"/>
          <w:sz w:val="18"/>
          <w:szCs w:val="18"/>
        </w:rPr>
        <w:t xml:space="preserve"> </w:t>
      </w:r>
      <w:bookmarkStart w:id="75" w:name="_Hlk161151896"/>
      <w:r>
        <w:rPr>
          <w:rFonts w:ascii="Calibri" w:hAnsi="Calibri" w:cs="Calibri"/>
          <w:sz w:val="18"/>
          <w:szCs w:val="18"/>
        </w:rPr>
        <w:t xml:space="preserve">National Indigenous Australians Agency, </w:t>
      </w:r>
      <w:hyperlink r:id="rId48" w:history="1">
        <w:r w:rsidRPr="00B007DF">
          <w:rPr>
            <w:rStyle w:val="Hyperlink"/>
            <w:rFonts w:ascii="Calibri" w:hAnsi="Calibri" w:cs="Calibri"/>
            <w:i/>
            <w:iCs/>
            <w:sz w:val="18"/>
            <w:szCs w:val="18"/>
          </w:rPr>
          <w:t>National Aboriginal and Torres Strait Islander Early Childhood Strategy</w:t>
        </w:r>
      </w:hyperlink>
      <w:r>
        <w:rPr>
          <w:rFonts w:ascii="Calibri" w:hAnsi="Calibri" w:cs="Calibri"/>
          <w:sz w:val="18"/>
          <w:szCs w:val="18"/>
        </w:rPr>
        <w:t>, NIAA, 2021.</w:t>
      </w:r>
    </w:p>
    <w:bookmarkEnd w:id="75"/>
  </w:footnote>
  <w:footnote w:id="99">
    <w:p w14:paraId="49382FEB" w14:textId="2934F2FA" w:rsidR="00DE25AB" w:rsidRPr="00551396" w:rsidRDefault="003A6359" w:rsidP="00580627">
      <w:pPr>
        <w:pStyle w:val="FootnoteText"/>
      </w:pPr>
      <w:r w:rsidRPr="00CB3DFD">
        <w:rPr>
          <w:rStyle w:val="FootnoteReference"/>
          <w:rFonts w:ascii="Calibri" w:hAnsi="Calibri" w:cs="Calibri"/>
          <w:sz w:val="18"/>
          <w:szCs w:val="18"/>
        </w:rPr>
        <w:footnoteRef/>
      </w:r>
      <w:r w:rsidRPr="00551396">
        <w:t xml:space="preserve"> </w:t>
      </w:r>
      <w:r w:rsidR="00A9250A">
        <w:rPr>
          <w:rFonts w:ascii="Calibri" w:hAnsi="Calibri" w:cs="Calibri"/>
          <w:sz w:val="18"/>
          <w:szCs w:val="18"/>
        </w:rPr>
        <w:t>NIAA</w:t>
      </w:r>
      <w:r>
        <w:rPr>
          <w:rFonts w:ascii="Calibri" w:hAnsi="Calibri" w:cs="Calibri"/>
          <w:sz w:val="18"/>
          <w:szCs w:val="18"/>
        </w:rPr>
        <w:t xml:space="preserve">, </w:t>
      </w:r>
      <w:r w:rsidRPr="00B007DF">
        <w:rPr>
          <w:rFonts w:ascii="Calibri" w:hAnsi="Calibri" w:cs="Calibri"/>
          <w:i/>
          <w:iCs/>
          <w:sz w:val="18"/>
          <w:szCs w:val="18"/>
        </w:rPr>
        <w:t>National Aboriginal and Torres Strait Islander Early Childhood Strategy</w:t>
      </w:r>
      <w:r>
        <w:rPr>
          <w:rFonts w:ascii="Calibri" w:hAnsi="Calibri" w:cs="Calibri"/>
          <w:sz w:val="18"/>
          <w:szCs w:val="18"/>
        </w:rPr>
        <w:t>.</w:t>
      </w:r>
    </w:p>
  </w:footnote>
  <w:footnote w:id="100">
    <w:p w14:paraId="0B931AD9" w14:textId="079FC1BB" w:rsidR="00DE25AB" w:rsidRPr="00D76D5C" w:rsidRDefault="003A6359" w:rsidP="00580627">
      <w:pPr>
        <w:pStyle w:val="FootnoteText"/>
        <w:spacing w:after="120"/>
        <w:rPr>
          <w:rFonts w:ascii="Calibri" w:hAnsi="Calibri" w:cs="Calibri"/>
          <w:sz w:val="18"/>
          <w:szCs w:val="18"/>
        </w:rPr>
      </w:pPr>
      <w:r w:rsidRPr="00D76D5C">
        <w:rPr>
          <w:rStyle w:val="FootnoteReference"/>
          <w:rFonts w:ascii="Calibri" w:hAnsi="Calibri" w:cs="Calibri"/>
          <w:sz w:val="18"/>
          <w:szCs w:val="18"/>
        </w:rPr>
        <w:footnoteRef/>
      </w:r>
      <w:r w:rsidRPr="00D76D5C">
        <w:rPr>
          <w:rFonts w:ascii="Calibri" w:hAnsi="Calibri" w:cs="Calibri"/>
          <w:sz w:val="18"/>
          <w:szCs w:val="18"/>
        </w:rPr>
        <w:t xml:space="preserve"> </w:t>
      </w:r>
      <w:bookmarkStart w:id="77" w:name="_Hlk161151916"/>
      <w:r>
        <w:rPr>
          <w:rFonts w:ascii="Calibri" w:hAnsi="Calibri" w:cs="Calibri"/>
          <w:sz w:val="18"/>
          <w:szCs w:val="18"/>
        </w:rPr>
        <w:t xml:space="preserve">Raising Children Network, </w:t>
      </w:r>
      <w:hyperlink r:id="rId49" w:history="1">
        <w:r w:rsidRPr="00A9250A">
          <w:rPr>
            <w:rStyle w:val="Hyperlink"/>
            <w:rFonts w:ascii="Calibri" w:hAnsi="Calibri" w:cs="Calibri"/>
            <w:sz w:val="18"/>
            <w:szCs w:val="18"/>
          </w:rPr>
          <w:t>Relationships and child development</w:t>
        </w:r>
      </w:hyperlink>
      <w:r w:rsidR="00A9250A">
        <w:rPr>
          <w:rFonts w:ascii="Calibri" w:hAnsi="Calibri" w:cs="Calibri"/>
          <w:sz w:val="18"/>
          <w:szCs w:val="18"/>
        </w:rPr>
        <w:t xml:space="preserve">, </w:t>
      </w:r>
      <w:r>
        <w:rPr>
          <w:rFonts w:ascii="Calibri" w:hAnsi="Calibri" w:cs="Calibri"/>
          <w:sz w:val="18"/>
          <w:szCs w:val="18"/>
        </w:rPr>
        <w:t>[web page],</w:t>
      </w:r>
      <w:r w:rsidRPr="00D76D5C">
        <w:rPr>
          <w:rFonts w:ascii="Calibri" w:hAnsi="Calibri" w:cs="Calibri"/>
          <w:sz w:val="18"/>
          <w:szCs w:val="18"/>
        </w:rPr>
        <w:t xml:space="preserve"> 2023</w:t>
      </w:r>
      <w:bookmarkEnd w:id="77"/>
      <w:r>
        <w:rPr>
          <w:rFonts w:ascii="Calibri" w:hAnsi="Calibri" w:cs="Calibri"/>
          <w:sz w:val="18"/>
          <w:szCs w:val="18"/>
        </w:rPr>
        <w:t>.</w:t>
      </w:r>
    </w:p>
  </w:footnote>
  <w:footnote w:id="101">
    <w:p w14:paraId="2579AD75" w14:textId="0AC0A6D6" w:rsidR="00DE25AB" w:rsidRPr="00D76D5C" w:rsidRDefault="003A6359" w:rsidP="00580627">
      <w:pPr>
        <w:spacing w:after="0" w:line="240" w:lineRule="auto"/>
        <w:rPr>
          <w:rFonts w:ascii="Calibri" w:hAnsi="Calibri" w:cs="Calibri"/>
          <w:sz w:val="18"/>
          <w:szCs w:val="18"/>
        </w:rPr>
      </w:pPr>
      <w:r w:rsidRPr="00D76D5C">
        <w:rPr>
          <w:rFonts w:ascii="Calibri" w:hAnsi="Calibri" w:cs="Calibri"/>
          <w:sz w:val="18"/>
          <w:szCs w:val="18"/>
          <w:vertAlign w:val="superscript"/>
        </w:rPr>
        <w:footnoteRef/>
      </w:r>
      <w:r w:rsidRPr="00D76D5C">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9C7BED" w:rsidRPr="009C7BED">
        <w:rPr>
          <w:rFonts w:ascii="Calibri" w:hAnsi="Calibri" w:cs="Calibri"/>
          <w:i/>
          <w:iCs/>
          <w:sz w:val="18"/>
          <w:szCs w:val="18"/>
        </w:rPr>
        <w:t>Young people develop in an environment of relationships</w:t>
      </w:r>
      <w:r>
        <w:rPr>
          <w:rFonts w:ascii="Calibri" w:hAnsi="Calibri" w:cs="Calibri"/>
          <w:sz w:val="18"/>
          <w:szCs w:val="18"/>
        </w:rPr>
        <w:t>.</w:t>
      </w:r>
    </w:p>
  </w:footnote>
  <w:footnote w:id="102">
    <w:p w14:paraId="480024F0" w14:textId="77777777" w:rsidR="00DE25AB" w:rsidRPr="00D76D5C" w:rsidRDefault="003A6359" w:rsidP="00580627">
      <w:pPr>
        <w:pStyle w:val="FootnoteText"/>
        <w:rPr>
          <w:rFonts w:ascii="Calibri" w:hAnsi="Calibri" w:cs="Calibri"/>
          <w:sz w:val="18"/>
          <w:szCs w:val="18"/>
        </w:rPr>
      </w:pPr>
      <w:r w:rsidRPr="00D76D5C">
        <w:rPr>
          <w:rStyle w:val="FootnoteReference"/>
          <w:rFonts w:ascii="Calibri" w:hAnsi="Calibri" w:cs="Calibri"/>
          <w:sz w:val="18"/>
          <w:szCs w:val="18"/>
        </w:rPr>
        <w:footnoteRef/>
      </w:r>
      <w:r w:rsidRPr="00D76D5C">
        <w:rPr>
          <w:rFonts w:ascii="Calibri" w:hAnsi="Calibri" w:cs="Calibri"/>
          <w:sz w:val="18"/>
          <w:szCs w:val="18"/>
        </w:rPr>
        <w:t xml:space="preserve"> </w:t>
      </w:r>
      <w:bookmarkStart w:id="78" w:name="_Hlk161152299"/>
      <w:r w:rsidRPr="00D76D5C">
        <w:rPr>
          <w:rFonts w:ascii="Calibri" w:hAnsi="Calibri" w:cs="Calibri"/>
          <w:sz w:val="18"/>
          <w:szCs w:val="18"/>
        </w:rPr>
        <w:t>JM Zosh et al.</w:t>
      </w:r>
      <w:r>
        <w:rPr>
          <w:rFonts w:ascii="Calibri" w:hAnsi="Calibri" w:cs="Calibri"/>
          <w:sz w:val="18"/>
          <w:szCs w:val="18"/>
        </w:rPr>
        <w:t>,</w:t>
      </w:r>
      <w:r w:rsidRPr="00D76D5C">
        <w:rPr>
          <w:rFonts w:ascii="Calibri" w:hAnsi="Calibri" w:cs="Calibri"/>
          <w:sz w:val="18"/>
          <w:szCs w:val="18"/>
        </w:rPr>
        <w:t xml:space="preserve"> </w:t>
      </w:r>
      <w:hyperlink r:id="rId50" w:history="1">
        <w:r w:rsidRPr="00D76D5C">
          <w:rPr>
            <w:rStyle w:val="Hyperlink"/>
            <w:rFonts w:ascii="Calibri" w:hAnsi="Calibri" w:cs="Calibri"/>
            <w:i/>
            <w:iCs/>
            <w:sz w:val="18"/>
            <w:szCs w:val="18"/>
          </w:rPr>
          <w:t>Learning through play: a review of the evidence (white paper)</w:t>
        </w:r>
        <w:r w:rsidRPr="00D76D5C">
          <w:rPr>
            <w:rStyle w:val="Hyperlink"/>
            <w:rFonts w:ascii="Calibri" w:hAnsi="Calibri" w:cs="Calibri"/>
            <w:sz w:val="18"/>
            <w:szCs w:val="18"/>
          </w:rPr>
          <w:t>,</w:t>
        </w:r>
      </w:hyperlink>
      <w:r w:rsidRPr="00D76D5C">
        <w:rPr>
          <w:rFonts w:ascii="Calibri" w:hAnsi="Calibri" w:cs="Calibri"/>
          <w:sz w:val="18"/>
          <w:szCs w:val="18"/>
        </w:rPr>
        <w:t xml:space="preserve"> The LEGO Foundation, DK, page 16</w:t>
      </w:r>
      <w:r>
        <w:rPr>
          <w:rFonts w:ascii="Calibri" w:hAnsi="Calibri" w:cs="Calibri"/>
          <w:sz w:val="18"/>
          <w:szCs w:val="18"/>
        </w:rPr>
        <w:t>, 2017.</w:t>
      </w:r>
      <w:bookmarkEnd w:id="78"/>
    </w:p>
  </w:footnote>
  <w:footnote w:id="103">
    <w:p w14:paraId="4895F74F" w14:textId="68439C6F" w:rsidR="00DE25AB" w:rsidRPr="00D76D5C" w:rsidRDefault="003A6359" w:rsidP="00580627">
      <w:pPr>
        <w:pStyle w:val="FootnoteText"/>
        <w:rPr>
          <w:rFonts w:ascii="Calibri" w:hAnsi="Calibri" w:cs="Calibri"/>
          <w:sz w:val="18"/>
          <w:szCs w:val="18"/>
        </w:rPr>
      </w:pPr>
      <w:r w:rsidRPr="00D76D5C">
        <w:rPr>
          <w:rStyle w:val="FootnoteReference"/>
          <w:rFonts w:ascii="Calibri" w:hAnsi="Calibri" w:cs="Calibri"/>
          <w:sz w:val="18"/>
          <w:szCs w:val="18"/>
        </w:rPr>
        <w:footnoteRef/>
      </w:r>
      <w:r w:rsidRPr="00D76D5C">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9C7BED" w:rsidRPr="009C7BED">
        <w:rPr>
          <w:rFonts w:ascii="Calibri" w:hAnsi="Calibri" w:cs="Calibri"/>
          <w:i/>
          <w:iCs/>
          <w:sz w:val="18"/>
          <w:szCs w:val="18"/>
        </w:rPr>
        <w:t>Young people develop in an environment of relationships</w:t>
      </w:r>
      <w:r>
        <w:rPr>
          <w:rFonts w:ascii="Calibri" w:hAnsi="Calibri" w:cs="Calibri"/>
          <w:sz w:val="18"/>
          <w:szCs w:val="18"/>
        </w:rPr>
        <w:t>.</w:t>
      </w:r>
    </w:p>
  </w:footnote>
  <w:footnote w:id="104">
    <w:p w14:paraId="3C3D6FA9" w14:textId="021931EC" w:rsidR="00DE25AB" w:rsidRPr="00D76D5C" w:rsidRDefault="003A6359" w:rsidP="00580627">
      <w:pPr>
        <w:pStyle w:val="FootnoteText"/>
        <w:rPr>
          <w:rFonts w:ascii="Calibri" w:hAnsi="Calibri" w:cs="Calibri"/>
          <w:sz w:val="18"/>
          <w:szCs w:val="18"/>
        </w:rPr>
      </w:pPr>
      <w:r w:rsidRPr="00D76D5C">
        <w:rPr>
          <w:rStyle w:val="FootnoteReference"/>
          <w:rFonts w:ascii="Calibri" w:hAnsi="Calibri" w:cs="Calibri"/>
          <w:sz w:val="18"/>
          <w:szCs w:val="18"/>
        </w:rPr>
        <w:footnoteRef/>
      </w:r>
      <w:r w:rsidRPr="00D76D5C">
        <w:rPr>
          <w:rFonts w:ascii="Calibri" w:hAnsi="Calibri" w:cs="Calibri"/>
          <w:sz w:val="18"/>
          <w:szCs w:val="18"/>
        </w:rPr>
        <w:t xml:space="preserve"> </w:t>
      </w:r>
      <w:r w:rsidRPr="00481217">
        <w:rPr>
          <w:rFonts w:ascii="Calibri" w:hAnsi="Calibri" w:cs="Calibri"/>
          <w:sz w:val="18"/>
          <w:szCs w:val="18"/>
        </w:rPr>
        <w:t>National Scientific Council on the Developing Child</w:t>
      </w:r>
      <w:r>
        <w:rPr>
          <w:rFonts w:ascii="Calibri" w:hAnsi="Calibri" w:cs="Calibri"/>
          <w:sz w:val="18"/>
          <w:szCs w:val="18"/>
        </w:rPr>
        <w:t xml:space="preserve">, </w:t>
      </w:r>
      <w:r w:rsidR="009C7BED" w:rsidRPr="009C7BED">
        <w:rPr>
          <w:rFonts w:ascii="Calibri" w:hAnsi="Calibri" w:cs="Calibri"/>
          <w:i/>
          <w:iCs/>
          <w:sz w:val="18"/>
          <w:szCs w:val="18"/>
        </w:rPr>
        <w:t>Young people develop in an environment of relationships</w:t>
      </w:r>
      <w:r>
        <w:rPr>
          <w:rFonts w:ascii="Calibri" w:hAnsi="Calibri" w:cs="Calibri"/>
          <w:sz w:val="18"/>
          <w:szCs w:val="18"/>
        </w:rPr>
        <w:t>.</w:t>
      </w:r>
    </w:p>
  </w:footnote>
  <w:footnote w:id="105">
    <w:p w14:paraId="1BF177B2" w14:textId="77777777" w:rsidR="00DE25AB" w:rsidRPr="00551396" w:rsidRDefault="003A6359" w:rsidP="00580627">
      <w:pPr>
        <w:pStyle w:val="FootnoteText"/>
        <w:rPr>
          <w:rFonts w:ascii="Calibri" w:hAnsi="Calibri" w:cs="Calibri"/>
          <w:sz w:val="18"/>
          <w:szCs w:val="18"/>
        </w:rPr>
      </w:pPr>
      <w:r w:rsidRPr="00D76D5C">
        <w:rPr>
          <w:rStyle w:val="FootnoteReference"/>
          <w:rFonts w:ascii="Calibri" w:hAnsi="Calibri" w:cs="Calibri"/>
          <w:sz w:val="18"/>
          <w:szCs w:val="18"/>
        </w:rPr>
        <w:footnoteRef/>
      </w:r>
      <w:r w:rsidRPr="00D76D5C">
        <w:rPr>
          <w:rFonts w:ascii="Calibri" w:hAnsi="Calibri" w:cs="Calibri"/>
          <w:sz w:val="18"/>
          <w:szCs w:val="18"/>
        </w:rPr>
        <w:t xml:space="preserve"> </w:t>
      </w:r>
      <w:bookmarkStart w:id="79" w:name="_Hlk161152418"/>
      <w:r>
        <w:rPr>
          <w:rFonts w:ascii="Calibri" w:hAnsi="Calibri" w:cs="Calibri"/>
          <w:sz w:val="18"/>
          <w:szCs w:val="18"/>
        </w:rPr>
        <w:t xml:space="preserve">The Fathering Project, </w:t>
      </w:r>
      <w:hyperlink r:id="rId51" w:history="1">
        <w:r w:rsidRPr="00D76D5C">
          <w:rPr>
            <w:rStyle w:val="Hyperlink"/>
            <w:rFonts w:ascii="Calibri" w:hAnsi="Calibri" w:cs="Calibri"/>
            <w:i/>
            <w:iCs/>
            <w:sz w:val="18"/>
            <w:szCs w:val="18"/>
          </w:rPr>
          <w:t>Submission to the Early Years Strategy discussion paper by the Fathering Project</w:t>
        </w:r>
      </w:hyperlink>
      <w:r>
        <w:rPr>
          <w:rFonts w:ascii="Calibri" w:hAnsi="Calibri" w:cs="Calibri"/>
          <w:sz w:val="18"/>
          <w:szCs w:val="18"/>
        </w:rPr>
        <w:t xml:space="preserve">, </w:t>
      </w:r>
      <w:r w:rsidRPr="00D76D5C">
        <w:rPr>
          <w:rFonts w:ascii="Calibri" w:hAnsi="Calibri" w:cs="Calibri"/>
          <w:sz w:val="18"/>
          <w:szCs w:val="18"/>
        </w:rPr>
        <w:t>2023</w:t>
      </w:r>
      <w:r>
        <w:rPr>
          <w:rFonts w:ascii="Calibri" w:hAnsi="Calibri" w:cs="Calibri"/>
          <w:sz w:val="18"/>
          <w:szCs w:val="18"/>
        </w:rPr>
        <w:t>.</w:t>
      </w:r>
    </w:p>
    <w:bookmarkEnd w:id="79"/>
  </w:footnote>
  <w:footnote w:id="106">
    <w:p w14:paraId="19899E37" w14:textId="3DD35EB7" w:rsidR="00DE25AB" w:rsidRPr="00551396" w:rsidRDefault="003A6359" w:rsidP="00580627">
      <w:pPr>
        <w:spacing w:after="0" w:line="240" w:lineRule="auto"/>
        <w:rPr>
          <w:rFonts w:ascii="Calibri" w:hAnsi="Calibri" w:cs="Calibri"/>
          <w:sz w:val="18"/>
          <w:szCs w:val="18"/>
        </w:rPr>
      </w:pPr>
      <w:r w:rsidRPr="00551396">
        <w:rPr>
          <w:rFonts w:ascii="Calibri" w:hAnsi="Calibri" w:cs="Calibri"/>
          <w:sz w:val="18"/>
          <w:szCs w:val="18"/>
          <w:vertAlign w:val="superscript"/>
        </w:rPr>
        <w:footnoteRef/>
      </w:r>
      <w:r w:rsidRPr="00551396">
        <w:rPr>
          <w:rFonts w:ascii="Calibri" w:hAnsi="Calibri" w:cs="Calibri"/>
          <w:sz w:val="18"/>
          <w:szCs w:val="18"/>
        </w:rPr>
        <w:t xml:space="preserve"> </w:t>
      </w:r>
      <w:r w:rsidRPr="00C476F8">
        <w:rPr>
          <w:rFonts w:ascii="Calibri" w:hAnsi="Calibri" w:cs="Calibri"/>
          <w:sz w:val="18"/>
          <w:szCs w:val="18"/>
        </w:rPr>
        <w:t>National Scientific Council on the Developing Child</w:t>
      </w:r>
      <w:r>
        <w:rPr>
          <w:rFonts w:ascii="Calibri" w:hAnsi="Calibri" w:cs="Calibri"/>
          <w:sz w:val="18"/>
          <w:szCs w:val="18"/>
        </w:rPr>
        <w:t xml:space="preserve">, </w:t>
      </w:r>
      <w:r w:rsidR="009C7BED" w:rsidRPr="00966420">
        <w:rPr>
          <w:rFonts w:ascii="Calibri" w:hAnsi="Calibri" w:cs="Calibri"/>
          <w:i/>
          <w:iCs/>
          <w:sz w:val="18"/>
          <w:szCs w:val="18"/>
        </w:rPr>
        <w:t>Place Matters: The Environment We Create Shapes the Foundations of Healthy Development</w:t>
      </w:r>
      <w:r>
        <w:rPr>
          <w:rFonts w:ascii="Calibri" w:hAnsi="Calibri" w:cs="Calibri"/>
          <w:sz w:val="18"/>
          <w:szCs w:val="18"/>
        </w:rPr>
        <w:t>.</w:t>
      </w:r>
    </w:p>
  </w:footnote>
  <w:footnote w:id="107">
    <w:p w14:paraId="4F876072" w14:textId="620AD0D5" w:rsidR="00DE25AB" w:rsidRPr="00B11189" w:rsidRDefault="003A6359">
      <w:pPr>
        <w:pStyle w:val="FootnoteText"/>
        <w:rPr>
          <w:rFonts w:ascii="Calibri" w:hAnsi="Calibri" w:cs="Calibri"/>
          <w:sz w:val="18"/>
          <w:szCs w:val="18"/>
        </w:rPr>
      </w:pPr>
      <w:r w:rsidRPr="00B11189">
        <w:rPr>
          <w:rStyle w:val="FootnoteReference"/>
          <w:rFonts w:ascii="Calibri" w:hAnsi="Calibri" w:cs="Calibri"/>
          <w:sz w:val="18"/>
          <w:szCs w:val="18"/>
        </w:rPr>
        <w:footnoteRef/>
      </w:r>
      <w:r w:rsidRPr="00B11189">
        <w:rPr>
          <w:rFonts w:ascii="Calibri" w:hAnsi="Calibri" w:cs="Calibri"/>
          <w:sz w:val="18"/>
          <w:szCs w:val="18"/>
        </w:rPr>
        <w:t xml:space="preserve"> National Scientific Council on the Developing Child, </w:t>
      </w:r>
      <w:r w:rsidR="009C7BED" w:rsidRPr="00966420">
        <w:rPr>
          <w:rFonts w:ascii="Calibri" w:hAnsi="Calibri" w:cs="Calibri"/>
          <w:i/>
          <w:iCs/>
          <w:sz w:val="18"/>
          <w:szCs w:val="18"/>
        </w:rPr>
        <w:t>Place Matters: The Environment We Create Shapes the Foundations of Healthy Development</w:t>
      </w:r>
      <w:r w:rsidRPr="00B11189">
        <w:rPr>
          <w:rFonts w:ascii="Calibri" w:hAnsi="Calibri" w:cs="Calibri"/>
          <w:sz w:val="18"/>
          <w:szCs w:val="18"/>
        </w:rPr>
        <w:t>.</w:t>
      </w:r>
    </w:p>
  </w:footnote>
  <w:footnote w:id="108">
    <w:p w14:paraId="178BE5A9" w14:textId="678C97C1" w:rsidR="00DE25AB" w:rsidRPr="00B11189" w:rsidRDefault="003A6359" w:rsidP="00580627">
      <w:pPr>
        <w:pStyle w:val="FootnoteText"/>
        <w:spacing w:before="120"/>
        <w:rPr>
          <w:rFonts w:ascii="Calibri" w:hAnsi="Calibri" w:cs="Calibri"/>
          <w:sz w:val="18"/>
          <w:szCs w:val="18"/>
        </w:rPr>
      </w:pPr>
      <w:r w:rsidRPr="00B11189">
        <w:rPr>
          <w:rStyle w:val="FootnoteReference"/>
          <w:rFonts w:ascii="Calibri" w:hAnsi="Calibri" w:cs="Calibri"/>
          <w:sz w:val="18"/>
          <w:szCs w:val="18"/>
        </w:rPr>
        <w:footnoteRef/>
      </w:r>
      <w:r w:rsidRPr="00B11189">
        <w:rPr>
          <w:rFonts w:ascii="Calibri" w:hAnsi="Calibri" w:cs="Calibri"/>
          <w:sz w:val="18"/>
          <w:szCs w:val="18"/>
        </w:rPr>
        <w:t xml:space="preserve"> A</w:t>
      </w:r>
      <w:r w:rsidR="00E86370">
        <w:rPr>
          <w:rFonts w:ascii="Calibri" w:hAnsi="Calibri" w:cs="Calibri"/>
          <w:sz w:val="18"/>
          <w:szCs w:val="18"/>
        </w:rPr>
        <w:t>IHW</w:t>
      </w:r>
      <w:r>
        <w:rPr>
          <w:rFonts w:ascii="Calibri" w:hAnsi="Calibri" w:cs="Calibri"/>
          <w:sz w:val="18"/>
          <w:szCs w:val="18"/>
        </w:rPr>
        <w:t>,</w:t>
      </w:r>
      <w:r w:rsidRPr="00B11189">
        <w:rPr>
          <w:rFonts w:ascii="Calibri" w:hAnsi="Calibri" w:cs="Calibri"/>
          <w:sz w:val="18"/>
          <w:szCs w:val="18"/>
        </w:rPr>
        <w:t xml:space="preserve"> </w:t>
      </w:r>
      <w:hyperlink r:id="rId52" w:history="1">
        <w:r w:rsidRPr="002D6A0E">
          <w:rPr>
            <w:rStyle w:val="Hyperlink"/>
            <w:rFonts w:ascii="Calibri" w:hAnsi="Calibri" w:cs="Calibri"/>
            <w:i/>
            <w:iCs/>
            <w:sz w:val="18"/>
            <w:szCs w:val="18"/>
          </w:rPr>
          <w:t>Australia’s mothers and babies</w:t>
        </w:r>
      </w:hyperlink>
      <w:r w:rsidRPr="00B11189">
        <w:rPr>
          <w:rFonts w:ascii="Calibri" w:hAnsi="Calibri" w:cs="Calibri"/>
          <w:sz w:val="18"/>
          <w:szCs w:val="18"/>
        </w:rPr>
        <w:t xml:space="preserve"> [media release], AIHW, 29 June 2023</w:t>
      </w:r>
      <w:r>
        <w:rPr>
          <w:rFonts w:ascii="Calibri" w:hAnsi="Calibri" w:cs="Calibri"/>
          <w:sz w:val="18"/>
          <w:szCs w:val="18"/>
        </w:rPr>
        <w:t xml:space="preserve">, </w:t>
      </w:r>
      <w:r w:rsidRPr="00B11189">
        <w:rPr>
          <w:rFonts w:ascii="Calibri" w:hAnsi="Calibri" w:cs="Calibri"/>
          <w:sz w:val="18"/>
          <w:szCs w:val="18"/>
        </w:rPr>
        <w:t>accessed 24 October 2023</w:t>
      </w:r>
      <w:r>
        <w:rPr>
          <w:rFonts w:ascii="Calibri" w:hAnsi="Calibri" w:cs="Calibri"/>
          <w:sz w:val="18"/>
          <w:szCs w:val="18"/>
        </w:rPr>
        <w:t>.</w:t>
      </w:r>
    </w:p>
  </w:footnote>
  <w:footnote w:id="109">
    <w:p w14:paraId="6CF63B9D" w14:textId="77777777" w:rsidR="00DE25AB" w:rsidRPr="00B11189" w:rsidRDefault="003A6359" w:rsidP="00580627">
      <w:pPr>
        <w:pStyle w:val="FootnoteText"/>
        <w:rPr>
          <w:rFonts w:ascii="Calibri" w:hAnsi="Calibri" w:cs="Calibri"/>
          <w:sz w:val="18"/>
          <w:szCs w:val="18"/>
        </w:rPr>
      </w:pPr>
      <w:r w:rsidRPr="00B11189">
        <w:rPr>
          <w:rStyle w:val="FootnoteReference"/>
          <w:rFonts w:ascii="Calibri" w:hAnsi="Calibri" w:cs="Calibri"/>
          <w:sz w:val="18"/>
          <w:szCs w:val="18"/>
        </w:rPr>
        <w:footnoteRef/>
      </w:r>
      <w:r w:rsidRPr="00B11189">
        <w:rPr>
          <w:rFonts w:ascii="Calibri" w:hAnsi="Calibri" w:cs="Calibri"/>
          <w:sz w:val="18"/>
          <w:szCs w:val="18"/>
        </w:rPr>
        <w:t xml:space="preserve"> Dr R Hutchinson </w:t>
      </w:r>
      <w:r>
        <w:rPr>
          <w:rFonts w:ascii="Calibri" w:hAnsi="Calibri" w:cs="Calibri"/>
          <w:sz w:val="18"/>
          <w:szCs w:val="18"/>
        </w:rPr>
        <w:t>and</w:t>
      </w:r>
      <w:r w:rsidRPr="00B11189">
        <w:rPr>
          <w:rFonts w:ascii="Calibri" w:hAnsi="Calibri" w:cs="Calibri"/>
          <w:sz w:val="18"/>
          <w:szCs w:val="18"/>
        </w:rPr>
        <w:t xml:space="preserve"> J Vo-Phuoc</w:t>
      </w:r>
      <w:r>
        <w:rPr>
          <w:rFonts w:ascii="Calibri" w:hAnsi="Calibri" w:cs="Calibri"/>
          <w:sz w:val="18"/>
          <w:szCs w:val="18"/>
        </w:rPr>
        <w:t>,</w:t>
      </w:r>
      <w:r w:rsidRPr="00B11189">
        <w:rPr>
          <w:rFonts w:ascii="Calibri" w:hAnsi="Calibri" w:cs="Calibri"/>
          <w:sz w:val="18"/>
          <w:szCs w:val="18"/>
        </w:rPr>
        <w:t xml:space="preserve"> </w:t>
      </w:r>
      <w:hyperlink r:id="rId53" w:history="1">
        <w:r w:rsidRPr="002D6A0E">
          <w:rPr>
            <w:rStyle w:val="Hyperlink"/>
            <w:rFonts w:ascii="Calibri" w:hAnsi="Calibri" w:cs="Calibri"/>
            <w:i/>
            <w:iCs/>
            <w:sz w:val="18"/>
            <w:szCs w:val="18"/>
          </w:rPr>
          <w:t>It’s not as simple as ‘nature or nurture’: the impact of socioeconomic influences on children</w:t>
        </w:r>
      </w:hyperlink>
      <w:r w:rsidRPr="00B11189">
        <w:rPr>
          <w:rFonts w:ascii="Calibri" w:hAnsi="Calibri" w:cs="Calibri"/>
          <w:sz w:val="18"/>
          <w:szCs w:val="18"/>
        </w:rPr>
        <w:t>, PWC Australia,</w:t>
      </w:r>
      <w:r>
        <w:rPr>
          <w:rFonts w:ascii="Calibri" w:hAnsi="Calibri" w:cs="Calibri"/>
          <w:sz w:val="18"/>
          <w:szCs w:val="18"/>
        </w:rPr>
        <w:t xml:space="preserve"> n.d.,</w:t>
      </w:r>
      <w:r w:rsidRPr="00B11189">
        <w:rPr>
          <w:rFonts w:ascii="Calibri" w:hAnsi="Calibri" w:cs="Calibri"/>
          <w:sz w:val="18"/>
          <w:szCs w:val="18"/>
        </w:rPr>
        <w:t xml:space="preserve"> accessed 24 October 2023</w:t>
      </w:r>
      <w:r>
        <w:rPr>
          <w:rFonts w:ascii="Calibri" w:hAnsi="Calibri" w:cs="Calibri"/>
          <w:sz w:val="18"/>
          <w:szCs w:val="18"/>
        </w:rPr>
        <w:t>.</w:t>
      </w:r>
    </w:p>
  </w:footnote>
  <w:footnote w:id="110">
    <w:p w14:paraId="3D59F138" w14:textId="77777777" w:rsidR="00DE25AB" w:rsidRPr="00551396" w:rsidRDefault="003A6359" w:rsidP="00580627">
      <w:pPr>
        <w:pStyle w:val="FootnoteText"/>
        <w:rPr>
          <w:rStyle w:val="Hyperlink"/>
          <w:rFonts w:ascii="Calibri" w:hAnsi="Calibri" w:cs="Calibri"/>
          <w:sz w:val="18"/>
          <w:szCs w:val="18"/>
        </w:rPr>
      </w:pPr>
      <w:r w:rsidRPr="00901C95">
        <w:rPr>
          <w:rStyle w:val="FootnoteReference"/>
          <w:rFonts w:ascii="Calibri" w:hAnsi="Calibri" w:cs="Calibri"/>
          <w:sz w:val="18"/>
          <w:szCs w:val="18"/>
        </w:rPr>
        <w:footnoteRef/>
      </w:r>
      <w:r w:rsidRPr="00901C95">
        <w:rPr>
          <w:rFonts w:ascii="Calibri" w:hAnsi="Calibri" w:cs="Calibri"/>
          <w:sz w:val="18"/>
          <w:szCs w:val="18"/>
        </w:rPr>
        <w:t xml:space="preserve"> Center on the Developing Child, </w:t>
      </w:r>
      <w:hyperlink r:id="rId54" w:history="1">
        <w:r w:rsidRPr="00840DF7">
          <w:rPr>
            <w:rStyle w:val="Hyperlink"/>
            <w:rFonts w:ascii="Calibri" w:hAnsi="Calibri" w:cs="Calibri"/>
            <w:i/>
            <w:iCs/>
            <w:sz w:val="18"/>
            <w:szCs w:val="18"/>
          </w:rPr>
          <w:t>What is Early Childhood Development? A Guide to the Science (ECD 1.0)</w:t>
        </w:r>
      </w:hyperlink>
      <w:r w:rsidRPr="00840DF7">
        <w:rPr>
          <w:rFonts w:ascii="Calibri" w:hAnsi="Calibri" w:cs="Calibri"/>
          <w:sz w:val="18"/>
          <w:szCs w:val="18"/>
        </w:rPr>
        <w:t>, Harvard University</w:t>
      </w:r>
      <w:r>
        <w:rPr>
          <w:rFonts w:ascii="Calibri" w:hAnsi="Calibri" w:cs="Calibri"/>
          <w:sz w:val="18"/>
          <w:szCs w:val="18"/>
        </w:rPr>
        <w:t>, n.d.</w:t>
      </w:r>
    </w:p>
  </w:footnote>
  <w:footnote w:id="111">
    <w:p w14:paraId="3E87BC7F" w14:textId="77777777" w:rsidR="00DE25AB" w:rsidRPr="004963E3" w:rsidRDefault="003A6359" w:rsidP="00580627">
      <w:pPr>
        <w:pStyle w:val="FootnoteText"/>
        <w:rPr>
          <w:rFonts w:ascii="Calibri" w:hAnsi="Calibri" w:cs="Calibri"/>
          <w:sz w:val="18"/>
          <w:szCs w:val="18"/>
        </w:rPr>
      </w:pPr>
      <w:r w:rsidRPr="004963E3">
        <w:rPr>
          <w:rStyle w:val="FootnoteReference"/>
          <w:rFonts w:ascii="Calibri" w:hAnsi="Calibri" w:cs="Calibri"/>
          <w:sz w:val="18"/>
          <w:szCs w:val="18"/>
        </w:rPr>
        <w:footnoteRef/>
      </w:r>
      <w:r w:rsidRPr="004963E3">
        <w:rPr>
          <w:rFonts w:ascii="Calibri" w:hAnsi="Calibri" w:cs="Calibri"/>
          <w:sz w:val="18"/>
          <w:szCs w:val="18"/>
        </w:rPr>
        <w:t xml:space="preserve"> K </w:t>
      </w:r>
      <w:r w:rsidRPr="004963E3">
        <w:rPr>
          <w:rFonts w:ascii="Calibri" w:eastAsiaTheme="majorEastAsia" w:hAnsi="Calibri" w:cs="Calibri"/>
          <w:sz w:val="18"/>
          <w:szCs w:val="18"/>
        </w:rPr>
        <w:t>Sylva, E Melhuish, P Sammons, I Siraj-Blatchford and B Taggart</w:t>
      </w:r>
      <w:r>
        <w:rPr>
          <w:rFonts w:ascii="Calibri" w:eastAsiaTheme="majorEastAsia" w:hAnsi="Calibri" w:cs="Calibri"/>
          <w:sz w:val="18"/>
          <w:szCs w:val="18"/>
        </w:rPr>
        <w:t>,</w:t>
      </w:r>
      <w:r w:rsidRPr="004963E3">
        <w:rPr>
          <w:rFonts w:ascii="Calibri" w:hAnsi="Calibri" w:cs="Calibri"/>
          <w:sz w:val="18"/>
          <w:szCs w:val="18"/>
        </w:rPr>
        <w:t xml:space="preserve"> </w:t>
      </w:r>
      <w:r>
        <w:rPr>
          <w:rFonts w:ascii="Calibri" w:hAnsi="Calibri" w:cs="Calibri"/>
          <w:sz w:val="18"/>
          <w:szCs w:val="18"/>
        </w:rPr>
        <w:t>‘</w:t>
      </w:r>
      <w:hyperlink r:id="rId55" w:history="1">
        <w:r w:rsidRPr="004963E3">
          <w:rPr>
            <w:rStyle w:val="Hyperlink"/>
            <w:rFonts w:ascii="Calibri" w:hAnsi="Calibri" w:cs="Calibri"/>
            <w:sz w:val="18"/>
            <w:szCs w:val="18"/>
          </w:rPr>
          <w:t>The Effective Provision of Pre-School Education (EPPE) Project: Findings from Pre-school to end of Key Stage 1</w:t>
        </w:r>
      </w:hyperlink>
      <w:r>
        <w:rPr>
          <w:rStyle w:val="Hyperlink"/>
          <w:rFonts w:ascii="Calibri" w:hAnsi="Calibri" w:cs="Calibri"/>
          <w:sz w:val="18"/>
          <w:szCs w:val="18"/>
        </w:rPr>
        <w:t>’</w:t>
      </w:r>
      <w:r w:rsidRPr="004963E3">
        <w:rPr>
          <w:rFonts w:ascii="Calibri" w:hAnsi="Calibri" w:cs="Calibri"/>
          <w:sz w:val="18"/>
          <w:szCs w:val="18"/>
        </w:rPr>
        <w:t xml:space="preserve">, </w:t>
      </w:r>
      <w:r w:rsidRPr="004963E3">
        <w:rPr>
          <w:rFonts w:ascii="Calibri" w:hAnsi="Calibri" w:cs="Calibri"/>
          <w:i/>
          <w:iCs/>
          <w:sz w:val="18"/>
          <w:szCs w:val="18"/>
        </w:rPr>
        <w:t>SureStart</w:t>
      </w:r>
      <w:r>
        <w:rPr>
          <w:rFonts w:ascii="Calibri" w:hAnsi="Calibri" w:cs="Calibri"/>
          <w:sz w:val="18"/>
          <w:szCs w:val="18"/>
        </w:rPr>
        <w:t xml:space="preserve">, </w:t>
      </w:r>
      <w:r w:rsidRPr="004963E3">
        <w:rPr>
          <w:rFonts w:ascii="Calibri" w:hAnsi="Calibri" w:cs="Calibri"/>
          <w:sz w:val="18"/>
          <w:szCs w:val="18"/>
        </w:rPr>
        <w:t>2004.</w:t>
      </w:r>
    </w:p>
  </w:footnote>
  <w:footnote w:id="112">
    <w:p w14:paraId="78573517" w14:textId="77777777" w:rsidR="00DE25AB" w:rsidRPr="004963E3" w:rsidRDefault="003A6359" w:rsidP="00580627">
      <w:pPr>
        <w:spacing w:after="0" w:line="240" w:lineRule="auto"/>
        <w:rPr>
          <w:rFonts w:ascii="Calibri" w:hAnsi="Calibri" w:cs="Calibri"/>
          <w:sz w:val="18"/>
          <w:szCs w:val="18"/>
        </w:rPr>
      </w:pPr>
      <w:r w:rsidRPr="004963E3">
        <w:rPr>
          <w:rFonts w:ascii="Calibri" w:hAnsi="Calibri" w:cs="Calibri"/>
          <w:sz w:val="18"/>
          <w:szCs w:val="18"/>
          <w:vertAlign w:val="superscript"/>
        </w:rPr>
        <w:footnoteRef/>
      </w:r>
      <w:r w:rsidRPr="004963E3">
        <w:rPr>
          <w:rFonts w:ascii="Calibri" w:hAnsi="Calibri" w:cs="Calibri"/>
          <w:sz w:val="18"/>
          <w:szCs w:val="18"/>
        </w:rPr>
        <w:t xml:space="preserve"> </w:t>
      </w:r>
      <w:r>
        <w:rPr>
          <w:rFonts w:ascii="Calibri" w:hAnsi="Calibri" w:cs="Calibri"/>
          <w:sz w:val="18"/>
          <w:szCs w:val="18"/>
        </w:rPr>
        <w:t>PWC</w:t>
      </w:r>
      <w:r w:rsidRPr="004963E3">
        <w:rPr>
          <w:rFonts w:ascii="Calibri" w:hAnsi="Calibri" w:cs="Calibri"/>
          <w:sz w:val="18"/>
          <w:szCs w:val="18"/>
        </w:rPr>
        <w:t xml:space="preserve">, </w:t>
      </w:r>
      <w:hyperlink r:id="rId56" w:history="1">
        <w:r w:rsidRPr="004963E3">
          <w:rPr>
            <w:rStyle w:val="Hyperlink"/>
            <w:rFonts w:ascii="Calibri" w:hAnsi="Calibri" w:cs="Calibri"/>
            <w:i/>
            <w:iCs/>
            <w:sz w:val="18"/>
            <w:szCs w:val="18"/>
          </w:rPr>
          <w:t>A Smart Investment for a Smarter Australia: Economic analysis of universal early childhood education in the year before school in Australia</w:t>
        </w:r>
      </w:hyperlink>
      <w:r w:rsidRPr="004963E3">
        <w:rPr>
          <w:rFonts w:ascii="Calibri" w:hAnsi="Calibri" w:cs="Calibri"/>
          <w:sz w:val="18"/>
          <w:szCs w:val="18"/>
        </w:rPr>
        <w:t>,</w:t>
      </w:r>
      <w:r>
        <w:rPr>
          <w:rFonts w:ascii="Calibri" w:hAnsi="Calibri" w:cs="Calibri"/>
          <w:sz w:val="18"/>
          <w:szCs w:val="18"/>
        </w:rPr>
        <w:t xml:space="preserve"> The Front Project, PwC,</w:t>
      </w:r>
      <w:r w:rsidRPr="004963E3">
        <w:rPr>
          <w:rFonts w:ascii="Calibri" w:hAnsi="Calibri" w:cs="Calibri"/>
          <w:sz w:val="18"/>
          <w:szCs w:val="18"/>
        </w:rPr>
        <w:t xml:space="preserve"> 2019.</w:t>
      </w:r>
    </w:p>
  </w:footnote>
  <w:footnote w:id="113">
    <w:p w14:paraId="449CB535" w14:textId="77777777" w:rsidR="00DE25AB" w:rsidRPr="004963E3" w:rsidRDefault="003A6359" w:rsidP="00770BAE">
      <w:pPr>
        <w:spacing w:after="120" w:line="240" w:lineRule="auto"/>
        <w:rPr>
          <w:rFonts w:ascii="Calibri" w:hAnsi="Calibri" w:cs="Calibri"/>
          <w:sz w:val="18"/>
          <w:szCs w:val="18"/>
        </w:rPr>
      </w:pPr>
      <w:r w:rsidRPr="004963E3">
        <w:rPr>
          <w:rFonts w:ascii="Calibri" w:hAnsi="Calibri" w:cs="Calibri"/>
          <w:sz w:val="18"/>
          <w:szCs w:val="18"/>
          <w:vertAlign w:val="superscript"/>
        </w:rPr>
        <w:footnoteRef/>
      </w:r>
      <w:r w:rsidRPr="004963E3">
        <w:rPr>
          <w:rFonts w:ascii="Calibri" w:hAnsi="Calibri" w:cs="Calibri"/>
          <w:sz w:val="18"/>
          <w:szCs w:val="18"/>
        </w:rPr>
        <w:t xml:space="preserve"> Department of Social Services</w:t>
      </w:r>
      <w:r>
        <w:rPr>
          <w:rFonts w:ascii="Calibri" w:hAnsi="Calibri" w:cs="Calibri"/>
          <w:sz w:val="18"/>
          <w:szCs w:val="18"/>
        </w:rPr>
        <w:t>,</w:t>
      </w:r>
      <w:r w:rsidRPr="004963E3">
        <w:rPr>
          <w:rFonts w:ascii="Calibri" w:hAnsi="Calibri" w:cs="Calibri"/>
          <w:sz w:val="18"/>
          <w:szCs w:val="18"/>
        </w:rPr>
        <w:t xml:space="preserve"> </w:t>
      </w:r>
      <w:hyperlink r:id="rId57" w:history="1">
        <w:r w:rsidRPr="004963E3">
          <w:rPr>
            <w:rStyle w:val="Hyperlink"/>
            <w:rFonts w:ascii="Calibri" w:hAnsi="Calibri" w:cs="Calibri"/>
            <w:i/>
            <w:iCs/>
            <w:sz w:val="18"/>
            <w:szCs w:val="18"/>
          </w:rPr>
          <w:t>Positive Family Functioning</w:t>
        </w:r>
      </w:hyperlink>
      <w:r w:rsidRPr="004963E3">
        <w:rPr>
          <w:rFonts w:ascii="Calibri" w:hAnsi="Calibri" w:cs="Calibri"/>
          <w:sz w:val="18"/>
          <w:szCs w:val="18"/>
        </w:rPr>
        <w:t>, final report by Access Economics Pty Ltd for Department of Families, Housing, Community Services and Indigenous Affairs</w:t>
      </w:r>
      <w:r>
        <w:rPr>
          <w:rFonts w:ascii="Calibri" w:hAnsi="Calibri" w:cs="Calibri"/>
          <w:sz w:val="18"/>
          <w:szCs w:val="18"/>
        </w:rPr>
        <w:t>, DSS, 2010.</w:t>
      </w:r>
    </w:p>
  </w:footnote>
  <w:footnote w:id="114">
    <w:p w14:paraId="4AE083DA" w14:textId="67AADC75" w:rsidR="00DE25AB" w:rsidRPr="004963E3" w:rsidRDefault="003A6359" w:rsidP="00580627">
      <w:pPr>
        <w:spacing w:after="0" w:line="240" w:lineRule="auto"/>
        <w:rPr>
          <w:rFonts w:ascii="Calibri" w:hAnsi="Calibri" w:cs="Calibri"/>
          <w:sz w:val="18"/>
          <w:szCs w:val="18"/>
        </w:rPr>
      </w:pPr>
      <w:r w:rsidRPr="004963E3">
        <w:rPr>
          <w:rFonts w:ascii="Calibri" w:hAnsi="Calibri" w:cs="Calibri"/>
          <w:sz w:val="18"/>
          <w:szCs w:val="18"/>
          <w:vertAlign w:val="superscript"/>
        </w:rPr>
        <w:footnoteRef/>
      </w:r>
      <w:r w:rsidRPr="004963E3">
        <w:rPr>
          <w:rFonts w:ascii="Calibri" w:hAnsi="Calibri" w:cs="Calibri"/>
          <w:sz w:val="18"/>
          <w:szCs w:val="18"/>
        </w:rPr>
        <w:t xml:space="preserve"> </w:t>
      </w:r>
      <w:bookmarkStart w:id="87" w:name="_Hlk161220725"/>
      <w:r w:rsidR="003E2727">
        <w:rPr>
          <w:rFonts w:ascii="Calibri" w:hAnsi="Calibri" w:cs="Calibri"/>
          <w:sz w:val="18"/>
          <w:szCs w:val="18"/>
        </w:rPr>
        <w:fldChar w:fldCharType="begin"/>
      </w:r>
      <w:r w:rsidR="003E2727">
        <w:rPr>
          <w:rFonts w:ascii="Calibri" w:hAnsi="Calibri" w:cs="Calibri"/>
          <w:sz w:val="18"/>
          <w:szCs w:val="18"/>
        </w:rPr>
        <w:instrText>HYPERLINK "https://heckmanequation.org/"</w:instrText>
      </w:r>
      <w:r w:rsidR="003E2727">
        <w:rPr>
          <w:rFonts w:ascii="Calibri" w:hAnsi="Calibri" w:cs="Calibri"/>
          <w:sz w:val="18"/>
          <w:szCs w:val="18"/>
        </w:rPr>
      </w:r>
      <w:r w:rsidR="003E2727">
        <w:rPr>
          <w:rFonts w:ascii="Calibri" w:hAnsi="Calibri" w:cs="Calibri"/>
          <w:sz w:val="18"/>
          <w:szCs w:val="18"/>
        </w:rPr>
        <w:fldChar w:fldCharType="separate"/>
      </w:r>
      <w:r w:rsidRPr="003E2727">
        <w:rPr>
          <w:rStyle w:val="Hyperlink"/>
          <w:rFonts w:ascii="Calibri" w:hAnsi="Calibri" w:cs="Calibri"/>
          <w:sz w:val="18"/>
          <w:szCs w:val="18"/>
        </w:rPr>
        <w:t>Heckman: The economics of human potential</w:t>
      </w:r>
      <w:r w:rsidR="003E2727">
        <w:rPr>
          <w:rFonts w:ascii="Calibri" w:hAnsi="Calibri" w:cs="Calibri"/>
          <w:sz w:val="18"/>
          <w:szCs w:val="18"/>
        </w:rPr>
        <w:fldChar w:fldCharType="end"/>
      </w:r>
      <w:r w:rsidRPr="003E2727">
        <w:rPr>
          <w:rFonts w:ascii="Calibri" w:hAnsi="Calibri" w:cs="Calibri"/>
          <w:sz w:val="18"/>
          <w:szCs w:val="18"/>
        </w:rPr>
        <w:t xml:space="preserve"> </w:t>
      </w:r>
      <w:r w:rsidR="003E2727">
        <w:rPr>
          <w:rFonts w:ascii="Calibri" w:hAnsi="Calibri" w:cs="Calibri"/>
          <w:sz w:val="18"/>
          <w:szCs w:val="18"/>
        </w:rPr>
        <w:t>[</w:t>
      </w:r>
      <w:r w:rsidRPr="003E2727">
        <w:rPr>
          <w:rFonts w:ascii="Calibri" w:hAnsi="Calibri" w:cs="Calibri"/>
          <w:sz w:val="18"/>
          <w:szCs w:val="18"/>
        </w:rPr>
        <w:t>website</w:t>
      </w:r>
      <w:r w:rsidR="003E2727">
        <w:rPr>
          <w:rFonts w:ascii="Calibri" w:hAnsi="Calibri" w:cs="Calibri"/>
          <w:sz w:val="18"/>
          <w:szCs w:val="18"/>
        </w:rPr>
        <w:t>]</w:t>
      </w:r>
      <w:r w:rsidRPr="004963E3">
        <w:rPr>
          <w:rFonts w:ascii="Calibri" w:hAnsi="Calibri" w:cs="Calibri"/>
          <w:sz w:val="18"/>
          <w:szCs w:val="18"/>
        </w:rPr>
        <w:t>, 2023</w:t>
      </w:r>
      <w:r>
        <w:rPr>
          <w:rFonts w:ascii="Calibri" w:hAnsi="Calibri" w:cs="Calibri"/>
          <w:i/>
          <w:sz w:val="18"/>
          <w:szCs w:val="18"/>
        </w:rPr>
        <w:t>.</w:t>
      </w:r>
      <w:bookmarkEnd w:id="87"/>
    </w:p>
  </w:footnote>
  <w:footnote w:id="115">
    <w:p w14:paraId="222F149E" w14:textId="3AC80925" w:rsidR="00DE25AB" w:rsidRPr="00551396" w:rsidRDefault="003A6359" w:rsidP="00580627">
      <w:pPr>
        <w:pStyle w:val="FootnoteText"/>
        <w:rPr>
          <w:rFonts w:ascii="Calibri" w:hAnsi="Calibri" w:cs="Calibri"/>
          <w:sz w:val="18"/>
          <w:szCs w:val="18"/>
        </w:rPr>
      </w:pPr>
      <w:r w:rsidRPr="004963E3">
        <w:rPr>
          <w:rStyle w:val="FootnoteReference"/>
          <w:rFonts w:ascii="Calibri" w:hAnsi="Calibri" w:cs="Calibri"/>
          <w:sz w:val="18"/>
          <w:szCs w:val="18"/>
        </w:rPr>
        <w:footnoteRef/>
      </w:r>
      <w:r w:rsidRPr="004963E3">
        <w:rPr>
          <w:rFonts w:ascii="Calibri" w:hAnsi="Calibri" w:cs="Calibri"/>
          <w:sz w:val="18"/>
          <w:szCs w:val="18"/>
        </w:rPr>
        <w:t xml:space="preserve"> </w:t>
      </w:r>
      <w:r w:rsidRPr="00C476F8">
        <w:rPr>
          <w:rFonts w:ascii="Calibri" w:hAnsi="Calibri" w:cs="Calibri"/>
          <w:sz w:val="18"/>
          <w:szCs w:val="18"/>
        </w:rPr>
        <w:t xml:space="preserve">National Scientific Council on the Developing Child, </w:t>
      </w:r>
      <w:r w:rsidR="003E2727" w:rsidRPr="003E2727">
        <w:rPr>
          <w:rFonts w:ascii="Calibri" w:hAnsi="Calibri" w:cs="Calibri"/>
          <w:i/>
          <w:iCs/>
          <w:sz w:val="18"/>
          <w:szCs w:val="18"/>
        </w:rPr>
        <w:t>Connecting the Brain to the Rest of the Body: Early Childhood Development and Lifelong Health Are Deeply Intertwined</w:t>
      </w:r>
      <w:r>
        <w:rPr>
          <w:rFonts w:ascii="Calibri" w:hAnsi="Calibri" w:cs="Calibri"/>
          <w:sz w:val="18"/>
          <w:szCs w:val="18"/>
        </w:rPr>
        <w:t xml:space="preserve"> </w:t>
      </w:r>
      <w:r w:rsidRPr="004477B4">
        <w:rPr>
          <w:rFonts w:ascii="Calibri" w:hAnsi="Calibri" w:cs="Calibri"/>
          <w:b/>
          <w:bCs/>
          <w:sz w:val="18"/>
          <w:szCs w:val="18"/>
        </w:rPr>
        <w:t>and</w:t>
      </w:r>
      <w:r>
        <w:rPr>
          <w:rFonts w:ascii="Calibri" w:hAnsi="Calibri" w:cs="Calibri"/>
          <w:sz w:val="18"/>
          <w:szCs w:val="18"/>
        </w:rPr>
        <w:t xml:space="preserve"> </w:t>
      </w:r>
      <w:r w:rsidR="003E2727">
        <w:rPr>
          <w:rFonts w:ascii="Calibri" w:hAnsi="Calibri" w:cs="Calibri"/>
          <w:sz w:val="18"/>
          <w:szCs w:val="18"/>
        </w:rPr>
        <w:t>DM Haslam</w:t>
      </w:r>
      <w:r>
        <w:rPr>
          <w:rFonts w:ascii="Calibri" w:hAnsi="Calibri" w:cs="Calibri"/>
          <w:sz w:val="18"/>
          <w:szCs w:val="18"/>
        </w:rPr>
        <w:t>, et al., ‘The association between child maltreatment and mental disorders in the Australian Child Maltreatment Study’.</w:t>
      </w:r>
    </w:p>
  </w:footnote>
  <w:footnote w:id="116">
    <w:p w14:paraId="0336C3C0" w14:textId="77777777" w:rsidR="00DE25AB" w:rsidRPr="00F50446" w:rsidRDefault="003A6359" w:rsidP="00580627">
      <w:pPr>
        <w:pStyle w:val="FootnoteText"/>
        <w:rPr>
          <w:rFonts w:ascii="Calibri" w:hAnsi="Calibri" w:cs="Calibri"/>
          <w:sz w:val="18"/>
          <w:szCs w:val="18"/>
        </w:rPr>
      </w:pPr>
      <w:r w:rsidRPr="00F50446">
        <w:rPr>
          <w:rStyle w:val="FootnoteReference"/>
          <w:rFonts w:ascii="Calibri" w:hAnsi="Calibri" w:cs="Calibri"/>
          <w:sz w:val="18"/>
          <w:szCs w:val="18"/>
        </w:rPr>
        <w:footnoteRef/>
      </w:r>
      <w:r w:rsidRPr="00F50446">
        <w:rPr>
          <w:rFonts w:ascii="Calibri" w:hAnsi="Calibri" w:cs="Calibri"/>
          <w:sz w:val="18"/>
          <w:szCs w:val="18"/>
        </w:rPr>
        <w:t xml:space="preserve"> The Front Project</w:t>
      </w:r>
      <w:r>
        <w:rPr>
          <w:rFonts w:ascii="Calibri" w:hAnsi="Calibri" w:cs="Calibri"/>
          <w:sz w:val="18"/>
          <w:szCs w:val="18"/>
        </w:rPr>
        <w:t>,</w:t>
      </w:r>
      <w:r w:rsidRPr="00F50446">
        <w:rPr>
          <w:rFonts w:ascii="Calibri" w:hAnsi="Calibri" w:cs="Calibri"/>
          <w:sz w:val="18"/>
          <w:szCs w:val="18"/>
        </w:rPr>
        <w:t xml:space="preserve"> </w:t>
      </w:r>
      <w:hyperlink r:id="rId58" w:history="1">
        <w:r w:rsidRPr="00F50446">
          <w:rPr>
            <w:rStyle w:val="Hyperlink"/>
            <w:rFonts w:ascii="Calibri" w:hAnsi="Calibri" w:cs="Calibri"/>
            <w:i/>
            <w:iCs/>
            <w:sz w:val="18"/>
            <w:szCs w:val="18"/>
          </w:rPr>
          <w:t>Supporting all children to thrive: The importance of equity in early childhood education</w:t>
        </w:r>
      </w:hyperlink>
      <w:r w:rsidRPr="00F50446">
        <w:rPr>
          <w:rFonts w:ascii="Calibri" w:hAnsi="Calibri" w:cs="Calibri"/>
          <w:sz w:val="18"/>
          <w:szCs w:val="18"/>
        </w:rPr>
        <w:t>, 2022.</w:t>
      </w:r>
    </w:p>
  </w:footnote>
  <w:footnote w:id="117">
    <w:p w14:paraId="670041C3" w14:textId="77777777" w:rsidR="00DE25AB" w:rsidRPr="00551396" w:rsidRDefault="003A6359" w:rsidP="00DE25AB">
      <w:pPr>
        <w:pStyle w:val="CommentText"/>
        <w:spacing w:after="0"/>
        <w:rPr>
          <w:rFonts w:ascii="Calibri" w:hAnsi="Calibri" w:cs="Calibri"/>
          <w:sz w:val="18"/>
          <w:szCs w:val="18"/>
        </w:rPr>
      </w:pPr>
      <w:r w:rsidRPr="00F50446">
        <w:rPr>
          <w:rStyle w:val="FootnoteReference"/>
          <w:rFonts w:ascii="Calibri" w:hAnsi="Calibri" w:cs="Calibri"/>
          <w:sz w:val="18"/>
          <w:szCs w:val="18"/>
        </w:rPr>
        <w:footnoteRef/>
      </w:r>
      <w:r w:rsidRPr="00F50446">
        <w:rPr>
          <w:rFonts w:ascii="Calibri" w:hAnsi="Calibri" w:cs="Calibri"/>
          <w:sz w:val="18"/>
          <w:szCs w:val="18"/>
        </w:rPr>
        <w:t xml:space="preserve"> </w:t>
      </w:r>
      <w:r>
        <w:rPr>
          <w:rFonts w:ascii="Calibri" w:hAnsi="Calibri" w:cs="Calibri"/>
          <w:sz w:val="18"/>
          <w:szCs w:val="18"/>
        </w:rPr>
        <w:t xml:space="preserve">D </w:t>
      </w:r>
      <w:r w:rsidRPr="00F50446">
        <w:rPr>
          <w:rFonts w:ascii="Calibri" w:hAnsi="Calibri" w:cs="Calibri"/>
          <w:sz w:val="18"/>
          <w:szCs w:val="18"/>
        </w:rPr>
        <w:t>Warren</w:t>
      </w:r>
      <w:r>
        <w:rPr>
          <w:rFonts w:ascii="Calibri" w:hAnsi="Calibri" w:cs="Calibri"/>
          <w:sz w:val="18"/>
          <w:szCs w:val="18"/>
        </w:rPr>
        <w:t>,</w:t>
      </w:r>
      <w:r w:rsidRPr="00F50446">
        <w:rPr>
          <w:rFonts w:ascii="Calibri" w:hAnsi="Calibri" w:cs="Calibri"/>
          <w:sz w:val="18"/>
          <w:szCs w:val="18"/>
        </w:rPr>
        <w:t xml:space="preserve"> Australian Institute of Family Studies</w:t>
      </w:r>
      <w:r>
        <w:rPr>
          <w:rFonts w:ascii="Calibri" w:hAnsi="Calibri" w:cs="Calibri"/>
          <w:sz w:val="18"/>
          <w:szCs w:val="18"/>
        </w:rPr>
        <w:t>,</w:t>
      </w:r>
      <w:r w:rsidRPr="00F50446">
        <w:rPr>
          <w:rFonts w:ascii="Calibri" w:hAnsi="Calibri" w:cs="Calibri"/>
          <w:sz w:val="18"/>
          <w:szCs w:val="18"/>
        </w:rPr>
        <w:t xml:space="preserve"> Social Policy Research Paper No. 47</w:t>
      </w:r>
      <w:r>
        <w:rPr>
          <w:rFonts w:ascii="Calibri" w:hAnsi="Calibri" w:cs="Calibri"/>
          <w:sz w:val="18"/>
          <w:szCs w:val="18"/>
        </w:rPr>
        <w:t>,</w:t>
      </w:r>
      <w:r w:rsidRPr="00F50446">
        <w:rPr>
          <w:rFonts w:ascii="Calibri" w:hAnsi="Calibri" w:cs="Calibri"/>
          <w:sz w:val="18"/>
          <w:szCs w:val="18"/>
        </w:rPr>
        <w:t xml:space="preserve"> </w:t>
      </w:r>
      <w:hyperlink r:id="rId59" w:history="1">
        <w:r w:rsidRPr="00F50446">
          <w:rPr>
            <w:rStyle w:val="Hyperlink"/>
            <w:rFonts w:ascii="Calibri" w:eastAsiaTheme="majorEastAsia" w:hAnsi="Calibri" w:cs="Calibri"/>
            <w:i/>
            <w:iCs/>
            <w:sz w:val="18"/>
            <w:szCs w:val="18"/>
          </w:rPr>
          <w:t>Low Income and Poverty Dynamics Implications for Child Outcomes</w:t>
        </w:r>
      </w:hyperlink>
      <w:r>
        <w:rPr>
          <w:rStyle w:val="Hyperlink"/>
          <w:rFonts w:ascii="Calibri" w:eastAsiaTheme="majorEastAsia" w:hAnsi="Calibri" w:cs="Calibri"/>
          <w:sz w:val="18"/>
          <w:szCs w:val="18"/>
        </w:rPr>
        <w:t>,</w:t>
      </w:r>
      <w:r w:rsidRPr="00F50446">
        <w:rPr>
          <w:rFonts w:ascii="Calibri" w:hAnsi="Calibri" w:cs="Calibri"/>
          <w:sz w:val="18"/>
          <w:szCs w:val="18"/>
        </w:rPr>
        <w:t xml:space="preserve"> Commonwealth of Australia</w:t>
      </w:r>
      <w:r>
        <w:rPr>
          <w:rFonts w:ascii="Calibri" w:hAnsi="Calibri" w:cs="Calibri"/>
          <w:sz w:val="18"/>
          <w:szCs w:val="18"/>
        </w:rPr>
        <w:t>, DSS, 2017.</w:t>
      </w:r>
    </w:p>
  </w:footnote>
  <w:footnote w:id="118">
    <w:p w14:paraId="0FE7CBB5" w14:textId="4DD1A260" w:rsidR="00DE25AB" w:rsidRPr="00DE25AB" w:rsidRDefault="003A6359">
      <w:pPr>
        <w:pStyle w:val="FootnoteText"/>
      </w:pPr>
      <w:r w:rsidRPr="001F0122">
        <w:rPr>
          <w:rStyle w:val="FootnoteReference"/>
          <w:rFonts w:ascii="Calibri" w:hAnsi="Calibri" w:cs="Calibri"/>
          <w:sz w:val="18"/>
          <w:szCs w:val="18"/>
        </w:rPr>
        <w:footnoteRef/>
      </w:r>
      <w:r>
        <w:t xml:space="preserve"> </w:t>
      </w:r>
      <w:bookmarkStart w:id="90" w:name="_Hlk161220916"/>
      <w:r w:rsidRPr="00DE25AB">
        <w:rPr>
          <w:rFonts w:ascii="Calibri" w:hAnsi="Calibri" w:cs="Calibri"/>
          <w:sz w:val="18"/>
          <w:szCs w:val="18"/>
        </w:rPr>
        <w:t>F Perales</w:t>
      </w:r>
      <w:r w:rsidR="003E2727">
        <w:rPr>
          <w:rFonts w:ascii="Calibri" w:hAnsi="Calibri" w:cs="Calibri"/>
          <w:sz w:val="18"/>
          <w:szCs w:val="18"/>
        </w:rPr>
        <w:t>, A Higginson, J Baxter, M Western, S Zubrick and F Mitrou,</w:t>
      </w:r>
      <w:r w:rsidRPr="00DE25AB">
        <w:rPr>
          <w:rFonts w:ascii="Calibri" w:hAnsi="Calibri" w:cs="Calibri"/>
          <w:sz w:val="18"/>
          <w:szCs w:val="18"/>
        </w:rPr>
        <w:t xml:space="preserve"> </w:t>
      </w:r>
      <w:hyperlink r:id="rId60" w:history="1">
        <w:r w:rsidRPr="003E2727">
          <w:rPr>
            <w:rStyle w:val="Hyperlink"/>
            <w:rFonts w:ascii="Calibri" w:hAnsi="Calibri" w:cs="Calibri"/>
            <w:i/>
            <w:sz w:val="18"/>
            <w:szCs w:val="18"/>
          </w:rPr>
          <w:t>Intergenerational Welfa</w:t>
        </w:r>
        <w:r w:rsidR="001F0122" w:rsidRPr="003E2727">
          <w:rPr>
            <w:rStyle w:val="Hyperlink"/>
            <w:rFonts w:ascii="Calibri" w:hAnsi="Calibri" w:cs="Calibri"/>
            <w:i/>
            <w:sz w:val="18"/>
            <w:szCs w:val="18"/>
          </w:rPr>
          <w:t>r</w:t>
        </w:r>
        <w:r w:rsidRPr="003E2727">
          <w:rPr>
            <w:rStyle w:val="Hyperlink"/>
            <w:rFonts w:ascii="Calibri" w:hAnsi="Calibri" w:cs="Calibri"/>
            <w:i/>
            <w:sz w:val="18"/>
            <w:szCs w:val="18"/>
          </w:rPr>
          <w:t>e Dependency in Australia: A Review of the Literature</w:t>
        </w:r>
      </w:hyperlink>
      <w:r>
        <w:rPr>
          <w:rFonts w:ascii="Calibri" w:hAnsi="Calibri" w:cs="Calibri"/>
          <w:sz w:val="18"/>
          <w:szCs w:val="18"/>
        </w:rPr>
        <w:t>, Life Course Centre Working Paper</w:t>
      </w:r>
      <w:r w:rsidR="006B3853">
        <w:rPr>
          <w:rFonts w:ascii="Calibri" w:hAnsi="Calibri" w:cs="Calibri"/>
          <w:sz w:val="18"/>
          <w:szCs w:val="18"/>
        </w:rPr>
        <w:t xml:space="preserve"> Series</w:t>
      </w:r>
      <w:r>
        <w:rPr>
          <w:rFonts w:ascii="Calibri" w:hAnsi="Calibri" w:cs="Calibri"/>
          <w:sz w:val="18"/>
          <w:szCs w:val="18"/>
        </w:rPr>
        <w:t>,</w:t>
      </w:r>
      <w:r w:rsidR="006B3853">
        <w:rPr>
          <w:rFonts w:ascii="Calibri" w:hAnsi="Calibri" w:cs="Calibri"/>
          <w:sz w:val="18"/>
          <w:szCs w:val="18"/>
        </w:rPr>
        <w:t xml:space="preserve"> 2014-09,</w:t>
      </w:r>
      <w:r>
        <w:rPr>
          <w:rFonts w:ascii="Calibri" w:hAnsi="Calibri" w:cs="Calibri"/>
          <w:sz w:val="18"/>
          <w:szCs w:val="18"/>
        </w:rPr>
        <w:t xml:space="preserve"> </w:t>
      </w:r>
      <w:r w:rsidR="006B3853">
        <w:rPr>
          <w:rFonts w:ascii="Calibri" w:hAnsi="Calibri" w:cs="Calibri"/>
          <w:sz w:val="18"/>
          <w:szCs w:val="18"/>
        </w:rPr>
        <w:t xml:space="preserve">Institute for Social Science Research, The University of Queensland, 2014. </w:t>
      </w:r>
      <w:bookmarkEnd w:id="90"/>
    </w:p>
  </w:footnote>
  <w:footnote w:id="119">
    <w:p w14:paraId="76941DE5" w14:textId="21739A83" w:rsidR="00DE25AB" w:rsidRPr="00B12B63" w:rsidRDefault="003A6359" w:rsidP="004A1EB5">
      <w:pPr>
        <w:pStyle w:val="FootnoteText"/>
        <w:rPr>
          <w:rFonts w:ascii="Calibri" w:hAnsi="Calibri" w:cs="Calibri"/>
          <w:sz w:val="18"/>
          <w:szCs w:val="18"/>
        </w:rPr>
      </w:pPr>
      <w:r w:rsidRPr="00B12B63">
        <w:rPr>
          <w:rStyle w:val="FootnoteReference"/>
          <w:rFonts w:ascii="Calibri" w:hAnsi="Calibri" w:cs="Calibri"/>
          <w:sz w:val="18"/>
          <w:szCs w:val="18"/>
        </w:rPr>
        <w:footnoteRef/>
      </w:r>
      <w:r w:rsidRPr="00B12B63">
        <w:rPr>
          <w:rFonts w:ascii="Calibri" w:hAnsi="Calibri" w:cs="Calibri"/>
          <w:sz w:val="18"/>
          <w:szCs w:val="18"/>
        </w:rPr>
        <w:t xml:space="preserve"> </w:t>
      </w:r>
      <w:bookmarkStart w:id="97" w:name="_Hlk161220196"/>
      <w:r w:rsidRPr="00B12B63">
        <w:rPr>
          <w:rStyle w:val="cf01"/>
          <w:rFonts w:ascii="Calibri" w:hAnsi="Calibri" w:cs="Calibri"/>
        </w:rPr>
        <w:t>A</w:t>
      </w:r>
      <w:r w:rsidR="001F0122">
        <w:rPr>
          <w:rStyle w:val="cf01"/>
          <w:rFonts w:ascii="Calibri" w:hAnsi="Calibri" w:cs="Calibri"/>
        </w:rPr>
        <w:t>EDC</w:t>
      </w:r>
      <w:r>
        <w:rPr>
          <w:rStyle w:val="cf01"/>
          <w:rFonts w:ascii="Calibri" w:hAnsi="Calibri" w:cs="Calibri"/>
        </w:rPr>
        <w:t>,</w:t>
      </w:r>
      <w:r w:rsidRPr="00B12B63">
        <w:rPr>
          <w:rStyle w:val="cf01"/>
          <w:rFonts w:ascii="Calibri" w:hAnsi="Calibri" w:cs="Calibri"/>
        </w:rPr>
        <w:t xml:space="preserve"> </w:t>
      </w:r>
      <w:r w:rsidRPr="004A1EB5">
        <w:rPr>
          <w:rStyle w:val="cf01"/>
          <w:rFonts w:ascii="Calibri" w:hAnsi="Calibri" w:cs="Calibri"/>
          <w:i/>
          <w:iCs/>
        </w:rPr>
        <w:t>Australian Early Development Census National Report 2021</w:t>
      </w:r>
      <w:r>
        <w:rPr>
          <w:rStyle w:val="cf01"/>
          <w:rFonts w:ascii="Calibri" w:hAnsi="Calibri" w:cs="Calibri"/>
        </w:rPr>
        <w:t>.</w:t>
      </w:r>
      <w:bookmarkEnd w:id="97"/>
    </w:p>
  </w:footnote>
  <w:footnote w:id="120">
    <w:p w14:paraId="2B4BC245" w14:textId="77777777" w:rsidR="00DE25AB" w:rsidRPr="001F5FBA" w:rsidRDefault="003A6359" w:rsidP="004A1EB5">
      <w:pPr>
        <w:pStyle w:val="FootnoteText"/>
        <w:rPr>
          <w:rFonts w:ascii="Arial" w:hAnsi="Arial" w:cs="Arial"/>
        </w:rPr>
      </w:pPr>
      <w:r w:rsidRPr="00B12B63">
        <w:rPr>
          <w:rStyle w:val="FootnoteReference"/>
          <w:rFonts w:ascii="Calibri" w:hAnsi="Calibri" w:cs="Calibri"/>
          <w:sz w:val="18"/>
          <w:szCs w:val="18"/>
        </w:rPr>
        <w:footnoteRef/>
      </w:r>
      <w:r w:rsidRPr="00B12B63">
        <w:rPr>
          <w:rFonts w:ascii="Calibri" w:hAnsi="Calibri" w:cs="Calibri"/>
          <w:sz w:val="18"/>
          <w:szCs w:val="18"/>
        </w:rPr>
        <w:t xml:space="preserve"> </w:t>
      </w:r>
      <w:r w:rsidRPr="00B12B63">
        <w:rPr>
          <w:rStyle w:val="cf01"/>
          <w:rFonts w:ascii="Calibri" w:hAnsi="Calibri" w:cs="Calibri"/>
        </w:rPr>
        <w:t>A</w:t>
      </w:r>
      <w:r>
        <w:rPr>
          <w:rStyle w:val="cf01"/>
          <w:rFonts w:ascii="Calibri" w:hAnsi="Calibri" w:cs="Calibri"/>
        </w:rPr>
        <w:t>EDC,</w:t>
      </w:r>
      <w:r w:rsidRPr="00B12B63">
        <w:rPr>
          <w:rStyle w:val="cf01"/>
          <w:rFonts w:ascii="Calibri" w:hAnsi="Calibri" w:cs="Calibri"/>
        </w:rPr>
        <w:t xml:space="preserve"> </w:t>
      </w:r>
      <w:r w:rsidRPr="004A1EB5">
        <w:rPr>
          <w:rStyle w:val="cf01"/>
          <w:rFonts w:ascii="Calibri" w:hAnsi="Calibri" w:cs="Calibri"/>
          <w:i/>
          <w:iCs/>
        </w:rPr>
        <w:t>Australian Early Development Census National Report 2021</w:t>
      </w:r>
      <w:r>
        <w:rPr>
          <w:rStyle w:val="cf01"/>
          <w:rFonts w:ascii="Calibri" w:hAnsi="Calibri" w:cs="Calibri"/>
        </w:rPr>
        <w:t>.</w:t>
      </w:r>
    </w:p>
  </w:footnote>
  <w:footnote w:id="121">
    <w:p w14:paraId="00730E3A" w14:textId="77777777" w:rsidR="00483565" w:rsidRDefault="00483565" w:rsidP="00483565">
      <w:pPr>
        <w:pStyle w:val="FootnoteText"/>
      </w:pPr>
      <w:r w:rsidRPr="004A1EB5">
        <w:rPr>
          <w:rStyle w:val="FootnoteReference"/>
          <w:rFonts w:ascii="Calibri" w:hAnsi="Calibri" w:cs="Calibri"/>
          <w:sz w:val="18"/>
          <w:szCs w:val="18"/>
        </w:rPr>
        <w:footnoteRef/>
      </w:r>
      <w:r w:rsidRPr="004A1EB5">
        <w:rPr>
          <w:rFonts w:ascii="Calibri" w:hAnsi="Calibri" w:cs="Calibri"/>
          <w:sz w:val="18"/>
          <w:szCs w:val="18"/>
        </w:rPr>
        <w:t xml:space="preserve"> </w:t>
      </w:r>
      <w:bookmarkStart w:id="98" w:name="_Hlk161220165"/>
      <w:r>
        <w:rPr>
          <w:rFonts w:ascii="Calibri" w:hAnsi="Calibri" w:cs="Calibri"/>
          <w:sz w:val="18"/>
          <w:szCs w:val="18"/>
        </w:rPr>
        <w:t xml:space="preserve">D </w:t>
      </w:r>
      <w:r w:rsidRPr="004A1EB5">
        <w:rPr>
          <w:rFonts w:ascii="Calibri" w:hAnsi="Calibri" w:cs="Calibri"/>
          <w:sz w:val="18"/>
          <w:szCs w:val="18"/>
        </w:rPr>
        <w:t>Smart, </w:t>
      </w:r>
      <w:r>
        <w:rPr>
          <w:rFonts w:ascii="Calibri" w:hAnsi="Calibri" w:cs="Calibri"/>
          <w:sz w:val="18"/>
          <w:szCs w:val="18"/>
        </w:rPr>
        <w:t xml:space="preserve">S </w:t>
      </w:r>
      <w:r w:rsidRPr="004A1EB5">
        <w:rPr>
          <w:rFonts w:ascii="Calibri" w:hAnsi="Calibri" w:cs="Calibri"/>
          <w:sz w:val="18"/>
          <w:szCs w:val="18"/>
        </w:rPr>
        <w:t>Muir</w:t>
      </w:r>
      <w:r>
        <w:rPr>
          <w:rFonts w:ascii="Calibri" w:hAnsi="Calibri" w:cs="Calibri"/>
          <w:sz w:val="18"/>
          <w:szCs w:val="18"/>
        </w:rPr>
        <w:t xml:space="preserve"> and G</w:t>
      </w:r>
      <w:r w:rsidRPr="004A1EB5">
        <w:rPr>
          <w:rFonts w:ascii="Calibri" w:hAnsi="Calibri" w:cs="Calibri"/>
          <w:sz w:val="18"/>
          <w:szCs w:val="18"/>
        </w:rPr>
        <w:t> Daraganova, </w:t>
      </w:r>
      <w:hyperlink r:id="rId61" w:history="1">
        <w:r w:rsidRPr="004A1EB5">
          <w:rPr>
            <w:rStyle w:val="Hyperlink"/>
            <w:rFonts w:ascii="Calibri" w:hAnsi="Calibri" w:cs="Calibri"/>
            <w:i/>
            <w:iCs/>
            <w:sz w:val="18"/>
            <w:szCs w:val="18"/>
          </w:rPr>
          <w:t>Transition and Wellbeing Research Program: Family Wellbeing Study, Summary Report</w:t>
        </w:r>
      </w:hyperlink>
      <w:r>
        <w:rPr>
          <w:rFonts w:ascii="Calibri" w:hAnsi="Calibri" w:cs="Calibri"/>
          <w:sz w:val="18"/>
          <w:szCs w:val="18"/>
        </w:rPr>
        <w:t>,</w:t>
      </w:r>
      <w:r w:rsidRPr="004A1EB5">
        <w:rPr>
          <w:rFonts w:ascii="Calibri" w:hAnsi="Calibri" w:cs="Calibri"/>
          <w:sz w:val="18"/>
          <w:szCs w:val="18"/>
        </w:rPr>
        <w:t> Department of Defence and Department of Veterans</w:t>
      </w:r>
      <w:r>
        <w:rPr>
          <w:rFonts w:ascii="Calibri" w:hAnsi="Calibri" w:cs="Calibri"/>
          <w:sz w:val="18"/>
          <w:szCs w:val="18"/>
        </w:rPr>
        <w:t>’</w:t>
      </w:r>
      <w:r w:rsidRPr="004A1EB5">
        <w:rPr>
          <w:rFonts w:ascii="Calibri" w:hAnsi="Calibri" w:cs="Calibri"/>
          <w:sz w:val="18"/>
          <w:szCs w:val="18"/>
        </w:rPr>
        <w:t> Affairs</w:t>
      </w:r>
      <w:r>
        <w:rPr>
          <w:rFonts w:ascii="Calibri" w:hAnsi="Calibri" w:cs="Calibri"/>
          <w:sz w:val="18"/>
          <w:szCs w:val="18"/>
        </w:rPr>
        <w:t xml:space="preserve">, Canberra, 2018 </w:t>
      </w:r>
      <w:r w:rsidRPr="004A1EB5">
        <w:rPr>
          <w:rFonts w:ascii="Calibri" w:hAnsi="Calibri" w:cs="Calibri"/>
          <w:b/>
          <w:bCs/>
          <w:sz w:val="18"/>
          <w:szCs w:val="18"/>
        </w:rPr>
        <w:t>and</w:t>
      </w:r>
      <w:r>
        <w:rPr>
          <w:rFonts w:ascii="Calibri" w:hAnsi="Calibri" w:cs="Calibri"/>
          <w:sz w:val="18"/>
          <w:szCs w:val="18"/>
        </w:rPr>
        <w:t xml:space="preserve"> C Tan, </w:t>
      </w:r>
      <w:hyperlink r:id="rId62" w:history="1">
        <w:r w:rsidRPr="004A1EB5">
          <w:rPr>
            <w:rStyle w:val="Hyperlink"/>
            <w:rFonts w:ascii="Calibri" w:hAnsi="Calibri" w:cs="Calibri"/>
            <w:i/>
            <w:iCs/>
            <w:sz w:val="18"/>
            <w:szCs w:val="18"/>
          </w:rPr>
          <w:t>Australian Defence Force Families research 2019</w:t>
        </w:r>
      </w:hyperlink>
      <w:r>
        <w:rPr>
          <w:rFonts w:ascii="Calibri" w:hAnsi="Calibri" w:cs="Calibri"/>
          <w:sz w:val="18"/>
          <w:szCs w:val="18"/>
        </w:rPr>
        <w:t>, Directorate of People Intelligence &amp; Research, 2020</w:t>
      </w:r>
      <w:r w:rsidRPr="004A1EB5">
        <w:rPr>
          <w:rFonts w:ascii="Calibri" w:hAnsi="Calibri" w:cs="Calibri"/>
          <w:sz w:val="18"/>
          <w:szCs w:val="18"/>
        </w:rPr>
        <w:t>.</w:t>
      </w:r>
      <w:r>
        <w:t> </w:t>
      </w:r>
      <w:bookmarkEnd w:id="9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58C" w14:textId="4DC0196C" w:rsidR="00946490" w:rsidRPr="00946490" w:rsidRDefault="00946490" w:rsidP="00946490">
    <w:pPr>
      <w:pStyle w:val="Header"/>
      <w:ind w:left="-1418"/>
    </w:pPr>
    <w:r>
      <w:ptab w:relativeTo="margin" w:alignment="left" w:leader="none"/>
    </w:r>
    <w:r>
      <w:rPr>
        <w:noProof/>
      </w:rPr>
      <w:drawing>
        <wp:inline distT="0" distB="0" distL="0" distR="0" wp14:anchorId="5D9C2CE8" wp14:editId="45DFC14A">
          <wp:extent cx="7524750" cy="1683385"/>
          <wp:effectExtent l="0" t="0" r="0" b="0"/>
          <wp:docPr id="25487296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72960"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5018" cy="1683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04B2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0717F"/>
    <w:multiLevelType w:val="hybridMultilevel"/>
    <w:tmpl w:val="EC262216"/>
    <w:lvl w:ilvl="0" w:tplc="3ADC9894">
      <w:start w:val="1"/>
      <w:numFmt w:val="bullet"/>
      <w:lvlText w:val=""/>
      <w:lvlJc w:val="left"/>
      <w:pPr>
        <w:ind w:left="360" w:hanging="360"/>
      </w:pPr>
      <w:rPr>
        <w:rFonts w:ascii="Symbol" w:hAnsi="Symbol" w:hint="default"/>
      </w:rPr>
    </w:lvl>
    <w:lvl w:ilvl="1" w:tplc="FAA411BA" w:tentative="1">
      <w:start w:val="1"/>
      <w:numFmt w:val="bullet"/>
      <w:lvlText w:val="o"/>
      <w:lvlJc w:val="left"/>
      <w:pPr>
        <w:ind w:left="1080" w:hanging="360"/>
      </w:pPr>
      <w:rPr>
        <w:rFonts w:ascii="Courier New" w:hAnsi="Courier New" w:cs="Courier New" w:hint="default"/>
      </w:rPr>
    </w:lvl>
    <w:lvl w:ilvl="2" w:tplc="7EBEE616" w:tentative="1">
      <w:start w:val="1"/>
      <w:numFmt w:val="bullet"/>
      <w:lvlText w:val=""/>
      <w:lvlJc w:val="left"/>
      <w:pPr>
        <w:ind w:left="1800" w:hanging="360"/>
      </w:pPr>
      <w:rPr>
        <w:rFonts w:ascii="Wingdings" w:hAnsi="Wingdings" w:hint="default"/>
      </w:rPr>
    </w:lvl>
    <w:lvl w:ilvl="3" w:tplc="7B028B50" w:tentative="1">
      <w:start w:val="1"/>
      <w:numFmt w:val="bullet"/>
      <w:lvlText w:val=""/>
      <w:lvlJc w:val="left"/>
      <w:pPr>
        <w:ind w:left="2520" w:hanging="360"/>
      </w:pPr>
      <w:rPr>
        <w:rFonts w:ascii="Symbol" w:hAnsi="Symbol" w:hint="default"/>
      </w:rPr>
    </w:lvl>
    <w:lvl w:ilvl="4" w:tplc="E082991A" w:tentative="1">
      <w:start w:val="1"/>
      <w:numFmt w:val="bullet"/>
      <w:lvlText w:val="o"/>
      <w:lvlJc w:val="left"/>
      <w:pPr>
        <w:ind w:left="3240" w:hanging="360"/>
      </w:pPr>
      <w:rPr>
        <w:rFonts w:ascii="Courier New" w:hAnsi="Courier New" w:cs="Courier New" w:hint="default"/>
      </w:rPr>
    </w:lvl>
    <w:lvl w:ilvl="5" w:tplc="1686820C" w:tentative="1">
      <w:start w:val="1"/>
      <w:numFmt w:val="bullet"/>
      <w:lvlText w:val=""/>
      <w:lvlJc w:val="left"/>
      <w:pPr>
        <w:ind w:left="3960" w:hanging="360"/>
      </w:pPr>
      <w:rPr>
        <w:rFonts w:ascii="Wingdings" w:hAnsi="Wingdings" w:hint="default"/>
      </w:rPr>
    </w:lvl>
    <w:lvl w:ilvl="6" w:tplc="82185F2E" w:tentative="1">
      <w:start w:val="1"/>
      <w:numFmt w:val="bullet"/>
      <w:lvlText w:val=""/>
      <w:lvlJc w:val="left"/>
      <w:pPr>
        <w:ind w:left="4680" w:hanging="360"/>
      </w:pPr>
      <w:rPr>
        <w:rFonts w:ascii="Symbol" w:hAnsi="Symbol" w:hint="default"/>
      </w:rPr>
    </w:lvl>
    <w:lvl w:ilvl="7" w:tplc="CDAAAFCE" w:tentative="1">
      <w:start w:val="1"/>
      <w:numFmt w:val="bullet"/>
      <w:lvlText w:val="o"/>
      <w:lvlJc w:val="left"/>
      <w:pPr>
        <w:ind w:left="5400" w:hanging="360"/>
      </w:pPr>
      <w:rPr>
        <w:rFonts w:ascii="Courier New" w:hAnsi="Courier New" w:cs="Courier New" w:hint="default"/>
      </w:rPr>
    </w:lvl>
    <w:lvl w:ilvl="8" w:tplc="0FF44F4A" w:tentative="1">
      <w:start w:val="1"/>
      <w:numFmt w:val="bullet"/>
      <w:lvlText w:val=""/>
      <w:lvlJc w:val="left"/>
      <w:pPr>
        <w:ind w:left="6120" w:hanging="360"/>
      </w:pPr>
      <w:rPr>
        <w:rFonts w:ascii="Wingdings" w:hAnsi="Wingdings" w:hint="default"/>
      </w:rPr>
    </w:lvl>
  </w:abstractNum>
  <w:abstractNum w:abstractNumId="2" w15:restartNumberingAfterBreak="0">
    <w:nsid w:val="1D713B83"/>
    <w:multiLevelType w:val="hybridMultilevel"/>
    <w:tmpl w:val="C63C7402"/>
    <w:lvl w:ilvl="0" w:tplc="AA4EF4CC">
      <w:start w:val="1"/>
      <w:numFmt w:val="bullet"/>
      <w:lvlText w:val=""/>
      <w:lvlJc w:val="left"/>
      <w:pPr>
        <w:ind w:left="720" w:hanging="360"/>
      </w:pPr>
      <w:rPr>
        <w:rFonts w:ascii="Symbol" w:hAnsi="Symbol" w:hint="default"/>
      </w:rPr>
    </w:lvl>
    <w:lvl w:ilvl="1" w:tplc="FD44DD74" w:tentative="1">
      <w:start w:val="1"/>
      <w:numFmt w:val="bullet"/>
      <w:lvlText w:val="o"/>
      <w:lvlJc w:val="left"/>
      <w:pPr>
        <w:ind w:left="1440" w:hanging="360"/>
      </w:pPr>
      <w:rPr>
        <w:rFonts w:ascii="Courier New" w:hAnsi="Courier New" w:cs="Courier New" w:hint="default"/>
      </w:rPr>
    </w:lvl>
    <w:lvl w:ilvl="2" w:tplc="4A7624F4" w:tentative="1">
      <w:start w:val="1"/>
      <w:numFmt w:val="bullet"/>
      <w:lvlText w:val=""/>
      <w:lvlJc w:val="left"/>
      <w:pPr>
        <w:ind w:left="2160" w:hanging="360"/>
      </w:pPr>
      <w:rPr>
        <w:rFonts w:ascii="Wingdings" w:hAnsi="Wingdings" w:hint="default"/>
      </w:rPr>
    </w:lvl>
    <w:lvl w:ilvl="3" w:tplc="F14A4400" w:tentative="1">
      <w:start w:val="1"/>
      <w:numFmt w:val="bullet"/>
      <w:lvlText w:val=""/>
      <w:lvlJc w:val="left"/>
      <w:pPr>
        <w:ind w:left="2880" w:hanging="360"/>
      </w:pPr>
      <w:rPr>
        <w:rFonts w:ascii="Symbol" w:hAnsi="Symbol" w:hint="default"/>
      </w:rPr>
    </w:lvl>
    <w:lvl w:ilvl="4" w:tplc="1A78CB7A" w:tentative="1">
      <w:start w:val="1"/>
      <w:numFmt w:val="bullet"/>
      <w:lvlText w:val="o"/>
      <w:lvlJc w:val="left"/>
      <w:pPr>
        <w:ind w:left="3600" w:hanging="360"/>
      </w:pPr>
      <w:rPr>
        <w:rFonts w:ascii="Courier New" w:hAnsi="Courier New" w:cs="Courier New" w:hint="default"/>
      </w:rPr>
    </w:lvl>
    <w:lvl w:ilvl="5" w:tplc="A384A238" w:tentative="1">
      <w:start w:val="1"/>
      <w:numFmt w:val="bullet"/>
      <w:lvlText w:val=""/>
      <w:lvlJc w:val="left"/>
      <w:pPr>
        <w:ind w:left="4320" w:hanging="360"/>
      </w:pPr>
      <w:rPr>
        <w:rFonts w:ascii="Wingdings" w:hAnsi="Wingdings" w:hint="default"/>
      </w:rPr>
    </w:lvl>
    <w:lvl w:ilvl="6" w:tplc="B5AC2BE6" w:tentative="1">
      <w:start w:val="1"/>
      <w:numFmt w:val="bullet"/>
      <w:lvlText w:val=""/>
      <w:lvlJc w:val="left"/>
      <w:pPr>
        <w:ind w:left="5040" w:hanging="360"/>
      </w:pPr>
      <w:rPr>
        <w:rFonts w:ascii="Symbol" w:hAnsi="Symbol" w:hint="default"/>
      </w:rPr>
    </w:lvl>
    <w:lvl w:ilvl="7" w:tplc="7692412C" w:tentative="1">
      <w:start w:val="1"/>
      <w:numFmt w:val="bullet"/>
      <w:lvlText w:val="o"/>
      <w:lvlJc w:val="left"/>
      <w:pPr>
        <w:ind w:left="5760" w:hanging="360"/>
      </w:pPr>
      <w:rPr>
        <w:rFonts w:ascii="Courier New" w:hAnsi="Courier New" w:cs="Courier New" w:hint="default"/>
      </w:rPr>
    </w:lvl>
    <w:lvl w:ilvl="8" w:tplc="8CA86CDE" w:tentative="1">
      <w:start w:val="1"/>
      <w:numFmt w:val="bullet"/>
      <w:lvlText w:val=""/>
      <w:lvlJc w:val="left"/>
      <w:pPr>
        <w:ind w:left="6480" w:hanging="360"/>
      </w:pPr>
      <w:rPr>
        <w:rFonts w:ascii="Wingdings" w:hAnsi="Wingdings" w:hint="default"/>
      </w:rPr>
    </w:lvl>
  </w:abstractNum>
  <w:abstractNum w:abstractNumId="3" w15:restartNumberingAfterBreak="0">
    <w:nsid w:val="25D510C2"/>
    <w:multiLevelType w:val="hybridMultilevel"/>
    <w:tmpl w:val="1770763A"/>
    <w:lvl w:ilvl="0" w:tplc="0FFA5964">
      <w:start w:val="1"/>
      <w:numFmt w:val="bullet"/>
      <w:lvlText w:val=""/>
      <w:lvlJc w:val="left"/>
      <w:pPr>
        <w:ind w:left="360" w:hanging="360"/>
      </w:pPr>
      <w:rPr>
        <w:rFonts w:ascii="Symbol" w:hAnsi="Symbol" w:hint="default"/>
      </w:rPr>
    </w:lvl>
    <w:lvl w:ilvl="1" w:tplc="D33AD03C" w:tentative="1">
      <w:start w:val="1"/>
      <w:numFmt w:val="bullet"/>
      <w:lvlText w:val="o"/>
      <w:lvlJc w:val="left"/>
      <w:pPr>
        <w:ind w:left="1080" w:hanging="360"/>
      </w:pPr>
      <w:rPr>
        <w:rFonts w:ascii="Courier New" w:hAnsi="Courier New" w:cs="Courier New" w:hint="default"/>
      </w:rPr>
    </w:lvl>
    <w:lvl w:ilvl="2" w:tplc="1228085A" w:tentative="1">
      <w:start w:val="1"/>
      <w:numFmt w:val="bullet"/>
      <w:lvlText w:val=""/>
      <w:lvlJc w:val="left"/>
      <w:pPr>
        <w:ind w:left="1800" w:hanging="360"/>
      </w:pPr>
      <w:rPr>
        <w:rFonts w:ascii="Wingdings" w:hAnsi="Wingdings" w:hint="default"/>
      </w:rPr>
    </w:lvl>
    <w:lvl w:ilvl="3" w:tplc="E08E4B24" w:tentative="1">
      <w:start w:val="1"/>
      <w:numFmt w:val="bullet"/>
      <w:lvlText w:val=""/>
      <w:lvlJc w:val="left"/>
      <w:pPr>
        <w:ind w:left="2520" w:hanging="360"/>
      </w:pPr>
      <w:rPr>
        <w:rFonts w:ascii="Symbol" w:hAnsi="Symbol" w:hint="default"/>
      </w:rPr>
    </w:lvl>
    <w:lvl w:ilvl="4" w:tplc="12D4C028" w:tentative="1">
      <w:start w:val="1"/>
      <w:numFmt w:val="bullet"/>
      <w:lvlText w:val="o"/>
      <w:lvlJc w:val="left"/>
      <w:pPr>
        <w:ind w:left="3240" w:hanging="360"/>
      </w:pPr>
      <w:rPr>
        <w:rFonts w:ascii="Courier New" w:hAnsi="Courier New" w:cs="Courier New" w:hint="default"/>
      </w:rPr>
    </w:lvl>
    <w:lvl w:ilvl="5" w:tplc="6ED088F8" w:tentative="1">
      <w:start w:val="1"/>
      <w:numFmt w:val="bullet"/>
      <w:lvlText w:val=""/>
      <w:lvlJc w:val="left"/>
      <w:pPr>
        <w:ind w:left="3960" w:hanging="360"/>
      </w:pPr>
      <w:rPr>
        <w:rFonts w:ascii="Wingdings" w:hAnsi="Wingdings" w:hint="default"/>
      </w:rPr>
    </w:lvl>
    <w:lvl w:ilvl="6" w:tplc="0E3C55DA" w:tentative="1">
      <w:start w:val="1"/>
      <w:numFmt w:val="bullet"/>
      <w:lvlText w:val=""/>
      <w:lvlJc w:val="left"/>
      <w:pPr>
        <w:ind w:left="4680" w:hanging="360"/>
      </w:pPr>
      <w:rPr>
        <w:rFonts w:ascii="Symbol" w:hAnsi="Symbol" w:hint="default"/>
      </w:rPr>
    </w:lvl>
    <w:lvl w:ilvl="7" w:tplc="FF5AA988" w:tentative="1">
      <w:start w:val="1"/>
      <w:numFmt w:val="bullet"/>
      <w:lvlText w:val="o"/>
      <w:lvlJc w:val="left"/>
      <w:pPr>
        <w:ind w:left="5400" w:hanging="360"/>
      </w:pPr>
      <w:rPr>
        <w:rFonts w:ascii="Courier New" w:hAnsi="Courier New" w:cs="Courier New" w:hint="default"/>
      </w:rPr>
    </w:lvl>
    <w:lvl w:ilvl="8" w:tplc="3BDCB77A" w:tentative="1">
      <w:start w:val="1"/>
      <w:numFmt w:val="bullet"/>
      <w:lvlText w:val=""/>
      <w:lvlJc w:val="left"/>
      <w:pPr>
        <w:ind w:left="6120" w:hanging="360"/>
      </w:pPr>
      <w:rPr>
        <w:rFonts w:ascii="Wingdings" w:hAnsi="Wingdings" w:hint="default"/>
      </w:rPr>
    </w:lvl>
  </w:abstractNum>
  <w:abstractNum w:abstractNumId="4" w15:restartNumberingAfterBreak="0">
    <w:nsid w:val="38736319"/>
    <w:multiLevelType w:val="hybridMultilevel"/>
    <w:tmpl w:val="FE34B092"/>
    <w:lvl w:ilvl="0" w:tplc="144C2184">
      <w:start w:val="1"/>
      <w:numFmt w:val="bullet"/>
      <w:lvlText w:val=""/>
      <w:lvlJc w:val="left"/>
      <w:pPr>
        <w:ind w:left="360" w:hanging="360"/>
      </w:pPr>
      <w:rPr>
        <w:rFonts w:ascii="Symbol" w:hAnsi="Symbol" w:hint="default"/>
      </w:rPr>
    </w:lvl>
    <w:lvl w:ilvl="1" w:tplc="3A8A3B00" w:tentative="1">
      <w:start w:val="1"/>
      <w:numFmt w:val="bullet"/>
      <w:lvlText w:val="o"/>
      <w:lvlJc w:val="left"/>
      <w:pPr>
        <w:ind w:left="1080" w:hanging="360"/>
      </w:pPr>
      <w:rPr>
        <w:rFonts w:ascii="Courier New" w:hAnsi="Courier New" w:cs="Courier New" w:hint="default"/>
      </w:rPr>
    </w:lvl>
    <w:lvl w:ilvl="2" w:tplc="C2189F1C" w:tentative="1">
      <w:start w:val="1"/>
      <w:numFmt w:val="bullet"/>
      <w:lvlText w:val=""/>
      <w:lvlJc w:val="left"/>
      <w:pPr>
        <w:ind w:left="1800" w:hanging="360"/>
      </w:pPr>
      <w:rPr>
        <w:rFonts w:ascii="Wingdings" w:hAnsi="Wingdings" w:hint="default"/>
      </w:rPr>
    </w:lvl>
    <w:lvl w:ilvl="3" w:tplc="78389CF8" w:tentative="1">
      <w:start w:val="1"/>
      <w:numFmt w:val="bullet"/>
      <w:lvlText w:val=""/>
      <w:lvlJc w:val="left"/>
      <w:pPr>
        <w:ind w:left="2520" w:hanging="360"/>
      </w:pPr>
      <w:rPr>
        <w:rFonts w:ascii="Symbol" w:hAnsi="Symbol" w:hint="default"/>
      </w:rPr>
    </w:lvl>
    <w:lvl w:ilvl="4" w:tplc="638C5432" w:tentative="1">
      <w:start w:val="1"/>
      <w:numFmt w:val="bullet"/>
      <w:lvlText w:val="o"/>
      <w:lvlJc w:val="left"/>
      <w:pPr>
        <w:ind w:left="3240" w:hanging="360"/>
      </w:pPr>
      <w:rPr>
        <w:rFonts w:ascii="Courier New" w:hAnsi="Courier New" w:cs="Courier New" w:hint="default"/>
      </w:rPr>
    </w:lvl>
    <w:lvl w:ilvl="5" w:tplc="993C39BE" w:tentative="1">
      <w:start w:val="1"/>
      <w:numFmt w:val="bullet"/>
      <w:lvlText w:val=""/>
      <w:lvlJc w:val="left"/>
      <w:pPr>
        <w:ind w:left="3960" w:hanging="360"/>
      </w:pPr>
      <w:rPr>
        <w:rFonts w:ascii="Wingdings" w:hAnsi="Wingdings" w:hint="default"/>
      </w:rPr>
    </w:lvl>
    <w:lvl w:ilvl="6" w:tplc="9F3A1430" w:tentative="1">
      <w:start w:val="1"/>
      <w:numFmt w:val="bullet"/>
      <w:lvlText w:val=""/>
      <w:lvlJc w:val="left"/>
      <w:pPr>
        <w:ind w:left="4680" w:hanging="360"/>
      </w:pPr>
      <w:rPr>
        <w:rFonts w:ascii="Symbol" w:hAnsi="Symbol" w:hint="default"/>
      </w:rPr>
    </w:lvl>
    <w:lvl w:ilvl="7" w:tplc="D786B1E0" w:tentative="1">
      <w:start w:val="1"/>
      <w:numFmt w:val="bullet"/>
      <w:lvlText w:val="o"/>
      <w:lvlJc w:val="left"/>
      <w:pPr>
        <w:ind w:left="5400" w:hanging="360"/>
      </w:pPr>
      <w:rPr>
        <w:rFonts w:ascii="Courier New" w:hAnsi="Courier New" w:cs="Courier New" w:hint="default"/>
      </w:rPr>
    </w:lvl>
    <w:lvl w:ilvl="8" w:tplc="51A6C9C6" w:tentative="1">
      <w:start w:val="1"/>
      <w:numFmt w:val="bullet"/>
      <w:lvlText w:val=""/>
      <w:lvlJc w:val="left"/>
      <w:pPr>
        <w:ind w:left="6120" w:hanging="360"/>
      </w:pPr>
      <w:rPr>
        <w:rFonts w:ascii="Wingdings" w:hAnsi="Wingdings" w:hint="default"/>
      </w:rPr>
    </w:lvl>
  </w:abstractNum>
  <w:abstractNum w:abstractNumId="5" w15:restartNumberingAfterBreak="0">
    <w:nsid w:val="3D093EAA"/>
    <w:multiLevelType w:val="hybridMultilevel"/>
    <w:tmpl w:val="8D0A2288"/>
    <w:lvl w:ilvl="0" w:tplc="0A78FBB4">
      <w:start w:val="1"/>
      <w:numFmt w:val="bullet"/>
      <w:lvlText w:val=""/>
      <w:lvlJc w:val="left"/>
      <w:pPr>
        <w:ind w:left="360" w:hanging="360"/>
      </w:pPr>
      <w:rPr>
        <w:rFonts w:ascii="Symbol" w:hAnsi="Symbol" w:hint="default"/>
      </w:rPr>
    </w:lvl>
    <w:lvl w:ilvl="1" w:tplc="E284609E" w:tentative="1">
      <w:start w:val="1"/>
      <w:numFmt w:val="bullet"/>
      <w:lvlText w:val="o"/>
      <w:lvlJc w:val="left"/>
      <w:pPr>
        <w:ind w:left="1080" w:hanging="360"/>
      </w:pPr>
      <w:rPr>
        <w:rFonts w:ascii="Courier New" w:hAnsi="Courier New" w:cs="Courier New" w:hint="default"/>
      </w:rPr>
    </w:lvl>
    <w:lvl w:ilvl="2" w:tplc="F44801F2" w:tentative="1">
      <w:start w:val="1"/>
      <w:numFmt w:val="bullet"/>
      <w:lvlText w:val=""/>
      <w:lvlJc w:val="left"/>
      <w:pPr>
        <w:ind w:left="1800" w:hanging="360"/>
      </w:pPr>
      <w:rPr>
        <w:rFonts w:ascii="Wingdings" w:hAnsi="Wingdings" w:hint="default"/>
      </w:rPr>
    </w:lvl>
    <w:lvl w:ilvl="3" w:tplc="08282F8C" w:tentative="1">
      <w:start w:val="1"/>
      <w:numFmt w:val="bullet"/>
      <w:lvlText w:val=""/>
      <w:lvlJc w:val="left"/>
      <w:pPr>
        <w:ind w:left="2520" w:hanging="360"/>
      </w:pPr>
      <w:rPr>
        <w:rFonts w:ascii="Symbol" w:hAnsi="Symbol" w:hint="default"/>
      </w:rPr>
    </w:lvl>
    <w:lvl w:ilvl="4" w:tplc="77E27408" w:tentative="1">
      <w:start w:val="1"/>
      <w:numFmt w:val="bullet"/>
      <w:lvlText w:val="o"/>
      <w:lvlJc w:val="left"/>
      <w:pPr>
        <w:ind w:left="3240" w:hanging="360"/>
      </w:pPr>
      <w:rPr>
        <w:rFonts w:ascii="Courier New" w:hAnsi="Courier New" w:cs="Courier New" w:hint="default"/>
      </w:rPr>
    </w:lvl>
    <w:lvl w:ilvl="5" w:tplc="C2E2D840" w:tentative="1">
      <w:start w:val="1"/>
      <w:numFmt w:val="bullet"/>
      <w:lvlText w:val=""/>
      <w:lvlJc w:val="left"/>
      <w:pPr>
        <w:ind w:left="3960" w:hanging="360"/>
      </w:pPr>
      <w:rPr>
        <w:rFonts w:ascii="Wingdings" w:hAnsi="Wingdings" w:hint="default"/>
      </w:rPr>
    </w:lvl>
    <w:lvl w:ilvl="6" w:tplc="9A60FB7A" w:tentative="1">
      <w:start w:val="1"/>
      <w:numFmt w:val="bullet"/>
      <w:lvlText w:val=""/>
      <w:lvlJc w:val="left"/>
      <w:pPr>
        <w:ind w:left="4680" w:hanging="360"/>
      </w:pPr>
      <w:rPr>
        <w:rFonts w:ascii="Symbol" w:hAnsi="Symbol" w:hint="default"/>
      </w:rPr>
    </w:lvl>
    <w:lvl w:ilvl="7" w:tplc="1CAAF12A" w:tentative="1">
      <w:start w:val="1"/>
      <w:numFmt w:val="bullet"/>
      <w:lvlText w:val="o"/>
      <w:lvlJc w:val="left"/>
      <w:pPr>
        <w:ind w:left="5400" w:hanging="360"/>
      </w:pPr>
      <w:rPr>
        <w:rFonts w:ascii="Courier New" w:hAnsi="Courier New" w:cs="Courier New" w:hint="default"/>
      </w:rPr>
    </w:lvl>
    <w:lvl w:ilvl="8" w:tplc="995A7D42" w:tentative="1">
      <w:start w:val="1"/>
      <w:numFmt w:val="bullet"/>
      <w:lvlText w:val=""/>
      <w:lvlJc w:val="left"/>
      <w:pPr>
        <w:ind w:left="6120" w:hanging="360"/>
      </w:pPr>
      <w:rPr>
        <w:rFonts w:ascii="Wingdings" w:hAnsi="Wingdings" w:hint="default"/>
      </w:rPr>
    </w:lvl>
  </w:abstractNum>
  <w:abstractNum w:abstractNumId="6" w15:restartNumberingAfterBreak="0">
    <w:nsid w:val="41A92777"/>
    <w:multiLevelType w:val="hybridMultilevel"/>
    <w:tmpl w:val="96C47D7E"/>
    <w:lvl w:ilvl="0" w:tplc="CB9E1828">
      <w:start w:val="1"/>
      <w:numFmt w:val="bullet"/>
      <w:lvlText w:val=""/>
      <w:lvlJc w:val="left"/>
      <w:pPr>
        <w:ind w:left="360" w:hanging="360"/>
      </w:pPr>
      <w:rPr>
        <w:rFonts w:ascii="Symbol" w:hAnsi="Symbol" w:hint="default"/>
      </w:rPr>
    </w:lvl>
    <w:lvl w:ilvl="1" w:tplc="F8547352" w:tentative="1">
      <w:start w:val="1"/>
      <w:numFmt w:val="bullet"/>
      <w:lvlText w:val="o"/>
      <w:lvlJc w:val="left"/>
      <w:pPr>
        <w:ind w:left="1080" w:hanging="360"/>
      </w:pPr>
      <w:rPr>
        <w:rFonts w:ascii="Courier New" w:hAnsi="Courier New" w:cs="Courier New" w:hint="default"/>
      </w:rPr>
    </w:lvl>
    <w:lvl w:ilvl="2" w:tplc="A3EADD3C" w:tentative="1">
      <w:start w:val="1"/>
      <w:numFmt w:val="bullet"/>
      <w:lvlText w:val=""/>
      <w:lvlJc w:val="left"/>
      <w:pPr>
        <w:ind w:left="1800" w:hanging="360"/>
      </w:pPr>
      <w:rPr>
        <w:rFonts w:ascii="Wingdings" w:hAnsi="Wingdings" w:hint="default"/>
      </w:rPr>
    </w:lvl>
    <w:lvl w:ilvl="3" w:tplc="E05E21B8" w:tentative="1">
      <w:start w:val="1"/>
      <w:numFmt w:val="bullet"/>
      <w:lvlText w:val=""/>
      <w:lvlJc w:val="left"/>
      <w:pPr>
        <w:ind w:left="2520" w:hanging="360"/>
      </w:pPr>
      <w:rPr>
        <w:rFonts w:ascii="Symbol" w:hAnsi="Symbol" w:hint="default"/>
      </w:rPr>
    </w:lvl>
    <w:lvl w:ilvl="4" w:tplc="F3D6DCB8" w:tentative="1">
      <w:start w:val="1"/>
      <w:numFmt w:val="bullet"/>
      <w:lvlText w:val="o"/>
      <w:lvlJc w:val="left"/>
      <w:pPr>
        <w:ind w:left="3240" w:hanging="360"/>
      </w:pPr>
      <w:rPr>
        <w:rFonts w:ascii="Courier New" w:hAnsi="Courier New" w:cs="Courier New" w:hint="default"/>
      </w:rPr>
    </w:lvl>
    <w:lvl w:ilvl="5" w:tplc="1DA0C5AC" w:tentative="1">
      <w:start w:val="1"/>
      <w:numFmt w:val="bullet"/>
      <w:lvlText w:val=""/>
      <w:lvlJc w:val="left"/>
      <w:pPr>
        <w:ind w:left="3960" w:hanging="360"/>
      </w:pPr>
      <w:rPr>
        <w:rFonts w:ascii="Wingdings" w:hAnsi="Wingdings" w:hint="default"/>
      </w:rPr>
    </w:lvl>
    <w:lvl w:ilvl="6" w:tplc="EB522B1E" w:tentative="1">
      <w:start w:val="1"/>
      <w:numFmt w:val="bullet"/>
      <w:lvlText w:val=""/>
      <w:lvlJc w:val="left"/>
      <w:pPr>
        <w:ind w:left="4680" w:hanging="360"/>
      </w:pPr>
      <w:rPr>
        <w:rFonts w:ascii="Symbol" w:hAnsi="Symbol" w:hint="default"/>
      </w:rPr>
    </w:lvl>
    <w:lvl w:ilvl="7" w:tplc="A31CEF9A" w:tentative="1">
      <w:start w:val="1"/>
      <w:numFmt w:val="bullet"/>
      <w:lvlText w:val="o"/>
      <w:lvlJc w:val="left"/>
      <w:pPr>
        <w:ind w:left="5400" w:hanging="360"/>
      </w:pPr>
      <w:rPr>
        <w:rFonts w:ascii="Courier New" w:hAnsi="Courier New" w:cs="Courier New" w:hint="default"/>
      </w:rPr>
    </w:lvl>
    <w:lvl w:ilvl="8" w:tplc="99E0A8E0" w:tentative="1">
      <w:start w:val="1"/>
      <w:numFmt w:val="bullet"/>
      <w:lvlText w:val=""/>
      <w:lvlJc w:val="left"/>
      <w:pPr>
        <w:ind w:left="6120" w:hanging="360"/>
      </w:pPr>
      <w:rPr>
        <w:rFonts w:ascii="Wingdings" w:hAnsi="Wingdings" w:hint="default"/>
      </w:rPr>
    </w:lvl>
  </w:abstractNum>
  <w:abstractNum w:abstractNumId="7" w15:restartNumberingAfterBreak="0">
    <w:nsid w:val="43C80D8D"/>
    <w:multiLevelType w:val="hybridMultilevel"/>
    <w:tmpl w:val="3648BD64"/>
    <w:lvl w:ilvl="0" w:tplc="336AEC3E">
      <w:start w:val="1"/>
      <w:numFmt w:val="bullet"/>
      <w:lvlText w:val=""/>
      <w:lvlJc w:val="left"/>
      <w:pPr>
        <w:ind w:left="720" w:hanging="360"/>
      </w:pPr>
      <w:rPr>
        <w:rFonts w:ascii="Symbol" w:hAnsi="Symbol" w:hint="default"/>
      </w:rPr>
    </w:lvl>
    <w:lvl w:ilvl="1" w:tplc="B3963612" w:tentative="1">
      <w:start w:val="1"/>
      <w:numFmt w:val="bullet"/>
      <w:lvlText w:val="o"/>
      <w:lvlJc w:val="left"/>
      <w:pPr>
        <w:ind w:left="1440" w:hanging="360"/>
      </w:pPr>
      <w:rPr>
        <w:rFonts w:ascii="Courier New" w:hAnsi="Courier New" w:cs="Courier New" w:hint="default"/>
      </w:rPr>
    </w:lvl>
    <w:lvl w:ilvl="2" w:tplc="B978A676" w:tentative="1">
      <w:start w:val="1"/>
      <w:numFmt w:val="bullet"/>
      <w:lvlText w:val=""/>
      <w:lvlJc w:val="left"/>
      <w:pPr>
        <w:ind w:left="2160" w:hanging="360"/>
      </w:pPr>
      <w:rPr>
        <w:rFonts w:ascii="Wingdings" w:hAnsi="Wingdings" w:hint="default"/>
      </w:rPr>
    </w:lvl>
    <w:lvl w:ilvl="3" w:tplc="7DFC90CA" w:tentative="1">
      <w:start w:val="1"/>
      <w:numFmt w:val="bullet"/>
      <w:lvlText w:val=""/>
      <w:lvlJc w:val="left"/>
      <w:pPr>
        <w:ind w:left="2880" w:hanging="360"/>
      </w:pPr>
      <w:rPr>
        <w:rFonts w:ascii="Symbol" w:hAnsi="Symbol" w:hint="default"/>
      </w:rPr>
    </w:lvl>
    <w:lvl w:ilvl="4" w:tplc="3A2CFE58" w:tentative="1">
      <w:start w:val="1"/>
      <w:numFmt w:val="bullet"/>
      <w:lvlText w:val="o"/>
      <w:lvlJc w:val="left"/>
      <w:pPr>
        <w:ind w:left="3600" w:hanging="360"/>
      </w:pPr>
      <w:rPr>
        <w:rFonts w:ascii="Courier New" w:hAnsi="Courier New" w:cs="Courier New" w:hint="default"/>
      </w:rPr>
    </w:lvl>
    <w:lvl w:ilvl="5" w:tplc="2B12BF56" w:tentative="1">
      <w:start w:val="1"/>
      <w:numFmt w:val="bullet"/>
      <w:lvlText w:val=""/>
      <w:lvlJc w:val="left"/>
      <w:pPr>
        <w:ind w:left="4320" w:hanging="360"/>
      </w:pPr>
      <w:rPr>
        <w:rFonts w:ascii="Wingdings" w:hAnsi="Wingdings" w:hint="default"/>
      </w:rPr>
    </w:lvl>
    <w:lvl w:ilvl="6" w:tplc="C59C6886" w:tentative="1">
      <w:start w:val="1"/>
      <w:numFmt w:val="bullet"/>
      <w:lvlText w:val=""/>
      <w:lvlJc w:val="left"/>
      <w:pPr>
        <w:ind w:left="5040" w:hanging="360"/>
      </w:pPr>
      <w:rPr>
        <w:rFonts w:ascii="Symbol" w:hAnsi="Symbol" w:hint="default"/>
      </w:rPr>
    </w:lvl>
    <w:lvl w:ilvl="7" w:tplc="579A4620" w:tentative="1">
      <w:start w:val="1"/>
      <w:numFmt w:val="bullet"/>
      <w:lvlText w:val="o"/>
      <w:lvlJc w:val="left"/>
      <w:pPr>
        <w:ind w:left="5760" w:hanging="360"/>
      </w:pPr>
      <w:rPr>
        <w:rFonts w:ascii="Courier New" w:hAnsi="Courier New" w:cs="Courier New" w:hint="default"/>
      </w:rPr>
    </w:lvl>
    <w:lvl w:ilvl="8" w:tplc="BD4CC14A" w:tentative="1">
      <w:start w:val="1"/>
      <w:numFmt w:val="bullet"/>
      <w:lvlText w:val=""/>
      <w:lvlJc w:val="left"/>
      <w:pPr>
        <w:ind w:left="6480" w:hanging="360"/>
      </w:pPr>
      <w:rPr>
        <w:rFonts w:ascii="Wingdings" w:hAnsi="Wingdings" w:hint="default"/>
      </w:rPr>
    </w:lvl>
  </w:abstractNum>
  <w:abstractNum w:abstractNumId="8" w15:restartNumberingAfterBreak="0">
    <w:nsid w:val="503D6AF4"/>
    <w:multiLevelType w:val="hybridMultilevel"/>
    <w:tmpl w:val="EA263B12"/>
    <w:lvl w:ilvl="0" w:tplc="4686E0E6">
      <w:numFmt w:val="bullet"/>
      <w:lvlText w:val="-"/>
      <w:lvlJc w:val="left"/>
      <w:pPr>
        <w:ind w:left="720" w:hanging="360"/>
      </w:pPr>
      <w:rPr>
        <w:rFonts w:ascii="Century Gothic" w:eastAsiaTheme="minorEastAsia" w:hAnsi="Century Gothic" w:cstheme="minorBidi" w:hint="default"/>
      </w:rPr>
    </w:lvl>
    <w:lvl w:ilvl="1" w:tplc="73B0C330" w:tentative="1">
      <w:start w:val="1"/>
      <w:numFmt w:val="bullet"/>
      <w:lvlText w:val="o"/>
      <w:lvlJc w:val="left"/>
      <w:pPr>
        <w:ind w:left="1440" w:hanging="360"/>
      </w:pPr>
      <w:rPr>
        <w:rFonts w:ascii="Courier New" w:hAnsi="Courier New" w:cs="Courier New" w:hint="default"/>
      </w:rPr>
    </w:lvl>
    <w:lvl w:ilvl="2" w:tplc="AD228648" w:tentative="1">
      <w:start w:val="1"/>
      <w:numFmt w:val="bullet"/>
      <w:lvlText w:val=""/>
      <w:lvlJc w:val="left"/>
      <w:pPr>
        <w:ind w:left="2160" w:hanging="360"/>
      </w:pPr>
      <w:rPr>
        <w:rFonts w:ascii="Wingdings" w:hAnsi="Wingdings" w:hint="default"/>
      </w:rPr>
    </w:lvl>
    <w:lvl w:ilvl="3" w:tplc="1ACE9D2C" w:tentative="1">
      <w:start w:val="1"/>
      <w:numFmt w:val="bullet"/>
      <w:lvlText w:val=""/>
      <w:lvlJc w:val="left"/>
      <w:pPr>
        <w:ind w:left="2880" w:hanging="360"/>
      </w:pPr>
      <w:rPr>
        <w:rFonts w:ascii="Symbol" w:hAnsi="Symbol" w:hint="default"/>
      </w:rPr>
    </w:lvl>
    <w:lvl w:ilvl="4" w:tplc="24787A94" w:tentative="1">
      <w:start w:val="1"/>
      <w:numFmt w:val="bullet"/>
      <w:lvlText w:val="o"/>
      <w:lvlJc w:val="left"/>
      <w:pPr>
        <w:ind w:left="3600" w:hanging="360"/>
      </w:pPr>
      <w:rPr>
        <w:rFonts w:ascii="Courier New" w:hAnsi="Courier New" w:cs="Courier New" w:hint="default"/>
      </w:rPr>
    </w:lvl>
    <w:lvl w:ilvl="5" w:tplc="078A836E" w:tentative="1">
      <w:start w:val="1"/>
      <w:numFmt w:val="bullet"/>
      <w:lvlText w:val=""/>
      <w:lvlJc w:val="left"/>
      <w:pPr>
        <w:ind w:left="4320" w:hanging="360"/>
      </w:pPr>
      <w:rPr>
        <w:rFonts w:ascii="Wingdings" w:hAnsi="Wingdings" w:hint="default"/>
      </w:rPr>
    </w:lvl>
    <w:lvl w:ilvl="6" w:tplc="9420FD72" w:tentative="1">
      <w:start w:val="1"/>
      <w:numFmt w:val="bullet"/>
      <w:lvlText w:val=""/>
      <w:lvlJc w:val="left"/>
      <w:pPr>
        <w:ind w:left="5040" w:hanging="360"/>
      </w:pPr>
      <w:rPr>
        <w:rFonts w:ascii="Symbol" w:hAnsi="Symbol" w:hint="default"/>
      </w:rPr>
    </w:lvl>
    <w:lvl w:ilvl="7" w:tplc="8A8A5CDA" w:tentative="1">
      <w:start w:val="1"/>
      <w:numFmt w:val="bullet"/>
      <w:lvlText w:val="o"/>
      <w:lvlJc w:val="left"/>
      <w:pPr>
        <w:ind w:left="5760" w:hanging="360"/>
      </w:pPr>
      <w:rPr>
        <w:rFonts w:ascii="Courier New" w:hAnsi="Courier New" w:cs="Courier New" w:hint="default"/>
      </w:rPr>
    </w:lvl>
    <w:lvl w:ilvl="8" w:tplc="7BB201B2" w:tentative="1">
      <w:start w:val="1"/>
      <w:numFmt w:val="bullet"/>
      <w:lvlText w:val=""/>
      <w:lvlJc w:val="left"/>
      <w:pPr>
        <w:ind w:left="6480" w:hanging="360"/>
      </w:pPr>
      <w:rPr>
        <w:rFonts w:ascii="Wingdings" w:hAnsi="Wingdings" w:hint="default"/>
      </w:rPr>
    </w:lvl>
  </w:abstractNum>
  <w:abstractNum w:abstractNumId="9" w15:restartNumberingAfterBreak="0">
    <w:nsid w:val="538E2A6E"/>
    <w:multiLevelType w:val="hybridMultilevel"/>
    <w:tmpl w:val="C18A7B98"/>
    <w:lvl w:ilvl="0" w:tplc="7004A4F2">
      <w:start w:val="1"/>
      <w:numFmt w:val="bullet"/>
      <w:lvlText w:val=""/>
      <w:lvlJc w:val="left"/>
      <w:pPr>
        <w:ind w:left="360" w:hanging="360"/>
      </w:pPr>
      <w:rPr>
        <w:rFonts w:ascii="Symbol" w:hAnsi="Symbol" w:hint="default"/>
        <w:sz w:val="20"/>
        <w:szCs w:val="20"/>
      </w:rPr>
    </w:lvl>
    <w:lvl w:ilvl="1" w:tplc="82242C66">
      <w:start w:val="1"/>
      <w:numFmt w:val="bullet"/>
      <w:lvlText w:val="o"/>
      <w:lvlJc w:val="left"/>
      <w:pPr>
        <w:ind w:left="1080" w:hanging="360"/>
      </w:pPr>
      <w:rPr>
        <w:rFonts w:ascii="Courier New" w:hAnsi="Courier New" w:cs="Courier New" w:hint="default"/>
        <w:sz w:val="20"/>
        <w:szCs w:val="20"/>
      </w:rPr>
    </w:lvl>
    <w:lvl w:ilvl="2" w:tplc="BAEEF266">
      <w:start w:val="1"/>
      <w:numFmt w:val="bullet"/>
      <w:lvlText w:val=""/>
      <w:lvlJc w:val="left"/>
      <w:pPr>
        <w:ind w:left="1800" w:hanging="360"/>
      </w:pPr>
      <w:rPr>
        <w:rFonts w:ascii="Wingdings" w:hAnsi="Wingdings" w:hint="default"/>
      </w:rPr>
    </w:lvl>
    <w:lvl w:ilvl="3" w:tplc="E10075F0">
      <w:start w:val="1"/>
      <w:numFmt w:val="bullet"/>
      <w:lvlText w:val=""/>
      <w:lvlJc w:val="left"/>
      <w:pPr>
        <w:ind w:left="2520" w:hanging="360"/>
      </w:pPr>
      <w:rPr>
        <w:rFonts w:ascii="Symbol" w:hAnsi="Symbol" w:hint="default"/>
      </w:rPr>
    </w:lvl>
    <w:lvl w:ilvl="4" w:tplc="E9DAD548">
      <w:start w:val="1"/>
      <w:numFmt w:val="bullet"/>
      <w:lvlText w:val="o"/>
      <w:lvlJc w:val="left"/>
      <w:pPr>
        <w:ind w:left="3240" w:hanging="360"/>
      </w:pPr>
      <w:rPr>
        <w:rFonts w:ascii="Courier New" w:hAnsi="Courier New" w:cs="Courier New" w:hint="default"/>
      </w:rPr>
    </w:lvl>
    <w:lvl w:ilvl="5" w:tplc="C8A4EC6C">
      <w:start w:val="1"/>
      <w:numFmt w:val="bullet"/>
      <w:lvlText w:val=""/>
      <w:lvlJc w:val="left"/>
      <w:pPr>
        <w:ind w:left="3960" w:hanging="360"/>
      </w:pPr>
      <w:rPr>
        <w:rFonts w:ascii="Wingdings" w:hAnsi="Wingdings" w:hint="default"/>
      </w:rPr>
    </w:lvl>
    <w:lvl w:ilvl="6" w:tplc="A8042B9C">
      <w:start w:val="1"/>
      <w:numFmt w:val="bullet"/>
      <w:lvlText w:val=""/>
      <w:lvlJc w:val="left"/>
      <w:pPr>
        <w:ind w:left="4680" w:hanging="360"/>
      </w:pPr>
      <w:rPr>
        <w:rFonts w:ascii="Symbol" w:hAnsi="Symbol" w:hint="default"/>
      </w:rPr>
    </w:lvl>
    <w:lvl w:ilvl="7" w:tplc="857A22C0">
      <w:start w:val="1"/>
      <w:numFmt w:val="bullet"/>
      <w:lvlText w:val="o"/>
      <w:lvlJc w:val="left"/>
      <w:pPr>
        <w:ind w:left="5400" w:hanging="360"/>
      </w:pPr>
      <w:rPr>
        <w:rFonts w:ascii="Courier New" w:hAnsi="Courier New" w:cs="Courier New" w:hint="default"/>
      </w:rPr>
    </w:lvl>
    <w:lvl w:ilvl="8" w:tplc="A342BCE4">
      <w:start w:val="1"/>
      <w:numFmt w:val="bullet"/>
      <w:lvlText w:val=""/>
      <w:lvlJc w:val="left"/>
      <w:pPr>
        <w:ind w:left="6120" w:hanging="360"/>
      </w:pPr>
      <w:rPr>
        <w:rFonts w:ascii="Wingdings" w:hAnsi="Wingdings" w:hint="default"/>
      </w:rPr>
    </w:lvl>
  </w:abstractNum>
  <w:abstractNum w:abstractNumId="10" w15:restartNumberingAfterBreak="0">
    <w:nsid w:val="57B17BB7"/>
    <w:multiLevelType w:val="hybridMultilevel"/>
    <w:tmpl w:val="F6F8546E"/>
    <w:lvl w:ilvl="0" w:tplc="5F9667F2">
      <w:start w:val="1"/>
      <w:numFmt w:val="bullet"/>
      <w:pStyle w:val="ListBullet"/>
      <w:lvlText w:val=""/>
      <w:lvlJc w:val="left"/>
      <w:pPr>
        <w:ind w:left="783" w:hanging="360"/>
      </w:pPr>
      <w:rPr>
        <w:rFonts w:ascii="Symbol" w:hAnsi="Symbol" w:hint="default"/>
      </w:rPr>
    </w:lvl>
    <w:lvl w:ilvl="1" w:tplc="45E261BE" w:tentative="1">
      <w:start w:val="1"/>
      <w:numFmt w:val="bullet"/>
      <w:lvlText w:val="o"/>
      <w:lvlJc w:val="left"/>
      <w:pPr>
        <w:ind w:left="1503" w:hanging="360"/>
      </w:pPr>
      <w:rPr>
        <w:rFonts w:ascii="Courier New" w:hAnsi="Courier New" w:cs="Courier New" w:hint="default"/>
      </w:rPr>
    </w:lvl>
    <w:lvl w:ilvl="2" w:tplc="134000AE" w:tentative="1">
      <w:start w:val="1"/>
      <w:numFmt w:val="bullet"/>
      <w:lvlText w:val=""/>
      <w:lvlJc w:val="left"/>
      <w:pPr>
        <w:ind w:left="2223" w:hanging="360"/>
      </w:pPr>
      <w:rPr>
        <w:rFonts w:ascii="Wingdings" w:hAnsi="Wingdings" w:hint="default"/>
      </w:rPr>
    </w:lvl>
    <w:lvl w:ilvl="3" w:tplc="81CAAE42" w:tentative="1">
      <w:start w:val="1"/>
      <w:numFmt w:val="bullet"/>
      <w:lvlText w:val=""/>
      <w:lvlJc w:val="left"/>
      <w:pPr>
        <w:ind w:left="2943" w:hanging="360"/>
      </w:pPr>
      <w:rPr>
        <w:rFonts w:ascii="Symbol" w:hAnsi="Symbol" w:hint="default"/>
      </w:rPr>
    </w:lvl>
    <w:lvl w:ilvl="4" w:tplc="9060373A" w:tentative="1">
      <w:start w:val="1"/>
      <w:numFmt w:val="bullet"/>
      <w:lvlText w:val="o"/>
      <w:lvlJc w:val="left"/>
      <w:pPr>
        <w:ind w:left="3663" w:hanging="360"/>
      </w:pPr>
      <w:rPr>
        <w:rFonts w:ascii="Courier New" w:hAnsi="Courier New" w:cs="Courier New" w:hint="default"/>
      </w:rPr>
    </w:lvl>
    <w:lvl w:ilvl="5" w:tplc="31A856EC" w:tentative="1">
      <w:start w:val="1"/>
      <w:numFmt w:val="bullet"/>
      <w:lvlText w:val=""/>
      <w:lvlJc w:val="left"/>
      <w:pPr>
        <w:ind w:left="4383" w:hanging="360"/>
      </w:pPr>
      <w:rPr>
        <w:rFonts w:ascii="Wingdings" w:hAnsi="Wingdings" w:hint="default"/>
      </w:rPr>
    </w:lvl>
    <w:lvl w:ilvl="6" w:tplc="388CC162" w:tentative="1">
      <w:start w:val="1"/>
      <w:numFmt w:val="bullet"/>
      <w:lvlText w:val=""/>
      <w:lvlJc w:val="left"/>
      <w:pPr>
        <w:ind w:left="5103" w:hanging="360"/>
      </w:pPr>
      <w:rPr>
        <w:rFonts w:ascii="Symbol" w:hAnsi="Symbol" w:hint="default"/>
      </w:rPr>
    </w:lvl>
    <w:lvl w:ilvl="7" w:tplc="670E0462" w:tentative="1">
      <w:start w:val="1"/>
      <w:numFmt w:val="bullet"/>
      <w:lvlText w:val="o"/>
      <w:lvlJc w:val="left"/>
      <w:pPr>
        <w:ind w:left="5823" w:hanging="360"/>
      </w:pPr>
      <w:rPr>
        <w:rFonts w:ascii="Courier New" w:hAnsi="Courier New" w:cs="Courier New" w:hint="default"/>
      </w:rPr>
    </w:lvl>
    <w:lvl w:ilvl="8" w:tplc="9F6EAFE2" w:tentative="1">
      <w:start w:val="1"/>
      <w:numFmt w:val="bullet"/>
      <w:lvlText w:val=""/>
      <w:lvlJc w:val="left"/>
      <w:pPr>
        <w:ind w:left="6543" w:hanging="360"/>
      </w:pPr>
      <w:rPr>
        <w:rFonts w:ascii="Wingdings" w:hAnsi="Wingdings" w:hint="default"/>
      </w:rPr>
    </w:lvl>
  </w:abstractNum>
  <w:abstractNum w:abstractNumId="11" w15:restartNumberingAfterBreak="0">
    <w:nsid w:val="63C4199A"/>
    <w:multiLevelType w:val="hybridMultilevel"/>
    <w:tmpl w:val="60B6981E"/>
    <w:lvl w:ilvl="0" w:tplc="F41A4214">
      <w:start w:val="1"/>
      <w:numFmt w:val="bullet"/>
      <w:lvlText w:val=""/>
      <w:lvlJc w:val="left"/>
      <w:pPr>
        <w:ind w:left="720" w:hanging="360"/>
      </w:pPr>
      <w:rPr>
        <w:rFonts w:ascii="Symbol" w:hAnsi="Symbol" w:hint="default"/>
      </w:rPr>
    </w:lvl>
    <w:lvl w:ilvl="1" w:tplc="8C38D406" w:tentative="1">
      <w:start w:val="1"/>
      <w:numFmt w:val="bullet"/>
      <w:lvlText w:val="o"/>
      <w:lvlJc w:val="left"/>
      <w:pPr>
        <w:ind w:left="1440" w:hanging="360"/>
      </w:pPr>
      <w:rPr>
        <w:rFonts w:ascii="Courier New" w:hAnsi="Courier New" w:cs="Courier New" w:hint="default"/>
      </w:rPr>
    </w:lvl>
    <w:lvl w:ilvl="2" w:tplc="977279C4" w:tentative="1">
      <w:start w:val="1"/>
      <w:numFmt w:val="bullet"/>
      <w:lvlText w:val=""/>
      <w:lvlJc w:val="left"/>
      <w:pPr>
        <w:ind w:left="2160" w:hanging="360"/>
      </w:pPr>
      <w:rPr>
        <w:rFonts w:ascii="Wingdings" w:hAnsi="Wingdings" w:hint="default"/>
      </w:rPr>
    </w:lvl>
    <w:lvl w:ilvl="3" w:tplc="F46EE762" w:tentative="1">
      <w:start w:val="1"/>
      <w:numFmt w:val="bullet"/>
      <w:lvlText w:val=""/>
      <w:lvlJc w:val="left"/>
      <w:pPr>
        <w:ind w:left="2880" w:hanging="360"/>
      </w:pPr>
      <w:rPr>
        <w:rFonts w:ascii="Symbol" w:hAnsi="Symbol" w:hint="default"/>
      </w:rPr>
    </w:lvl>
    <w:lvl w:ilvl="4" w:tplc="3DE60052" w:tentative="1">
      <w:start w:val="1"/>
      <w:numFmt w:val="bullet"/>
      <w:lvlText w:val="o"/>
      <w:lvlJc w:val="left"/>
      <w:pPr>
        <w:ind w:left="3600" w:hanging="360"/>
      </w:pPr>
      <w:rPr>
        <w:rFonts w:ascii="Courier New" w:hAnsi="Courier New" w:cs="Courier New" w:hint="default"/>
      </w:rPr>
    </w:lvl>
    <w:lvl w:ilvl="5" w:tplc="C7F22598" w:tentative="1">
      <w:start w:val="1"/>
      <w:numFmt w:val="bullet"/>
      <w:lvlText w:val=""/>
      <w:lvlJc w:val="left"/>
      <w:pPr>
        <w:ind w:left="4320" w:hanging="360"/>
      </w:pPr>
      <w:rPr>
        <w:rFonts w:ascii="Wingdings" w:hAnsi="Wingdings" w:hint="default"/>
      </w:rPr>
    </w:lvl>
    <w:lvl w:ilvl="6" w:tplc="7E760ED6" w:tentative="1">
      <w:start w:val="1"/>
      <w:numFmt w:val="bullet"/>
      <w:lvlText w:val=""/>
      <w:lvlJc w:val="left"/>
      <w:pPr>
        <w:ind w:left="5040" w:hanging="360"/>
      </w:pPr>
      <w:rPr>
        <w:rFonts w:ascii="Symbol" w:hAnsi="Symbol" w:hint="default"/>
      </w:rPr>
    </w:lvl>
    <w:lvl w:ilvl="7" w:tplc="9DE4CBA8" w:tentative="1">
      <w:start w:val="1"/>
      <w:numFmt w:val="bullet"/>
      <w:lvlText w:val="o"/>
      <w:lvlJc w:val="left"/>
      <w:pPr>
        <w:ind w:left="5760" w:hanging="360"/>
      </w:pPr>
      <w:rPr>
        <w:rFonts w:ascii="Courier New" w:hAnsi="Courier New" w:cs="Courier New" w:hint="default"/>
      </w:rPr>
    </w:lvl>
    <w:lvl w:ilvl="8" w:tplc="61CA01C8" w:tentative="1">
      <w:start w:val="1"/>
      <w:numFmt w:val="bullet"/>
      <w:lvlText w:val=""/>
      <w:lvlJc w:val="left"/>
      <w:pPr>
        <w:ind w:left="6480" w:hanging="360"/>
      </w:pPr>
      <w:rPr>
        <w:rFonts w:ascii="Wingdings" w:hAnsi="Wingdings" w:hint="default"/>
      </w:rPr>
    </w:lvl>
  </w:abstractNum>
  <w:abstractNum w:abstractNumId="12" w15:restartNumberingAfterBreak="0">
    <w:nsid w:val="66CC7C06"/>
    <w:multiLevelType w:val="hybridMultilevel"/>
    <w:tmpl w:val="87788540"/>
    <w:lvl w:ilvl="0" w:tplc="2FA8A1E2">
      <w:start w:val="1"/>
      <w:numFmt w:val="bullet"/>
      <w:lvlText w:val=""/>
      <w:lvlJc w:val="left"/>
      <w:pPr>
        <w:ind w:left="720" w:hanging="360"/>
      </w:pPr>
      <w:rPr>
        <w:rFonts w:ascii="Symbol" w:hAnsi="Symbol" w:hint="default"/>
      </w:rPr>
    </w:lvl>
    <w:lvl w:ilvl="1" w:tplc="F8BCEA66" w:tentative="1">
      <w:start w:val="1"/>
      <w:numFmt w:val="bullet"/>
      <w:lvlText w:val="o"/>
      <w:lvlJc w:val="left"/>
      <w:pPr>
        <w:ind w:left="1440" w:hanging="360"/>
      </w:pPr>
      <w:rPr>
        <w:rFonts w:ascii="Courier New" w:hAnsi="Courier New" w:cs="Courier New" w:hint="default"/>
      </w:rPr>
    </w:lvl>
    <w:lvl w:ilvl="2" w:tplc="FA3C7A8C" w:tentative="1">
      <w:start w:val="1"/>
      <w:numFmt w:val="bullet"/>
      <w:lvlText w:val=""/>
      <w:lvlJc w:val="left"/>
      <w:pPr>
        <w:ind w:left="2160" w:hanging="360"/>
      </w:pPr>
      <w:rPr>
        <w:rFonts w:ascii="Wingdings" w:hAnsi="Wingdings" w:hint="default"/>
      </w:rPr>
    </w:lvl>
    <w:lvl w:ilvl="3" w:tplc="AA5C2C36" w:tentative="1">
      <w:start w:val="1"/>
      <w:numFmt w:val="bullet"/>
      <w:lvlText w:val=""/>
      <w:lvlJc w:val="left"/>
      <w:pPr>
        <w:ind w:left="2880" w:hanging="360"/>
      </w:pPr>
      <w:rPr>
        <w:rFonts w:ascii="Symbol" w:hAnsi="Symbol" w:hint="default"/>
      </w:rPr>
    </w:lvl>
    <w:lvl w:ilvl="4" w:tplc="97D8D266" w:tentative="1">
      <w:start w:val="1"/>
      <w:numFmt w:val="bullet"/>
      <w:lvlText w:val="o"/>
      <w:lvlJc w:val="left"/>
      <w:pPr>
        <w:ind w:left="3600" w:hanging="360"/>
      </w:pPr>
      <w:rPr>
        <w:rFonts w:ascii="Courier New" w:hAnsi="Courier New" w:cs="Courier New" w:hint="default"/>
      </w:rPr>
    </w:lvl>
    <w:lvl w:ilvl="5" w:tplc="242C3672" w:tentative="1">
      <w:start w:val="1"/>
      <w:numFmt w:val="bullet"/>
      <w:lvlText w:val=""/>
      <w:lvlJc w:val="left"/>
      <w:pPr>
        <w:ind w:left="4320" w:hanging="360"/>
      </w:pPr>
      <w:rPr>
        <w:rFonts w:ascii="Wingdings" w:hAnsi="Wingdings" w:hint="default"/>
      </w:rPr>
    </w:lvl>
    <w:lvl w:ilvl="6" w:tplc="05E0D608" w:tentative="1">
      <w:start w:val="1"/>
      <w:numFmt w:val="bullet"/>
      <w:lvlText w:val=""/>
      <w:lvlJc w:val="left"/>
      <w:pPr>
        <w:ind w:left="5040" w:hanging="360"/>
      </w:pPr>
      <w:rPr>
        <w:rFonts w:ascii="Symbol" w:hAnsi="Symbol" w:hint="default"/>
      </w:rPr>
    </w:lvl>
    <w:lvl w:ilvl="7" w:tplc="7C8CABEC" w:tentative="1">
      <w:start w:val="1"/>
      <w:numFmt w:val="bullet"/>
      <w:lvlText w:val="o"/>
      <w:lvlJc w:val="left"/>
      <w:pPr>
        <w:ind w:left="5760" w:hanging="360"/>
      </w:pPr>
      <w:rPr>
        <w:rFonts w:ascii="Courier New" w:hAnsi="Courier New" w:cs="Courier New" w:hint="default"/>
      </w:rPr>
    </w:lvl>
    <w:lvl w:ilvl="8" w:tplc="1554875E" w:tentative="1">
      <w:start w:val="1"/>
      <w:numFmt w:val="bullet"/>
      <w:lvlText w:val=""/>
      <w:lvlJc w:val="left"/>
      <w:pPr>
        <w:ind w:left="6480" w:hanging="360"/>
      </w:pPr>
      <w:rPr>
        <w:rFonts w:ascii="Wingdings" w:hAnsi="Wingdings" w:hint="default"/>
      </w:rPr>
    </w:lvl>
  </w:abstractNum>
  <w:abstractNum w:abstractNumId="13" w15:restartNumberingAfterBreak="0">
    <w:nsid w:val="6D8E4287"/>
    <w:multiLevelType w:val="hybridMultilevel"/>
    <w:tmpl w:val="E0FA8344"/>
    <w:lvl w:ilvl="0" w:tplc="E8D864CA">
      <w:start w:val="1"/>
      <w:numFmt w:val="bullet"/>
      <w:lvlText w:val=""/>
      <w:lvlJc w:val="left"/>
      <w:pPr>
        <w:ind w:left="360" w:hanging="360"/>
      </w:pPr>
      <w:rPr>
        <w:rFonts w:ascii="Symbol" w:hAnsi="Symbol" w:hint="default"/>
      </w:rPr>
    </w:lvl>
    <w:lvl w:ilvl="1" w:tplc="F5A0BB5E" w:tentative="1">
      <w:start w:val="1"/>
      <w:numFmt w:val="bullet"/>
      <w:lvlText w:val="o"/>
      <w:lvlJc w:val="left"/>
      <w:pPr>
        <w:ind w:left="1080" w:hanging="360"/>
      </w:pPr>
      <w:rPr>
        <w:rFonts w:ascii="Courier New" w:hAnsi="Courier New" w:cs="Courier New" w:hint="default"/>
      </w:rPr>
    </w:lvl>
    <w:lvl w:ilvl="2" w:tplc="9702B422" w:tentative="1">
      <w:start w:val="1"/>
      <w:numFmt w:val="bullet"/>
      <w:lvlText w:val=""/>
      <w:lvlJc w:val="left"/>
      <w:pPr>
        <w:ind w:left="1800" w:hanging="360"/>
      </w:pPr>
      <w:rPr>
        <w:rFonts w:ascii="Wingdings" w:hAnsi="Wingdings" w:hint="default"/>
      </w:rPr>
    </w:lvl>
    <w:lvl w:ilvl="3" w:tplc="1A823C66" w:tentative="1">
      <w:start w:val="1"/>
      <w:numFmt w:val="bullet"/>
      <w:lvlText w:val=""/>
      <w:lvlJc w:val="left"/>
      <w:pPr>
        <w:ind w:left="2520" w:hanging="360"/>
      </w:pPr>
      <w:rPr>
        <w:rFonts w:ascii="Symbol" w:hAnsi="Symbol" w:hint="default"/>
      </w:rPr>
    </w:lvl>
    <w:lvl w:ilvl="4" w:tplc="86029FAC" w:tentative="1">
      <w:start w:val="1"/>
      <w:numFmt w:val="bullet"/>
      <w:lvlText w:val="o"/>
      <w:lvlJc w:val="left"/>
      <w:pPr>
        <w:ind w:left="3240" w:hanging="360"/>
      </w:pPr>
      <w:rPr>
        <w:rFonts w:ascii="Courier New" w:hAnsi="Courier New" w:cs="Courier New" w:hint="default"/>
      </w:rPr>
    </w:lvl>
    <w:lvl w:ilvl="5" w:tplc="1B62EE54" w:tentative="1">
      <w:start w:val="1"/>
      <w:numFmt w:val="bullet"/>
      <w:lvlText w:val=""/>
      <w:lvlJc w:val="left"/>
      <w:pPr>
        <w:ind w:left="3960" w:hanging="360"/>
      </w:pPr>
      <w:rPr>
        <w:rFonts w:ascii="Wingdings" w:hAnsi="Wingdings" w:hint="default"/>
      </w:rPr>
    </w:lvl>
    <w:lvl w:ilvl="6" w:tplc="BF024594" w:tentative="1">
      <w:start w:val="1"/>
      <w:numFmt w:val="bullet"/>
      <w:lvlText w:val=""/>
      <w:lvlJc w:val="left"/>
      <w:pPr>
        <w:ind w:left="4680" w:hanging="360"/>
      </w:pPr>
      <w:rPr>
        <w:rFonts w:ascii="Symbol" w:hAnsi="Symbol" w:hint="default"/>
      </w:rPr>
    </w:lvl>
    <w:lvl w:ilvl="7" w:tplc="A7A25B86" w:tentative="1">
      <w:start w:val="1"/>
      <w:numFmt w:val="bullet"/>
      <w:lvlText w:val="o"/>
      <w:lvlJc w:val="left"/>
      <w:pPr>
        <w:ind w:left="5400" w:hanging="360"/>
      </w:pPr>
      <w:rPr>
        <w:rFonts w:ascii="Courier New" w:hAnsi="Courier New" w:cs="Courier New" w:hint="default"/>
      </w:rPr>
    </w:lvl>
    <w:lvl w:ilvl="8" w:tplc="84C04452" w:tentative="1">
      <w:start w:val="1"/>
      <w:numFmt w:val="bullet"/>
      <w:lvlText w:val=""/>
      <w:lvlJc w:val="left"/>
      <w:pPr>
        <w:ind w:left="6120" w:hanging="360"/>
      </w:pPr>
      <w:rPr>
        <w:rFonts w:ascii="Wingdings" w:hAnsi="Wingdings" w:hint="default"/>
      </w:rPr>
    </w:lvl>
  </w:abstractNum>
  <w:abstractNum w:abstractNumId="14" w15:restartNumberingAfterBreak="0">
    <w:nsid w:val="71923D15"/>
    <w:multiLevelType w:val="hybridMultilevel"/>
    <w:tmpl w:val="F9864690"/>
    <w:lvl w:ilvl="0" w:tplc="CFA44244">
      <w:start w:val="1"/>
      <w:numFmt w:val="bullet"/>
      <w:lvlText w:val=""/>
      <w:lvlJc w:val="left"/>
      <w:pPr>
        <w:ind w:left="720" w:hanging="360"/>
      </w:pPr>
      <w:rPr>
        <w:rFonts w:ascii="Symbol" w:hAnsi="Symbol" w:hint="default"/>
      </w:rPr>
    </w:lvl>
    <w:lvl w:ilvl="1" w:tplc="C0B8D6CC" w:tentative="1">
      <w:start w:val="1"/>
      <w:numFmt w:val="bullet"/>
      <w:lvlText w:val="o"/>
      <w:lvlJc w:val="left"/>
      <w:pPr>
        <w:ind w:left="1440" w:hanging="360"/>
      </w:pPr>
      <w:rPr>
        <w:rFonts w:ascii="Courier New" w:hAnsi="Courier New" w:cs="Courier New" w:hint="default"/>
      </w:rPr>
    </w:lvl>
    <w:lvl w:ilvl="2" w:tplc="F4D4053C" w:tentative="1">
      <w:start w:val="1"/>
      <w:numFmt w:val="bullet"/>
      <w:lvlText w:val=""/>
      <w:lvlJc w:val="left"/>
      <w:pPr>
        <w:ind w:left="2160" w:hanging="360"/>
      </w:pPr>
      <w:rPr>
        <w:rFonts w:ascii="Wingdings" w:hAnsi="Wingdings" w:hint="default"/>
      </w:rPr>
    </w:lvl>
    <w:lvl w:ilvl="3" w:tplc="1DACD7BE" w:tentative="1">
      <w:start w:val="1"/>
      <w:numFmt w:val="bullet"/>
      <w:lvlText w:val=""/>
      <w:lvlJc w:val="left"/>
      <w:pPr>
        <w:ind w:left="2880" w:hanging="360"/>
      </w:pPr>
      <w:rPr>
        <w:rFonts w:ascii="Symbol" w:hAnsi="Symbol" w:hint="default"/>
      </w:rPr>
    </w:lvl>
    <w:lvl w:ilvl="4" w:tplc="4770120E" w:tentative="1">
      <w:start w:val="1"/>
      <w:numFmt w:val="bullet"/>
      <w:lvlText w:val="o"/>
      <w:lvlJc w:val="left"/>
      <w:pPr>
        <w:ind w:left="3600" w:hanging="360"/>
      </w:pPr>
      <w:rPr>
        <w:rFonts w:ascii="Courier New" w:hAnsi="Courier New" w:cs="Courier New" w:hint="default"/>
      </w:rPr>
    </w:lvl>
    <w:lvl w:ilvl="5" w:tplc="F7AAB550" w:tentative="1">
      <w:start w:val="1"/>
      <w:numFmt w:val="bullet"/>
      <w:lvlText w:val=""/>
      <w:lvlJc w:val="left"/>
      <w:pPr>
        <w:ind w:left="4320" w:hanging="360"/>
      </w:pPr>
      <w:rPr>
        <w:rFonts w:ascii="Wingdings" w:hAnsi="Wingdings" w:hint="default"/>
      </w:rPr>
    </w:lvl>
    <w:lvl w:ilvl="6" w:tplc="3D729948" w:tentative="1">
      <w:start w:val="1"/>
      <w:numFmt w:val="bullet"/>
      <w:lvlText w:val=""/>
      <w:lvlJc w:val="left"/>
      <w:pPr>
        <w:ind w:left="5040" w:hanging="360"/>
      </w:pPr>
      <w:rPr>
        <w:rFonts w:ascii="Symbol" w:hAnsi="Symbol" w:hint="default"/>
      </w:rPr>
    </w:lvl>
    <w:lvl w:ilvl="7" w:tplc="CAEEA22E" w:tentative="1">
      <w:start w:val="1"/>
      <w:numFmt w:val="bullet"/>
      <w:lvlText w:val="o"/>
      <w:lvlJc w:val="left"/>
      <w:pPr>
        <w:ind w:left="5760" w:hanging="360"/>
      </w:pPr>
      <w:rPr>
        <w:rFonts w:ascii="Courier New" w:hAnsi="Courier New" w:cs="Courier New" w:hint="default"/>
      </w:rPr>
    </w:lvl>
    <w:lvl w:ilvl="8" w:tplc="5E380642" w:tentative="1">
      <w:start w:val="1"/>
      <w:numFmt w:val="bullet"/>
      <w:lvlText w:val=""/>
      <w:lvlJc w:val="left"/>
      <w:pPr>
        <w:ind w:left="6480" w:hanging="360"/>
      </w:pPr>
      <w:rPr>
        <w:rFonts w:ascii="Wingdings" w:hAnsi="Wingdings" w:hint="default"/>
      </w:rPr>
    </w:lvl>
  </w:abstractNum>
  <w:abstractNum w:abstractNumId="15" w15:restartNumberingAfterBreak="0">
    <w:nsid w:val="76417A85"/>
    <w:multiLevelType w:val="hybridMultilevel"/>
    <w:tmpl w:val="0432417A"/>
    <w:lvl w:ilvl="0" w:tplc="386E4536">
      <w:start w:val="1"/>
      <w:numFmt w:val="decimal"/>
      <w:lvlText w:val="%1."/>
      <w:lvlJc w:val="left"/>
      <w:pPr>
        <w:ind w:left="720" w:hanging="360"/>
      </w:pPr>
    </w:lvl>
    <w:lvl w:ilvl="1" w:tplc="76E82990">
      <w:start w:val="1"/>
      <w:numFmt w:val="lowerLetter"/>
      <w:lvlText w:val="%2."/>
      <w:lvlJc w:val="left"/>
      <w:pPr>
        <w:ind w:left="1440" w:hanging="360"/>
      </w:pPr>
    </w:lvl>
    <w:lvl w:ilvl="2" w:tplc="C1103760">
      <w:start w:val="1"/>
      <w:numFmt w:val="lowerRoman"/>
      <w:lvlText w:val="%3."/>
      <w:lvlJc w:val="right"/>
      <w:pPr>
        <w:ind w:left="2160" w:hanging="180"/>
      </w:pPr>
    </w:lvl>
    <w:lvl w:ilvl="3" w:tplc="C382CA1A">
      <w:start w:val="1"/>
      <w:numFmt w:val="decimal"/>
      <w:lvlText w:val="%4."/>
      <w:lvlJc w:val="left"/>
      <w:pPr>
        <w:ind w:left="2880" w:hanging="360"/>
      </w:pPr>
    </w:lvl>
    <w:lvl w:ilvl="4" w:tplc="BB202FDE">
      <w:start w:val="1"/>
      <w:numFmt w:val="lowerLetter"/>
      <w:lvlText w:val="%5."/>
      <w:lvlJc w:val="left"/>
      <w:pPr>
        <w:ind w:left="3600" w:hanging="360"/>
      </w:pPr>
    </w:lvl>
    <w:lvl w:ilvl="5" w:tplc="A2A4FBCC">
      <w:start w:val="1"/>
      <w:numFmt w:val="lowerRoman"/>
      <w:lvlText w:val="%6."/>
      <w:lvlJc w:val="right"/>
      <w:pPr>
        <w:ind w:left="4320" w:hanging="180"/>
      </w:pPr>
    </w:lvl>
    <w:lvl w:ilvl="6" w:tplc="65FE3A16">
      <w:start w:val="1"/>
      <w:numFmt w:val="decimal"/>
      <w:lvlText w:val="%7."/>
      <w:lvlJc w:val="left"/>
      <w:pPr>
        <w:ind w:left="5040" w:hanging="360"/>
      </w:pPr>
    </w:lvl>
    <w:lvl w:ilvl="7" w:tplc="B0C0211A">
      <w:start w:val="1"/>
      <w:numFmt w:val="lowerLetter"/>
      <w:lvlText w:val="%8."/>
      <w:lvlJc w:val="left"/>
      <w:pPr>
        <w:ind w:left="5760" w:hanging="360"/>
      </w:pPr>
    </w:lvl>
    <w:lvl w:ilvl="8" w:tplc="6C185F26">
      <w:start w:val="1"/>
      <w:numFmt w:val="lowerRoman"/>
      <w:lvlText w:val="%9."/>
      <w:lvlJc w:val="right"/>
      <w:pPr>
        <w:ind w:left="6480" w:hanging="180"/>
      </w:pPr>
    </w:lvl>
  </w:abstractNum>
  <w:num w:numId="1" w16cid:durableId="570233927">
    <w:abstractNumId w:val="13"/>
  </w:num>
  <w:num w:numId="2" w16cid:durableId="839154541">
    <w:abstractNumId w:val="3"/>
  </w:num>
  <w:num w:numId="3" w16cid:durableId="477503776">
    <w:abstractNumId w:val="4"/>
  </w:num>
  <w:num w:numId="4" w16cid:durableId="649948445">
    <w:abstractNumId w:val="6"/>
  </w:num>
  <w:num w:numId="5" w16cid:durableId="1616667701">
    <w:abstractNumId w:val="1"/>
  </w:num>
  <w:num w:numId="6" w16cid:durableId="104542989">
    <w:abstractNumId w:val="5"/>
  </w:num>
  <w:num w:numId="7" w16cid:durableId="1601795705">
    <w:abstractNumId w:val="11"/>
  </w:num>
  <w:num w:numId="8" w16cid:durableId="1188372660">
    <w:abstractNumId w:val="0"/>
  </w:num>
  <w:num w:numId="9" w16cid:durableId="102379714">
    <w:abstractNumId w:val="10"/>
  </w:num>
  <w:num w:numId="10" w16cid:durableId="796223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794146">
    <w:abstractNumId w:val="9"/>
  </w:num>
  <w:num w:numId="12" w16cid:durableId="1174415231">
    <w:abstractNumId w:val="15"/>
  </w:num>
  <w:num w:numId="13" w16cid:durableId="232281272">
    <w:abstractNumId w:val="2"/>
  </w:num>
  <w:num w:numId="14" w16cid:durableId="1731466429">
    <w:abstractNumId w:val="10"/>
  </w:num>
  <w:num w:numId="15" w16cid:durableId="1240409931">
    <w:abstractNumId w:val="10"/>
  </w:num>
  <w:num w:numId="16" w16cid:durableId="617881450">
    <w:abstractNumId w:val="10"/>
  </w:num>
  <w:num w:numId="17" w16cid:durableId="1805075981">
    <w:abstractNumId w:val="10"/>
  </w:num>
  <w:num w:numId="18" w16cid:durableId="690423446">
    <w:abstractNumId w:val="7"/>
  </w:num>
  <w:num w:numId="19" w16cid:durableId="595671341">
    <w:abstractNumId w:val="14"/>
  </w:num>
  <w:num w:numId="20" w16cid:durableId="321081402">
    <w:abstractNumId w:val="12"/>
  </w:num>
  <w:num w:numId="21" w16cid:durableId="1329091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E8"/>
    <w:rsid w:val="0000038F"/>
    <w:rsid w:val="000051ED"/>
    <w:rsid w:val="00025737"/>
    <w:rsid w:val="00041A17"/>
    <w:rsid w:val="0005167B"/>
    <w:rsid w:val="000517C1"/>
    <w:rsid w:val="0005394A"/>
    <w:rsid w:val="00056D79"/>
    <w:rsid w:val="0006005C"/>
    <w:rsid w:val="00063ACB"/>
    <w:rsid w:val="00075FD1"/>
    <w:rsid w:val="00076E7D"/>
    <w:rsid w:val="000A4333"/>
    <w:rsid w:val="000B49F4"/>
    <w:rsid w:val="000C395F"/>
    <w:rsid w:val="000E044E"/>
    <w:rsid w:val="000E461B"/>
    <w:rsid w:val="000F0E97"/>
    <w:rsid w:val="00107AF0"/>
    <w:rsid w:val="001113AA"/>
    <w:rsid w:val="001169F7"/>
    <w:rsid w:val="0012737C"/>
    <w:rsid w:val="00137E3E"/>
    <w:rsid w:val="00153E79"/>
    <w:rsid w:val="001560CA"/>
    <w:rsid w:val="00156ED9"/>
    <w:rsid w:val="00161BFC"/>
    <w:rsid w:val="00161FE3"/>
    <w:rsid w:val="00163332"/>
    <w:rsid w:val="00164623"/>
    <w:rsid w:val="001716F9"/>
    <w:rsid w:val="00174F87"/>
    <w:rsid w:val="00176147"/>
    <w:rsid w:val="001778D7"/>
    <w:rsid w:val="00181FA9"/>
    <w:rsid w:val="00196B04"/>
    <w:rsid w:val="001B188B"/>
    <w:rsid w:val="001B3339"/>
    <w:rsid w:val="001B7DC2"/>
    <w:rsid w:val="001C3956"/>
    <w:rsid w:val="001C5C64"/>
    <w:rsid w:val="001D35EC"/>
    <w:rsid w:val="001E53B6"/>
    <w:rsid w:val="001F0122"/>
    <w:rsid w:val="001F0771"/>
    <w:rsid w:val="001F51EF"/>
    <w:rsid w:val="001F5FBA"/>
    <w:rsid w:val="00207682"/>
    <w:rsid w:val="00213A11"/>
    <w:rsid w:val="00230D22"/>
    <w:rsid w:val="00231620"/>
    <w:rsid w:val="00236CDE"/>
    <w:rsid w:val="00242C85"/>
    <w:rsid w:val="00245208"/>
    <w:rsid w:val="00264561"/>
    <w:rsid w:val="0027274B"/>
    <w:rsid w:val="00273840"/>
    <w:rsid w:val="00275C09"/>
    <w:rsid w:val="00286DD0"/>
    <w:rsid w:val="00296F11"/>
    <w:rsid w:val="002A4D5D"/>
    <w:rsid w:val="002B55D7"/>
    <w:rsid w:val="002D2B9B"/>
    <w:rsid w:val="002D6A0E"/>
    <w:rsid w:val="002E2872"/>
    <w:rsid w:val="002F20FA"/>
    <w:rsid w:val="002F34CB"/>
    <w:rsid w:val="002F5C31"/>
    <w:rsid w:val="003006DB"/>
    <w:rsid w:val="00307591"/>
    <w:rsid w:val="00312AB4"/>
    <w:rsid w:val="0031408C"/>
    <w:rsid w:val="00323057"/>
    <w:rsid w:val="00323D09"/>
    <w:rsid w:val="00327F28"/>
    <w:rsid w:val="00330F76"/>
    <w:rsid w:val="00341BAF"/>
    <w:rsid w:val="00344A0A"/>
    <w:rsid w:val="00354395"/>
    <w:rsid w:val="0035458A"/>
    <w:rsid w:val="00355558"/>
    <w:rsid w:val="0035747B"/>
    <w:rsid w:val="00367B13"/>
    <w:rsid w:val="003807D4"/>
    <w:rsid w:val="003A51A0"/>
    <w:rsid w:val="003A6359"/>
    <w:rsid w:val="003A7FEC"/>
    <w:rsid w:val="003D51DD"/>
    <w:rsid w:val="003E2727"/>
    <w:rsid w:val="003F01C7"/>
    <w:rsid w:val="00407F0A"/>
    <w:rsid w:val="00420D00"/>
    <w:rsid w:val="004232CD"/>
    <w:rsid w:val="00423556"/>
    <w:rsid w:val="00425479"/>
    <w:rsid w:val="00425DC3"/>
    <w:rsid w:val="00432A0D"/>
    <w:rsid w:val="004428DD"/>
    <w:rsid w:val="00446006"/>
    <w:rsid w:val="004477B4"/>
    <w:rsid w:val="00460307"/>
    <w:rsid w:val="00460612"/>
    <w:rsid w:val="004764FA"/>
    <w:rsid w:val="00481217"/>
    <w:rsid w:val="00483565"/>
    <w:rsid w:val="004868ED"/>
    <w:rsid w:val="00491BE8"/>
    <w:rsid w:val="004963E3"/>
    <w:rsid w:val="00496996"/>
    <w:rsid w:val="004A1EB5"/>
    <w:rsid w:val="004A3AE5"/>
    <w:rsid w:val="004A5E69"/>
    <w:rsid w:val="004B3D6B"/>
    <w:rsid w:val="004B4BE8"/>
    <w:rsid w:val="004C65B4"/>
    <w:rsid w:val="004D5D5E"/>
    <w:rsid w:val="004E1FA8"/>
    <w:rsid w:val="004E474C"/>
    <w:rsid w:val="004F2FF8"/>
    <w:rsid w:val="00533F90"/>
    <w:rsid w:val="0053666F"/>
    <w:rsid w:val="0054303A"/>
    <w:rsid w:val="00546A29"/>
    <w:rsid w:val="005511D1"/>
    <w:rsid w:val="00551396"/>
    <w:rsid w:val="00556707"/>
    <w:rsid w:val="0056727C"/>
    <w:rsid w:val="005705C0"/>
    <w:rsid w:val="00571D4C"/>
    <w:rsid w:val="00580627"/>
    <w:rsid w:val="00582BFE"/>
    <w:rsid w:val="00582DEF"/>
    <w:rsid w:val="005A682F"/>
    <w:rsid w:val="005B3C43"/>
    <w:rsid w:val="005B6DF5"/>
    <w:rsid w:val="005B7527"/>
    <w:rsid w:val="005C050E"/>
    <w:rsid w:val="005C3AA1"/>
    <w:rsid w:val="005C5578"/>
    <w:rsid w:val="005E701E"/>
    <w:rsid w:val="005E792E"/>
    <w:rsid w:val="005F07D9"/>
    <w:rsid w:val="005F705C"/>
    <w:rsid w:val="0060105D"/>
    <w:rsid w:val="00611C9C"/>
    <w:rsid w:val="00624F40"/>
    <w:rsid w:val="006452FE"/>
    <w:rsid w:val="0066028B"/>
    <w:rsid w:val="00673D36"/>
    <w:rsid w:val="0067544A"/>
    <w:rsid w:val="00697161"/>
    <w:rsid w:val="00697CA8"/>
    <w:rsid w:val="006A249C"/>
    <w:rsid w:val="006B3853"/>
    <w:rsid w:val="006C05AD"/>
    <w:rsid w:val="006C05C1"/>
    <w:rsid w:val="006D22A2"/>
    <w:rsid w:val="006D7B2E"/>
    <w:rsid w:val="006F5D62"/>
    <w:rsid w:val="006F6642"/>
    <w:rsid w:val="006F70A0"/>
    <w:rsid w:val="00701A9D"/>
    <w:rsid w:val="0070595B"/>
    <w:rsid w:val="00710AAA"/>
    <w:rsid w:val="007127BC"/>
    <w:rsid w:val="00726129"/>
    <w:rsid w:val="00726A34"/>
    <w:rsid w:val="00733AC8"/>
    <w:rsid w:val="007364E1"/>
    <w:rsid w:val="0074014A"/>
    <w:rsid w:val="00746FB3"/>
    <w:rsid w:val="00753969"/>
    <w:rsid w:val="00754172"/>
    <w:rsid w:val="00756241"/>
    <w:rsid w:val="007638CC"/>
    <w:rsid w:val="00770BAE"/>
    <w:rsid w:val="00771779"/>
    <w:rsid w:val="00771BAB"/>
    <w:rsid w:val="007A498F"/>
    <w:rsid w:val="007A651E"/>
    <w:rsid w:val="007C526B"/>
    <w:rsid w:val="007D0426"/>
    <w:rsid w:val="007D719D"/>
    <w:rsid w:val="00802A9D"/>
    <w:rsid w:val="00807DDB"/>
    <w:rsid w:val="008206D8"/>
    <w:rsid w:val="008269BB"/>
    <w:rsid w:val="00834B4E"/>
    <w:rsid w:val="00837992"/>
    <w:rsid w:val="00840DF7"/>
    <w:rsid w:val="00850E19"/>
    <w:rsid w:val="00851260"/>
    <w:rsid w:val="0085167F"/>
    <w:rsid w:val="00864FA0"/>
    <w:rsid w:val="00880213"/>
    <w:rsid w:val="0088643E"/>
    <w:rsid w:val="00887A52"/>
    <w:rsid w:val="0089416B"/>
    <w:rsid w:val="00896037"/>
    <w:rsid w:val="008A192A"/>
    <w:rsid w:val="008B360A"/>
    <w:rsid w:val="008C76D5"/>
    <w:rsid w:val="008D355E"/>
    <w:rsid w:val="008E0E1E"/>
    <w:rsid w:val="008E26DE"/>
    <w:rsid w:val="008E3453"/>
    <w:rsid w:val="008F0AD5"/>
    <w:rsid w:val="00901C95"/>
    <w:rsid w:val="009022A1"/>
    <w:rsid w:val="00911EDF"/>
    <w:rsid w:val="0092059D"/>
    <w:rsid w:val="009240CD"/>
    <w:rsid w:val="0094022A"/>
    <w:rsid w:val="00946490"/>
    <w:rsid w:val="009510CD"/>
    <w:rsid w:val="00956C6C"/>
    <w:rsid w:val="00966420"/>
    <w:rsid w:val="00974A25"/>
    <w:rsid w:val="009920E7"/>
    <w:rsid w:val="00996A28"/>
    <w:rsid w:val="009A04BD"/>
    <w:rsid w:val="009B1376"/>
    <w:rsid w:val="009C0952"/>
    <w:rsid w:val="009C7BED"/>
    <w:rsid w:val="009D30D3"/>
    <w:rsid w:val="009E583C"/>
    <w:rsid w:val="009E6069"/>
    <w:rsid w:val="009F663F"/>
    <w:rsid w:val="009F71DB"/>
    <w:rsid w:val="00A10C4B"/>
    <w:rsid w:val="00A12D1B"/>
    <w:rsid w:val="00A13E49"/>
    <w:rsid w:val="00A35380"/>
    <w:rsid w:val="00A41681"/>
    <w:rsid w:val="00A50C42"/>
    <w:rsid w:val="00A51C3D"/>
    <w:rsid w:val="00A62A6A"/>
    <w:rsid w:val="00A67109"/>
    <w:rsid w:val="00A67EC1"/>
    <w:rsid w:val="00A72800"/>
    <w:rsid w:val="00A84189"/>
    <w:rsid w:val="00A86BC0"/>
    <w:rsid w:val="00A903FB"/>
    <w:rsid w:val="00A9250A"/>
    <w:rsid w:val="00AA176B"/>
    <w:rsid w:val="00AA6736"/>
    <w:rsid w:val="00AB02FA"/>
    <w:rsid w:val="00AC1838"/>
    <w:rsid w:val="00AC6D04"/>
    <w:rsid w:val="00AD0CB6"/>
    <w:rsid w:val="00AE29B0"/>
    <w:rsid w:val="00AE6D1B"/>
    <w:rsid w:val="00AF105B"/>
    <w:rsid w:val="00AF5CE4"/>
    <w:rsid w:val="00B002AA"/>
    <w:rsid w:val="00B007DF"/>
    <w:rsid w:val="00B01C49"/>
    <w:rsid w:val="00B037D3"/>
    <w:rsid w:val="00B04755"/>
    <w:rsid w:val="00B0488C"/>
    <w:rsid w:val="00B11189"/>
    <w:rsid w:val="00B12B63"/>
    <w:rsid w:val="00B158F2"/>
    <w:rsid w:val="00B25DD8"/>
    <w:rsid w:val="00B354D2"/>
    <w:rsid w:val="00B35E74"/>
    <w:rsid w:val="00B40550"/>
    <w:rsid w:val="00B47327"/>
    <w:rsid w:val="00B50D68"/>
    <w:rsid w:val="00B56EF5"/>
    <w:rsid w:val="00B70934"/>
    <w:rsid w:val="00B74C18"/>
    <w:rsid w:val="00B756B7"/>
    <w:rsid w:val="00B95B2A"/>
    <w:rsid w:val="00BA2942"/>
    <w:rsid w:val="00BB0719"/>
    <w:rsid w:val="00BB2BF3"/>
    <w:rsid w:val="00BC1347"/>
    <w:rsid w:val="00BC60DF"/>
    <w:rsid w:val="00BD26B2"/>
    <w:rsid w:val="00BD70D2"/>
    <w:rsid w:val="00BD712F"/>
    <w:rsid w:val="00BE6BBB"/>
    <w:rsid w:val="00BE77B0"/>
    <w:rsid w:val="00C03BB3"/>
    <w:rsid w:val="00C05160"/>
    <w:rsid w:val="00C15ACA"/>
    <w:rsid w:val="00C33BE8"/>
    <w:rsid w:val="00C42A23"/>
    <w:rsid w:val="00C476F8"/>
    <w:rsid w:val="00C47DDA"/>
    <w:rsid w:val="00C52F08"/>
    <w:rsid w:val="00C53C78"/>
    <w:rsid w:val="00C659F0"/>
    <w:rsid w:val="00C71E11"/>
    <w:rsid w:val="00C74592"/>
    <w:rsid w:val="00C818B3"/>
    <w:rsid w:val="00C85167"/>
    <w:rsid w:val="00C86DC8"/>
    <w:rsid w:val="00C87784"/>
    <w:rsid w:val="00C9350E"/>
    <w:rsid w:val="00C94C00"/>
    <w:rsid w:val="00CA01CD"/>
    <w:rsid w:val="00CA5F42"/>
    <w:rsid w:val="00CA69AA"/>
    <w:rsid w:val="00CC5CE3"/>
    <w:rsid w:val="00CD5500"/>
    <w:rsid w:val="00CE3913"/>
    <w:rsid w:val="00CF0C46"/>
    <w:rsid w:val="00CF22A5"/>
    <w:rsid w:val="00CF633C"/>
    <w:rsid w:val="00D0203C"/>
    <w:rsid w:val="00D356EB"/>
    <w:rsid w:val="00D358B4"/>
    <w:rsid w:val="00D446F8"/>
    <w:rsid w:val="00D4788C"/>
    <w:rsid w:val="00D56035"/>
    <w:rsid w:val="00D62FD8"/>
    <w:rsid w:val="00D70340"/>
    <w:rsid w:val="00D71D1F"/>
    <w:rsid w:val="00D76D5C"/>
    <w:rsid w:val="00D8294F"/>
    <w:rsid w:val="00D831A3"/>
    <w:rsid w:val="00D902E6"/>
    <w:rsid w:val="00D9470A"/>
    <w:rsid w:val="00DC0754"/>
    <w:rsid w:val="00DD6979"/>
    <w:rsid w:val="00DE25AB"/>
    <w:rsid w:val="00DF0377"/>
    <w:rsid w:val="00E100B0"/>
    <w:rsid w:val="00E1274D"/>
    <w:rsid w:val="00E17EAF"/>
    <w:rsid w:val="00E26AA0"/>
    <w:rsid w:val="00E26B32"/>
    <w:rsid w:val="00E30E85"/>
    <w:rsid w:val="00E35D5F"/>
    <w:rsid w:val="00E43DF7"/>
    <w:rsid w:val="00E455AA"/>
    <w:rsid w:val="00E5464C"/>
    <w:rsid w:val="00E669E5"/>
    <w:rsid w:val="00E70DE5"/>
    <w:rsid w:val="00E777CF"/>
    <w:rsid w:val="00E80294"/>
    <w:rsid w:val="00E86370"/>
    <w:rsid w:val="00EA4562"/>
    <w:rsid w:val="00EB1604"/>
    <w:rsid w:val="00ED4426"/>
    <w:rsid w:val="00EE141B"/>
    <w:rsid w:val="00EE1DA8"/>
    <w:rsid w:val="00EE3EFE"/>
    <w:rsid w:val="00EF49B8"/>
    <w:rsid w:val="00EF52B2"/>
    <w:rsid w:val="00EF69D4"/>
    <w:rsid w:val="00EF6A04"/>
    <w:rsid w:val="00F07F6B"/>
    <w:rsid w:val="00F12F9B"/>
    <w:rsid w:val="00F14C47"/>
    <w:rsid w:val="00F26C3E"/>
    <w:rsid w:val="00F3290A"/>
    <w:rsid w:val="00F37B78"/>
    <w:rsid w:val="00F443CE"/>
    <w:rsid w:val="00F50446"/>
    <w:rsid w:val="00F51319"/>
    <w:rsid w:val="00F5167B"/>
    <w:rsid w:val="00F67010"/>
    <w:rsid w:val="00F74D36"/>
    <w:rsid w:val="00F74F7A"/>
    <w:rsid w:val="00F76C6A"/>
    <w:rsid w:val="00F80413"/>
    <w:rsid w:val="00F832FF"/>
    <w:rsid w:val="00F957DC"/>
    <w:rsid w:val="00FA718B"/>
    <w:rsid w:val="00FB6010"/>
    <w:rsid w:val="00FC7C0C"/>
    <w:rsid w:val="00FE7511"/>
    <w:rsid w:val="00FF1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0CC42"/>
  <w15:chartTrackingRefBased/>
  <w15:docId w15:val="{6DCDBF41-3170-49A2-9A65-4D6162DF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E8"/>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C33BE8"/>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F22A5"/>
    <w:pPr>
      <w:keepNext/>
      <w:keepLines/>
      <w:spacing w:before="160" w:after="120" w:line="240" w:lineRule="auto"/>
      <w:outlineLvl w:val="1"/>
    </w:pPr>
    <w:rPr>
      <w:rFonts w:asciiTheme="majorHAnsi" w:eastAsiaTheme="majorEastAsia" w:hAnsiTheme="majorHAnsi" w:cstheme="majorBidi"/>
      <w:color w:val="A50E82" w:themeColor="accent2"/>
      <w:sz w:val="36"/>
      <w:szCs w:val="36"/>
    </w:rPr>
  </w:style>
  <w:style w:type="paragraph" w:styleId="Heading3">
    <w:name w:val="heading 3"/>
    <w:basedOn w:val="Normal"/>
    <w:next w:val="Normal"/>
    <w:link w:val="Heading3Char"/>
    <w:uiPriority w:val="9"/>
    <w:unhideWhenUsed/>
    <w:qFormat/>
    <w:rsid w:val="00B95B2A"/>
    <w:pPr>
      <w:keepNext/>
      <w:keepLines/>
      <w:spacing w:before="80" w:after="80" w:line="240" w:lineRule="auto"/>
      <w:outlineLvl w:val="2"/>
    </w:pPr>
    <w:rPr>
      <w:rFonts w:asciiTheme="majorHAnsi" w:eastAsiaTheme="majorEastAsia" w:hAnsiTheme="majorHAnsi" w:cstheme="majorBidi"/>
      <w:color w:val="7B0A60" w:themeColor="accent2" w:themeShade="BF"/>
      <w:sz w:val="32"/>
      <w:szCs w:val="32"/>
    </w:rPr>
  </w:style>
  <w:style w:type="paragraph" w:styleId="Heading4">
    <w:name w:val="heading 4"/>
    <w:basedOn w:val="Normal"/>
    <w:next w:val="Normal"/>
    <w:link w:val="Heading4Char"/>
    <w:uiPriority w:val="9"/>
    <w:unhideWhenUsed/>
    <w:qFormat/>
    <w:rsid w:val="00176147"/>
    <w:pPr>
      <w:keepNext/>
      <w:keepLines/>
      <w:spacing w:before="80" w:after="0" w:line="240" w:lineRule="auto"/>
      <w:outlineLvl w:val="3"/>
    </w:pPr>
    <w:rPr>
      <w:rFonts w:asciiTheme="majorHAnsi" w:eastAsiaTheme="majorEastAsia" w:hAnsiTheme="majorHAnsi" w:cstheme="majorBidi"/>
      <w:i/>
      <w:iCs/>
      <w:color w:val="520740" w:themeColor="accen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BE8"/>
    <w:rPr>
      <w:rFonts w:asciiTheme="majorHAnsi" w:eastAsiaTheme="majorEastAsia" w:hAnsiTheme="majorHAnsi" w:cstheme="majorBidi"/>
      <w:color w:val="262626" w:themeColor="text1" w:themeTint="D9"/>
      <w:kern w:val="0"/>
      <w:sz w:val="40"/>
      <w:szCs w:val="40"/>
      <w14:ligatures w14:val="none"/>
    </w:rPr>
  </w:style>
  <w:style w:type="character" w:customStyle="1" w:styleId="Heading2Char">
    <w:name w:val="Heading 2 Char"/>
    <w:basedOn w:val="DefaultParagraphFont"/>
    <w:link w:val="Heading2"/>
    <w:uiPriority w:val="9"/>
    <w:rsid w:val="00CF22A5"/>
    <w:rPr>
      <w:rFonts w:asciiTheme="majorHAnsi" w:eastAsiaTheme="majorEastAsia" w:hAnsiTheme="majorHAnsi" w:cstheme="majorBidi"/>
      <w:color w:val="A50E82" w:themeColor="accent2"/>
      <w:kern w:val="0"/>
      <w:sz w:val="36"/>
      <w:szCs w:val="36"/>
      <w14:ligatures w14:val="none"/>
    </w:rPr>
  </w:style>
  <w:style w:type="character" w:styleId="Strong">
    <w:name w:val="Strong"/>
    <w:aliases w:val="Bold"/>
    <w:basedOn w:val="DefaultParagraphFont"/>
    <w:uiPriority w:val="22"/>
    <w:qFormat/>
    <w:rsid w:val="00C33BE8"/>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C33BE8"/>
    <w:pPr>
      <w:ind w:left="720"/>
      <w:contextualSpacing/>
    </w:pPr>
  </w:style>
  <w:style w:type="character" w:styleId="Hyperlink">
    <w:name w:val="Hyperlink"/>
    <w:basedOn w:val="DefaultParagraphFont"/>
    <w:uiPriority w:val="99"/>
    <w:rsid w:val="00C33BE8"/>
    <w:rPr>
      <w:rFonts w:ascii="Arial" w:hAnsi="Arial"/>
      <w:color w:val="0000FF"/>
      <w:sz w:val="22"/>
      <w:u w:val="single"/>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C33BE8"/>
    <w:rPr>
      <w:rFonts w:eastAsiaTheme="minorEastAsia"/>
      <w:kern w:val="0"/>
      <w:sz w:val="21"/>
      <w:szCs w:val="21"/>
      <w14:ligatures w14:val="none"/>
    </w:rPr>
  </w:style>
  <w:style w:type="paragraph" w:styleId="EndnoteText">
    <w:name w:val="endnote text"/>
    <w:basedOn w:val="Normal"/>
    <w:link w:val="EndnoteTextChar"/>
    <w:uiPriority w:val="99"/>
    <w:unhideWhenUsed/>
    <w:rsid w:val="00C33BE8"/>
    <w:pPr>
      <w:spacing w:after="0" w:line="240" w:lineRule="auto"/>
    </w:pPr>
    <w:rPr>
      <w:sz w:val="20"/>
      <w:szCs w:val="20"/>
    </w:rPr>
  </w:style>
  <w:style w:type="character" w:customStyle="1" w:styleId="EndnoteTextChar">
    <w:name w:val="Endnote Text Char"/>
    <w:basedOn w:val="DefaultParagraphFont"/>
    <w:link w:val="EndnoteText"/>
    <w:uiPriority w:val="99"/>
    <w:rsid w:val="00C33BE8"/>
    <w:rPr>
      <w:rFonts w:eastAsiaTheme="minorEastAsia"/>
      <w:kern w:val="0"/>
      <w:sz w:val="20"/>
      <w:szCs w:val="20"/>
      <w14:ligatures w14:val="none"/>
    </w:rPr>
  </w:style>
  <w:style w:type="character" w:styleId="EndnoteReference">
    <w:name w:val="endnote reference"/>
    <w:basedOn w:val="DefaultParagraphFont"/>
    <w:uiPriority w:val="99"/>
    <w:semiHidden/>
    <w:unhideWhenUsed/>
    <w:rsid w:val="00C33BE8"/>
    <w:rPr>
      <w:vertAlign w:val="superscript"/>
    </w:rPr>
  </w:style>
  <w:style w:type="paragraph" w:customStyle="1" w:styleId="Leadheading">
    <w:name w:val="Lead heading"/>
    <w:basedOn w:val="Normal"/>
    <w:link w:val="LeadheadingChar"/>
    <w:rsid w:val="00C33BE8"/>
    <w:pPr>
      <w:spacing w:after="200"/>
    </w:pPr>
    <w:rPr>
      <w:rFonts w:asciiTheme="majorHAnsi" w:eastAsia="Calibri" w:hAnsiTheme="majorHAnsi" w:cstheme="minorHAnsi"/>
      <w:b/>
      <w:color w:val="55256C"/>
      <w:sz w:val="32"/>
      <w:szCs w:val="32"/>
      <w:lang w:val="en-US"/>
    </w:rPr>
  </w:style>
  <w:style w:type="character" w:customStyle="1" w:styleId="LeadheadingChar">
    <w:name w:val="Lead heading Char"/>
    <w:basedOn w:val="Heading1Char"/>
    <w:link w:val="Leadheading"/>
    <w:rsid w:val="00C33BE8"/>
    <w:rPr>
      <w:rFonts w:asciiTheme="majorHAnsi" w:eastAsia="Calibri" w:hAnsiTheme="majorHAnsi" w:cstheme="minorHAnsi"/>
      <w:b/>
      <w:color w:val="55256C"/>
      <w:kern w:val="0"/>
      <w:sz w:val="32"/>
      <w:szCs w:val="32"/>
      <w:lang w:val="en-US"/>
      <w14:ligatures w14:val="none"/>
    </w:rPr>
  </w:style>
  <w:style w:type="paragraph" w:styleId="NormalWeb">
    <w:name w:val="Normal (Web)"/>
    <w:basedOn w:val="Normal"/>
    <w:uiPriority w:val="99"/>
    <w:unhideWhenUsed/>
    <w:rsid w:val="00770BAE"/>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rsid w:val="00770BAE"/>
    <w:pPr>
      <w:spacing w:line="240" w:lineRule="auto"/>
    </w:pPr>
    <w:rPr>
      <w:sz w:val="20"/>
      <w:szCs w:val="20"/>
    </w:rPr>
  </w:style>
  <w:style w:type="character" w:customStyle="1" w:styleId="CommentTextChar">
    <w:name w:val="Comment Text Char"/>
    <w:basedOn w:val="DefaultParagraphFont"/>
    <w:link w:val="CommentText"/>
    <w:uiPriority w:val="99"/>
    <w:rsid w:val="00770BAE"/>
    <w:rPr>
      <w:rFonts w:eastAsiaTheme="minorEastAsia"/>
      <w:kern w:val="0"/>
      <w:sz w:val="20"/>
      <w:szCs w:val="20"/>
      <w14:ligatures w14:val="none"/>
    </w:rPr>
  </w:style>
  <w:style w:type="paragraph" w:customStyle="1" w:styleId="smallpara">
    <w:name w:val="small para"/>
    <w:basedOn w:val="Normal"/>
    <w:link w:val="smallparaChar"/>
    <w:rsid w:val="00770BAE"/>
    <w:pPr>
      <w:spacing w:after="200"/>
    </w:pPr>
    <w:rPr>
      <w:rFonts w:ascii="Calibri" w:hAnsi="Calibri" w:cs="Calibri"/>
      <w:b/>
      <w:color w:val="55256C"/>
      <w:sz w:val="32"/>
      <w:szCs w:val="32"/>
    </w:rPr>
  </w:style>
  <w:style w:type="character" w:customStyle="1" w:styleId="smallparaChar">
    <w:name w:val="small para Char"/>
    <w:basedOn w:val="DefaultParagraphFont"/>
    <w:link w:val="smallpara"/>
    <w:rsid w:val="00770BAE"/>
    <w:rPr>
      <w:rFonts w:ascii="Calibri" w:eastAsiaTheme="minorEastAsia" w:hAnsi="Calibri" w:cs="Calibri"/>
      <w:b/>
      <w:color w:val="55256C"/>
      <w:kern w:val="0"/>
      <w:sz w:val="32"/>
      <w:szCs w:val="32"/>
      <w14:ligatures w14:val="none"/>
    </w:rPr>
  </w:style>
  <w:style w:type="paragraph" w:customStyle="1" w:styleId="smallerpara">
    <w:name w:val="smaller para"/>
    <w:basedOn w:val="Normal"/>
    <w:link w:val="smallerparaChar"/>
    <w:rsid w:val="00770BAE"/>
    <w:pPr>
      <w:keepNext/>
      <w:spacing w:before="200" w:after="0" w:line="271" w:lineRule="auto"/>
      <w:outlineLvl w:val="2"/>
    </w:pPr>
    <w:rPr>
      <w:rFonts w:ascii="Calibri" w:hAnsi="Calibri" w:cs="Calibri"/>
      <w:b/>
      <w:bCs/>
      <w:i/>
      <w:sz w:val="22"/>
      <w:szCs w:val="22"/>
    </w:rPr>
  </w:style>
  <w:style w:type="character" w:customStyle="1" w:styleId="smallerparaChar">
    <w:name w:val="smaller para Char"/>
    <w:basedOn w:val="DefaultParagraphFont"/>
    <w:link w:val="smallerpara"/>
    <w:rsid w:val="00770BAE"/>
    <w:rPr>
      <w:rFonts w:ascii="Calibri" w:eastAsiaTheme="minorEastAsia" w:hAnsi="Calibri" w:cs="Calibri"/>
      <w:b/>
      <w:bCs/>
      <w:i/>
      <w:kern w:val="0"/>
      <w14:ligatures w14:val="none"/>
    </w:rPr>
  </w:style>
  <w:style w:type="character" w:customStyle="1" w:styleId="author">
    <w:name w:val="author"/>
    <w:basedOn w:val="DefaultParagraphFont"/>
    <w:rsid w:val="00770BAE"/>
  </w:style>
  <w:style w:type="character" w:customStyle="1" w:styleId="pubyear">
    <w:name w:val="pubyear"/>
    <w:basedOn w:val="DefaultParagraphFont"/>
    <w:rsid w:val="00770BAE"/>
  </w:style>
  <w:style w:type="character" w:customStyle="1" w:styleId="articletitle">
    <w:name w:val="articletitle"/>
    <w:basedOn w:val="DefaultParagraphFont"/>
    <w:rsid w:val="00770BAE"/>
  </w:style>
  <w:style w:type="character" w:customStyle="1" w:styleId="vol">
    <w:name w:val="vol"/>
    <w:basedOn w:val="DefaultParagraphFont"/>
    <w:rsid w:val="00770BAE"/>
  </w:style>
  <w:style w:type="character" w:customStyle="1" w:styleId="citedissue">
    <w:name w:val="citedissue"/>
    <w:basedOn w:val="DefaultParagraphFont"/>
    <w:rsid w:val="00770BAE"/>
  </w:style>
  <w:style w:type="character" w:customStyle="1" w:styleId="pagefirst">
    <w:name w:val="pagefirst"/>
    <w:basedOn w:val="DefaultParagraphFont"/>
    <w:rsid w:val="00770BAE"/>
  </w:style>
  <w:style w:type="character" w:customStyle="1" w:styleId="pagelast">
    <w:name w:val="pagelast"/>
    <w:basedOn w:val="DefaultParagraphFont"/>
    <w:rsid w:val="00770BAE"/>
  </w:style>
  <w:style w:type="character" w:customStyle="1" w:styleId="Heading3Char">
    <w:name w:val="Heading 3 Char"/>
    <w:basedOn w:val="DefaultParagraphFont"/>
    <w:link w:val="Heading3"/>
    <w:uiPriority w:val="9"/>
    <w:rsid w:val="00B95B2A"/>
    <w:rPr>
      <w:rFonts w:asciiTheme="majorHAnsi" w:eastAsiaTheme="majorEastAsia" w:hAnsiTheme="majorHAnsi" w:cstheme="majorBidi"/>
      <w:color w:val="7B0A60" w:themeColor="accent2" w:themeShade="BF"/>
      <w:kern w:val="0"/>
      <w:sz w:val="32"/>
      <w:szCs w:val="32"/>
      <w14:ligatures w14:val="none"/>
    </w:rPr>
  </w:style>
  <w:style w:type="paragraph" w:styleId="Title">
    <w:name w:val="Title"/>
    <w:basedOn w:val="Normal"/>
    <w:next w:val="Normal"/>
    <w:link w:val="TitleChar"/>
    <w:uiPriority w:val="10"/>
    <w:qFormat/>
    <w:rsid w:val="000A4333"/>
    <w:pPr>
      <w:spacing w:after="0" w:line="36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A4333"/>
    <w:rPr>
      <w:rFonts w:asciiTheme="majorHAnsi" w:eastAsiaTheme="majorEastAsia" w:hAnsiTheme="majorHAnsi" w:cstheme="majorBidi"/>
      <w:color w:val="262626" w:themeColor="text1" w:themeTint="D9"/>
      <w:kern w:val="0"/>
      <w:sz w:val="96"/>
      <w:szCs w:val="96"/>
      <w14:ligatures w14:val="none"/>
    </w:rPr>
  </w:style>
  <w:style w:type="paragraph" w:styleId="FootnoteText">
    <w:name w:val="footnote text"/>
    <w:basedOn w:val="Normal"/>
    <w:link w:val="FootnoteTextChar"/>
    <w:uiPriority w:val="99"/>
    <w:semiHidden/>
    <w:unhideWhenUsed/>
    <w:rsid w:val="000A4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333"/>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0A4333"/>
    <w:rPr>
      <w:vertAlign w:val="superscript"/>
    </w:rPr>
  </w:style>
  <w:style w:type="paragraph" w:styleId="Header">
    <w:name w:val="header"/>
    <w:basedOn w:val="Normal"/>
    <w:link w:val="HeaderChar"/>
    <w:uiPriority w:val="99"/>
    <w:unhideWhenUsed/>
    <w:rsid w:val="00E1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EAF"/>
    <w:rPr>
      <w:rFonts w:eastAsiaTheme="minorEastAsia"/>
      <w:kern w:val="0"/>
      <w:sz w:val="21"/>
      <w:szCs w:val="21"/>
      <w14:ligatures w14:val="none"/>
    </w:rPr>
  </w:style>
  <w:style w:type="paragraph" w:styleId="Footer">
    <w:name w:val="footer"/>
    <w:basedOn w:val="Normal"/>
    <w:link w:val="FooterChar"/>
    <w:uiPriority w:val="99"/>
    <w:unhideWhenUsed/>
    <w:rsid w:val="00E1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AF"/>
    <w:rPr>
      <w:rFonts w:eastAsiaTheme="minorEastAsia"/>
      <w:kern w:val="0"/>
      <w:sz w:val="21"/>
      <w:szCs w:val="21"/>
      <w14:ligatures w14:val="none"/>
    </w:rPr>
  </w:style>
  <w:style w:type="paragraph" w:customStyle="1" w:styleId="Pullouttext">
    <w:name w:val="Pullout text"/>
    <w:next w:val="Normal"/>
    <w:link w:val="PullouttextChar"/>
    <w:uiPriority w:val="3"/>
    <w:rsid w:val="00E17EAF"/>
    <w:pPr>
      <w:spacing w:before="120" w:after="120" w:line="360" w:lineRule="auto"/>
      <w:ind w:left="397"/>
    </w:pPr>
    <w:rPr>
      <w:rFonts w:ascii="Georgia" w:eastAsia="Times New Roman" w:hAnsi="Georgia" w:cs="Arial"/>
      <w:bCs/>
      <w:iCs/>
      <w:color w:val="500778"/>
      <w:kern w:val="0"/>
      <w:sz w:val="24"/>
      <w:szCs w:val="28"/>
      <w:lang w:eastAsia="en-AU"/>
      <w14:ligatures w14:val="none"/>
    </w:rPr>
  </w:style>
  <w:style w:type="character" w:customStyle="1" w:styleId="PullouttextChar">
    <w:name w:val="Pullout text Char"/>
    <w:basedOn w:val="Heading2Char"/>
    <w:link w:val="Pullouttext"/>
    <w:uiPriority w:val="3"/>
    <w:rsid w:val="00E17EAF"/>
    <w:rPr>
      <w:rFonts w:ascii="Georgia" w:eastAsia="Times New Roman" w:hAnsi="Georgia" w:cs="Arial"/>
      <w:bCs/>
      <w:iCs/>
      <w:color w:val="500778"/>
      <w:kern w:val="0"/>
      <w:sz w:val="24"/>
      <w:szCs w:val="28"/>
      <w:lang w:eastAsia="en-AU"/>
      <w14:ligatures w14:val="none"/>
    </w:rPr>
  </w:style>
  <w:style w:type="character" w:styleId="IntenseEmphasis">
    <w:name w:val="Intense Emphasis"/>
    <w:basedOn w:val="DefaultParagraphFont"/>
    <w:uiPriority w:val="21"/>
    <w:qFormat/>
    <w:rsid w:val="00E17EAF"/>
    <w:rPr>
      <w:b/>
      <w:bCs/>
      <w:i/>
      <w:iCs/>
      <w:caps w:val="0"/>
      <w:smallCaps w:val="0"/>
      <w:strike w:val="0"/>
      <w:dstrike w:val="0"/>
      <w:color w:val="A50E82" w:themeColor="accent2"/>
    </w:rPr>
  </w:style>
  <w:style w:type="paragraph" w:styleId="TOC1">
    <w:name w:val="toc 1"/>
    <w:basedOn w:val="Normal"/>
    <w:next w:val="Normal"/>
    <w:autoRedefine/>
    <w:uiPriority w:val="39"/>
    <w:unhideWhenUsed/>
    <w:rsid w:val="00286DD0"/>
    <w:pPr>
      <w:tabs>
        <w:tab w:val="right" w:leader="dot" w:pos="9016"/>
      </w:tabs>
      <w:spacing w:after="60"/>
    </w:pPr>
    <w:rPr>
      <w:b/>
      <w:sz w:val="18"/>
    </w:rPr>
  </w:style>
  <w:style w:type="paragraph" w:styleId="TOC2">
    <w:name w:val="toc 2"/>
    <w:basedOn w:val="Normal"/>
    <w:next w:val="Normal"/>
    <w:autoRedefine/>
    <w:uiPriority w:val="39"/>
    <w:unhideWhenUsed/>
    <w:rsid w:val="00EA4562"/>
    <w:pPr>
      <w:spacing w:after="60"/>
      <w:ind w:left="210"/>
    </w:pPr>
    <w:rPr>
      <w:sz w:val="18"/>
    </w:rPr>
  </w:style>
  <w:style w:type="paragraph" w:styleId="ListBullet">
    <w:name w:val="List Bullet"/>
    <w:basedOn w:val="Normal"/>
    <w:uiPriority w:val="1"/>
    <w:rsid w:val="00E43DF7"/>
    <w:pPr>
      <w:numPr>
        <w:numId w:val="9"/>
      </w:numPr>
      <w:tabs>
        <w:tab w:val="left" w:pos="170"/>
      </w:tabs>
      <w:spacing w:before="60" w:after="120"/>
    </w:pPr>
  </w:style>
  <w:style w:type="character" w:customStyle="1" w:styleId="Heading4Char">
    <w:name w:val="Heading 4 Char"/>
    <w:basedOn w:val="DefaultParagraphFont"/>
    <w:link w:val="Heading4"/>
    <w:uiPriority w:val="9"/>
    <w:rsid w:val="00176147"/>
    <w:rPr>
      <w:rFonts w:asciiTheme="majorHAnsi" w:eastAsiaTheme="majorEastAsia" w:hAnsiTheme="majorHAnsi" w:cstheme="majorBidi"/>
      <w:i/>
      <w:iCs/>
      <w:color w:val="520740" w:themeColor="accent2" w:themeShade="80"/>
      <w:kern w:val="0"/>
      <w:sz w:val="28"/>
      <w:szCs w:val="28"/>
      <w14:ligatures w14:val="none"/>
    </w:rPr>
  </w:style>
  <w:style w:type="character" w:styleId="CommentReference">
    <w:name w:val="annotation reference"/>
    <w:basedOn w:val="DefaultParagraphFont"/>
    <w:uiPriority w:val="99"/>
    <w:semiHidden/>
    <w:unhideWhenUsed/>
    <w:rsid w:val="00AE6D1B"/>
    <w:rPr>
      <w:sz w:val="16"/>
      <w:szCs w:val="16"/>
    </w:rPr>
  </w:style>
  <w:style w:type="paragraph" w:styleId="CommentSubject">
    <w:name w:val="annotation subject"/>
    <w:basedOn w:val="CommentText"/>
    <w:next w:val="CommentText"/>
    <w:link w:val="CommentSubjectChar"/>
    <w:uiPriority w:val="99"/>
    <w:semiHidden/>
    <w:unhideWhenUsed/>
    <w:rsid w:val="00AE6D1B"/>
    <w:rPr>
      <w:b/>
      <w:bCs/>
    </w:rPr>
  </w:style>
  <w:style w:type="character" w:customStyle="1" w:styleId="CommentSubjectChar">
    <w:name w:val="Comment Subject Char"/>
    <w:basedOn w:val="CommentTextChar"/>
    <w:link w:val="CommentSubject"/>
    <w:uiPriority w:val="99"/>
    <w:semiHidden/>
    <w:rsid w:val="00AE6D1B"/>
    <w:rPr>
      <w:rFonts w:eastAsiaTheme="minorEastAsia"/>
      <w:b/>
      <w:bCs/>
      <w:kern w:val="0"/>
      <w:sz w:val="20"/>
      <w:szCs w:val="20"/>
      <w14:ligatures w14:val="none"/>
    </w:rPr>
  </w:style>
  <w:style w:type="paragraph" w:styleId="Caption">
    <w:name w:val="caption"/>
    <w:basedOn w:val="Normal"/>
    <w:next w:val="Normal"/>
    <w:uiPriority w:val="35"/>
    <w:unhideWhenUsed/>
    <w:qFormat/>
    <w:rsid w:val="00EA4562"/>
    <w:pPr>
      <w:spacing w:after="200" w:line="240" w:lineRule="auto"/>
    </w:pPr>
    <w:rPr>
      <w:i/>
      <w:iCs/>
      <w:color w:val="146194" w:themeColor="text2"/>
      <w:sz w:val="18"/>
      <w:szCs w:val="18"/>
    </w:rPr>
  </w:style>
  <w:style w:type="paragraph" w:styleId="BalloonText">
    <w:name w:val="Balloon Text"/>
    <w:basedOn w:val="Normal"/>
    <w:link w:val="BalloonTextChar"/>
    <w:uiPriority w:val="99"/>
    <w:semiHidden/>
    <w:unhideWhenUsed/>
    <w:rsid w:val="00850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19"/>
    <w:rPr>
      <w:rFonts w:ascii="Segoe UI" w:eastAsiaTheme="minorEastAsia" w:hAnsi="Segoe UI" w:cs="Segoe UI"/>
      <w:kern w:val="0"/>
      <w:sz w:val="18"/>
      <w:szCs w:val="18"/>
      <w14:ligatures w14:val="none"/>
    </w:rPr>
  </w:style>
  <w:style w:type="character" w:styleId="FollowedHyperlink">
    <w:name w:val="FollowedHyperlink"/>
    <w:basedOn w:val="DefaultParagraphFont"/>
    <w:uiPriority w:val="99"/>
    <w:semiHidden/>
    <w:unhideWhenUsed/>
    <w:rsid w:val="0074014A"/>
    <w:rPr>
      <w:color w:val="356A95" w:themeColor="followedHyperlink"/>
      <w:u w:val="single"/>
    </w:rPr>
  </w:style>
  <w:style w:type="character" w:customStyle="1" w:styleId="normaltextrun">
    <w:name w:val="normaltextrun"/>
    <w:basedOn w:val="DefaultParagraphFont"/>
    <w:rsid w:val="00B04755"/>
  </w:style>
  <w:style w:type="character" w:customStyle="1" w:styleId="eop">
    <w:name w:val="eop"/>
    <w:basedOn w:val="DefaultParagraphFont"/>
    <w:rsid w:val="00B04755"/>
  </w:style>
  <w:style w:type="paragraph" w:styleId="Revision">
    <w:name w:val="Revision"/>
    <w:hidden/>
    <w:uiPriority w:val="99"/>
    <w:semiHidden/>
    <w:rsid w:val="00FA718B"/>
    <w:pPr>
      <w:spacing w:after="0" w:line="240" w:lineRule="auto"/>
    </w:pPr>
    <w:rPr>
      <w:rFonts w:eastAsiaTheme="minorEastAsia"/>
      <w:kern w:val="0"/>
      <w:sz w:val="21"/>
      <w:szCs w:val="21"/>
      <w14:ligatures w14:val="none"/>
    </w:rPr>
  </w:style>
  <w:style w:type="paragraph" w:customStyle="1" w:styleId="pf0">
    <w:name w:val="pf0"/>
    <w:basedOn w:val="Normal"/>
    <w:rsid w:val="001716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716F9"/>
    <w:rPr>
      <w:rFonts w:ascii="Segoe UI" w:hAnsi="Segoe UI" w:cs="Segoe UI" w:hint="default"/>
      <w:sz w:val="18"/>
      <w:szCs w:val="18"/>
    </w:rPr>
  </w:style>
  <w:style w:type="character" w:customStyle="1" w:styleId="cf11">
    <w:name w:val="cf11"/>
    <w:basedOn w:val="DefaultParagraphFont"/>
    <w:rsid w:val="0066028B"/>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481217"/>
    <w:rPr>
      <w:color w:val="605E5C"/>
      <w:shd w:val="clear" w:color="auto" w:fill="E1DFDD"/>
    </w:rPr>
  </w:style>
  <w:style w:type="character" w:customStyle="1" w:styleId="accordion-tabbedtab-mobile">
    <w:name w:val="accordion-tabbed__tab-mobile"/>
    <w:basedOn w:val="DefaultParagraphFont"/>
    <w:rsid w:val="004B3D6B"/>
  </w:style>
  <w:style w:type="character" w:customStyle="1" w:styleId="comma-separator">
    <w:name w:val="comma-separator"/>
    <w:basedOn w:val="DefaultParagraphFont"/>
    <w:rsid w:val="004B3D6B"/>
  </w:style>
  <w:style w:type="character" w:customStyle="1" w:styleId="epub-state">
    <w:name w:val="epub-state"/>
    <w:basedOn w:val="DefaultParagraphFont"/>
    <w:rsid w:val="004B3D6B"/>
  </w:style>
  <w:style w:type="character" w:customStyle="1" w:styleId="epub-date">
    <w:name w:val="epub-date"/>
    <w:basedOn w:val="DefaultParagraphFont"/>
    <w:rsid w:val="004B3D6B"/>
  </w:style>
  <w:style w:type="paragraph" w:styleId="IntenseQuote">
    <w:name w:val="Intense Quote"/>
    <w:basedOn w:val="Normal"/>
    <w:next w:val="Normal"/>
    <w:link w:val="IntenseQuoteChar"/>
    <w:uiPriority w:val="30"/>
    <w:qFormat/>
    <w:rsid w:val="00161BFC"/>
    <w:pPr>
      <w:pBdr>
        <w:top w:val="single" w:sz="4" w:space="10" w:color="052F61" w:themeColor="accent1"/>
        <w:bottom w:val="single" w:sz="4" w:space="10" w:color="052F61" w:themeColor="accent1"/>
      </w:pBdr>
      <w:spacing w:before="360" w:after="360"/>
      <w:ind w:left="864" w:right="864"/>
      <w:jc w:val="center"/>
    </w:pPr>
    <w:rPr>
      <w:i/>
      <w:iCs/>
      <w:color w:val="052F61" w:themeColor="accent1"/>
    </w:rPr>
  </w:style>
  <w:style w:type="character" w:customStyle="1" w:styleId="IntenseQuoteChar">
    <w:name w:val="Intense Quote Char"/>
    <w:basedOn w:val="DefaultParagraphFont"/>
    <w:link w:val="IntenseQuote"/>
    <w:uiPriority w:val="30"/>
    <w:rsid w:val="00161BFC"/>
    <w:rPr>
      <w:rFonts w:eastAsiaTheme="minorEastAsia"/>
      <w:i/>
      <w:iCs/>
      <w:color w:val="052F61" w:themeColor="accent1"/>
      <w:kern w:val="0"/>
      <w:sz w:val="21"/>
      <w:szCs w:val="21"/>
      <w14:ligatures w14:val="none"/>
    </w:rPr>
  </w:style>
  <w:style w:type="character" w:customStyle="1" w:styleId="UnresolvedMention2">
    <w:name w:val="Unresolved Mention2"/>
    <w:basedOn w:val="DefaultParagraphFont"/>
    <w:uiPriority w:val="99"/>
    <w:semiHidden/>
    <w:unhideWhenUsed/>
    <w:rsid w:val="00323057"/>
    <w:rPr>
      <w:color w:val="605E5C"/>
      <w:shd w:val="clear" w:color="auto" w:fill="E1DFDD"/>
    </w:rPr>
  </w:style>
  <w:style w:type="character" w:customStyle="1" w:styleId="ui-provider">
    <w:name w:val="ui-provider"/>
    <w:basedOn w:val="DefaultParagraphFont"/>
    <w:rsid w:val="00B74C18"/>
  </w:style>
  <w:style w:type="character" w:customStyle="1" w:styleId="s2">
    <w:name w:val="s2"/>
    <w:basedOn w:val="DefaultParagraphFont"/>
    <w:rsid w:val="008E0E1E"/>
  </w:style>
  <w:style w:type="character" w:styleId="UnresolvedMention">
    <w:name w:val="Unresolved Mention"/>
    <w:basedOn w:val="DefaultParagraphFont"/>
    <w:uiPriority w:val="99"/>
    <w:semiHidden/>
    <w:unhideWhenUsed/>
    <w:rsid w:val="00DD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bs.gov.au/statistics/people/crime-and-justice/personal-safety-australia/latest-release" TargetMode="External"/><Relationship Id="rId26" Type="http://schemas.openxmlformats.org/officeDocument/2006/relationships/hyperlink" Target="https://www.aihw.gov.au/getmedia/6af928d6-692e-4449-b915-cf2ca946982f/aihw-cws-69_australias_children_print-report.pdf?v=20230921161957&amp;inline=true" TargetMode="External"/><Relationship Id="rId39" Type="http://schemas.openxmlformats.org/officeDocument/2006/relationships/hyperlink" Target="https://harvardcenter.wpenginepowered.com/wp-content/uploads/2017/10/3Principles_Update2021v2.pdf" TargetMode="External"/><Relationship Id="rId21" Type="http://schemas.openxmlformats.org/officeDocument/2006/relationships/hyperlink" Target="https://www.abs.gov.au/statistics/people/population/national-state-and-territory-population/latest-release" TargetMode="External"/><Relationship Id="rId34" Type="http://schemas.openxmlformats.org/officeDocument/2006/relationships/hyperlink" Target="https://www.aihw.gov.au/reports-data/health-welfare-services/child-protection/overview" TargetMode="External"/><Relationship Id="rId42" Type="http://schemas.openxmlformats.org/officeDocument/2006/relationships/hyperlink" Target="https://immi.homeaffairs.gov.au/settling-in-australia/settlement-reports" TargetMode="External"/><Relationship Id="rId47" Type="http://schemas.openxmlformats.org/officeDocument/2006/relationships/hyperlink" Target="https://aifs.gov.au/resources/short-articles/ensuring-all-children-get-best-start-life" TargetMode="External"/><Relationship Id="rId50" Type="http://schemas.openxmlformats.org/officeDocument/2006/relationships/hyperlink" Target="https://www.ndis.gov.au/about-us/publications/quarterly-reports" TargetMode="External"/><Relationship Id="rId55" Type="http://schemas.openxmlformats.org/officeDocument/2006/relationships/hyperlink" Target="https://harvardcenter.wpenginepowered.com/wp-content/uploads/2008/05/Establishing-a-Level-Foundation-for-Life-Mental-Health-Begins-in-Early-Childhood.pdf" TargetMode="External"/><Relationship Id="rId63" Type="http://schemas.openxmlformats.org/officeDocument/2006/relationships/hyperlink" Target="https://www.thefrontproject.org.au/impact-foundry/research/economic-analysis" TargetMode="External"/><Relationship Id="rId68" Type="http://schemas.openxmlformats.org/officeDocument/2006/relationships/hyperlink" Target="https://dera.ioe.ac.uk/id/eprint/8543/7/SSU-SF-2004-01.pdf" TargetMode="External"/><Relationship Id="rId76" Type="http://schemas.openxmlformats.org/officeDocument/2006/relationships/hyperlink" Target="https://learningthroughplay.com/explore-the-research/the-scientific-case-for-learning-through-play" TargetMode="External"/><Relationship Id="rId7" Type="http://schemas.openxmlformats.org/officeDocument/2006/relationships/settings" Target="settings.xml"/><Relationship Id="rId71" Type="http://schemas.openxmlformats.org/officeDocument/2006/relationships/hyperlink" Target="https://www.thefrontproject.org.au/impact-foundry/research" TargetMode="External"/><Relationship Id="rId2" Type="http://schemas.openxmlformats.org/officeDocument/2006/relationships/customXml" Target="../customXml/item2.xml"/><Relationship Id="rId16" Type="http://schemas.openxmlformats.org/officeDocument/2006/relationships/hyperlink" Target="https://www.abs.gov.au/statistics/people/people-and-communities/how-australians-use-their-time/2020-21" TargetMode="External"/><Relationship Id="rId29" Type="http://schemas.openxmlformats.org/officeDocument/2006/relationships/hyperlink" Target="https://www.aihw.gov.au/reports/mothers-babies/australias-mothers-babies/contents/about" TargetMode="External"/><Relationship Id="rId11" Type="http://schemas.openxmlformats.org/officeDocument/2006/relationships/image" Target="media/image1.jpeg"/><Relationship Id="rId24" Type="http://schemas.openxmlformats.org/officeDocument/2006/relationships/hyperlink" Target="https://www.acecqa.gov.au/nqf/snapshots" TargetMode="External"/><Relationship Id="rId32" Type="http://schemas.openxmlformats.org/officeDocument/2006/relationships/hyperlink" Target="https://www.aihw.gov.au/reports/mothers-babies/breastfeeding-practices" TargetMode="External"/><Relationship Id="rId37" Type="http://schemas.openxmlformats.org/officeDocument/2006/relationships/hyperlink" Target="https://developingchild.harvard.edu/guide/what-is-early-childhood-development-a-guide-to-the-science/" TargetMode="External"/><Relationship Id="rId40" Type="http://schemas.openxmlformats.org/officeDocument/2006/relationships/hyperlink" Target="https://www.education.gov.au/early-childhood/resources/september-quarter-2023-data-tables" TargetMode="External"/><Relationship Id="rId45" Type="http://schemas.openxmlformats.org/officeDocument/2006/relationships/hyperlink" Target="https://onlinelibrary.wiley.com/doi/10.5694/mja2.51869" TargetMode="External"/><Relationship Id="rId53" Type="http://schemas.openxmlformats.org/officeDocument/2006/relationships/hyperlink" Target="https://developingchild.harvard.edu/resources/wp3/" TargetMode="External"/><Relationship Id="rId58" Type="http://schemas.openxmlformats.org/officeDocument/2006/relationships/hyperlink" Target="https://developingchild.harvard.edu/place-matters-the-environment-we-create-shapes-the-foundations-of-healthy-development/" TargetMode="External"/><Relationship Id="rId66" Type="http://schemas.openxmlformats.org/officeDocument/2006/relationships/hyperlink" Target="https://www.racp.edu.au/docs/default-source/advocacy-library/the-health-and-wellbeing-on-incarcerated-adolescents.pdf" TargetMode="External"/><Relationship Id="rId74" Type="http://schemas.openxmlformats.org/officeDocument/2006/relationships/hyperlink" Target="https://iris.who.int/handle/10665/78898"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brookings.edu/wp-content/uploads/2017/04/duke_prekstudy_final_4-4-17_hires.pdf" TargetMode="External"/><Relationship Id="rId10" Type="http://schemas.openxmlformats.org/officeDocument/2006/relationships/endnotes" Target="endnotes.xml"/><Relationship Id="rId19" Type="http://schemas.openxmlformats.org/officeDocument/2006/relationships/hyperlink" Target="https://www.abs.gov.au/statistics/people/population/births-australia/latest-release" TargetMode="External"/><Relationship Id="rId31" Type="http://schemas.openxmlformats.org/officeDocument/2006/relationships/hyperlink" Target="https://www.aihw.gov.au/reports/mothers-babies/australias-mothers-babies/contents/focus-population-groups/mothers-aged-under-20-and-their-babies" TargetMode="External"/><Relationship Id="rId44" Type="http://schemas.openxmlformats.org/officeDocument/2006/relationships/hyperlink" Target="https://aifs.gov.au/research/research-reports/life-during-covid-19-early-findings-report" TargetMode="External"/><Relationship Id="rId52" Type="http://schemas.openxmlformats.org/officeDocument/2006/relationships/hyperlink" Target="https://developingchild.harvard.edu/resources/wp1/" TargetMode="External"/><Relationship Id="rId60" Type="http://schemas.openxmlformats.org/officeDocument/2006/relationships/hyperlink" Target="https://www.eprints.qut.edu.au/95925/" TargetMode="External"/><Relationship Id="rId65" Type="http://schemas.openxmlformats.org/officeDocument/2006/relationships/hyperlink" Target="https://www.mja.com.au/journal/2013/199/3/children-whose-parents-have-mental-illness-prevalence-need-and-treatment" TargetMode="External"/><Relationship Id="rId73" Type="http://schemas.openxmlformats.org/officeDocument/2006/relationships/hyperlink" Target="https://aifs.gov.au/sites/default/files/2022-06/sprp47_low_income_web.pdf"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bs.gov.au/statistics/people/education/preschool-education/latest-release" TargetMode="External"/><Relationship Id="rId27" Type="http://schemas.openxmlformats.org/officeDocument/2006/relationships/hyperlink" Target="https://www.aihw.gov.au/about-our-data/our-data-collections/national-perinatal-data-collection" TargetMode="External"/><Relationship Id="rId30" Type="http://schemas.openxmlformats.org/officeDocument/2006/relationships/hyperlink" Target="https://www.aihw.gov.au/reports/mothers-babies/australias-mothers-babies/contents/overview-and-demographics/maternal-age" TargetMode="External"/><Relationship Id="rId35" Type="http://schemas.openxmlformats.org/officeDocument/2006/relationships/hyperlink" Target="https://aifs.gov.au/resources/policy-and-practice-papers/childrens-exposure-domestic-and-family-violence" TargetMode="External"/><Relationship Id="rId43" Type="http://schemas.openxmlformats.org/officeDocument/2006/relationships/hyperlink" Target="https://www.dss.gov.au/our-responsibilities/families-and-children/publications-articles/positive-family-functioning" TargetMode="External"/><Relationship Id="rId48" Type="http://schemas.openxmlformats.org/officeDocument/2006/relationships/hyperlink" Target="https://www.pwc.com.au/health/health-matters/socioeconomic-influences-on-children.html" TargetMode="External"/><Relationship Id="rId56" Type="http://schemas.openxmlformats.org/officeDocument/2006/relationships/hyperlink" Target="https://developingchild.harvard.edu/wp-content/uploads/2010/05/Early-Experiences-Can-Alter-Gene-Expression-and-Affect-Long-Term-Development.pdf" TargetMode="External"/><Relationship Id="rId64" Type="http://schemas.openxmlformats.org/officeDocument/2006/relationships/hyperlink" Target="https://raisingchildren.net.au/newborns/development/understanding-development/relationships-development" TargetMode="External"/><Relationship Id="rId69" Type="http://schemas.openxmlformats.org/officeDocument/2006/relationships/hyperlink" Target="https://dfa.org.au/wp-content/uploads/2022/04/2019-survey-report-2.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iaa.gov.au/resource-centre/indigenous-affairs/national-aboriginal-and-torres-strait-islander-early-childhood-strategy" TargetMode="External"/><Relationship Id="rId72" Type="http://schemas.openxmlformats.org/officeDocument/2006/relationships/hyperlink" Target="https://rchpoll.org.au/polls/australian-families-how-we-pla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bs.gov.au/statistics/people/population/deaths-australia/latest-release" TargetMode="External"/><Relationship Id="rId25" Type="http://schemas.openxmlformats.org/officeDocument/2006/relationships/hyperlink" Target="https://www.aedc.gov.au/resources/detail/2021-aedc-national-report" TargetMode="External"/><Relationship Id="rId33" Type="http://schemas.openxmlformats.org/officeDocument/2006/relationships/hyperlink" Target="https://www.aihw.gov.au/reports/mothers-babies/australias-mothers-babies/contents/focus-population-groups/mothers-aged-under-20-and-their-babies" TargetMode="External"/><Relationship Id="rId38" Type="http://schemas.openxmlformats.org/officeDocument/2006/relationships/hyperlink" Target="https://developingchild.harvard.edu/science/deep-dives/mental-health/" TargetMode="External"/><Relationship Id="rId46" Type="http://schemas.openxmlformats.org/officeDocument/2006/relationships/hyperlink" Target="https://heckmanequation.org/" TargetMode="External"/><Relationship Id="rId59" Type="http://schemas.openxmlformats.org/officeDocument/2006/relationships/hyperlink" Target="https://www.oecd-ilibrary.org/education/starting-strong-2017_9789264276116-en" TargetMode="External"/><Relationship Id="rId67" Type="http://schemas.openxmlformats.org/officeDocument/2006/relationships/hyperlink" Target="https://www.dva.gov.au/sites/default/files/2022-06/twrp-family-wellbeing-study-summary-report.pdf" TargetMode="External"/><Relationship Id="rId20" Type="http://schemas.openxmlformats.org/officeDocument/2006/relationships/hyperlink" Target="https://www.abs.gov.au/statistics/people/education/preschool-education/latest-release" TargetMode="External"/><Relationship Id="rId41" Type="http://schemas.openxmlformats.org/officeDocument/2006/relationships/hyperlink" Target="https://www.health.gov.au/topics/immunisation/immunisation-data/childhood-immunisation-coverage/historical-coverage-data-tables-for-all-children" TargetMode="External"/><Relationship Id="rId54" Type="http://schemas.openxmlformats.org/officeDocument/2006/relationships/hyperlink" Target="https://developingchild.harvard.edu/wp-content/uploads/2007/05/Timing_Quality_Early_Experiences-1.pdf" TargetMode="External"/><Relationship Id="rId62" Type="http://schemas.openxmlformats.org/officeDocument/2006/relationships/hyperlink" Target="https://www.pc.gov.au/closing-the-gap-data/dashboard/se/outcome-area4" TargetMode="External"/><Relationship Id="rId70" Type="http://schemas.openxmlformats.org/officeDocument/2006/relationships/hyperlink" Target="https://engage.dss.gov.au/early-years-strategy-submissions/1682811203/" TargetMode="External"/><Relationship Id="rId75" Type="http://schemas.openxmlformats.org/officeDocument/2006/relationships/hyperlink" Target="https://www.who.int/publications/i/item/978924004933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bs.gov.au/ausstats/abs@.nsf/Lookup/2901.0Chapter32102011" TargetMode="External"/><Relationship Id="rId23" Type="http://schemas.openxmlformats.org/officeDocument/2006/relationships/hyperlink" Target="https://www.acecqa.gov.au/assessment/exceeding-nqs/qa1/standard-12-practice-case-study-1" TargetMode="External"/><Relationship Id="rId28" Type="http://schemas.openxmlformats.org/officeDocument/2006/relationships/hyperlink" Target="https://www.aihw.gov.au/reports/children-youth/australias-children/contents/health/immunisation" TargetMode="External"/><Relationship Id="rId36" Type="http://schemas.openxmlformats.org/officeDocument/2006/relationships/hyperlink" Target="https://developingchild.harvard.edu/science/key-concepts/resilience/" TargetMode="External"/><Relationship Id="rId49" Type="http://schemas.openxmlformats.org/officeDocument/2006/relationships/hyperlink" Target="https://lifecoursecentre.org.au/research/working-paper-series/" TargetMode="External"/><Relationship Id="rId57" Type="http://schemas.openxmlformats.org/officeDocument/2006/relationships/hyperlink" Target="https://developingchild.harvard.edu/wp-content/uploads/2020/06/wp15_health_FINALv2.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people/population/national-state-and-territory-population/latest-release" TargetMode="External"/><Relationship Id="rId18" Type="http://schemas.openxmlformats.org/officeDocument/2006/relationships/hyperlink" Target="https://www.abs.gov.au/statistics/people/population/births-australia/latest-release" TargetMode="External"/><Relationship Id="rId26" Type="http://schemas.openxmlformats.org/officeDocument/2006/relationships/hyperlink" Target="https://www.aihw.gov.au/reports/children-youth/australias-children/contents/health/immunisation" TargetMode="External"/><Relationship Id="rId39" Type="http://schemas.openxmlformats.org/officeDocument/2006/relationships/hyperlink" Target="https://www.abs.gov.au/statistics/people/education/preschool-education/latest-release" TargetMode="External"/><Relationship Id="rId21" Type="http://schemas.openxmlformats.org/officeDocument/2006/relationships/hyperlink" Target="https://www.aihw.gov.au/reports/mothers-babies/australias-mothers-babies/data" TargetMode="External"/><Relationship Id="rId34" Type="http://schemas.openxmlformats.org/officeDocument/2006/relationships/hyperlink" Target="https://www.acecqa.gov.au/assessment/exceeding-nqs/qa1/standard-12-practice-case-study-1" TargetMode="External"/><Relationship Id="rId42" Type="http://schemas.openxmlformats.org/officeDocument/2006/relationships/hyperlink" Target="https://aifs.gov.au/resources/short-articles/ensuring-all-children-get-best-start-life" TargetMode="External"/><Relationship Id="rId47" Type="http://schemas.openxmlformats.org/officeDocument/2006/relationships/hyperlink" Target="https://harvardcenter.wpenginepowered.com/wp-content/uploads/2017/10/3Principles_Update2021v2.pdf" TargetMode="External"/><Relationship Id="rId50" Type="http://schemas.openxmlformats.org/officeDocument/2006/relationships/hyperlink" Target="https://learningthroughplay.com/explore-the-research/the-scientific-case-for-learning-through-play" TargetMode="External"/><Relationship Id="rId55" Type="http://schemas.openxmlformats.org/officeDocument/2006/relationships/hyperlink" Target="https://dera.ioe.ac.uk/id/eprint/8543/7/SSU-SF-2004-01.pdf" TargetMode="External"/><Relationship Id="rId7" Type="http://schemas.openxmlformats.org/officeDocument/2006/relationships/hyperlink" Target="https://www.aedc.gov.au/resources/detail/2021-aedc-national-report" TargetMode="External"/><Relationship Id="rId2" Type="http://schemas.openxmlformats.org/officeDocument/2006/relationships/hyperlink" Target="https://developingchild.harvard.edu/resources/inbrief-science-of-ecd/" TargetMode="External"/><Relationship Id="rId16" Type="http://schemas.openxmlformats.org/officeDocument/2006/relationships/hyperlink" Target="https://www.abs.gov.au/ausstats/abs@.nsf/Lookup/2901.0Chapter32102011" TargetMode="External"/><Relationship Id="rId20" Type="http://schemas.openxmlformats.org/officeDocument/2006/relationships/hyperlink" Target="https://www.aihw.gov.au/reports/mothers-babies/australias-mothers-babies/contents/focus-population-groups/mothers-aged-under-20-and-their-babies" TargetMode="External"/><Relationship Id="rId29" Type="http://schemas.openxmlformats.org/officeDocument/2006/relationships/hyperlink" Target="https://www.mja.com.au/journal/2013/199/3/children-whose-parents-have-mental-illness-prevalence-need-and-treatment" TargetMode="External"/><Relationship Id="rId41" Type="http://schemas.openxmlformats.org/officeDocument/2006/relationships/hyperlink" Target="https://developingchild.harvard.edu/science/key-concepts/resilience/" TargetMode="External"/><Relationship Id="rId54" Type="http://schemas.openxmlformats.org/officeDocument/2006/relationships/hyperlink" Target="https://developingchild.harvard.edu/guide/what-is-early-childhood-development-a-guide-to-the-science/" TargetMode="External"/><Relationship Id="rId62" Type="http://schemas.openxmlformats.org/officeDocument/2006/relationships/hyperlink" Target="https://dfa.org.au/wp-content/uploads/2022/04/2019-survey-report-2.pdf" TargetMode="External"/><Relationship Id="rId1" Type="http://schemas.openxmlformats.org/officeDocument/2006/relationships/hyperlink" Target="https://developingchild.harvard.edu/wp-content/uploads/2020/06/wp15_health_FINALv2.pdf" TargetMode="External"/><Relationship Id="rId6" Type="http://schemas.openxmlformats.org/officeDocument/2006/relationships/hyperlink" Target="https://www.aihw.gov.au/about-our-data/our-data-collections/national-perinatal-data-collection" TargetMode="External"/><Relationship Id="rId11" Type="http://schemas.openxmlformats.org/officeDocument/2006/relationships/hyperlink" Target="https://www.who.int/publications/i/item/9789240049338" TargetMode="External"/><Relationship Id="rId24" Type="http://schemas.openxmlformats.org/officeDocument/2006/relationships/hyperlink" Target="https://www.abs.gov.au/statistics/people/population/deaths-australia/latest-release" TargetMode="External"/><Relationship Id="rId32" Type="http://schemas.openxmlformats.org/officeDocument/2006/relationships/hyperlink" Target="https://www.abs.gov.au/statistics/people/people-and-communities/how-australians-use-their-time/2020-21" TargetMode="External"/><Relationship Id="rId37" Type="http://schemas.openxmlformats.org/officeDocument/2006/relationships/hyperlink" Target="https://www.education.gov.au/early-childhood/resources/september-quarter-2023-data-tables" TargetMode="External"/><Relationship Id="rId40" Type="http://schemas.openxmlformats.org/officeDocument/2006/relationships/hyperlink" Target="https://developingchild.harvard.edu/resources/wp3/" TargetMode="External"/><Relationship Id="rId45" Type="http://schemas.openxmlformats.org/officeDocument/2006/relationships/hyperlink" Target="https://developingchild.harvard.edu/science/deep-dives/mental-health/" TargetMode="External"/><Relationship Id="rId53" Type="http://schemas.openxmlformats.org/officeDocument/2006/relationships/hyperlink" Target="https://www.pwc.com.au/health/health-matters/socioeconomic-influences-on-children.html" TargetMode="External"/><Relationship Id="rId58" Type="http://schemas.openxmlformats.org/officeDocument/2006/relationships/hyperlink" Target="https://www.thefrontproject.org.au/impact-foundry/research" TargetMode="External"/><Relationship Id="rId5" Type="http://schemas.openxmlformats.org/officeDocument/2006/relationships/hyperlink" Target="https://developingchild.harvard.edu/resources/wp1/" TargetMode="External"/><Relationship Id="rId15" Type="http://schemas.openxmlformats.org/officeDocument/2006/relationships/hyperlink" Target="https://www.abs.gov.au/statistics/people/crime-and-justice/personal-safety-australia/latest-release" TargetMode="External"/><Relationship Id="rId23" Type="http://schemas.openxmlformats.org/officeDocument/2006/relationships/hyperlink" Target="https://www.aihw.gov.au/reports/mothers-babies/breastfeeding-practices" TargetMode="External"/><Relationship Id="rId28" Type="http://schemas.openxmlformats.org/officeDocument/2006/relationships/hyperlink" Target="https://harvardcenter.wpenginepowered.com/wp-content/uploads/2008/05/Establishing-a-Level-Foundation-for-Life-Mental-Health-Begins-in-Early-Childhood.pdf" TargetMode="External"/><Relationship Id="rId36" Type="http://schemas.openxmlformats.org/officeDocument/2006/relationships/hyperlink" Target="https://www.brookings.edu/wp-content/uploads/2017/04/duke_prekstudy_final_4-4-17_hires.pdf" TargetMode="External"/><Relationship Id="rId49" Type="http://schemas.openxmlformats.org/officeDocument/2006/relationships/hyperlink" Target="https://raisingchildren.net.au/newborns/development/understanding-development/relationships-development" TargetMode="External"/><Relationship Id="rId57" Type="http://schemas.openxmlformats.org/officeDocument/2006/relationships/hyperlink" Target="https://www.dss.gov.au/our-responsibilities/families-and-children/publications-articles/positive-family-functioning" TargetMode="External"/><Relationship Id="rId61" Type="http://schemas.openxmlformats.org/officeDocument/2006/relationships/hyperlink" Target="https://www.dva.gov.au/sites/default/files/2022-06/twrp-family-wellbeing-study-summary-report.pdf" TargetMode="External"/><Relationship Id="rId10" Type="http://schemas.openxmlformats.org/officeDocument/2006/relationships/hyperlink" Target="https://onlinelibrary.wiley.com/doi/10.5694/mja2.51869" TargetMode="External"/><Relationship Id="rId19" Type="http://schemas.openxmlformats.org/officeDocument/2006/relationships/hyperlink" Target="https://www.aihw.gov.au/reports/mothers-babies/australias-mothers-babies/contents/overview-and-demographics/maternal-age" TargetMode="External"/><Relationship Id="rId31" Type="http://schemas.openxmlformats.org/officeDocument/2006/relationships/hyperlink" Target="https://rchpoll.org.au/polls/australian-families-how-we-play/" TargetMode="External"/><Relationship Id="rId44" Type="http://schemas.openxmlformats.org/officeDocument/2006/relationships/hyperlink" Target="https://www.racp.edu.au/docs/default-source/advocacy-library/the-health-and-wellbeing-on-incarcerated-adolescents.pdf" TargetMode="External"/><Relationship Id="rId52" Type="http://schemas.openxmlformats.org/officeDocument/2006/relationships/hyperlink" Target="https://www.aihw.gov.au/reports/mothers-babies/australias-mothers-babies/contents/about" TargetMode="External"/><Relationship Id="rId60" Type="http://schemas.openxmlformats.org/officeDocument/2006/relationships/hyperlink" Target="https://www.eprints.qut.edu.au/95925/" TargetMode="External"/><Relationship Id="rId4" Type="http://schemas.openxmlformats.org/officeDocument/2006/relationships/hyperlink" Target="https://developingchild.harvard.edu/wp-content/uploads/2007/05/Timing_Quality_Early_Experiences-1.pdf" TargetMode="External"/><Relationship Id="rId9" Type="http://schemas.openxmlformats.org/officeDocument/2006/relationships/hyperlink" Target="https://aifs.gov.au/resources/policy-and-practice-papers/childrens-exposure-domestic-and-family-violence" TargetMode="External"/><Relationship Id="rId14" Type="http://schemas.openxmlformats.org/officeDocument/2006/relationships/hyperlink" Target="https://immi.homeaffairs.gov.au/settling-in-australia/settlement-reports" TargetMode="External"/><Relationship Id="rId22" Type="http://schemas.openxmlformats.org/officeDocument/2006/relationships/hyperlink" Target="https://www.aihw.gov.au/reports/mothers-babies/breastfeeding-practices" TargetMode="External"/><Relationship Id="rId27" Type="http://schemas.openxmlformats.org/officeDocument/2006/relationships/hyperlink" Target="https://www.ndis.gov.au/about-us/publications/quarterly-reports" TargetMode="External"/><Relationship Id="rId30" Type="http://schemas.openxmlformats.org/officeDocument/2006/relationships/hyperlink" Target="https://iris.who.int/handle/10665/78898" TargetMode="External"/><Relationship Id="rId35" Type="http://schemas.openxmlformats.org/officeDocument/2006/relationships/hyperlink" Target="https://www.oecd-ilibrary.org/education/starting-strong-2017_9789264276116-en" TargetMode="External"/><Relationship Id="rId43" Type="http://schemas.openxmlformats.org/officeDocument/2006/relationships/hyperlink" Target="https://lifecoursecentre.org.au/research/working-paper-series/" TargetMode="External"/><Relationship Id="rId48" Type="http://schemas.openxmlformats.org/officeDocument/2006/relationships/hyperlink" Target="https://www.niaa.gov.au/resource-centre/indigenous-affairs/national-aboriginal-and-torres-strait-islander-early-childhood-strategy" TargetMode="External"/><Relationship Id="rId56" Type="http://schemas.openxmlformats.org/officeDocument/2006/relationships/hyperlink" Target="https://www.thefrontproject.org.au/impact-foundry/research/economic-analysis" TargetMode="External"/><Relationship Id="rId8" Type="http://schemas.openxmlformats.org/officeDocument/2006/relationships/hyperlink" Target="https://www.aihw.gov.au/reports-data/health-welfare-services/child-protection/overview" TargetMode="External"/><Relationship Id="rId51" Type="http://schemas.openxmlformats.org/officeDocument/2006/relationships/hyperlink" Target="https://engage.dss.gov.au/early-years-strategy-submissions/1682811203/" TargetMode="External"/><Relationship Id="rId3" Type="http://schemas.openxmlformats.org/officeDocument/2006/relationships/hyperlink" Target="https://developingchild.harvard.edu/wp-content/uploads/2010/05/Early-Experiences-Can-Alter-Gene-Expression-and-Affect-Long-Term-Development.pdf" TargetMode="External"/><Relationship Id="rId12" Type="http://schemas.openxmlformats.org/officeDocument/2006/relationships/hyperlink" Target="https://www.aihw.gov.au/getmedia/6af928d6-692e-4449-b915-cf2ca946982f/aihw-cws-69_australias_children_print-report.pdf?v=20230921161957&amp;inline=true" TargetMode="External"/><Relationship Id="rId17" Type="http://schemas.openxmlformats.org/officeDocument/2006/relationships/hyperlink" Target="https://www.pc.gov.au/closing-the-gap-data/dashboard/se/outcome-area4" TargetMode="External"/><Relationship Id="rId25" Type="http://schemas.openxmlformats.org/officeDocument/2006/relationships/hyperlink" Target="https://www.aihw.gov.au/reports/mothers-babies/australias-mothers-babies/contents/focus-population-groups/mothers-aged-under-20-and-their-babies" TargetMode="External"/><Relationship Id="rId33" Type="http://schemas.openxmlformats.org/officeDocument/2006/relationships/hyperlink" Target="https://aifs.gov.au/research/research-reports/life-during-covid-19-early-findings-report" TargetMode="External"/><Relationship Id="rId38" Type="http://schemas.openxmlformats.org/officeDocument/2006/relationships/hyperlink" Target="https://www.acecqa.gov.au/nqf/snapshots" TargetMode="External"/><Relationship Id="rId46" Type="http://schemas.openxmlformats.org/officeDocument/2006/relationships/hyperlink" Target="https://developingchild.harvard.edu/place-matters-the-environment-we-create-shapes-the-foundations-of-healthy-development/" TargetMode="External"/><Relationship Id="rId59" Type="http://schemas.openxmlformats.org/officeDocument/2006/relationships/hyperlink" Target="https://aifs.gov.au/sites/default/files/2022-06/sprp47_low_income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1545BFF-78FB-439F-8780-E826004F9D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ECAE6E94C62A44BB6D6318908684A9" ma:contentTypeVersion="" ma:contentTypeDescription="PDMS Document Site Content Type" ma:contentTypeScope="" ma:versionID="5fb66dcf65debd1dc787bdd94f79d4ff">
  <xsd:schema xmlns:xsd="http://www.w3.org/2001/XMLSchema" xmlns:xs="http://www.w3.org/2001/XMLSchema" xmlns:p="http://schemas.microsoft.com/office/2006/metadata/properties" xmlns:ns2="E1545BFF-78FB-439F-8780-E826004F9D18" targetNamespace="http://schemas.microsoft.com/office/2006/metadata/properties" ma:root="true" ma:fieldsID="398e2b1c381cdefee5daa07e87575039" ns2:_="">
    <xsd:import namespace="E1545BFF-78FB-439F-8780-E826004F9D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5BFF-78FB-439F-8780-E826004F9D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F6DF-8B11-4F3E-9988-E1321B2B9B1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1545BFF-78FB-439F-8780-E826004F9D18"/>
    <ds:schemaRef ds:uri="http://www.w3.org/XML/1998/namespace"/>
    <ds:schemaRef ds:uri="http://purl.org/dc/dcmitype/"/>
  </ds:schemaRefs>
</ds:datastoreItem>
</file>

<file path=customXml/itemProps2.xml><?xml version="1.0" encoding="utf-8"?>
<ds:datastoreItem xmlns:ds="http://schemas.openxmlformats.org/officeDocument/2006/customXml" ds:itemID="{0A2EB2BD-4E0E-4D34-9B34-EB55515276B8}">
  <ds:schemaRefs>
    <ds:schemaRef ds:uri="http://schemas.microsoft.com/sharepoint/v3/contenttype/forms"/>
  </ds:schemaRefs>
</ds:datastoreItem>
</file>

<file path=customXml/itemProps3.xml><?xml version="1.0" encoding="utf-8"?>
<ds:datastoreItem xmlns:ds="http://schemas.openxmlformats.org/officeDocument/2006/customXml" ds:itemID="{DA42E88D-E836-4660-AB60-0C22E9FC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5BFF-78FB-439F-8780-E826004F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98DC6-98BC-498F-AAD9-920E9671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37</Pages>
  <Words>9796</Words>
  <Characters>54197</Characters>
  <Application>Microsoft Office Word</Application>
  <DocSecurity>0</DocSecurity>
  <Lines>985</Lines>
  <Paragraphs>406</Paragraphs>
  <ScaleCrop>false</ScaleCrop>
  <HeadingPairs>
    <vt:vector size="2" baseType="variant">
      <vt:variant>
        <vt:lpstr>Title</vt:lpstr>
      </vt:variant>
      <vt:variant>
        <vt:i4>1</vt:i4>
      </vt:variant>
    </vt:vector>
  </HeadingPairs>
  <TitlesOfParts>
    <vt:vector size="1" baseType="lpstr">
      <vt:lpstr>Why children and their early years matter: An evidence summary supporting the Early Years Strategy 2024-2034</vt:lpstr>
    </vt:vector>
  </TitlesOfParts>
  <Company/>
  <LinksUpToDate>false</LinksUpToDate>
  <CharactersWithSpaces>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children and their early years matter: An evidence summary supporting the Early Years Strategy 2024-2034</dc:title>
  <dc:creator/>
  <cp:keywords>[SEC=OFFICIAL]</cp:keywords>
  <cp:lastModifiedBy>MILLER, Vicky</cp:lastModifiedBy>
  <cp:revision>13</cp:revision>
  <cp:lastPrinted>2024-03-21T05:07:00Z</cp:lastPrinted>
  <dcterms:created xsi:type="dcterms:W3CDTF">2024-04-26T00:53:00Z</dcterms:created>
  <dcterms:modified xsi:type="dcterms:W3CDTF">2024-05-05T23:36:00Z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PRINT_LINE">
    <vt:lpwstr>&lt;ITEM NUMBER&gt; &lt;CABNET_USER&gt; &lt;PRINT_DATE_TIME&gt; &lt;PRINT_NUMBER&gt;</vt:lpwstr>
  </property>
  <property fmtid="{D5CDD505-2E9C-101B-9397-08002B2CF9AE}" pid="3" name="CABNET_SECURITY_CLASSIFICATION">
    <vt:lpwstr>PROTECTED CABINET</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B92A95084DA14EA3A884AA90926AA25C</vt:lpwstr>
  </property>
  <property fmtid="{D5CDD505-2E9C-101B-9397-08002B2CF9AE}" pid="10" name="PM_ProtectiveMarkingValue_Footer">
    <vt:lpwstr>OFFICIAL</vt:lpwstr>
  </property>
  <property fmtid="{D5CDD505-2E9C-101B-9397-08002B2CF9AE}" pid="11" name="PM_Originator_Hash_SHA1">
    <vt:lpwstr>DAACB08450204C0F46DD78BFF6F8049364488490</vt:lpwstr>
  </property>
  <property fmtid="{D5CDD505-2E9C-101B-9397-08002B2CF9AE}" pid="12" name="PM_OriginationTimeStamp">
    <vt:lpwstr>2024-02-29T00:37:33Z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FC1EBA29C6D7220395EC8A75019DF736</vt:lpwstr>
  </property>
  <property fmtid="{D5CDD505-2E9C-101B-9397-08002B2CF9AE}" pid="23" name="PM_Hash_Salt">
    <vt:lpwstr>D28DD0502C8DFD1BC63F4194D5A00B1A</vt:lpwstr>
  </property>
  <property fmtid="{D5CDD505-2E9C-101B-9397-08002B2CF9AE}" pid="24" name="PM_Hash_SHA1">
    <vt:lpwstr>4BEF3267D7E383E88BC8EB24A5DA31E8A8487752</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0x010100266966F133664895A6EE3632470D45F5003CECAE6E94C62A44BB6D6318908684A9</vt:lpwstr>
  </property>
  <property fmtid="{D5CDD505-2E9C-101B-9397-08002B2CF9AE}" pid="30" name="GrammarlyDocumentId">
    <vt:lpwstr>ab960ac3eaeb5884b1d1ac1d7b56b3e2b3c192a21386a4efa25f0e633216d0f8</vt:lpwstr>
  </property>
  <property fmtid="{D5CDD505-2E9C-101B-9397-08002B2CF9AE}" pid="31" name="PMHMAC">
    <vt:lpwstr>v=2022.1;a=SHA256;h=0AAD1FEB6B55B34213F4ACF0414240DA5B4A19FAE1BCC274686C363CED0D06FA</vt:lpwstr>
  </property>
  <property fmtid="{D5CDD505-2E9C-101B-9397-08002B2CF9AE}" pid="32" name="MSIP_Label_eb34d90b-fc41-464d-af60-f74d721d0790_SetDate">
    <vt:lpwstr>2024-02-29T00:37:33Z</vt:lpwstr>
  </property>
  <property fmtid="{D5CDD505-2E9C-101B-9397-08002B2CF9AE}" pid="33" name="MSIP_Label_eb34d90b-fc41-464d-af60-f74d721d0790_Name">
    <vt:lpwstr>OFFICIAL</vt:lpwstr>
  </property>
  <property fmtid="{D5CDD505-2E9C-101B-9397-08002B2CF9AE}" pid="34" name="MSIP_Label_eb34d90b-fc41-464d-af60-f74d721d0790_SiteId">
    <vt:lpwstr>61e36dd1-ca6e-4d61-aa0a-2b4eb88317a3</vt:lpwstr>
  </property>
  <property fmtid="{D5CDD505-2E9C-101B-9397-08002B2CF9AE}" pid="35" name="MSIP_Label_eb34d90b-fc41-464d-af60-f74d721d0790_ContentBits">
    <vt:lpwstr>0</vt:lpwstr>
  </property>
  <property fmtid="{D5CDD505-2E9C-101B-9397-08002B2CF9AE}" pid="36" name="MSIP_Label_eb34d90b-fc41-464d-af60-f74d721d0790_Enabled">
    <vt:lpwstr>true</vt:lpwstr>
  </property>
  <property fmtid="{D5CDD505-2E9C-101B-9397-08002B2CF9AE}" pid="37" name="MSIP_Label_eb34d90b-fc41-464d-af60-f74d721d0790_Method">
    <vt:lpwstr>Privileged</vt:lpwstr>
  </property>
  <property fmtid="{D5CDD505-2E9C-101B-9397-08002B2CF9AE}" pid="38" name="MSIP_Label_eb34d90b-fc41-464d-af60-f74d721d0790_ActionId">
    <vt:lpwstr>efea845649d24e0b83e9f44f49044a44</vt:lpwstr>
  </property>
  <property fmtid="{D5CDD505-2E9C-101B-9397-08002B2CF9AE}" pid="39" name="PMUuid">
    <vt:lpwstr>v=2022.2;d=gov.au;g=46DD6D7C-8107-577B-BC6E-F348953B2E44</vt:lpwstr>
  </property>
</Properties>
</file>